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方正小标宋_GBK" w:eastAsia="方正小标宋_GBK"/>
          <w:bCs/>
          <w:sz w:val="72"/>
          <w:szCs w:val="72"/>
        </w:rPr>
      </w:pPr>
    </w:p>
    <w:p>
      <w:pPr>
        <w:adjustRightInd w:val="0"/>
        <w:snapToGrid w:val="0"/>
        <w:jc w:val="center"/>
        <w:rPr>
          <w:rFonts w:ascii="方正小标宋_GBK" w:eastAsia="方正小标宋_GBK"/>
          <w:bCs/>
          <w:sz w:val="72"/>
          <w:szCs w:val="72"/>
        </w:rPr>
      </w:pPr>
    </w:p>
    <w:p>
      <w:pPr>
        <w:adjustRightInd w:val="0"/>
        <w:snapToGrid w:val="0"/>
        <w:jc w:val="center"/>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249" w:beforeLines="80"/>
        <w:jc w:val="center"/>
        <w:rPr>
          <w:rFonts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rPr>
          <w:rFonts w:ascii="华文仿宋" w:hAnsi="华文仿宋" w:eastAsia="华文仿宋" w:cs="华文仿宋"/>
          <w:color w:val="000000"/>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pStyle w:val="2"/>
      </w:pPr>
    </w:p>
    <w:p>
      <w:pPr>
        <w:adjustRightInd w:val="0"/>
        <w:snapToGrid w:val="0"/>
        <w:spacing w:line="288" w:lineRule="auto"/>
        <w:ind w:left="1620" w:hanging="1620" w:hangingChars="450"/>
        <w:jc w:val="center"/>
        <w:rPr>
          <w:rFonts w:ascii="仿宋_GB2312" w:eastAsia="仿宋_GB2312"/>
          <w:sz w:val="36"/>
          <w:szCs w:val="36"/>
          <w:u w:val="single"/>
        </w:rPr>
      </w:pPr>
      <w:r>
        <w:rPr>
          <w:rFonts w:hint="eastAsia" w:ascii="仿宋_GB2312" w:eastAsia="仿宋_GB2312"/>
          <w:sz w:val="36"/>
          <w:szCs w:val="36"/>
        </w:rPr>
        <w:t xml:space="preserve">项目名称： </w:t>
      </w:r>
      <w:r>
        <w:rPr>
          <w:rFonts w:hint="eastAsia" w:ascii="仿宋_GB2312" w:eastAsia="仿宋_GB2312"/>
          <w:sz w:val="36"/>
          <w:szCs w:val="36"/>
          <w:u w:val="single"/>
        </w:rPr>
        <w:t>承德市双运交通有限责任公司康定医院建设项目</w:t>
      </w:r>
    </w:p>
    <w:p>
      <w:pPr>
        <w:adjustRightInd w:val="0"/>
        <w:snapToGrid w:val="0"/>
        <w:spacing w:line="288" w:lineRule="auto"/>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 xml:space="preserve">承德市双运交通有限责任公司     </w:t>
      </w:r>
    </w:p>
    <w:p>
      <w:pPr>
        <w:adjustRightInd w:val="0"/>
        <w:snapToGrid w:val="0"/>
        <w:spacing w:line="288" w:lineRule="auto"/>
        <w:sectPr>
          <w:pgSz w:w="11906" w:h="16838"/>
          <w:pgMar w:top="1440" w:right="1800" w:bottom="1440" w:left="1800" w:header="851" w:footer="992" w:gutter="0"/>
          <w:cols w:space="425" w:num="1"/>
          <w:docGrid w:type="lines" w:linePitch="312" w:charSpace="0"/>
        </w:sectPr>
      </w:pPr>
      <w:r>
        <w:rPr>
          <w:rFonts w:hint="eastAsia" w:ascii="仿宋_GB2312" w:eastAsia="仿宋_GB2312"/>
          <w:sz w:val="36"/>
          <w:szCs w:val="36"/>
        </w:rPr>
        <w:t>编制日期：</w:t>
      </w:r>
      <w:r>
        <w:rPr>
          <w:rFonts w:hint="eastAsia" w:ascii="仿宋_GB2312" w:eastAsia="仿宋_GB2312"/>
          <w:sz w:val="36"/>
          <w:szCs w:val="36"/>
          <w:u w:val="single"/>
        </w:rPr>
        <w:t xml:space="preserve">             2022年</w:t>
      </w:r>
      <w:r>
        <w:rPr>
          <w:rFonts w:hint="eastAsia" w:ascii="仿宋_GB2312" w:eastAsia="仿宋_GB2312"/>
          <w:sz w:val="36"/>
          <w:szCs w:val="36"/>
          <w:u w:val="single"/>
          <w:lang w:val="en-US" w:eastAsia="zh-CN"/>
        </w:rPr>
        <w:t>10</w:t>
      </w:r>
      <w:r>
        <w:rPr>
          <w:rFonts w:hint="eastAsia" w:ascii="仿宋_GB2312" w:eastAsia="仿宋_GB2312"/>
          <w:sz w:val="36"/>
          <w:szCs w:val="36"/>
          <w:u w:val="single"/>
        </w:rPr>
        <w:t>月</w:t>
      </w:r>
      <w:r>
        <w:rPr>
          <w:rFonts w:ascii="仿宋_GB2312" w:eastAsia="仿宋_GB2312"/>
          <w:sz w:val="36"/>
          <w:szCs w:val="36"/>
          <w:u w:val="single"/>
        </w:rPr>
        <w:t xml:space="preserve">                </w:t>
      </w:r>
    </w:p>
    <w:p>
      <w:pPr>
        <w:sectPr>
          <w:footerReference r:id="rId3" w:type="default"/>
          <w:pgSz w:w="11906" w:h="16838"/>
          <w:pgMar w:top="1440" w:right="1800" w:bottom="1440" w:left="1800" w:header="851" w:footer="992" w:gutter="0"/>
          <w:pgNumType w:start="1"/>
          <w:cols w:space="425" w:num="1"/>
          <w:docGrid w:type="lines" w:linePitch="312" w:charSpace="0"/>
        </w:sectPr>
      </w:pPr>
    </w:p>
    <w:p>
      <w:pPr>
        <w:numPr>
          <w:ilvl w:val="0"/>
          <w:numId w:val="1"/>
        </w:numPr>
        <w:spacing w:line="360" w:lineRule="auto"/>
        <w:jc w:val="center"/>
        <w:outlineLvl w:val="0"/>
        <w:rPr>
          <w:b/>
          <w:bCs/>
          <w:sz w:val="32"/>
          <w:szCs w:val="32"/>
        </w:rPr>
      </w:pPr>
      <w:r>
        <w:rPr>
          <w:rFonts w:hint="eastAsia"/>
          <w:b/>
          <w:bCs/>
          <w:sz w:val="32"/>
          <w:szCs w:val="32"/>
        </w:rPr>
        <w:t>建设项目基本情况</w:t>
      </w:r>
    </w:p>
    <w:tbl>
      <w:tblPr>
        <w:tblStyle w:val="18"/>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04"/>
        <w:gridCol w:w="2581"/>
        <w:gridCol w:w="2245"/>
        <w:gridCol w:w="26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483" w:type="pct"/>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建设项目名称</w:t>
            </w:r>
          </w:p>
        </w:tc>
        <w:tc>
          <w:tcPr>
            <w:tcW w:w="4516" w:type="pct"/>
            <w:gridSpan w:val="3"/>
            <w:vAlign w:val="center"/>
          </w:tcPr>
          <w:p>
            <w:pPr>
              <w:spacing w:line="360" w:lineRule="auto"/>
              <w:jc w:val="center"/>
              <w:rPr>
                <w:sz w:val="21"/>
                <w:szCs w:val="21"/>
              </w:rPr>
            </w:pPr>
            <w:r>
              <w:rPr>
                <w:sz w:val="21"/>
                <w:szCs w:val="21"/>
              </w:rPr>
              <w:t>承德市双运交通有限责任公司康定医院建设项目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483" w:type="pct"/>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项目代码</w:t>
            </w:r>
          </w:p>
        </w:tc>
        <w:tc>
          <w:tcPr>
            <w:tcW w:w="4516" w:type="pct"/>
            <w:gridSpan w:val="3"/>
            <w:vAlign w:val="center"/>
          </w:tcPr>
          <w:p>
            <w:pPr>
              <w:spacing w:line="360" w:lineRule="auto"/>
              <w:jc w:val="center"/>
              <w:rPr>
                <w:sz w:val="21"/>
                <w:szCs w:val="21"/>
              </w:rPr>
            </w:pPr>
            <w:r>
              <w:rPr>
                <w:rFonts w:hint="eastAsia"/>
                <w:sz w:val="21"/>
                <w:szCs w:val="21"/>
              </w:rPr>
              <w:t>2208-130803-89-01-486038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483" w:type="pct"/>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建设单位联系人</w:t>
            </w:r>
          </w:p>
        </w:tc>
        <w:tc>
          <w:tcPr>
            <w:tcW w:w="1550" w:type="pct"/>
            <w:vAlign w:val="center"/>
          </w:tcPr>
          <w:p>
            <w:pPr>
              <w:spacing w:line="360" w:lineRule="auto"/>
              <w:jc w:val="center"/>
              <w:rPr>
                <w:sz w:val="21"/>
                <w:szCs w:val="21"/>
              </w:rPr>
            </w:pPr>
            <w:r>
              <w:rPr>
                <w:rFonts w:hint="eastAsia"/>
                <w:sz w:val="21"/>
                <w:szCs w:val="21"/>
              </w:rPr>
              <w:t>刘长龙</w:t>
            </w:r>
          </w:p>
        </w:tc>
        <w:tc>
          <w:tcPr>
            <w:tcW w:w="1348" w:type="pct"/>
            <w:vAlign w:val="center"/>
          </w:tcPr>
          <w:p>
            <w:pPr>
              <w:spacing w:line="360" w:lineRule="auto"/>
              <w:jc w:val="center"/>
              <w:rPr>
                <w:sz w:val="21"/>
                <w:szCs w:val="21"/>
              </w:rPr>
            </w:pPr>
            <w:r>
              <w:rPr>
                <w:sz w:val="21"/>
                <w:szCs w:val="21"/>
              </w:rPr>
              <w:t>联系方式</w:t>
            </w:r>
          </w:p>
        </w:tc>
        <w:tc>
          <w:tcPr>
            <w:tcW w:w="1617" w:type="pct"/>
            <w:vAlign w:val="center"/>
          </w:tcPr>
          <w:p>
            <w:pPr>
              <w:spacing w:line="360" w:lineRule="auto"/>
              <w:jc w:val="center"/>
              <w:rPr>
                <w:sz w:val="21"/>
                <w:szCs w:val="21"/>
              </w:rPr>
            </w:pPr>
            <w:r>
              <w:rPr>
                <w:sz w:val="21"/>
                <w:szCs w:val="21"/>
              </w:rPr>
              <w:t>18103149113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483" w:type="pct"/>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建设地点</w:t>
            </w:r>
          </w:p>
        </w:tc>
        <w:tc>
          <w:tcPr>
            <w:tcW w:w="4516" w:type="pct"/>
            <w:gridSpan w:val="3"/>
            <w:vAlign w:val="center"/>
          </w:tcPr>
          <w:p>
            <w:pPr>
              <w:spacing w:line="360" w:lineRule="auto"/>
              <w:jc w:val="center"/>
              <w:rPr>
                <w:sz w:val="21"/>
                <w:szCs w:val="21"/>
              </w:rPr>
            </w:pPr>
            <w:r>
              <w:rPr>
                <w:rFonts w:hint="eastAsia"/>
                <w:sz w:val="21"/>
                <w:szCs w:val="21"/>
              </w:rPr>
              <w:t>河北</w:t>
            </w:r>
            <w:r>
              <w:rPr>
                <w:sz w:val="21"/>
                <w:szCs w:val="21"/>
              </w:rPr>
              <w:t>省</w:t>
            </w:r>
            <w:r>
              <w:rPr>
                <w:rFonts w:hint="eastAsia"/>
                <w:sz w:val="21"/>
                <w:szCs w:val="21"/>
              </w:rPr>
              <w:t>承德市双滦区华府南街滦河镇政府东侧酒店村回迁楼2-3#商业楼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483" w:type="pct"/>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地理坐标</w:t>
            </w:r>
          </w:p>
        </w:tc>
        <w:tc>
          <w:tcPr>
            <w:tcW w:w="4516" w:type="pct"/>
            <w:gridSpan w:val="3"/>
            <w:vAlign w:val="center"/>
          </w:tcPr>
          <w:p>
            <w:pPr>
              <w:spacing w:line="360" w:lineRule="auto"/>
              <w:jc w:val="center"/>
              <w:rPr>
                <w:sz w:val="21"/>
                <w:szCs w:val="21"/>
              </w:rPr>
            </w:pPr>
            <w:r>
              <w:rPr>
                <w:sz w:val="21"/>
                <w:szCs w:val="21"/>
              </w:rPr>
              <w:t>（</w:t>
            </w:r>
            <w:r>
              <w:rPr>
                <w:sz w:val="21"/>
                <w:szCs w:val="21"/>
                <w:u w:val="single"/>
              </w:rPr>
              <w:t>117</w:t>
            </w:r>
            <w:r>
              <w:rPr>
                <w:sz w:val="21"/>
                <w:szCs w:val="21"/>
              </w:rPr>
              <w:t>度</w:t>
            </w:r>
            <w:r>
              <w:rPr>
                <w:sz w:val="21"/>
                <w:szCs w:val="21"/>
                <w:u w:val="single"/>
              </w:rPr>
              <w:t>44</w:t>
            </w:r>
            <w:r>
              <w:rPr>
                <w:sz w:val="21"/>
                <w:szCs w:val="21"/>
              </w:rPr>
              <w:t>分</w:t>
            </w:r>
            <w:r>
              <w:rPr>
                <w:sz w:val="21"/>
                <w:szCs w:val="21"/>
                <w:u w:val="single"/>
              </w:rPr>
              <w:t>49.544</w:t>
            </w:r>
            <w:r>
              <w:rPr>
                <w:sz w:val="21"/>
                <w:szCs w:val="21"/>
              </w:rPr>
              <w:t>秒，</w:t>
            </w:r>
            <w:r>
              <w:rPr>
                <w:sz w:val="21"/>
                <w:szCs w:val="21"/>
                <w:u w:val="single"/>
              </w:rPr>
              <w:t>40</w:t>
            </w:r>
            <w:r>
              <w:rPr>
                <w:sz w:val="21"/>
                <w:szCs w:val="21"/>
              </w:rPr>
              <w:t>度</w:t>
            </w:r>
            <w:r>
              <w:rPr>
                <w:sz w:val="21"/>
                <w:szCs w:val="21"/>
                <w:u w:val="single"/>
              </w:rPr>
              <w:t>57</w:t>
            </w:r>
            <w:r>
              <w:rPr>
                <w:sz w:val="21"/>
                <w:szCs w:val="21"/>
              </w:rPr>
              <w:t>分</w:t>
            </w:r>
            <w:r>
              <w:rPr>
                <w:sz w:val="21"/>
                <w:szCs w:val="21"/>
                <w:u w:val="single"/>
              </w:rPr>
              <w:t>4.021</w:t>
            </w:r>
            <w:r>
              <w:rPr>
                <w:sz w:val="21"/>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483" w:type="pct"/>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国民经济</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行业类别</w:t>
            </w:r>
          </w:p>
        </w:tc>
        <w:tc>
          <w:tcPr>
            <w:tcW w:w="1550" w:type="pct"/>
            <w:vAlign w:val="center"/>
          </w:tcPr>
          <w:p>
            <w:pPr>
              <w:spacing w:line="360" w:lineRule="auto"/>
              <w:jc w:val="center"/>
              <w:rPr>
                <w:sz w:val="21"/>
                <w:szCs w:val="21"/>
              </w:rPr>
            </w:pPr>
            <w:r>
              <w:rPr>
                <w:rFonts w:hint="eastAsia"/>
                <w:sz w:val="21"/>
                <w:szCs w:val="21"/>
              </w:rPr>
              <w:t>Q8415专科医院</w:t>
            </w:r>
          </w:p>
        </w:tc>
        <w:tc>
          <w:tcPr>
            <w:tcW w:w="1348" w:type="pct"/>
            <w:vAlign w:val="center"/>
          </w:tcPr>
          <w:p>
            <w:pPr>
              <w:spacing w:line="360" w:lineRule="auto"/>
              <w:jc w:val="center"/>
              <w:rPr>
                <w:sz w:val="21"/>
                <w:szCs w:val="21"/>
              </w:rPr>
            </w:pPr>
            <w:bookmarkStart w:id="0" w:name="_Hlk49843745"/>
            <w:r>
              <w:rPr>
                <w:sz w:val="21"/>
                <w:szCs w:val="21"/>
              </w:rPr>
              <w:t>建设项目</w:t>
            </w:r>
          </w:p>
          <w:p>
            <w:pPr>
              <w:spacing w:line="360" w:lineRule="auto"/>
              <w:jc w:val="center"/>
              <w:rPr>
                <w:sz w:val="21"/>
                <w:szCs w:val="21"/>
              </w:rPr>
            </w:pPr>
            <w:r>
              <w:rPr>
                <w:sz w:val="21"/>
                <w:szCs w:val="21"/>
              </w:rPr>
              <w:t>行业类别</w:t>
            </w:r>
            <w:bookmarkEnd w:id="0"/>
          </w:p>
        </w:tc>
        <w:tc>
          <w:tcPr>
            <w:tcW w:w="1617" w:type="pct"/>
            <w:vAlign w:val="center"/>
          </w:tcPr>
          <w:p>
            <w:pPr>
              <w:spacing w:line="360" w:lineRule="auto"/>
              <w:jc w:val="center"/>
              <w:rPr>
                <w:sz w:val="21"/>
                <w:szCs w:val="21"/>
              </w:rPr>
            </w:pPr>
            <w:r>
              <w:rPr>
                <w:rFonts w:hint="eastAsia"/>
                <w:sz w:val="21"/>
                <w:szCs w:val="21"/>
              </w:rPr>
              <w:t>四十九卫生医院841；专科疾病防治院(所、站)其他(住院床位20张以下的除外)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483" w:type="pct"/>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建设性质</w:t>
            </w:r>
          </w:p>
        </w:tc>
        <w:tc>
          <w:tcPr>
            <w:tcW w:w="1550" w:type="pct"/>
            <w:vAlign w:val="center"/>
          </w:tcPr>
          <w:p>
            <w:pPr>
              <w:spacing w:line="360" w:lineRule="auto"/>
              <w:jc w:val="center"/>
              <w:rPr>
                <w:sz w:val="21"/>
                <w:szCs w:val="21"/>
              </w:rPr>
            </w:pPr>
            <w:r>
              <w:rPr>
                <w:sz w:val="21"/>
                <w:szCs w:val="21"/>
              </w:rPr>
              <w:sym w:font="Wingdings 2" w:char="0052"/>
            </w:r>
            <w:r>
              <w:rPr>
                <w:sz w:val="21"/>
                <w:szCs w:val="21"/>
              </w:rPr>
              <w:t>新建（迁建）</w:t>
            </w:r>
          </w:p>
          <w:p>
            <w:pPr>
              <w:spacing w:line="360" w:lineRule="auto"/>
              <w:jc w:val="center"/>
              <w:rPr>
                <w:sz w:val="21"/>
                <w:szCs w:val="21"/>
              </w:rPr>
            </w:pPr>
            <w:r>
              <w:rPr>
                <w:sz w:val="21"/>
                <w:szCs w:val="21"/>
              </w:rPr>
              <w:t>□改建</w:t>
            </w:r>
          </w:p>
          <w:p>
            <w:pPr>
              <w:spacing w:line="360" w:lineRule="auto"/>
              <w:jc w:val="center"/>
              <w:rPr>
                <w:sz w:val="21"/>
                <w:szCs w:val="21"/>
              </w:rPr>
            </w:pPr>
            <w:r>
              <w:rPr>
                <w:sz w:val="21"/>
                <w:szCs w:val="21"/>
              </w:rPr>
              <w:t>□扩建</w:t>
            </w:r>
          </w:p>
          <w:p>
            <w:pPr>
              <w:spacing w:line="360" w:lineRule="auto"/>
              <w:jc w:val="center"/>
              <w:rPr>
                <w:sz w:val="21"/>
                <w:szCs w:val="21"/>
              </w:rPr>
            </w:pPr>
            <w:r>
              <w:rPr>
                <w:sz w:val="21"/>
                <w:szCs w:val="21"/>
              </w:rPr>
              <w:t>□技术改造</w:t>
            </w:r>
          </w:p>
        </w:tc>
        <w:tc>
          <w:tcPr>
            <w:tcW w:w="1348" w:type="pct"/>
            <w:vAlign w:val="center"/>
          </w:tcPr>
          <w:p>
            <w:pPr>
              <w:spacing w:line="360" w:lineRule="auto"/>
              <w:jc w:val="center"/>
              <w:rPr>
                <w:sz w:val="21"/>
                <w:szCs w:val="21"/>
              </w:rPr>
            </w:pPr>
            <w:r>
              <w:rPr>
                <w:sz w:val="21"/>
                <w:szCs w:val="21"/>
              </w:rPr>
              <w:t>建设项目</w:t>
            </w:r>
          </w:p>
          <w:p>
            <w:pPr>
              <w:spacing w:line="360" w:lineRule="auto"/>
              <w:jc w:val="center"/>
              <w:rPr>
                <w:sz w:val="21"/>
                <w:szCs w:val="21"/>
              </w:rPr>
            </w:pPr>
            <w:r>
              <w:rPr>
                <w:sz w:val="21"/>
                <w:szCs w:val="21"/>
              </w:rPr>
              <w:t>申报情形</w:t>
            </w:r>
          </w:p>
        </w:tc>
        <w:tc>
          <w:tcPr>
            <w:tcW w:w="1617" w:type="pct"/>
            <w:vAlign w:val="center"/>
          </w:tcPr>
          <w:p>
            <w:pPr>
              <w:spacing w:line="360" w:lineRule="auto"/>
              <w:jc w:val="center"/>
              <w:rPr>
                <w:sz w:val="21"/>
                <w:szCs w:val="21"/>
              </w:rPr>
            </w:pPr>
            <w:r>
              <w:rPr>
                <w:sz w:val="21"/>
                <w:szCs w:val="21"/>
              </w:rPr>
              <w:sym w:font="Wingdings 2" w:char="0052"/>
            </w:r>
            <w:r>
              <w:rPr>
                <w:sz w:val="21"/>
                <w:szCs w:val="21"/>
              </w:rPr>
              <w:t>首次申报项目</w:t>
            </w:r>
          </w:p>
          <w:p>
            <w:pPr>
              <w:spacing w:line="360" w:lineRule="auto"/>
              <w:jc w:val="center"/>
              <w:rPr>
                <w:sz w:val="21"/>
                <w:szCs w:val="21"/>
              </w:rPr>
            </w:pPr>
            <w:r>
              <w:rPr>
                <w:sz w:val="21"/>
                <w:szCs w:val="21"/>
              </w:rPr>
              <w:sym w:font="Wingdings 2" w:char="00A3"/>
            </w:r>
            <w:r>
              <w:rPr>
                <w:sz w:val="21"/>
                <w:szCs w:val="21"/>
              </w:rPr>
              <w:t>不予批准后再次申报项目</w:t>
            </w:r>
          </w:p>
          <w:p>
            <w:pPr>
              <w:spacing w:line="360" w:lineRule="auto"/>
              <w:jc w:val="center"/>
              <w:rPr>
                <w:sz w:val="21"/>
                <w:szCs w:val="21"/>
              </w:rPr>
            </w:pPr>
            <w:r>
              <w:rPr>
                <w:sz w:val="21"/>
                <w:szCs w:val="21"/>
              </w:rPr>
              <w:sym w:font="Wingdings 2" w:char="00A3"/>
            </w:r>
            <w:r>
              <w:rPr>
                <w:sz w:val="21"/>
                <w:szCs w:val="21"/>
              </w:rPr>
              <w:t>超五年重新审核项目</w:t>
            </w:r>
          </w:p>
          <w:p>
            <w:pPr>
              <w:spacing w:line="360" w:lineRule="auto"/>
              <w:jc w:val="center"/>
              <w:rPr>
                <w:sz w:val="21"/>
                <w:szCs w:val="21"/>
              </w:rPr>
            </w:pPr>
            <w:r>
              <w:rPr>
                <w:sz w:val="21"/>
                <w:szCs w:val="21"/>
              </w:rPr>
              <w:sym w:font="Wingdings 2" w:char="00A3"/>
            </w:r>
            <w:r>
              <w:rPr>
                <w:sz w:val="21"/>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483" w:type="pct"/>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项目审批（核准/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备案）部门（选填）</w:t>
            </w:r>
          </w:p>
        </w:tc>
        <w:tc>
          <w:tcPr>
            <w:tcW w:w="1550" w:type="pct"/>
            <w:vAlign w:val="center"/>
          </w:tcPr>
          <w:p>
            <w:pPr>
              <w:spacing w:line="360" w:lineRule="auto"/>
              <w:jc w:val="center"/>
              <w:rPr>
                <w:sz w:val="21"/>
                <w:szCs w:val="21"/>
              </w:rPr>
            </w:pPr>
            <w:r>
              <w:rPr>
                <w:rFonts w:hint="eastAsia"/>
                <w:sz w:val="21"/>
                <w:szCs w:val="21"/>
              </w:rPr>
              <w:t>承德市双滦区行政审批局</w:t>
            </w:r>
          </w:p>
        </w:tc>
        <w:tc>
          <w:tcPr>
            <w:tcW w:w="1348" w:type="pct"/>
            <w:vAlign w:val="center"/>
          </w:tcPr>
          <w:p>
            <w:pPr>
              <w:spacing w:line="360" w:lineRule="auto"/>
              <w:jc w:val="center"/>
              <w:rPr>
                <w:sz w:val="21"/>
                <w:szCs w:val="21"/>
              </w:rPr>
            </w:pPr>
            <w:r>
              <w:rPr>
                <w:sz w:val="21"/>
                <w:szCs w:val="21"/>
              </w:rPr>
              <w:t>项目审批（核准/</w:t>
            </w:r>
          </w:p>
          <w:p>
            <w:pPr>
              <w:spacing w:line="360" w:lineRule="auto"/>
              <w:jc w:val="center"/>
              <w:rPr>
                <w:sz w:val="21"/>
                <w:szCs w:val="21"/>
              </w:rPr>
            </w:pPr>
            <w:r>
              <w:rPr>
                <w:sz w:val="21"/>
                <w:szCs w:val="21"/>
              </w:rPr>
              <w:t>备案）文号（选填）</w:t>
            </w:r>
          </w:p>
        </w:tc>
        <w:tc>
          <w:tcPr>
            <w:tcW w:w="1617" w:type="pct"/>
            <w:vAlign w:val="center"/>
          </w:tcPr>
          <w:p>
            <w:pPr>
              <w:spacing w:line="360" w:lineRule="auto"/>
              <w:jc w:val="center"/>
              <w:rPr>
                <w:sz w:val="21"/>
                <w:szCs w:val="21"/>
              </w:rPr>
            </w:pPr>
            <w:r>
              <w:rPr>
                <w:rFonts w:hint="eastAsia"/>
                <w:sz w:val="21"/>
                <w:szCs w:val="21"/>
              </w:rPr>
              <w:t>双滦审批投资备{2022}</w:t>
            </w:r>
            <w:r>
              <w:rPr>
                <w:rFonts w:hint="eastAsia"/>
                <w:sz w:val="21"/>
                <w:szCs w:val="21"/>
                <w:lang w:val="en-US" w:eastAsia="zh-CN"/>
              </w:rPr>
              <w:t>84</w:t>
            </w:r>
            <w:r>
              <w:rPr>
                <w:rFonts w:hint="eastAsia"/>
                <w:sz w:val="21"/>
                <w:szCs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483" w:type="pct"/>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总投资（万元）</w:t>
            </w:r>
          </w:p>
        </w:tc>
        <w:tc>
          <w:tcPr>
            <w:tcW w:w="1550" w:type="pct"/>
            <w:vAlign w:val="center"/>
          </w:tcPr>
          <w:p>
            <w:pPr>
              <w:spacing w:line="360" w:lineRule="auto"/>
              <w:jc w:val="center"/>
              <w:rPr>
                <w:sz w:val="21"/>
                <w:szCs w:val="21"/>
              </w:rPr>
            </w:pPr>
            <w:r>
              <w:rPr>
                <w:sz w:val="21"/>
                <w:szCs w:val="21"/>
              </w:rPr>
              <w:t>1210.49</w:t>
            </w:r>
          </w:p>
        </w:tc>
        <w:tc>
          <w:tcPr>
            <w:tcW w:w="1348" w:type="pct"/>
            <w:tcMar>
              <w:top w:w="16" w:type="dxa"/>
              <w:left w:w="16" w:type="dxa"/>
              <w:right w:w="16" w:type="dxa"/>
            </w:tcMar>
            <w:vAlign w:val="center"/>
          </w:tcPr>
          <w:p>
            <w:pPr>
              <w:spacing w:line="360" w:lineRule="auto"/>
              <w:jc w:val="center"/>
              <w:rPr>
                <w:sz w:val="21"/>
                <w:szCs w:val="21"/>
              </w:rPr>
            </w:pPr>
            <w:r>
              <w:rPr>
                <w:sz w:val="21"/>
                <w:szCs w:val="21"/>
              </w:rPr>
              <w:t>环保投资（万元）</w:t>
            </w:r>
          </w:p>
        </w:tc>
        <w:tc>
          <w:tcPr>
            <w:tcW w:w="1617" w:type="pct"/>
            <w:vAlign w:val="center"/>
          </w:tcPr>
          <w:p>
            <w:pPr>
              <w:spacing w:line="360" w:lineRule="auto"/>
              <w:jc w:val="center"/>
              <w:rPr>
                <w:sz w:val="21"/>
                <w:szCs w:val="21"/>
              </w:rPr>
            </w:pPr>
            <w:r>
              <w:rPr>
                <w:rFonts w:hint="eastAsia"/>
                <w:sz w:val="21"/>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483" w:type="pct"/>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环保投资占比（%）</w:t>
            </w:r>
          </w:p>
        </w:tc>
        <w:tc>
          <w:tcPr>
            <w:tcW w:w="1550" w:type="pct"/>
            <w:vAlign w:val="center"/>
          </w:tcPr>
          <w:p>
            <w:pPr>
              <w:spacing w:line="360" w:lineRule="auto"/>
              <w:jc w:val="center"/>
              <w:rPr>
                <w:sz w:val="21"/>
                <w:szCs w:val="21"/>
              </w:rPr>
            </w:pPr>
            <w:r>
              <w:rPr>
                <w:rFonts w:hint="eastAsia"/>
                <w:sz w:val="21"/>
                <w:szCs w:val="21"/>
              </w:rPr>
              <w:t>1.65</w:t>
            </w:r>
          </w:p>
        </w:tc>
        <w:tc>
          <w:tcPr>
            <w:tcW w:w="1348" w:type="pct"/>
            <w:tcMar>
              <w:top w:w="16" w:type="dxa"/>
              <w:left w:w="16" w:type="dxa"/>
              <w:right w:w="16" w:type="dxa"/>
            </w:tcMar>
            <w:vAlign w:val="center"/>
          </w:tcPr>
          <w:p>
            <w:pPr>
              <w:spacing w:line="360" w:lineRule="auto"/>
              <w:jc w:val="center"/>
              <w:rPr>
                <w:sz w:val="21"/>
                <w:szCs w:val="21"/>
              </w:rPr>
            </w:pPr>
            <w:r>
              <w:rPr>
                <w:sz w:val="21"/>
                <w:szCs w:val="21"/>
              </w:rPr>
              <w:t>施工工期</w:t>
            </w:r>
          </w:p>
        </w:tc>
        <w:tc>
          <w:tcPr>
            <w:tcW w:w="1617" w:type="pct"/>
            <w:vAlign w:val="center"/>
          </w:tcPr>
          <w:p>
            <w:pPr>
              <w:spacing w:line="360" w:lineRule="auto"/>
              <w:jc w:val="center"/>
              <w:rPr>
                <w:sz w:val="21"/>
                <w:szCs w:val="21"/>
              </w:rPr>
            </w:pPr>
            <w:r>
              <w:rPr>
                <w:rFonts w:hint="eastAsia"/>
                <w:sz w:val="21"/>
                <w:szCs w:val="21"/>
              </w:rPr>
              <w:t>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483" w:type="pct"/>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是否开工建设</w:t>
            </w:r>
          </w:p>
        </w:tc>
        <w:tc>
          <w:tcPr>
            <w:tcW w:w="1550" w:type="pct"/>
            <w:vAlign w:val="center"/>
          </w:tcPr>
          <w:p>
            <w:pPr>
              <w:spacing w:line="360" w:lineRule="auto"/>
              <w:jc w:val="center"/>
              <w:rPr>
                <w:sz w:val="21"/>
                <w:szCs w:val="21"/>
              </w:rPr>
            </w:pPr>
            <w:r>
              <w:rPr>
                <w:sz w:val="21"/>
                <w:szCs w:val="21"/>
              </w:rPr>
              <w:sym w:font="Wingdings 2" w:char="0052"/>
            </w:r>
            <w:r>
              <w:rPr>
                <w:sz w:val="21"/>
                <w:szCs w:val="21"/>
              </w:rPr>
              <w:t>否</w:t>
            </w:r>
          </w:p>
          <w:p>
            <w:pPr>
              <w:spacing w:line="360" w:lineRule="auto"/>
              <w:jc w:val="center"/>
              <w:rPr>
                <w:sz w:val="21"/>
                <w:szCs w:val="21"/>
              </w:rPr>
            </w:pPr>
            <w:r>
              <w:rPr>
                <w:rFonts w:hint="eastAsia"/>
                <w:sz w:val="21"/>
                <w:szCs w:val="21"/>
              </w:rPr>
              <w:t xml:space="preserve">  </w:t>
            </w:r>
            <w:r>
              <w:rPr>
                <w:sz w:val="21"/>
                <w:szCs w:val="21"/>
              </w:rPr>
              <w:sym w:font="Wingdings 2" w:char="00A3"/>
            </w:r>
            <w:r>
              <w:rPr>
                <w:sz w:val="21"/>
                <w:szCs w:val="21"/>
              </w:rPr>
              <w:t>是：</w:t>
            </w:r>
          </w:p>
        </w:tc>
        <w:tc>
          <w:tcPr>
            <w:tcW w:w="1348" w:type="pct"/>
            <w:tcMar>
              <w:top w:w="16" w:type="dxa"/>
              <w:left w:w="16" w:type="dxa"/>
              <w:right w:w="16" w:type="dxa"/>
            </w:tcMar>
            <w:vAlign w:val="center"/>
          </w:tcPr>
          <w:p>
            <w:pPr>
              <w:spacing w:line="360" w:lineRule="auto"/>
              <w:jc w:val="center"/>
              <w:rPr>
                <w:sz w:val="21"/>
                <w:szCs w:val="21"/>
              </w:rPr>
            </w:pPr>
            <w:r>
              <w:rPr>
                <w:sz w:val="21"/>
                <w:szCs w:val="21"/>
              </w:rPr>
              <w:t>用地（用海）</w:t>
            </w:r>
          </w:p>
          <w:p>
            <w:pPr>
              <w:spacing w:line="360" w:lineRule="auto"/>
              <w:jc w:val="center"/>
              <w:rPr>
                <w:sz w:val="21"/>
                <w:szCs w:val="21"/>
              </w:rPr>
            </w:pPr>
            <w:r>
              <w:rPr>
                <w:sz w:val="21"/>
                <w:szCs w:val="21"/>
              </w:rPr>
              <w:t>面积（m</w:t>
            </w:r>
            <w:r>
              <w:rPr>
                <w:sz w:val="21"/>
                <w:szCs w:val="21"/>
                <w:vertAlign w:val="superscript"/>
              </w:rPr>
              <w:t>2</w:t>
            </w:r>
            <w:r>
              <w:rPr>
                <w:sz w:val="21"/>
                <w:szCs w:val="21"/>
              </w:rPr>
              <w:t>）</w:t>
            </w:r>
          </w:p>
        </w:tc>
        <w:tc>
          <w:tcPr>
            <w:tcW w:w="1617" w:type="pct"/>
            <w:vAlign w:val="center"/>
          </w:tcPr>
          <w:p>
            <w:pPr>
              <w:spacing w:line="360" w:lineRule="auto"/>
              <w:jc w:val="center"/>
              <w:rPr>
                <w:sz w:val="21"/>
                <w:szCs w:val="21"/>
              </w:rPr>
            </w:pPr>
            <w:r>
              <w:rPr>
                <w:sz w:val="21"/>
                <w:szCs w:val="21"/>
              </w:rPr>
              <w:t>5732.25</w:t>
            </w:r>
            <w:r>
              <w:rPr>
                <w:rFonts w:hint="eastAsia"/>
                <w:sz w:val="21"/>
                <w:szCs w:val="21"/>
              </w:rPr>
              <w:t>m</w:t>
            </w:r>
            <w:r>
              <w:rPr>
                <w:rFonts w:hint="eastAsia"/>
                <w:sz w:val="21"/>
                <w:szCs w:val="21"/>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8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专项评价设置情况</w:t>
            </w:r>
          </w:p>
        </w:tc>
        <w:tc>
          <w:tcPr>
            <w:tcW w:w="4516"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color w:val="auto"/>
                <w:sz w:val="21"/>
                <w:szCs w:val="21"/>
                <w:lang w:val="en-US" w:eastAsia="zh-CN"/>
              </w:rPr>
            </w:pPr>
            <w:r>
              <w:rPr>
                <w:rFonts w:hint="eastAsia"/>
                <w:color w:val="auto"/>
                <w:sz w:val="21"/>
                <w:szCs w:val="21"/>
                <w:lang w:val="en-US" w:eastAsia="zh-CN"/>
              </w:rPr>
              <w:t>根据《建设项目环境影响报告表编制技术指南（污染影响类）》中专项评价设置要求：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color w:val="auto"/>
                <w:sz w:val="21"/>
                <w:szCs w:val="21"/>
              </w:rPr>
            </w:pPr>
            <w:r>
              <w:rPr>
                <w:rFonts w:hint="eastAsia"/>
                <w:color w:val="auto"/>
                <w:sz w:val="21"/>
                <w:szCs w:val="21"/>
              </w:rPr>
              <w:t>建设项目产生的环境影响需要深入论证的，应按照环境影响评价相关技术导则开展专项评价工作。根据建设项目排污情况及所涉环境敏感程度，确定专项评价的类别。大气、地表水、环境风险、生态和海洋专项评价具体设置原则见</w:t>
            </w:r>
            <w:r>
              <w:rPr>
                <w:rFonts w:hint="eastAsia"/>
                <w:color w:val="auto"/>
                <w:sz w:val="21"/>
                <w:szCs w:val="21"/>
                <w:lang w:val="en-US" w:eastAsia="zh-CN"/>
              </w:rPr>
              <w:t>下</w:t>
            </w:r>
            <w:r>
              <w:rPr>
                <w:rFonts w:hint="eastAsia"/>
                <w:color w:val="auto"/>
                <w:sz w:val="21"/>
                <w:szCs w:val="21"/>
              </w:rPr>
              <w:t>表。土壤、声环境不开展专项评价。地下水原则上不开展专项评价，涉及集中式饮用水水源和热水、矿泉水、温泉等特殊地下水资源保护区的开展地下水专项评价工作。</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 w:eastAsia="仿宋_GB2312"/>
                <w:b/>
                <w:bCs/>
                <w:color w:val="auto"/>
                <w:sz w:val="21"/>
                <w:szCs w:val="21"/>
              </w:rPr>
            </w:pPr>
            <w:r>
              <w:rPr>
                <w:rFonts w:hint="eastAsia" w:ascii="宋体" w:hAnsi="宋体" w:eastAsia="宋体" w:cs="宋体"/>
                <w:b/>
                <w:bCs/>
                <w:color w:val="auto"/>
                <w:sz w:val="21"/>
                <w:szCs w:val="21"/>
              </w:rPr>
              <w:t>表</w:t>
            </w:r>
            <w:r>
              <w:rPr>
                <w:rFonts w:hint="default" w:ascii="Times New Roman" w:hAnsi="Times New Roman" w:eastAsia="宋体" w:cs="Times New Roman"/>
                <w:b/>
                <w:bCs/>
                <w:color w:val="auto"/>
                <w:sz w:val="21"/>
                <w:szCs w:val="21"/>
              </w:rPr>
              <w:t>1</w:t>
            </w:r>
            <w:r>
              <w:rPr>
                <w:rFonts w:hint="default" w:ascii="Times New Roman" w:hAnsi="Times New Roman" w:cs="Times New Roman"/>
                <w:b/>
                <w:bCs/>
                <w:color w:val="auto"/>
                <w:sz w:val="21"/>
                <w:szCs w:val="21"/>
                <w:lang w:val="en-US" w:eastAsia="zh-CN"/>
              </w:rPr>
              <w:t>-1</w:t>
            </w:r>
            <w:r>
              <w:rPr>
                <w:rFonts w:hint="eastAsia" w:ascii="宋体" w:hAnsi="宋体" w:eastAsia="宋体" w:cs="宋体"/>
                <w:b/>
                <w:bCs/>
                <w:color w:val="auto"/>
                <w:sz w:val="21"/>
                <w:szCs w:val="21"/>
              </w:rPr>
              <w:t xml:space="preserve"> 专项评价设置原则表</w:t>
            </w:r>
          </w:p>
          <w:tbl>
            <w:tblPr>
              <w:tblStyle w:val="18"/>
              <w:tblW w:w="4999"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60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blHeader/>
              </w:trPr>
              <w:tc>
                <w:tcPr>
                  <w:tcW w:w="844" w:type="pct"/>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专项评价的类别</w:t>
                  </w:r>
                </w:p>
              </w:tc>
              <w:tc>
                <w:tcPr>
                  <w:tcW w:w="4155" w:type="pct"/>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设置原则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44" w:type="pct"/>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大气</w:t>
                  </w:r>
                </w:p>
              </w:tc>
              <w:tc>
                <w:tcPr>
                  <w:tcW w:w="4155" w:type="pct"/>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排放废气含有毒有害污染物</w:t>
                  </w:r>
                  <w:r>
                    <w:rPr>
                      <w:rFonts w:hint="eastAsia" w:ascii="宋体" w:hAnsi="宋体" w:eastAsia="宋体" w:cs="宋体"/>
                      <w:color w:val="auto"/>
                      <w:sz w:val="21"/>
                      <w:szCs w:val="21"/>
                      <w:vertAlign w:val="superscript"/>
                    </w:rPr>
                    <w:t>1</w:t>
                  </w:r>
                  <w:r>
                    <w:rPr>
                      <w:rFonts w:hint="eastAsia" w:ascii="宋体" w:hAnsi="宋体" w:eastAsia="宋体" w:cs="宋体"/>
                      <w:b/>
                      <w:bCs/>
                      <w:color w:val="auto"/>
                      <w:sz w:val="21"/>
                      <w:szCs w:val="21"/>
                    </w:rPr>
                    <w:t>、二噁英、苯并[</w:t>
                  </w:r>
                  <w:r>
                    <w:rPr>
                      <w:rFonts w:hint="eastAsia" w:ascii="宋体" w:hAnsi="宋体" w:eastAsia="宋体" w:cs="宋体"/>
                      <w:b/>
                      <w:bCs/>
                      <w:i/>
                      <w:color w:val="auto"/>
                      <w:sz w:val="21"/>
                      <w:szCs w:val="21"/>
                    </w:rPr>
                    <w:t>a</w:t>
                  </w:r>
                  <w:r>
                    <w:rPr>
                      <w:rFonts w:hint="eastAsia" w:ascii="宋体" w:hAnsi="宋体" w:eastAsia="宋体" w:cs="宋体"/>
                      <w:b/>
                      <w:bCs/>
                      <w:color w:val="auto"/>
                      <w:sz w:val="21"/>
                      <w:szCs w:val="21"/>
                    </w:rPr>
                    <w:t>]芘、氰化物、氯气且厂界外</w:t>
                  </w:r>
                  <w:r>
                    <w:rPr>
                      <w:rFonts w:hint="default" w:ascii="Times New Roman" w:hAnsi="Times New Roman" w:eastAsia="宋体" w:cs="Times New Roman"/>
                      <w:b/>
                      <w:bCs/>
                      <w:color w:val="auto"/>
                      <w:sz w:val="21"/>
                      <w:szCs w:val="21"/>
                    </w:rPr>
                    <w:t>500</w:t>
                  </w:r>
                  <w:r>
                    <w:rPr>
                      <w:rFonts w:hint="eastAsia" w:ascii="宋体" w:hAnsi="宋体" w:eastAsia="宋体" w:cs="宋体"/>
                      <w:b/>
                      <w:bCs/>
                      <w:color w:val="auto"/>
                      <w:sz w:val="21"/>
                      <w:szCs w:val="21"/>
                    </w:rPr>
                    <w:t>米范围内有环境空气保护目标</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的建设项目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44" w:type="pct"/>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地表水</w:t>
                  </w:r>
                </w:p>
              </w:tc>
              <w:tc>
                <w:tcPr>
                  <w:tcW w:w="4155" w:type="pct"/>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新增工业废水直排建设项目（槽罐车外送污水处理厂的外）；</w:t>
                  </w:r>
                </w:p>
                <w:p>
                  <w:pPr>
                    <w:keepNext w:val="0"/>
                    <w:keepLines w:val="0"/>
                    <w:pageBreakBefore w:val="0"/>
                    <w:widowControl w:val="0"/>
                    <w:kinsoku/>
                    <w:wordWrap/>
                    <w:overflowPunct/>
                    <w:topLinePunct/>
                    <w:autoSpaceDE/>
                    <w:autoSpaceDN/>
                    <w:bidi w:val="0"/>
                    <w:adjustRightInd w:val="0"/>
                    <w:snapToGrid w:val="0"/>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新增废水直排的污水集中处理厂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44" w:type="pct"/>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环境风险</w:t>
                  </w:r>
                </w:p>
              </w:tc>
              <w:tc>
                <w:tcPr>
                  <w:tcW w:w="4155" w:type="pct"/>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有毒有害和易燃易爆危险物质存储量</w:t>
                  </w:r>
                  <w:r>
                    <w:rPr>
                      <w:rFonts w:hint="eastAsia" w:ascii="宋体" w:hAnsi="宋体" w:eastAsia="宋体" w:cs="宋体"/>
                      <w:b/>
                      <w:bCs/>
                      <w:color w:val="auto"/>
                      <w:sz w:val="21"/>
                      <w:szCs w:val="21"/>
                    </w:rPr>
                    <w:t>超过临界量</w:t>
                  </w:r>
                  <w:r>
                    <w:rPr>
                      <w:rFonts w:hint="eastAsia" w:ascii="宋体" w:hAnsi="宋体" w:eastAsia="宋体" w:cs="宋体"/>
                      <w:b/>
                      <w:bCs/>
                      <w:color w:val="auto"/>
                      <w:sz w:val="21"/>
                      <w:szCs w:val="21"/>
                      <w:vertAlign w:val="superscript"/>
                    </w:rPr>
                    <w:t>3</w:t>
                  </w:r>
                  <w:r>
                    <w:rPr>
                      <w:rFonts w:hint="eastAsia" w:ascii="宋体" w:hAnsi="宋体" w:eastAsia="宋体" w:cs="宋体"/>
                      <w:color w:val="auto"/>
                      <w:sz w:val="21"/>
                      <w:szCs w:val="21"/>
                    </w:rPr>
                    <w:t>的建设目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44" w:type="pct"/>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生态</w:t>
                  </w:r>
                </w:p>
              </w:tc>
              <w:tc>
                <w:tcPr>
                  <w:tcW w:w="4155" w:type="pct"/>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取水口下游</w:t>
                  </w:r>
                  <w:r>
                    <w:rPr>
                      <w:rFonts w:hint="default" w:ascii="Times New Roman" w:hAnsi="Times New Roman" w:eastAsia="宋体" w:cs="Times New Roman"/>
                      <w:color w:val="auto"/>
                      <w:sz w:val="21"/>
                      <w:szCs w:val="21"/>
                    </w:rPr>
                    <w:t>500</w:t>
                  </w:r>
                  <w:r>
                    <w:rPr>
                      <w:rFonts w:hint="eastAsia" w:ascii="宋体" w:hAnsi="宋体" w:eastAsia="宋体" w:cs="宋体"/>
                      <w:color w:val="auto"/>
                      <w:sz w:val="21"/>
                      <w:szCs w:val="21"/>
                    </w:rPr>
                    <w:t>米范围内有重要水生生物的自然产卵场、索饵场、越冬场和洄游通道的新增河道取水的污染类建设项目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44" w:type="pct"/>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海洋</w:t>
                  </w:r>
                </w:p>
              </w:tc>
              <w:tc>
                <w:tcPr>
                  <w:tcW w:w="4155" w:type="pct"/>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直接向海排放污染物的海洋工程建设项目</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eastAsia="宋体"/>
                <w:sz w:val="21"/>
                <w:szCs w:val="21"/>
                <w:lang w:val="en-US" w:eastAsia="zh-CN"/>
              </w:rPr>
            </w:pPr>
            <w:r>
              <w:rPr>
                <w:rStyle w:val="22"/>
                <w:rFonts w:hint="eastAsia"/>
                <w:sz w:val="21"/>
                <w:szCs w:val="21"/>
                <w:lang w:val="en-US" w:eastAsia="zh-CN"/>
              </w:rPr>
              <w:t>根据本项目排污情况及所涉环境敏感程度，本项目不涉及专项评价。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规划情况</w:t>
            </w:r>
          </w:p>
        </w:tc>
        <w:tc>
          <w:tcPr>
            <w:tcW w:w="4516" w:type="pct"/>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color w:val="auto"/>
              </w:rPr>
            </w:pPr>
            <w:r>
              <w:rPr>
                <w:rFonts w:hint="default" w:ascii="Times New Roman" w:hAnsi="Times New Roman" w:cs="Times New Roman"/>
                <w:color w:val="auto"/>
              </w:rPr>
              <w:t>规划名称：</w:t>
            </w:r>
            <w:bookmarkStart w:id="1" w:name="_GoBack"/>
            <w:r>
              <w:rPr>
                <w:rFonts w:hint="default" w:ascii="Times New Roman" w:hAnsi="Times New Roman" w:cs="Times New Roman"/>
                <w:color w:val="auto"/>
              </w:rPr>
              <w:t>《承德双滦经济开发区总体规划（2021~2030年）》及《双滦经济开发区产业规划（2021～2030年）》</w:t>
            </w:r>
            <w:bookmarkEnd w:id="1"/>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color w:val="auto"/>
                <w:lang w:val="en-US" w:eastAsia="zh-CN"/>
              </w:rPr>
            </w:pPr>
            <w:r>
              <w:rPr>
                <w:rFonts w:hint="default" w:ascii="Times New Roman" w:hAnsi="Times New Roman" w:cs="Times New Roman"/>
                <w:color w:val="auto"/>
              </w:rPr>
              <w:t>审批机关：河北省人民政府</w:t>
            </w:r>
            <w:r>
              <w:rPr>
                <w:rFonts w:hint="eastAsia" w:ascii="Times New Roman" w:hAnsi="Times New Roman" w:cs="Times New Roman"/>
                <w:color w:val="auto"/>
                <w:lang w:val="en-US" w:eastAsia="zh-CN"/>
              </w:rPr>
              <w:t>办公厅</w:t>
            </w:r>
          </w:p>
          <w:p>
            <w:pPr>
              <w:keepNext w:val="0"/>
              <w:keepLines w:val="0"/>
              <w:pageBreakBefore w:val="0"/>
              <w:widowControl w:val="0"/>
              <w:kinsoku/>
              <w:wordWrap/>
              <w:overflowPunct/>
              <w:topLinePunct w:val="0"/>
              <w:bidi w:val="0"/>
              <w:adjustRightInd w:val="0"/>
              <w:snapToGrid w:val="0"/>
              <w:spacing w:line="360" w:lineRule="auto"/>
              <w:jc w:val="left"/>
              <w:textAlignment w:val="auto"/>
              <w:rPr>
                <w:rFonts w:hint="default" w:ascii="Times New Roman" w:hAnsi="Times New Roman" w:cs="Times New Roman"/>
                <w:color w:val="auto"/>
              </w:rPr>
            </w:pPr>
            <w:r>
              <w:rPr>
                <w:rFonts w:hint="default" w:ascii="Times New Roman" w:hAnsi="Times New Roman" w:cs="Times New Roman"/>
                <w:color w:val="auto"/>
              </w:rPr>
              <w:t>审批文件名称：关于确定全省规范整合并更名为省级经济开发区（第二批）规划面积的通知</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sz w:val="21"/>
                <w:szCs w:val="21"/>
              </w:rPr>
            </w:pPr>
            <w:r>
              <w:rPr>
                <w:rFonts w:hint="default" w:ascii="Times New Roman" w:hAnsi="Times New Roman" w:cs="Times New Roman"/>
                <w:color w:val="auto"/>
              </w:rPr>
              <w:t>审批文号：冀政办字[2016]94号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8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规划环境影响评价情况</w:t>
            </w:r>
          </w:p>
        </w:tc>
        <w:tc>
          <w:tcPr>
            <w:tcW w:w="4516"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规划环评：《</w:t>
            </w:r>
            <w:r>
              <w:rPr>
                <w:rFonts w:hint="eastAsia"/>
                <w:sz w:val="21"/>
                <w:szCs w:val="21"/>
                <w:lang w:val="en-US" w:eastAsia="zh-CN"/>
              </w:rPr>
              <w:t>河北</w:t>
            </w:r>
            <w:r>
              <w:rPr>
                <w:sz w:val="21"/>
                <w:szCs w:val="21"/>
              </w:rPr>
              <w:t>承德双滦经济开发区总体规划环境影响报告书</w:t>
            </w:r>
            <w:r>
              <w:rPr>
                <w:rFonts w:hint="eastAsia"/>
                <w:sz w:val="21"/>
                <w:szCs w:val="21"/>
                <w:lang w:eastAsia="zh-CN"/>
              </w:rPr>
              <w:t>（</w:t>
            </w:r>
            <w:r>
              <w:rPr>
                <w:sz w:val="21"/>
                <w:szCs w:val="21"/>
              </w:rPr>
              <w:t>20</w:t>
            </w:r>
            <w:r>
              <w:rPr>
                <w:rFonts w:hint="eastAsia"/>
                <w:sz w:val="21"/>
                <w:szCs w:val="21"/>
                <w:lang w:val="en-US" w:eastAsia="zh-CN"/>
              </w:rPr>
              <w:t>21</w:t>
            </w:r>
            <w:r>
              <w:rPr>
                <w:sz w:val="21"/>
                <w:szCs w:val="21"/>
              </w:rPr>
              <w:t>~20</w:t>
            </w:r>
            <w:r>
              <w:rPr>
                <w:rFonts w:hint="eastAsia"/>
                <w:sz w:val="21"/>
                <w:szCs w:val="21"/>
              </w:rPr>
              <w:t>30</w:t>
            </w:r>
            <w:r>
              <w:rPr>
                <w:rFonts w:hint="eastAsia"/>
                <w:sz w:val="21"/>
                <w:szCs w:val="21"/>
                <w:lang w:eastAsia="zh-CN"/>
              </w:rPr>
              <w:t>）</w:t>
            </w:r>
            <w:r>
              <w:rPr>
                <w:sz w:val="21"/>
                <w:szCs w:val="21"/>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sz w:val="21"/>
                <w:szCs w:val="21"/>
                <w:lang w:val="en-US" w:eastAsia="zh-CN"/>
              </w:rPr>
            </w:pPr>
            <w:r>
              <w:rPr>
                <w:sz w:val="21"/>
                <w:szCs w:val="21"/>
              </w:rPr>
              <w:t>审批机关：河北省</w:t>
            </w:r>
            <w:r>
              <w:rPr>
                <w:rFonts w:hint="eastAsia"/>
                <w:sz w:val="21"/>
                <w:szCs w:val="21"/>
                <w:lang w:val="en-US" w:eastAsia="zh-CN"/>
              </w:rPr>
              <w:t>生态环境厅</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审批文件名称：关于</w:t>
            </w:r>
            <w:r>
              <w:rPr>
                <w:rFonts w:hint="eastAsia"/>
                <w:sz w:val="21"/>
                <w:szCs w:val="21"/>
                <w:lang w:eastAsia="zh-CN"/>
              </w:rPr>
              <w:t>《</w:t>
            </w:r>
            <w:r>
              <w:rPr>
                <w:rFonts w:hint="eastAsia"/>
                <w:sz w:val="21"/>
                <w:szCs w:val="21"/>
                <w:lang w:val="en-US" w:eastAsia="zh-CN"/>
              </w:rPr>
              <w:t>河北</w:t>
            </w:r>
            <w:r>
              <w:rPr>
                <w:sz w:val="21"/>
                <w:szCs w:val="21"/>
              </w:rPr>
              <w:t>承德双滦经济开发区总体规划环境影响报告书</w:t>
            </w:r>
            <w:r>
              <w:rPr>
                <w:rFonts w:hint="eastAsia"/>
                <w:sz w:val="21"/>
                <w:szCs w:val="21"/>
                <w:lang w:eastAsia="zh-CN"/>
              </w:rPr>
              <w:t>》</w:t>
            </w:r>
            <w:r>
              <w:rPr>
                <w:sz w:val="21"/>
                <w:szCs w:val="21"/>
              </w:rPr>
              <w:t>的审查意见</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r>
              <w:rPr>
                <w:sz w:val="21"/>
                <w:szCs w:val="21"/>
              </w:rPr>
              <w:t>审批文号：冀环评函[20</w:t>
            </w:r>
            <w:r>
              <w:rPr>
                <w:rFonts w:hint="eastAsia"/>
                <w:sz w:val="21"/>
                <w:szCs w:val="21"/>
                <w:lang w:val="en-US" w:eastAsia="zh-CN"/>
              </w:rPr>
              <w:t>22</w:t>
            </w:r>
            <w:r>
              <w:rPr>
                <w:sz w:val="21"/>
                <w:szCs w:val="21"/>
              </w:rPr>
              <w:t>]1</w:t>
            </w:r>
            <w:r>
              <w:rPr>
                <w:rFonts w:hint="eastAsia"/>
                <w:sz w:val="21"/>
                <w:szCs w:val="21"/>
                <w:lang w:val="en-US" w:eastAsia="zh-CN"/>
              </w:rPr>
              <w:t>223</w:t>
            </w:r>
            <w:r>
              <w:rPr>
                <w:sz w:val="21"/>
                <w:szCs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8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规划及规划环境影响评价符合性分析</w:t>
            </w:r>
          </w:p>
        </w:tc>
        <w:tc>
          <w:tcPr>
            <w:tcW w:w="4516" w:type="pct"/>
            <w:gridSpan w:val="3"/>
            <w:vAlign w:val="center"/>
          </w:tcPr>
          <w:p>
            <w:pPr>
              <w:keepNext/>
              <w:keepLines/>
              <w:pageBreakBefore w:val="0"/>
              <w:widowControl/>
              <w:numPr>
                <w:ilvl w:val="0"/>
                <w:numId w:val="0"/>
              </w:numPr>
              <w:kinsoku/>
              <w:wordWrap/>
              <w:overflowPunct/>
              <w:topLinePunct w:val="0"/>
              <w:autoSpaceDE/>
              <w:autoSpaceDN/>
              <w:bidi w:val="0"/>
              <w:adjustRightInd/>
              <w:snapToGrid/>
              <w:spacing w:before="0" w:after="0" w:line="360" w:lineRule="auto"/>
              <w:ind w:leftChars="200"/>
              <w:jc w:val="left"/>
              <w:textAlignment w:val="auto"/>
              <w:outlineLvl w:val="9"/>
              <w:rPr>
                <w:rFonts w:hint="eastAsia" w:ascii="宋体" w:hAnsi="宋体" w:eastAsia="宋体" w:cs="宋体"/>
                <w:b/>
                <w:bCs/>
                <w:sz w:val="21"/>
                <w:szCs w:val="21"/>
                <w:lang w:val="en-US" w:eastAsia="zh-CN"/>
              </w:rPr>
            </w:pPr>
            <w:r>
              <w:rPr>
                <w:rFonts w:hint="default" w:ascii="Times New Roman" w:hAnsi="Times New Roman" w:cs="Times New Roman"/>
                <w:b/>
                <w:bCs/>
                <w:sz w:val="21"/>
                <w:szCs w:val="21"/>
                <w:lang w:val="en-US" w:eastAsia="zh-CN"/>
              </w:rPr>
              <w:t>1、规划总体安排</w:t>
            </w:r>
            <w:r>
              <w:rPr>
                <w:rFonts w:hint="eastAsia" w:ascii="宋体" w:hAnsi="宋体" w:cs="宋体"/>
                <w:b/>
                <w:bCs/>
                <w:sz w:val="21"/>
                <w:szCs w:val="21"/>
                <w:lang w:val="en-US" w:eastAsia="zh-CN"/>
              </w:rPr>
              <w:t>符合性分析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（1）规划目标和定位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立足建设生态环境优美、空间结构合理、产业特色鲜明的省级重点经济开发区。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开发区功能定位：国家钒钛产业链现代化示范基地、全省工业与服务业融合发展示范区。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lang w:val="en-US" w:eastAsia="zh-CN"/>
              </w:rPr>
            </w:pPr>
            <w:r>
              <w:rPr>
                <w:rFonts w:hint="eastAsia"/>
                <w:color w:val="auto"/>
                <w:lang w:val="en-US" w:eastAsia="zh-CN"/>
              </w:rPr>
              <w:t>本项目为专科医院项目，为周边滨河社区配套医疗健康机构。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（2）规划范围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default"/>
                <w:lang w:val="en-US" w:eastAsia="zh-CN"/>
              </w:rPr>
              <w:t>本次规划范围及总面积相比原规划均不变。规划仍分为东、西两区，总规划面积49.16km</w:t>
            </w:r>
            <w:r>
              <w:rPr>
                <w:rFonts w:hint="default"/>
                <w:vertAlign w:val="superscript"/>
                <w:lang w:val="en-US" w:eastAsia="zh-CN"/>
              </w:rPr>
              <w:t>2</w:t>
            </w:r>
            <w:r>
              <w:rPr>
                <w:rFonts w:hint="default"/>
                <w:lang w:val="en-US" w:eastAsia="zh-CN"/>
              </w:rPr>
              <w:t>。其中，东区面积15.95km</w:t>
            </w:r>
            <w:r>
              <w:rPr>
                <w:rFonts w:hint="default"/>
                <w:vertAlign w:val="superscript"/>
                <w:lang w:val="en-US" w:eastAsia="zh-CN"/>
              </w:rPr>
              <w:t>2</w:t>
            </w:r>
            <w:r>
              <w:rPr>
                <w:rFonts w:hint="default"/>
                <w:lang w:val="en-US" w:eastAsia="zh-CN"/>
              </w:rPr>
              <w:t>，四至范围：东至下店子村与双桥区接壤处，南至偏桥子镇长北沟村村庄北侧，西至中营子村，北至大庙镇北梁村；西区面积33.21km</w:t>
            </w:r>
            <w:r>
              <w:rPr>
                <w:rFonts w:hint="default"/>
                <w:vertAlign w:val="superscript"/>
                <w:lang w:val="en-US" w:eastAsia="zh-CN"/>
              </w:rPr>
              <w:t>2</w:t>
            </w:r>
            <w:r>
              <w:rPr>
                <w:rFonts w:hint="default"/>
                <w:lang w:val="en-US" w:eastAsia="zh-CN"/>
              </w:rPr>
              <w:t>，四至范围：东至老沟门、三家村东山山脚线，南至三家村滦河北岸，西至吴营村，北至孙家营村北侧。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default"/>
                <w:lang w:val="en-US" w:eastAsia="zh-CN"/>
              </w:rPr>
              <w:t>本项目位于承德市双滦区华府南街滦河镇政府东侧酒店村回迁楼2-3#商业楼，</w:t>
            </w:r>
            <w:r>
              <w:rPr>
                <w:rFonts w:hint="eastAsia"/>
                <w:lang w:val="en-US" w:eastAsia="zh-CN"/>
              </w:rPr>
              <w:t>项目所在</w:t>
            </w:r>
            <w:r>
              <w:rPr>
                <w:rFonts w:hint="default"/>
                <w:lang w:val="en-US" w:eastAsia="zh-CN"/>
              </w:rPr>
              <w:t>占地为西区</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val="0"/>
                <w:lang w:val="en-US" w:eastAsia="zh-CN"/>
              </w:rPr>
            </w:pPr>
            <w:r>
              <w:rPr>
                <w:rFonts w:hint="eastAsia"/>
                <w:b w:val="0"/>
                <w:bCs w:val="0"/>
                <w:lang w:val="en-US" w:eastAsia="zh-CN"/>
              </w:rPr>
              <w:t>（3）用地布局</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西区：</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①居住用地，规划居住用地共585.16公顷，占总建设用地面积的17.62%，主要布置在西区西南部和中北部园区中心，交通便利，环境较好，居住用地以二类为主，主要作为承钢配套生活区和开发区西区内村庄的搬迁安置区域。</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②工业用地，主要分布在西区中部，用地面积1121.3公顷，占总建设用地33.76%。</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③物流仓储用地，主要位于滦河西岸，用地面积58.05公顷，占总建设用地的1.75%。</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④公共管理与公共服务用地用地面积78.57公顷，占总建设用地的2.37%。</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⑤商业服务业设施用地，用地面积106.75公顷，占总建设用地的3.21%。</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⑥道路与交通设施用地，用地面积391.92公顷，占总建设用地的11.80%。</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⑦公用设施用地，用地面积56.41公顷，占总建设用地的1.70%。</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⑧绿地，面积524.97公顷，占总建设用地的15.81%。</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b w:val="0"/>
                <w:bCs w:val="0"/>
                <w:color w:val="auto"/>
                <w:sz w:val="21"/>
                <w:szCs w:val="21"/>
                <w:lang w:val="en-US" w:eastAsia="zh-CN"/>
              </w:rPr>
            </w:pPr>
            <w:r>
              <w:rPr>
                <w:rFonts w:hint="eastAsia"/>
                <w:color w:val="auto"/>
                <w:lang w:val="en-US" w:eastAsia="zh-CN"/>
              </w:rPr>
              <w:t>本项目位于承德市</w:t>
            </w:r>
            <w:r>
              <w:rPr>
                <w:rFonts w:hint="eastAsia"/>
                <w:color w:val="auto"/>
                <w:sz w:val="21"/>
                <w:szCs w:val="21"/>
              </w:rPr>
              <w:t>双滦</w:t>
            </w:r>
            <w:r>
              <w:rPr>
                <w:color w:val="auto"/>
                <w:sz w:val="21"/>
                <w:szCs w:val="21"/>
              </w:rPr>
              <w:t>区华府南街</w:t>
            </w:r>
            <w:r>
              <w:rPr>
                <w:rFonts w:hint="eastAsia"/>
                <w:color w:val="auto"/>
                <w:sz w:val="21"/>
                <w:szCs w:val="21"/>
                <w:lang w:eastAsia="zh-CN"/>
              </w:rPr>
              <w:t>滦河镇政府东侧酒店村回迁楼2</w:t>
            </w:r>
            <w:r>
              <w:rPr>
                <w:rFonts w:hint="eastAsia"/>
                <w:color w:val="auto"/>
                <w:sz w:val="21"/>
                <w:szCs w:val="21"/>
                <w:lang w:val="en-US" w:eastAsia="zh-CN"/>
              </w:rPr>
              <w:t>-3</w:t>
            </w:r>
            <w:r>
              <w:rPr>
                <w:rFonts w:hint="eastAsia"/>
                <w:color w:val="auto"/>
                <w:sz w:val="21"/>
                <w:szCs w:val="21"/>
                <w:lang w:eastAsia="zh-CN"/>
              </w:rPr>
              <w:t>#商业楼，</w:t>
            </w:r>
            <w:r>
              <w:rPr>
                <w:sz w:val="21"/>
              </w:rPr>
              <mc:AlternateContent>
                <mc:Choice Requires="wps">
                  <w:drawing>
                    <wp:anchor distT="0" distB="0" distL="114300" distR="114300" simplePos="0" relativeHeight="251666432" behindDoc="0" locked="0" layoutInCell="1" allowOverlap="1">
                      <wp:simplePos x="0" y="0"/>
                      <wp:positionH relativeFrom="column">
                        <wp:posOffset>1682115</wp:posOffset>
                      </wp:positionH>
                      <wp:positionV relativeFrom="paragraph">
                        <wp:posOffset>5474335</wp:posOffset>
                      </wp:positionV>
                      <wp:extent cx="981710" cy="325120"/>
                      <wp:effectExtent l="6350" t="6350" r="21590" b="335280"/>
                      <wp:wrapNone/>
                      <wp:docPr id="46" name="矩形标注 46"/>
                      <wp:cNvGraphicFramePr/>
                      <a:graphic xmlns:a="http://schemas.openxmlformats.org/drawingml/2006/main">
                        <a:graphicData uri="http://schemas.microsoft.com/office/word/2010/wordprocessingShape">
                          <wps:wsp>
                            <wps:cNvSpPr/>
                            <wps:spPr>
                              <a:xfrm>
                                <a:off x="2961005" y="4396105"/>
                                <a:ext cx="981710" cy="325120"/>
                              </a:xfrm>
                              <a:prstGeom prst="wedgeRectCallout">
                                <a:avLst>
                                  <a:gd name="adj1" fmla="val -28654"/>
                                  <a:gd name="adj2" fmla="val 14472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FF0000"/>
                                      <w:lang w:val="en-US" w:eastAsia="zh-CN"/>
                                    </w:rPr>
                                  </w:pPr>
                                  <w:r>
                                    <w:rPr>
                                      <w:rFonts w:hint="eastAsia"/>
                                      <w:color w:val="FF0000"/>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2.45pt;margin-top:431.05pt;height:25.6pt;width:77.3pt;z-index:251666432;v-text-anchor:middle;mso-width-relative:page;mso-height-relative:page;" filled="f" stroked="t" coordsize="21600,21600" o:gfxdata="UEsDBAoAAAAAAIdO4kAAAAAAAAAAAAAAAAAEAAAAZHJzL1BLAwQUAAAACACHTuJAcgIgCtoAAAAL&#10;AQAADwAAAGRycy9kb3ducmV2LnhtbE2Py07DMBBF90j8gzVI7KjjtERNiNMFEhIIsUgpsHVjE0fE&#10;4yi2+/h7hhVdju7RvWfqzcmN7GDmMHiUIBYZMIOd1wP2EnbvT3drYCEq1Gr0aCScTYBNc31Vq0r7&#10;I7bmsI09oxIMlZJgY5wqzkNnjVNh4SeDlH372alI59xzPasjlbuR51lWcKcGpAWrJvNoTfezTY5G&#10;5pTe7O7ls/14Tbo9t+JLPwspb29E9gAsmlP8h+FPn9ShIae9T6gDGyXkxaokVMK6yAUwIlaivAe2&#10;l1CK5RJ4U/PLH5pfUEsDBBQAAAAIAIdO4kC52MpctgIAAEgFAAAOAAAAZHJzL2Uyb0RvYy54bWyt&#10;VM1uEzEQviPxDpbv7f40f426qaJEQUgVrSiIs+O1s0b+w3ayKS/AY4A4wZkzj0N5DcbebRsKBw7k&#10;sJnZmf1m5vs8PjvfK4l2zHlhdIWL4xwjpqmphd5U+PWr1dEEIx+Irok0mlX4hnl8Pnv65Ky1U1aa&#10;xsiaOQQg2k9bW+EmBDvNMk8bpog/NpZpCHLjFAnguk1WO9ICupJZmeejrDWuts5Q5j28XXZB3CO6&#10;fwE0nAvKloZuFdOhQ3VMkgAj+UZYj2epW84ZDZecexaQrDBMGtITioC9js9sdkamG0dsI2jfAvmX&#10;Fh7NpIjQUPQeakkCQVsn/oBSgjrjDQ/H1KisGyQxAlMU+SNurhtiWZoFqPb2nnT//2Dpi92VQ6Ku&#10;8GCEkSYKFP/58euP759vP324/fYFwWvgqLV+CqnX9sr1ngczDrznTsV/GAXtK1yejoo8H2J0A4gn&#10;0Rl2HLN9QBQSTifFuAD2KSSclMOiTBpkD0DW+fCMGYWiUeGW1Rv2EnRcECnNNiSWye7Ch0R33fdM&#10;6rcFRlxJUG9HJDoqJ6PhoJf3IKk8TCoGg3GZ5oP6PSZYdx3EAtqshJTplEiNWliYcpzH9gkcfQ5H&#10;DkxlgT6vNxgRuYGdosGlLr2Roo6fRyDvNuuFdAiaq/BqlcMvdgflfkuLtZfEN11eCnVDKBFg7aRQ&#10;FZ7Ej+++lhpAojydINEK+/W+V2lt6hvQ15nu4HtLVwIqXBAfrogDrmAUuAvCJTy4NDCf6S2MGuPe&#10;/+19zIcDCFGMWtgcmP3dljiGkXyu4WieAq0AG5IzGI5BYeQOI+vDiN6qhQFKQD3oLpkxP8g7kzuj&#10;3sCVMY9VIUQ0hdody72zCN1Gw6VD2Xye0mC9LAkX+trSCN5pOd8Gw0WIvEeiOnZ6BxYsydFfBnGD&#10;D/2U9XABz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cgIgCtoAAAALAQAADwAAAAAAAAABACAA&#10;AAAiAAAAZHJzL2Rvd25yZXYueG1sUEsBAhQAFAAAAAgAh07iQLnYyly2AgAASAUAAA4AAAAAAAAA&#10;AQAgAAAAKQEAAGRycy9lMm9Eb2MueG1sUEsFBgAAAAAGAAYAWQEAAFEGAAAAAA==&#10;" adj="4611,42061">
                      <v:fill on="f" focussize="0,0"/>
                      <v:stroke weight="1pt" color="#FF0000 [3204]" miterlimit="8" joinstyle="miter"/>
                      <v:imagedata o:title=""/>
                      <o:lock v:ext="edit" aspectratio="f"/>
                      <v:textbox>
                        <w:txbxContent>
                          <w:p>
                            <w:pPr>
                              <w:jc w:val="center"/>
                              <w:rPr>
                                <w:rFonts w:hint="default" w:eastAsia="宋体"/>
                                <w:color w:val="FF0000"/>
                                <w:lang w:val="en-US" w:eastAsia="zh-CN"/>
                              </w:rPr>
                            </w:pPr>
                            <w:r>
                              <w:rPr>
                                <w:rFonts w:hint="eastAsia"/>
                                <w:color w:val="FF0000"/>
                                <w:lang w:val="en-US" w:eastAsia="zh-CN"/>
                              </w:rPr>
                              <w:t>项目所在地</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1787525</wp:posOffset>
                      </wp:positionH>
                      <wp:positionV relativeFrom="paragraph">
                        <wp:posOffset>6037580</wp:posOffset>
                      </wp:positionV>
                      <wp:extent cx="143510" cy="191135"/>
                      <wp:effectExtent l="22860" t="40005" r="24130" b="54610"/>
                      <wp:wrapNone/>
                      <wp:docPr id="45" name="十字星 45"/>
                      <wp:cNvGraphicFramePr/>
                      <a:graphic xmlns:a="http://schemas.openxmlformats.org/drawingml/2006/main">
                        <a:graphicData uri="http://schemas.microsoft.com/office/word/2010/wordprocessingShape">
                          <wps:wsp>
                            <wps:cNvSpPr/>
                            <wps:spPr>
                              <a:xfrm>
                                <a:off x="3703955" y="5462905"/>
                                <a:ext cx="143510" cy="191135"/>
                              </a:xfrm>
                              <a:prstGeom prst="star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140.75pt;margin-top:475.4pt;height:15.05pt;width:11.3pt;z-index:251665408;v-text-anchor:middle;mso-width-relative:page;mso-height-relative:page;" fillcolor="#FF0000" filled="t" stroked="t" coordsize="21600,21600" o:gfxdata="UEsDBAoAAAAAAIdO4kAAAAAAAAAAAAAAAAAEAAAAZHJzL1BLAwQUAAAACACHTuJASuN+dNoAAAAL&#10;AQAADwAAAGRycy9kb3ducmV2LnhtbE2Py07DMBBF90j8gzVIbBC1UwhKQ5yqICHYoT4kYOfGk4ca&#10;j6PYbcPfM6xgOTNHd84tlpPrxQnH0HnSkMwUCKTK244aDbvty20GIkRD1vSeUMM3BliWlxeFya0/&#10;0xpPm9gIDqGQGw1tjEMuZahadCbM/IDEt9qPzkQex0ba0Zw53PVyrtSDdKYj/tCaAZ9brA6bo9Mg&#10;66/XVf2Z7txTjfj+doMfU4ZaX18l6hFExCn+wfCrz+pQstPeH8kG0WuYZ0nKqIZFqrgDE3fqPgGx&#10;502mFiDLQv7vUP4AUEsDBBQAAAAIAIdO4kD5NDUngAIAAAUFAAAOAAAAZHJzL2Uyb0RvYy54bWyt&#10;VM1uEzEQviPxDpbvdLP5aZuomypqFIRU0UgFcXa83qwl/2E7P+XGA3CGG0/AY5Xn4LM3/YVDD+zB&#10;O+MZfzPzecZn53utyFb4IK2paHnUo0QYbmtp1hX9+GHx5pSSEJmpmbJGVPRGBHo+ff3qbOcmom9b&#10;q2rhCUBMmOxcRdsY3aQoAm+FZuHIOmFgbKzXLEL166L2bAd0rYp+r3dc7KyvnbdchIDdeWekB0T/&#10;EkDbNJKLueUbLUzsUL1QLKKk0EoX6DRn2zSCx6umCSISVVFUGvOKIJBXaS2mZ2yy9sy1kh9SYC9J&#10;4VlNmkmDoPdQcxYZ2Xj5F5SW3Ntgm3jErS66QjIjqKLsPePmumVO5FpAdXD3pIf/B8vfb5eeyLqi&#10;wxElhmnc+O23r7e/vv/+8ZNgDwTtXJjA79ot/UELEFO1+8br9EcdZF/RwUlvMB4B56aio+Fxf9zL&#10;59lE7CPhcCiHg1EJ6jkcynFZDrK9eAByPsS3wmqShIqiD/0w88q2lyEiOnzvfFLgYJWsF1KprPj1&#10;6kJ5smW47MWihy+ljyNP3JQhO4Tvn8BMOEMLN2gdiNqBhmDWlDC1xmzw6HPsJ6fDy4KkJOcstF0y&#10;GaHrNS0jxkdJXdHTlOFdisog08R0x22SVra+weV423VtcHwhAXvJQlwyjzZF/hjkeIWlURZF2YNE&#10;SWv9l3/tJ390D6yU7ND2KPjzhnlBiXpn0FfjcjgEbMzKcHTSh+IfW1aPLWajLyzILvFkOJ7F5B/V&#10;ndh4qz9h3mcpKkzMcMTuqD0oF7EbR7wYXMxm2Q2z4Vi8NNeOJ/B0ucbONtE2MjfBAzsH0jAd+aIP&#10;k5zG77GevR5er+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SuN+dNoAAAALAQAADwAAAAAAAAAB&#10;ACAAAAAiAAAAZHJzL2Rvd25yZXYueG1sUEsBAhQAFAAAAAgAh07iQPk0NSeAAgAABQUAAA4AAAAA&#10;AAAAAQAgAAAAKQEAAGRycy9lMm9Eb2MueG1sUEsFBgAAAAAGAAYAWQEAABsGAAAAAA==&#10;" adj="8100">
                      <v:fill on="t" focussize="0,0"/>
                      <v:stroke weight="1pt" color="#FF0000 [3204]" miterlimit="8" joinstyle="miter"/>
                      <v:imagedata o:title=""/>
                      <o:lock v:ext="edit" aspectratio="f"/>
                    </v:shape>
                  </w:pict>
                </mc:Fallback>
              </mc:AlternateContent>
            </w:r>
            <w:r>
              <w:rPr>
                <w:rFonts w:hint="eastAsia"/>
                <w:color w:val="auto"/>
                <w:sz w:val="21"/>
                <w:szCs w:val="21"/>
                <w:lang w:val="en-US" w:eastAsia="zh-CN"/>
              </w:rPr>
              <w:t>占地为西区规划居住用地，具体位置见下图。本项目占地为政府划拨闲置商业楼，企业已取得承德市双滦区财政局划入资产的批复，批复文号为：双滦财[2021]99，批复文件见附件。企业于2021年12月28日取得不动产产权登记证明，见附件。</w:t>
            </w:r>
            <w:r>
              <w:rPr>
                <w:rFonts w:hint="eastAsia"/>
                <w:b w:val="0"/>
                <w:bCs w:val="0"/>
                <w:color w:val="auto"/>
                <w:sz w:val="21"/>
                <w:szCs w:val="21"/>
                <w:lang w:val="en-US" w:eastAsia="zh-CN"/>
              </w:rPr>
              <w:t>本项目作为专科医院，</w:t>
            </w:r>
            <w:r>
              <w:rPr>
                <w:rFonts w:hint="eastAsia" w:ascii="Times New Roman" w:hAnsi="Times New Roman" w:cs="Times New Roman"/>
                <w:b w:val="0"/>
                <w:bCs w:val="0"/>
                <w:color w:val="auto"/>
                <w:lang w:val="en-US" w:eastAsia="zh-CN"/>
              </w:rPr>
              <w:t>为周边滨河社区配套医疗健康机构，</w:t>
            </w:r>
            <w:r>
              <w:rPr>
                <w:rFonts w:hint="eastAsia" w:cs="Times New Roman"/>
                <w:b w:val="0"/>
                <w:bCs w:val="0"/>
                <w:color w:val="auto"/>
                <w:lang w:val="en-US" w:eastAsia="zh-CN"/>
              </w:rPr>
              <w:t>并且利用的建筑物为</w:t>
            </w:r>
            <w:r>
              <w:rPr>
                <w:rFonts w:hint="eastAsia"/>
                <w:b w:val="0"/>
                <w:bCs w:val="0"/>
                <w:color w:val="auto"/>
                <w:sz w:val="21"/>
                <w:szCs w:val="21"/>
                <w:lang w:val="en-US" w:eastAsia="zh-CN"/>
              </w:rPr>
              <w:t>政府划拨闲置商业楼，因此，本项目不涉及对西区用地布局的影响。</w:t>
            </w:r>
            <w:r>
              <w:rPr>
                <w:sz w:val="21"/>
              </w:rPr>
              <mc:AlternateContent>
                <mc:Choice Requires="wps">
                  <w:drawing>
                    <wp:anchor distT="0" distB="0" distL="114300" distR="114300" simplePos="0" relativeHeight="251670528" behindDoc="0" locked="0" layoutInCell="1" allowOverlap="1">
                      <wp:simplePos x="0" y="0"/>
                      <wp:positionH relativeFrom="column">
                        <wp:posOffset>1788160</wp:posOffset>
                      </wp:positionH>
                      <wp:positionV relativeFrom="paragraph">
                        <wp:posOffset>3855720</wp:posOffset>
                      </wp:positionV>
                      <wp:extent cx="1000125" cy="333375"/>
                      <wp:effectExtent l="6350" t="6350" r="22225" b="193675"/>
                      <wp:wrapNone/>
                      <wp:docPr id="53" name="圆角矩形标注 53"/>
                      <wp:cNvGraphicFramePr/>
                      <a:graphic xmlns:a="http://schemas.openxmlformats.org/drawingml/2006/main">
                        <a:graphicData uri="http://schemas.microsoft.com/office/word/2010/wordprocessingShape">
                          <wps:wsp>
                            <wps:cNvSpPr/>
                            <wps:spPr>
                              <a:xfrm>
                                <a:off x="3542030" y="4519295"/>
                                <a:ext cx="1000125" cy="333375"/>
                              </a:xfrm>
                              <a:prstGeom prst="wedgeRoundRectCallout">
                                <a:avLst>
                                  <a:gd name="adj1" fmla="val -47222"/>
                                  <a:gd name="adj2" fmla="val 97843"/>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FF0000"/>
                                      <w:lang w:val="en-US" w:eastAsia="zh-CN"/>
                                      <w14:textOutline w14:w="9525">
                                        <w14:solidFill>
                                          <w14:srgbClr w14:val="FF0000"/>
                                        </w14:solidFill>
                                        <w14:round/>
                                      </w14:textOutline>
                                    </w:rPr>
                                  </w:pPr>
                                  <w:r>
                                    <w:rPr>
                                      <w:rFonts w:hint="eastAsia"/>
                                      <w:color w:val="FF0000"/>
                                      <w:lang w:val="en-US" w:eastAsia="zh-CN"/>
                                      <w14:textOutline w14:w="9525">
                                        <w14:solidFill>
                                          <w14:srgbClr w14:val="FF0000"/>
                                        </w14:solidFill>
                                        <w14:round/>
                                      </w14:textOutline>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40.8pt;margin-top:303.6pt;height:26.25pt;width:78.75pt;z-index:251670528;v-text-anchor:middle;mso-width-relative:page;mso-height-relative:page;" filled="f" stroked="t" coordsize="21600,21600" o:gfxdata="UEsDBAoAAAAAAIdO4kAAAAAAAAAAAAAAAAAEAAAAZHJzL1BLAwQUAAAACACHTuJAptfeFtkAAAAL&#10;AQAADwAAAGRycy9kb3ducmV2LnhtbE2PsU7DMBCGdyTewTokNmo7QNqmcTogwQATLUKMl/gaB2I7&#10;ip2mfXvMVMa7+/Tf95fbk+3ZkcbQeadALgQwco3XnWsVfOyf71bAQkSnsfeOFJwpwLa6viqx0H52&#10;73TcxZalEBcKVGBiHArOQ2PIYlj4gVy6HfxoMaZxbLkecU7htueZEDm32Ln0weBAT4aan91kFcTP&#10;+WWYzDd/Q3zdfwlTnxtZK3V7I8UGWKRTvMDwp5/UoUpOtZ+cDqxXkK1knlAFuVhmwBLxcL+WwOq0&#10;eVwvgVcl/9+h+gVQSwMEFAAAAAgAh07iQCTtmDzUAgAAdwUAAA4AAABkcnMvZTJvRG9jLnhtbK1U&#10;zW4TMRC+I/EOlu/t/uSvibqpqkRBSBWtWhBnx+vNGvkP28mmPADcOSOBuABnzjxOC4/B2LttQ+HQ&#10;Azk4Mzvjmfm+mfHh0VYKtGHWca0KnO2nGDFFdcnVqsAvni/2DjBynqiSCK1YgS+Zw0fTx48OGzNh&#10;ua61KJlFEES5SWMKXHtvJkniaM0kcfvaMAXGSltJPKh2lZSWNBBdiiRP02HSaFsaqylzDr7OWyPu&#10;ItqHBNRVxSmba7qWTPk2qmWCeIDkam4cnsZqq4pRf1pVjnkkCgxIfTwhCcjLcCbTQzJZWWJqTrsS&#10;yENKuIdJEq4g6W2oOfEErS3/K5Tk1GqnK79PtUxaIJERQJGl97i5qIlhEQtQ7cwt6e7/haXPNmcW&#10;8bLAgx5Gikjo+NWHt7++vP/58dvVj8/Xn95df/+KwAhMNcZN4MKFObOd5kAMsLeVleEfAKFtgXuD&#10;fp72gOPLAvcH2TgfD1qm2dYjCg5ZmqZZPsCIgkcPfqPokNxFMtb5J0xLFIQCN6xcsXO9VuU59HRG&#10;hNBrHxknmxPnI/VlVz8pX2UYVVJAJzdEoL3+KM/zrtU7Tvmu03h00I8goYc7PkDKXaBsOByOQhyo&#10;s0sL0k2loQalF1yIOFRCoQaA5qMUeKAENqWCCQVRGmDbqRVGRKxgBam3EYjTgpfhegjk7Go5ExZB&#10;/QVeLICuOKuQ7g+3kHtOXN36RVOLU3IPWyq4LPBBuHxzWyioPvSx7VyQ/Ha57dq51OUljIPV7Z44&#10;QxccMpwQ58+IBToBCjwd/hSOSmjApzsJo1rbN//6HvxhXsGKUQOLBthfr4llGImnCiZ5nPX7ENZH&#10;pT8Y5aDYXcty16LWcqaBEmgwVBfF4O/FjVhZLV/CC3McsoKJKAq5W5Y7ZebbBwDeKMqOj6MbbKMh&#10;/kRdGBqCt708XntdcR8aHohq2ekU2Mc4B93bERZ+V49ed+/l9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m194W2QAAAAsBAAAPAAAAAAAAAAEAIAAAACIAAABkcnMvZG93bnJldi54bWxQSwECFAAU&#10;AAAACACHTuJAJO2YPNQCAAB3BQAADgAAAAAAAAABACAAAAAoAQAAZHJzL2Uyb0RvYy54bWxQSwUG&#10;AAAAAAYABgBZAQAAbgYAAAAA&#10;" adj="600,31934,14400">
                      <v:fill on="f" focussize="0,0"/>
                      <v:stroke weight="1pt" color="#FF0000 [3204]" miterlimit="8" joinstyle="miter"/>
                      <v:imagedata o:title=""/>
                      <o:lock v:ext="edit" aspectratio="f"/>
                      <v:textbox>
                        <w:txbxContent>
                          <w:p>
                            <w:pPr>
                              <w:jc w:val="center"/>
                              <w:rPr>
                                <w:rFonts w:hint="default" w:eastAsia="宋体"/>
                                <w:color w:val="FF0000"/>
                                <w:lang w:val="en-US" w:eastAsia="zh-CN"/>
                                <w14:textOutline w14:w="9525">
                                  <w14:solidFill>
                                    <w14:srgbClr w14:val="FF0000"/>
                                  </w14:solidFill>
                                  <w14:round/>
                                </w14:textOutline>
                              </w:rPr>
                            </w:pPr>
                            <w:r>
                              <w:rPr>
                                <w:rFonts w:hint="eastAsia"/>
                                <w:color w:val="FF0000"/>
                                <w:lang w:val="en-US" w:eastAsia="zh-CN"/>
                                <w14:textOutline w14:w="9525">
                                  <w14:solidFill>
                                    <w14:srgbClr w14:val="FF0000"/>
                                  </w14:solidFill>
                                  <w14:round/>
                                </w14:textOutline>
                              </w:rPr>
                              <w:t>项目所在地</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1654810</wp:posOffset>
                      </wp:positionH>
                      <wp:positionV relativeFrom="paragraph">
                        <wp:posOffset>4322445</wp:posOffset>
                      </wp:positionV>
                      <wp:extent cx="255270" cy="142875"/>
                      <wp:effectExtent l="50800" t="17780" r="55880" b="29845"/>
                      <wp:wrapNone/>
                      <wp:docPr id="52" name="十字星 52"/>
                      <wp:cNvGraphicFramePr/>
                      <a:graphic xmlns:a="http://schemas.openxmlformats.org/drawingml/2006/main">
                        <a:graphicData uri="http://schemas.microsoft.com/office/word/2010/wordprocessingShape">
                          <wps:wsp>
                            <wps:cNvSpPr/>
                            <wps:spPr>
                              <a:xfrm>
                                <a:off x="3494405" y="5290820"/>
                                <a:ext cx="255270" cy="142875"/>
                              </a:xfrm>
                              <a:prstGeom prst="star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130.3pt;margin-top:340.35pt;height:11.25pt;width:20.1pt;z-index:251669504;v-text-anchor:middle;mso-width-relative:page;mso-height-relative:page;" fillcolor="#FF0000" filled="t" stroked="t" coordsize="21600,21600" o:gfxdata="UEsDBAoAAAAAAIdO4kAAAAAAAAAAAAAAAAAEAAAAZHJzL1BLAwQUAAAACACHTuJA+sVbW9kAAAAL&#10;AQAADwAAAGRycy9kb3ducmV2LnhtbE2Py07DMBBF90j8gzVI7KjdBNwQMukCqRskFm0QbN3ETSLs&#10;cYjdB3/PsILlaI7uPbdaX7wTJzvHMRDCcqFAWGpDN1KP8NZs7goQMRnqjAtkEb5thHV9fVWZsgtn&#10;2trTLvWCQyiWBmFIaSqljO1gvYmLMFni3yHM3iQ+5152szlzuHcyU0pLb0bihsFM9nmw7efu6BEO&#10;XrvN/fj+VeTuYdu8vH48poYQb2+W6glEspf0B8OvPqtDzU77cKQuCoeQaaUZRdCFWoFgIleKx+wR&#10;VirPQNaV/L+h/gFQSwMEFAAAAAgAh07iQI9e7oyRAgAAJgUAAA4AAABkcnMvZTJvRG9jLnhtbK1U&#10;zW4TMRC+I/EOlu90k5DQJOqmihIFIVW0UkGcHa83a8l/2M5PufEAnOHGE/BY5Tn47N22aeHQAzk4&#10;Y8/sN/6+mfHZ+UErshM+SGtK2j/pUSIMt5U0m5J+/LB6NaYkRGYqpqwRJb0RgZ7PXr4427upGNjG&#10;qkp4AhATpntX0iZGNy2KwBuhWTixThg4a+s1i9j6TVF5tge6VsWg13tT7K2vnLdchIDTZeukHaJ/&#10;DqCta8nF0vKtFia2qF4oFkEpNNIFOsu3rWvB42VdBxGJKimYxrwiCex1WovZGZtuPHON5N0V2HOu&#10;8ISTZtIg6T3UkkVGtl7+BaUl9zbYOp5wq4uWSFYELPq9J9pcN8yJzAVSB3cvevh/sPz97soTWZV0&#10;NKDEMI2K3377evvr++8fPwnOINDehSnirt2V73YBZmJ7qL1O/+BBDiV9PZwMh70RJTcJbtIbDzqB&#10;xSESjoDBaDQ4hfQcAf3hYHw6SvjFA5DzIb4VVpNklBR96IdZV7a7CLGNvYtJiYNVslpJpfLGb9YL&#10;5cmOodirVQ+/Dv5RmDJkj/S4SLoJQwvXaB2Y2kGGYDaUMLXBbPDoc+5HX4fjJMP+aX+yaIMaVok2&#10;9eg4cxueST7CSSyWLDTtJ9mVLsumWkbMl5K6pOMEdMdBGYCkUrTiJ2ttqxtUz9u2rYPjKwnYCxbi&#10;FfPoYxDEpMdLLLWyYG07i5LG+i//Ok/xaC94KdljLqDI5y3zghL1zqDxJn2UGIOUN8PRKUpM/LFn&#10;fewxW72wqEYfb4rj2UzxUd2Ztbf6Ex6EecoKFzMcuVvtu80itvOKJ4WL+TyHYXgcixfm2vEEnnQz&#10;dr6Ntpa5Sx7U6UTD+OQadKOe5vN4n6Menrf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rFW1vZ&#10;AAAACwEAAA8AAAAAAAAAAQAgAAAAIgAAAGRycy9kb3ducmV2LnhtbFBLAQIUABQAAAAIAIdO4kCP&#10;Xu6MkQIAACYFAAAOAAAAAAAAAAEAIAAAACgBAABkcnMvZTJvRG9jLnhtbFBLBQYAAAAABgAGAFkB&#10;AAArBgAAAAA=&#10;" adj="8100">
                      <v:fill on="t" focussize="0,0"/>
                      <v:stroke weight="1pt" color="#41719C [3204]" miterlimit="8" joinstyle="miter"/>
                      <v:imagedata o:title=""/>
                      <o:lock v:ext="edit" aspectratio="f"/>
                    </v:shape>
                  </w:pict>
                </mc:Fallback>
              </mc:AlternateContent>
            </w:r>
            <w:r>
              <w:drawing>
                <wp:inline distT="0" distB="0" distL="114300" distR="114300">
                  <wp:extent cx="4726305" cy="6311900"/>
                  <wp:effectExtent l="0" t="0" r="17145" b="1270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7"/>
                          <a:stretch>
                            <a:fillRect/>
                          </a:stretch>
                        </pic:blipFill>
                        <pic:spPr>
                          <a:xfrm>
                            <a:off x="0" y="0"/>
                            <a:ext cx="4726305" cy="63119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default"/>
                <w:b/>
                <w:bCs/>
                <w:color w:val="auto"/>
                <w:sz w:val="21"/>
                <w:szCs w:val="21"/>
                <w:lang w:val="en-US" w:eastAsia="zh-CN"/>
              </w:rPr>
            </w:pPr>
            <w:r>
              <w:rPr>
                <w:rFonts w:hint="eastAsia"/>
                <w:b/>
                <w:bCs/>
                <w:color w:val="auto"/>
                <w:sz w:val="21"/>
                <w:szCs w:val="21"/>
                <w:lang w:val="en-US" w:eastAsia="zh-CN"/>
              </w:rPr>
              <w:t>图1-1项目与双滦区用地布局规划位置关系图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b w:val="0"/>
                <w:bCs w:val="0"/>
                <w:color w:val="auto"/>
                <w:sz w:val="21"/>
                <w:szCs w:val="21"/>
                <w:lang w:val="en-US" w:eastAsia="zh-CN"/>
              </w:rPr>
            </w:pPr>
            <w:r>
              <w:rPr>
                <w:rFonts w:hint="eastAsia"/>
                <w:b w:val="0"/>
                <w:bCs w:val="0"/>
                <w:color w:val="auto"/>
                <w:sz w:val="21"/>
                <w:szCs w:val="21"/>
                <w:lang w:val="en-US" w:eastAsia="zh-CN"/>
              </w:rPr>
              <w:t>（4）功能分区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b w:val="0"/>
                <w:bCs w:val="0"/>
                <w:color w:val="auto"/>
                <w:sz w:val="21"/>
                <w:szCs w:val="21"/>
                <w:lang w:val="en-US" w:eastAsia="zh-CN"/>
              </w:rPr>
            </w:pPr>
            <w:r>
              <w:rPr>
                <w:rFonts w:hint="eastAsia"/>
                <w:b w:val="0"/>
                <w:bCs w:val="0"/>
                <w:color w:val="auto"/>
                <w:sz w:val="21"/>
                <w:szCs w:val="21"/>
                <w:lang w:val="en-US" w:eastAsia="zh-CN"/>
              </w:rPr>
              <w:t>规划形成“5+3”结构的九个功能区，其中：西区分布钒钛循环产业区、高端装备制造及新能源产业区、新材料产业区、产城融合区、综合服务区五大功能区；东区形成整合拓展区、商贸物流区、文化旅游区三大功能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color w:val="auto"/>
                <w:lang w:val="en-US" w:eastAsia="zh-CN"/>
              </w:rPr>
              <w:t>本项目所在区域功能区为新材料产业区，但是本项目为专科医院，为周边滨河社区配套医疗健康机构，对工业园区功能区分无影响。</w:t>
            </w:r>
          </w:p>
          <w:p>
            <w:pPr>
              <w:pStyle w:val="2"/>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0" w:firstLineChars="200"/>
              <w:textAlignment w:val="auto"/>
              <w:rPr>
                <w:rFonts w:hint="eastAsia"/>
                <w:b w:val="0"/>
                <w:bCs w:val="0"/>
                <w:color w:val="auto"/>
                <w:sz w:val="21"/>
                <w:szCs w:val="21"/>
                <w:lang w:val="en-US" w:eastAsia="zh-CN"/>
              </w:rPr>
            </w:pPr>
            <w:r>
              <w:rPr>
                <w:rFonts w:hint="eastAsia"/>
                <w:b w:val="0"/>
                <w:bCs w:val="0"/>
                <w:color w:val="auto"/>
                <w:sz w:val="21"/>
                <w:szCs w:val="21"/>
                <w:lang w:val="en-US" w:eastAsia="zh-CN"/>
              </w:rPr>
              <w:t>能源和资源利用结构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default"/>
                <w:lang w:val="en-US" w:eastAsia="zh-CN"/>
              </w:rPr>
              <w:t>规划开发区能源结构为高炉煤气、天然气、电力，不再新增煤炭等高污染能源。</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default"/>
                <w:lang w:val="en-US" w:eastAsia="zh-CN"/>
              </w:rPr>
              <w:t>规划开发区水资源利用结构为新鲜水与再生水联合供水，其中新鲜水来自双滦区滦江供水有限公司，再生水来自现状清泉水务污水处理厂及拟规划开发区污水处理厂各自配套建设的再生水处理设施。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color w:val="auto"/>
                <w:sz w:val="21"/>
                <w:szCs w:val="21"/>
                <w:highlight w:val="none"/>
                <w:lang w:val="en-US" w:eastAsia="zh-CN"/>
              </w:rPr>
              <w:t>本项目为专科医院，供暖来源市政集中供暖管道，供电来自市政集中供电，不新增高污染能源。项目用水量为市政供水，用水量较小；运营期废水经企业污水处理站处理后排入双滦污水处理厂。本项目符合开发区</w:t>
            </w:r>
            <w:r>
              <w:rPr>
                <w:rFonts w:hint="eastAsia"/>
                <w:b w:val="0"/>
                <w:bCs w:val="0"/>
                <w:color w:val="auto"/>
                <w:sz w:val="21"/>
                <w:szCs w:val="21"/>
                <w:lang w:val="en-US" w:eastAsia="zh-CN"/>
              </w:rPr>
              <w:t>能源和资源利用结构。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2、产业发展符合性分析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产业</w:t>
            </w:r>
            <w:r>
              <w:rPr>
                <w:rFonts w:hint="eastAsia" w:cs="Times New Roman"/>
                <w:lang w:val="en-US" w:eastAsia="zh-CN"/>
              </w:rPr>
              <w:t>发展</w:t>
            </w:r>
            <w:r>
              <w:rPr>
                <w:rFonts w:hint="default" w:ascii="Times New Roman" w:hAnsi="Times New Roman" w:cs="Times New Roman"/>
                <w:lang w:val="en-US" w:eastAsia="zh-CN"/>
              </w:rPr>
              <w:t>定位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西区主导产业为钒钛循环产业、高端装备制造及新能源产业、新材料产业、产城融合区；东区为整合拓展区、商贸物流产业及文化创意旅游产业。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其中重点产业钒钛循环产业主要在现有基础上延伸产业链，如钒钛铁精粉提钒、通过五氧化二钒制98%片钒、偏钒酸铵下游产品生产以及发展钛合金锭、钛合金版、粉末冶金件及3D打印件等。</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cs="Times New Roman"/>
                <w:lang w:val="en-US" w:eastAsia="zh-CN"/>
              </w:rPr>
            </w:pPr>
            <w:r>
              <w:rPr>
                <w:rFonts w:hint="eastAsia" w:ascii="宋体" w:hAnsi="宋体" w:eastAsia="宋体" w:cs="宋体"/>
                <w:lang w:val="en-US" w:eastAsia="zh-CN"/>
              </w:rPr>
              <w:t>（</w:t>
            </w:r>
            <w:r>
              <w:rPr>
                <w:rFonts w:hint="default" w:ascii="Times New Roman" w:hAnsi="Times New Roman" w:eastAsia="宋体" w:cs="Times New Roman"/>
                <w:lang w:val="en-US" w:eastAsia="zh-CN"/>
              </w:rPr>
              <w:t>2</w:t>
            </w:r>
            <w:r>
              <w:rPr>
                <w:rFonts w:hint="eastAsia" w:ascii="宋体" w:hAnsi="宋体" w:eastAsia="宋体" w:cs="宋体"/>
                <w:lang w:val="en-US" w:eastAsia="zh-CN"/>
              </w:rPr>
              <w:t>）</w:t>
            </w:r>
            <w:r>
              <w:rPr>
                <w:rFonts w:hint="default" w:ascii="Times New Roman" w:hAnsi="Times New Roman" w:cs="Times New Roman"/>
                <w:lang w:val="en-US" w:eastAsia="zh-CN"/>
              </w:rPr>
              <w:t>产业</w:t>
            </w:r>
            <w:r>
              <w:rPr>
                <w:rFonts w:hint="eastAsia" w:cs="Times New Roman"/>
                <w:lang w:val="en-US" w:eastAsia="zh-CN"/>
              </w:rPr>
              <w:t>发展</w:t>
            </w:r>
            <w:r>
              <w:rPr>
                <w:rFonts w:hint="default" w:ascii="Times New Roman" w:hAnsi="Times New Roman" w:cs="Times New Roman"/>
                <w:lang w:val="en-US" w:eastAsia="zh-CN"/>
              </w:rPr>
              <w:t>规模</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规划期末产值规模达1500亿。钒钛循环产业区的特色钒钛精细化工方向，相比原规划，本次规划占地面积不变，仍为2.09km</w:t>
            </w:r>
            <w:r>
              <w:rPr>
                <w:rFonts w:hint="eastAsia" w:ascii="Times New Roman" w:hAnsi="Times New Roman" w:cs="Times New Roman"/>
                <w:vertAlign w:val="superscript"/>
                <w:lang w:val="en-US" w:eastAsia="zh-CN"/>
              </w:rPr>
              <w:t>2</w:t>
            </w:r>
            <w:r>
              <w:rPr>
                <w:rFonts w:hint="eastAsia" w:ascii="Times New Roman" w:hAnsi="Times New Roman" w:cs="Times New Roman"/>
                <w:lang w:val="en-US"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产业布局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开发区分为八大功能片区：钒钛循环产业区、高端装备制造及新能源产业区、新材料产业区、产城融合区及综合服务区、整合拓展区、商贸物流区、文化旅游区。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本项目位于新材料产业区，</w:t>
            </w:r>
            <w:r>
              <w:rPr>
                <w:rFonts w:hint="eastAsia" w:cs="Times New Roman"/>
                <w:lang w:val="en-US" w:eastAsia="zh-CN"/>
              </w:rPr>
              <w:t>具体位置见下图。</w:t>
            </w:r>
            <w:r>
              <w:rPr>
                <w:rFonts w:hint="eastAsia" w:ascii="Times New Roman" w:hAnsi="Times New Roman" w:cs="Times New Roman"/>
                <w:lang w:val="en-US" w:eastAsia="zh-CN"/>
              </w:rPr>
              <w:t>本项目为专科医院，为周边滨河社区配套医疗健康机构，</w:t>
            </w:r>
            <w:r>
              <w:rPr>
                <w:rFonts w:hint="eastAsia" w:ascii="Times New Roman" w:hAnsi="Times New Roman" w:cs="Times New Roman"/>
                <w:b w:val="0"/>
                <w:bCs w:val="0"/>
                <w:color w:val="auto"/>
                <w:lang w:val="en-US" w:eastAsia="zh-CN"/>
              </w:rPr>
              <w:t>不涉及</w:t>
            </w:r>
            <w:r>
              <w:rPr>
                <w:rFonts w:hint="eastAsia" w:cs="Times New Roman"/>
                <w:b w:val="0"/>
                <w:bCs w:val="0"/>
                <w:color w:val="auto"/>
                <w:lang w:val="en-US" w:eastAsia="zh-CN"/>
              </w:rPr>
              <w:t>产业发展规划</w:t>
            </w:r>
            <w:r>
              <w:rPr>
                <w:rFonts w:hint="eastAsia" w:ascii="Times New Roman" w:hAnsi="Times New Roman" w:cs="Times New Roman"/>
                <w:lang w:val="en-US" w:eastAsia="zh-CN"/>
              </w:rPr>
              <w:t>。</w:t>
            </w:r>
          </w:p>
          <w:p>
            <w:pPr>
              <w:pStyle w:val="2"/>
              <w:ind w:left="0" w:leftChars="0" w:firstLine="0" w:firstLineChars="0"/>
              <w:jc w:val="center"/>
            </w:pPr>
            <w:r>
              <w:rPr>
                <w:sz w:val="21"/>
              </w:rPr>
              <mc:AlternateContent>
                <mc:Choice Requires="wps">
                  <w:drawing>
                    <wp:anchor distT="0" distB="0" distL="114300" distR="114300" simplePos="0" relativeHeight="251668480" behindDoc="0" locked="0" layoutInCell="1" allowOverlap="1">
                      <wp:simplePos x="0" y="0"/>
                      <wp:positionH relativeFrom="column">
                        <wp:posOffset>1682750</wp:posOffset>
                      </wp:positionH>
                      <wp:positionV relativeFrom="paragraph">
                        <wp:posOffset>3907790</wp:posOffset>
                      </wp:positionV>
                      <wp:extent cx="1123315" cy="285750"/>
                      <wp:effectExtent l="6350" t="6350" r="13335" b="393700"/>
                      <wp:wrapNone/>
                      <wp:docPr id="50" name="圆角矩形标注 50"/>
                      <wp:cNvGraphicFramePr/>
                      <a:graphic xmlns:a="http://schemas.openxmlformats.org/drawingml/2006/main">
                        <a:graphicData uri="http://schemas.microsoft.com/office/word/2010/wordprocessingShape">
                          <wps:wsp>
                            <wps:cNvSpPr/>
                            <wps:spPr>
                              <a:xfrm>
                                <a:off x="3608705" y="4618990"/>
                                <a:ext cx="1123315" cy="285750"/>
                              </a:xfrm>
                              <a:prstGeom prst="wedgeRoundRectCallout">
                                <a:avLst>
                                  <a:gd name="adj1" fmla="val -41181"/>
                                  <a:gd name="adj2" fmla="val 175555"/>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FF0000"/>
                                      <w:lang w:val="en-US" w:eastAsia="zh-CN"/>
                                      <w14:textOutline w14:w="9525">
                                        <w14:solidFill>
                                          <w14:srgbClr w14:val="FF0000"/>
                                        </w14:solidFill>
                                        <w14:round/>
                                      </w14:textOutline>
                                    </w:rPr>
                                  </w:pPr>
                                  <w:r>
                                    <w:rPr>
                                      <w:rFonts w:hint="eastAsia"/>
                                      <w:color w:val="FF0000"/>
                                      <w:lang w:val="en-US" w:eastAsia="zh-CN"/>
                                      <w14:textOutline w14:w="9525">
                                        <w14:solidFill>
                                          <w14:srgbClr w14:val="FF0000"/>
                                        </w14:solidFill>
                                        <w14:round/>
                                      </w14:textOutline>
                                    </w:rPr>
                                    <w:t>项目位置图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32.5pt;margin-top:307.7pt;height:22.5pt;width:88.45pt;z-index:251668480;v-text-anchor:middle;mso-width-relative:page;mso-height-relative:page;" filled="f" stroked="t" coordsize="21600,21600" o:gfxdata="UEsDBAoAAAAAAIdO4kAAAAAAAAAAAAAAAAAEAAAAZHJzL1BLAwQUAAAACACHTuJApIXjytkAAAAL&#10;AQAADwAAAGRycy9kb3ducmV2LnhtbE2PQU+DQBCF7yb+h82YeLO7EEoEWXpo4oHerMR43MIIKDtL&#10;2KXF/nrHkx7fvJc33yt2qx3FGWc/ONIQbRQIpMa1A3Ua6tfnh0cQPhhqzegINXyjh115e1OYvHUX&#10;esHzMXSCS8jnRkMfwpRL6ZserfEbNyGx9+FmawLLuZPtbC5cbkcZK5VKawbiD72ZcN9j83VcrIYD&#10;xm9LZd+vyzWr1qw+1NX+U2l9fxepJxAB1/AXhl98RoeSmU5uodaLUUOcbnlL0JBG2wQEJ5IkykCc&#10;+JKqBGRZyP8byh9QSwMEFAAAAAgAh07iQHC4RPnNAgAAeAUAAA4AAABkcnMvZTJvRG9jLnhtbK1U&#10;zW7UMBC+I/EOlu9tfva3q2ar1a4WIVW0akGcvY6TGPkP27vZ8gBw54wE4gKcOfM4LTwG4yRtty2H&#10;HsghGWc+z8z3jceHR1sp0IZZx7XKcLIfY8QU1TlXZYZfvVzujTFynqicCK1Yhi+Yw0fTp08OazNh&#10;qa60yJlFEES5SW0yXHlvJlHkaMUkcfvaMAXOQltJPCxtGeWW1BBdiiiN42FUa5sbqylzDv4uWifu&#10;ItrHBNRFwSlbaLqWTPk2qmWCeKDkKm4cnjbVFgWj/qQoHPNIZBiY+uYNScBehXc0PSST0hJTcdqV&#10;QB5Twj1OknAFSW9CLYgnaG35g1CSU6udLvw+1TJqiTSKAIskvqfNeUUMa7iA1M7ciO7+X1j6YnNq&#10;Ec8zPABJFJHQ8ctP7/98+/j784/LX1+vvny4+vkdgROUqo2bwIZzc2q7lQMz0N4WVoYvEELbDPeG&#10;8XgUDzC6yHB/mIwPDjql2dYjCoAkSXu9BAAUEOl4MGoTRLeRjHX+GdMSBSPDNctLdqbXKj+Dns6J&#10;EHrtG8XJ5tj5Rvq8q5/kbxKMCimgkxsi0F4/ScZJ1+odULoLSkYDeB6CendAw+FwFDBQaJcXrOtS&#10;QxFKL7kQzakSCtXANB3FoCwlMCoFHFEwpQG5nSoxIqKEGaTeNkycFjwP20MgZ8vVXFgEBDK8XMbw&#10;dInvwELuBXFVi2tcLQfJPYyp4DLD47D5erdQUH1oZNu6YPntatv1c6XzCzgPVreD4gxdcshwTJw/&#10;JRb0BCpwd/gTeBVCAz/dWRhV2r771/+AhwMLXoxqmDTg/nZNLMNIPFdwlA+Sfh/C+mbRH4xSWNhd&#10;z2rXo9ZyrkES6DBU15gB78W1WVgtX8MVMwtZwUUUhdytyt1i7tsbAC4pymazBgbjaIg/VueGhuBt&#10;L2drrwvuQ8ODUK063QIGsjkH3eURJn533aBuL8z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KSF&#10;48rZAAAACwEAAA8AAAAAAAAAAQAgAAAAIgAAAGRycy9kb3ducmV2LnhtbFBLAQIUABQAAAAIAIdO&#10;4kBwuET5zQIAAHgFAAAOAAAAAAAAAAEAIAAAACgBAABkcnMvZTJvRG9jLnhtbFBLBQYAAAAABgAG&#10;AFkBAABnBgAAAAA=&#10;" adj="1905,48720,14400">
                      <v:fill on="f" focussize="0,0"/>
                      <v:stroke weight="1pt" color="#FF0000 [3204]" miterlimit="8" joinstyle="miter"/>
                      <v:imagedata o:title=""/>
                      <o:lock v:ext="edit" aspectratio="f"/>
                      <v:textbox>
                        <w:txbxContent>
                          <w:p>
                            <w:pPr>
                              <w:jc w:val="center"/>
                              <w:rPr>
                                <w:rFonts w:hint="default" w:eastAsia="宋体"/>
                                <w:color w:val="FF0000"/>
                                <w:lang w:val="en-US" w:eastAsia="zh-CN"/>
                                <w14:textOutline w14:w="9525">
                                  <w14:solidFill>
                                    <w14:srgbClr w14:val="FF0000"/>
                                  </w14:solidFill>
                                  <w14:round/>
                                </w14:textOutline>
                              </w:rPr>
                            </w:pPr>
                            <w:r>
                              <w:rPr>
                                <w:rFonts w:hint="eastAsia"/>
                                <w:color w:val="FF0000"/>
                                <w:lang w:val="en-US" w:eastAsia="zh-CN"/>
                                <w14:textOutline w14:w="9525">
                                  <w14:solidFill>
                                    <w14:srgbClr w14:val="FF0000"/>
                                  </w14:solidFill>
                                  <w14:round/>
                                </w14:textOutline>
                              </w:rPr>
                              <w:t>项目位置图</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1682750</wp:posOffset>
                      </wp:positionH>
                      <wp:positionV relativeFrom="paragraph">
                        <wp:posOffset>4469765</wp:posOffset>
                      </wp:positionV>
                      <wp:extent cx="133350" cy="190500"/>
                      <wp:effectExtent l="21590" t="42545" r="35560" b="52705"/>
                      <wp:wrapNone/>
                      <wp:docPr id="49" name="十字星 49"/>
                      <wp:cNvGraphicFramePr/>
                      <a:graphic xmlns:a="http://schemas.openxmlformats.org/drawingml/2006/main">
                        <a:graphicData uri="http://schemas.microsoft.com/office/word/2010/wordprocessingShape">
                          <wps:wsp>
                            <wps:cNvSpPr/>
                            <wps:spPr>
                              <a:xfrm>
                                <a:off x="3646805" y="5428615"/>
                                <a:ext cx="133350" cy="190500"/>
                              </a:xfrm>
                              <a:prstGeom prst="star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132.5pt;margin-top:351.95pt;height:15pt;width:10.5pt;z-index:251667456;v-text-anchor:middle;mso-width-relative:page;mso-height-relative:page;" fillcolor="#FF0000" filled="t" stroked="t" coordsize="21600,21600" o:gfxdata="UEsDBAoAAAAAAIdO4kAAAAAAAAAAAAAAAAAEAAAAZHJzL1BLAwQUAAAACACHTuJA6eY9bNkAAAAL&#10;AQAADwAAAGRycy9kb3ducmV2LnhtbE2PzU7DMBCE70i8g7VIXFBrN1VDCHEqQEJwqyiVCjc33vyI&#10;eB3FbhvenuUEx50dzXxTrCfXixOOofOkYTFXIJAqbztqNOzen2cZiBANWdN7Qg3fGGBdXl4UJrf+&#10;TG942sZGcAiF3GhoYxxyKUPVojNh7gck/tV+dCbyOTbSjubM4a6XiVKpdKYjbmjNgE8tVl/bo9Mg&#10;68+Xh/pjtXOPNeLm9Qb3U4ZaX18t1D2IiFP8M8MvPqNDyUwHfyQbRK8hSVe8JWq4Vcs7EOxIspSV&#10;AytLVmRZyP8byh9QSwMEFAAAAAgAh07iQOTjTvuAAgAABQUAAA4AAABkcnMvZTJvRG9jLnhtbK1U&#10;S24bMQzdF+gdBO2bGX/jGBkHRgwXBYImQFp0LWs0HgH6VZI/6a4H6Lrd9QQ9VnqOPmmcb7vIol7I&#10;pMh5JB9JnZ7ttSJb4YO0pqK9o5ISYbitpVlX9OOH5ZsJJSEyUzNljajojQj0bPb61enOTUXftlbV&#10;whOAmDDduYq2MbppUQTeCs3CkXXCwNhYr1mE6tdF7dkO6FoV/bIcFzvra+ctFyHgdtEZ6QHRvwTQ&#10;No3kYmH5RgsTO1QvFIsoKbTSBTrL2TaN4PGyaYKIRFUUlcZ8IgjkVTqL2Smbrj1zreSHFNhLUnhW&#10;k2bSIOg91IJFRjZe/gWlJfc22CYecauLrpDMCKrolc+4uW6ZE7kWUB3cPenh/8Hy99srT2Rd0eEJ&#10;JYZpdPz229fbX99///hJcAeCdi5M4XftrvxBCxBTtfvG6/SPOsi+ooPxcDwpR5TcVHQ07E/GvVFH&#10;sNhHwuHQGwwGI1DP4dA7KUdlbkDxAOR8iG+F1SQJFcUc+mHmlW0vQkR0+N75pMDBKlkvpVJZ8evV&#10;ufJky9Ds5bLEL4XHJ0/clCE7hO8fw0w4wwg3GB2I2oGGYNaUMLXGbvDoc+wnX4eXBUlJLlhou2Qy&#10;QkeFlhHro6Su6CRleJeiMsg0Md1xm6SVrW/QHG+7qQ2OLyVgL1iIV8xjTJE/Fjle4miURVH2IFHS&#10;Wv/lX/fJH9MDKyU7jD0K/rxhXlCi3hnM1UlvOARszMpwdNyH4h9bVo8tZqPPLcju4clwPIvJP6o7&#10;sfFWf8K+z1NUmJjhiN1Re1DOY7eOeDG4mM+zG3bDsXhhrh1P4Km5xs430TYyD8EDOwfSsB250YdN&#10;Tuv3WM9eD6/X7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p5j1s2QAAAAsBAAAPAAAAAAAAAAEA&#10;IAAAACIAAABkcnMvZG93bnJldi54bWxQSwECFAAUAAAACACHTuJA5ONO+4ACAAAFBQAADgAAAAAA&#10;AAABACAAAAAoAQAAZHJzL2Uyb0RvYy54bWxQSwUGAAAAAAYABgBZAQAAGgYAAAAA&#10;" adj="8100">
                      <v:fill on="t" focussize="0,0"/>
                      <v:stroke weight="1pt" color="#FF0000 [3204]" miterlimit="8" joinstyle="miter"/>
                      <v:imagedata o:title=""/>
                      <o:lock v:ext="edit" aspectratio="f"/>
                    </v:shape>
                  </w:pict>
                </mc:Fallback>
              </mc:AlternateContent>
            </w:r>
            <w:r>
              <w:drawing>
                <wp:inline distT="0" distB="0" distL="114300" distR="114300">
                  <wp:extent cx="4422140" cy="6304915"/>
                  <wp:effectExtent l="0" t="0" r="16510"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8"/>
                          <a:srcRect l="3829" t="3601" r="3370" b="1340"/>
                          <a:stretch>
                            <a:fillRect/>
                          </a:stretch>
                        </pic:blipFill>
                        <pic:spPr>
                          <a:xfrm>
                            <a:off x="0" y="0"/>
                            <a:ext cx="4422140" cy="63049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eastAsia"/>
                <w:lang w:val="en-US" w:eastAsia="zh-CN"/>
              </w:rPr>
            </w:pPr>
            <w:r>
              <w:rPr>
                <w:rFonts w:hint="eastAsia"/>
                <w:b/>
                <w:bCs/>
                <w:color w:val="auto"/>
                <w:sz w:val="21"/>
                <w:szCs w:val="21"/>
                <w:lang w:val="en-US" w:eastAsia="zh-CN"/>
              </w:rPr>
              <w:t>图1-2项目与双滦区产业布局规划位置关系图</w:t>
            </w:r>
          </w:p>
          <w:p>
            <w:pPr>
              <w:pStyle w:val="2"/>
              <w:numPr>
                <w:ilvl w:val="0"/>
                <w:numId w:val="3"/>
              </w:numPr>
              <w:rPr>
                <w:rFonts w:hint="eastAsia" w:cs="Times New Roman"/>
                <w:b/>
                <w:bCs/>
                <w:lang w:val="en-US" w:eastAsia="zh-CN"/>
              </w:rPr>
            </w:pPr>
            <w:r>
              <w:rPr>
                <w:rFonts w:hint="eastAsia" w:cs="Times New Roman"/>
                <w:b/>
                <w:bCs/>
                <w:lang w:val="en-US" w:eastAsia="zh-CN"/>
              </w:rPr>
              <w:t>生态环境保护符合性分析</w:t>
            </w:r>
          </w:p>
          <w:p>
            <w:pPr>
              <w:numPr>
                <w:ilvl w:val="0"/>
                <w:numId w:val="0"/>
              </w:numPr>
              <w:jc w:val="center"/>
              <w:rPr>
                <w:rFonts w:hint="default"/>
                <w:b/>
                <w:bCs/>
                <w:color w:val="auto"/>
                <w:lang w:val="en-US" w:eastAsia="zh-CN"/>
              </w:rPr>
            </w:pPr>
            <w:r>
              <w:rPr>
                <w:rFonts w:hint="eastAsia"/>
                <w:b/>
                <w:bCs/>
                <w:color w:val="auto"/>
                <w:lang w:val="en-US" w:eastAsia="zh-CN"/>
              </w:rPr>
              <w:t>表1-2</w:t>
            </w:r>
            <w:r>
              <w:rPr>
                <w:rFonts w:hint="default"/>
                <w:b/>
                <w:bCs/>
                <w:color w:val="auto"/>
                <w:lang w:val="en-US" w:eastAsia="zh-CN"/>
              </w:rPr>
              <w:t>生态环境保护规划一览表</w:t>
            </w:r>
          </w:p>
          <w:tbl>
            <w:tblPr>
              <w:tblStyle w:val="35"/>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3"/>
              <w:gridCol w:w="65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516" w:type="pct"/>
                  <w:vAlign w:val="center"/>
                </w:tcPr>
                <w:p>
                  <w:pPr>
                    <w:keepNext w:val="0"/>
                    <w:keepLines w:val="0"/>
                    <w:pageBreakBefore w:val="0"/>
                    <w:widowControl/>
                    <w:kinsoku/>
                    <w:wordWrap/>
                    <w:overflowPunct/>
                    <w:topLinePunct w:val="0"/>
                    <w:autoSpaceDE w:val="0"/>
                    <w:autoSpaceDN w:val="0"/>
                    <w:bidi w:val="0"/>
                    <w:adjustRightInd w:val="0"/>
                    <w:snapToGrid w:val="0"/>
                    <w:spacing w:line="320" w:lineRule="exact"/>
                    <w:ind w:left="0" w:right="0" w:firstLine="0"/>
                    <w:jc w:val="center"/>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类</w:t>
                  </w:r>
                  <w:r>
                    <w:rPr>
                      <w:rFonts w:hint="default" w:ascii="Times New Roman" w:hAnsi="Times New Roman" w:eastAsia="宋体" w:cs="Times New Roman"/>
                      <w:b/>
                      <w:bCs/>
                      <w:spacing w:val="-1"/>
                      <w:sz w:val="21"/>
                      <w:szCs w:val="21"/>
                    </w:rPr>
                    <w:t>别</w:t>
                  </w:r>
                </w:p>
              </w:tc>
              <w:tc>
                <w:tcPr>
                  <w:tcW w:w="4483" w:type="pct"/>
                  <w:vAlign w:val="center"/>
                </w:tcPr>
                <w:p>
                  <w:pPr>
                    <w:keepNext w:val="0"/>
                    <w:keepLines w:val="0"/>
                    <w:pageBreakBefore w:val="0"/>
                    <w:widowControl/>
                    <w:kinsoku/>
                    <w:wordWrap/>
                    <w:overflowPunct/>
                    <w:topLinePunct w:val="0"/>
                    <w:autoSpaceDE w:val="0"/>
                    <w:autoSpaceDN w:val="0"/>
                    <w:bidi w:val="0"/>
                    <w:adjustRightInd w:val="0"/>
                    <w:snapToGrid w:val="0"/>
                    <w:spacing w:line="320" w:lineRule="exact"/>
                    <w:ind w:left="0" w:right="0" w:firstLine="0"/>
                    <w:jc w:val="center"/>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规划</w:t>
                  </w:r>
                  <w:r>
                    <w:rPr>
                      <w:rFonts w:hint="default" w:ascii="Times New Roman" w:hAnsi="Times New Roman" w:eastAsia="宋体" w:cs="Times New Roman"/>
                      <w:b/>
                      <w:bCs/>
                      <w:spacing w:val="-1"/>
                      <w:sz w:val="21"/>
                      <w:szCs w:val="21"/>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jc w:val="center"/>
              </w:trPr>
              <w:tc>
                <w:tcPr>
                  <w:tcW w:w="516" w:type="pct"/>
                  <w:vAlign w:val="center"/>
                </w:tcPr>
                <w:p>
                  <w:pPr>
                    <w:keepNext w:val="0"/>
                    <w:keepLines w:val="0"/>
                    <w:pageBreakBefore w:val="0"/>
                    <w:widowControl/>
                    <w:kinsoku/>
                    <w:wordWrap/>
                    <w:overflowPunct/>
                    <w:topLinePunct w:val="0"/>
                    <w:autoSpaceDE w:val="0"/>
                    <w:autoSpaceDN w:val="0"/>
                    <w:bidi w:val="0"/>
                    <w:adjustRightInd w:val="0"/>
                    <w:snapToGrid w:val="0"/>
                    <w:spacing w:line="320" w:lineRule="exact"/>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总体目标</w:t>
                  </w:r>
                </w:p>
              </w:tc>
              <w:tc>
                <w:tcPr>
                  <w:tcW w:w="4483" w:type="pct"/>
                  <w:vAlign w:val="center"/>
                </w:tcPr>
                <w:p>
                  <w:pPr>
                    <w:keepNext w:val="0"/>
                    <w:keepLines w:val="0"/>
                    <w:pageBreakBefore w:val="0"/>
                    <w:widowControl/>
                    <w:kinsoku/>
                    <w:wordWrap/>
                    <w:overflowPunct/>
                    <w:topLinePunct w:val="0"/>
                    <w:autoSpaceDE w:val="0"/>
                    <w:autoSpaceDN w:val="0"/>
                    <w:bidi w:val="0"/>
                    <w:adjustRightInd w:val="0"/>
                    <w:snapToGrid w:val="0"/>
                    <w:spacing w:line="320" w:lineRule="exact"/>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规划将承德双滦经济开发区</w:t>
                  </w:r>
                  <w:r>
                    <w:rPr>
                      <w:rFonts w:hint="default" w:ascii="Times New Roman" w:hAnsi="Times New Roman" w:eastAsia="宋体" w:cs="Times New Roman"/>
                      <w:spacing w:val="1"/>
                      <w:sz w:val="21"/>
                      <w:szCs w:val="21"/>
                    </w:rPr>
                    <w:t>建设成为一个总体布局合理、环境优美、投资环境优良、</w:t>
                  </w:r>
                  <w:r>
                    <w:rPr>
                      <w:rFonts w:hint="default" w:ascii="Times New Roman" w:hAnsi="Times New Roman" w:eastAsia="宋体" w:cs="Times New Roman"/>
                      <w:spacing w:val="14"/>
                      <w:sz w:val="21"/>
                      <w:szCs w:val="21"/>
                    </w:rPr>
                    <w:t>生产设</w:t>
                  </w:r>
                  <w:r>
                    <w:rPr>
                      <w:rFonts w:hint="default" w:ascii="Times New Roman" w:hAnsi="Times New Roman" w:eastAsia="宋体" w:cs="Times New Roman"/>
                      <w:spacing w:val="9"/>
                      <w:sz w:val="21"/>
                      <w:szCs w:val="21"/>
                    </w:rPr>
                    <w:t>施</w:t>
                  </w:r>
                  <w:r>
                    <w:rPr>
                      <w:rFonts w:hint="default" w:ascii="Times New Roman" w:hAnsi="Times New Roman" w:eastAsia="宋体" w:cs="Times New Roman"/>
                      <w:spacing w:val="7"/>
                      <w:sz w:val="21"/>
                      <w:szCs w:val="21"/>
                    </w:rPr>
                    <w:t>完善、经济与社会协调发展、人与自然和谐统一的绿色园区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jc w:val="center"/>
              </w:trPr>
              <w:tc>
                <w:tcPr>
                  <w:tcW w:w="516" w:type="pct"/>
                  <w:vAlign w:val="center"/>
                </w:tcPr>
                <w:p>
                  <w:pPr>
                    <w:keepNext w:val="0"/>
                    <w:keepLines w:val="0"/>
                    <w:pageBreakBefore w:val="0"/>
                    <w:widowControl/>
                    <w:kinsoku/>
                    <w:wordWrap/>
                    <w:overflowPunct/>
                    <w:topLinePunct w:val="0"/>
                    <w:autoSpaceDE w:val="0"/>
                    <w:autoSpaceDN w:val="0"/>
                    <w:bidi w:val="0"/>
                    <w:adjustRightInd w:val="0"/>
                    <w:snapToGrid w:val="0"/>
                    <w:spacing w:line="320" w:lineRule="exact"/>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环境保护</w:t>
                  </w:r>
                  <w:r>
                    <w:rPr>
                      <w:rFonts w:hint="default" w:ascii="Times New Roman" w:hAnsi="Times New Roman" w:eastAsia="宋体" w:cs="Times New Roman"/>
                      <w:spacing w:val="-1"/>
                      <w:sz w:val="21"/>
                      <w:szCs w:val="21"/>
                    </w:rPr>
                    <w:t>要</w:t>
                  </w:r>
                  <w:r>
                    <w:rPr>
                      <w:rFonts w:hint="default" w:ascii="Times New Roman" w:hAnsi="Times New Roman" w:eastAsia="宋体" w:cs="Times New Roman"/>
                      <w:sz w:val="21"/>
                      <w:szCs w:val="21"/>
                    </w:rPr>
                    <w:t>求及目标</w:t>
                  </w:r>
                </w:p>
              </w:tc>
              <w:tc>
                <w:tcPr>
                  <w:tcW w:w="4483" w:type="pct"/>
                  <w:vAlign w:val="center"/>
                </w:tcPr>
                <w:p>
                  <w:pPr>
                    <w:keepNext w:val="0"/>
                    <w:keepLines w:val="0"/>
                    <w:pageBreakBefore w:val="0"/>
                    <w:widowControl/>
                    <w:kinsoku/>
                    <w:wordWrap/>
                    <w:overflowPunct/>
                    <w:topLinePunct w:val="0"/>
                    <w:autoSpaceDE w:val="0"/>
                    <w:autoSpaceDN w:val="0"/>
                    <w:bidi w:val="0"/>
                    <w:adjustRightInd w:val="0"/>
                    <w:snapToGrid w:val="0"/>
                    <w:spacing w:line="320" w:lineRule="exact"/>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(1)大气环境</w:t>
                  </w:r>
                  <w:r>
                    <w:rPr>
                      <w:rFonts w:hint="default" w:ascii="Times New Roman" w:hAnsi="Times New Roman" w:eastAsia="宋体" w:cs="Times New Roman"/>
                      <w:spacing w:val="-3"/>
                      <w:sz w:val="21"/>
                      <w:szCs w:val="21"/>
                    </w:rPr>
                    <w:t>目</w:t>
                  </w:r>
                  <w:r>
                    <w:rPr>
                      <w:rFonts w:hint="default" w:ascii="Times New Roman" w:hAnsi="Times New Roman" w:eastAsia="宋体" w:cs="Times New Roman"/>
                      <w:spacing w:val="-2"/>
                      <w:sz w:val="21"/>
                      <w:szCs w:val="21"/>
                    </w:rPr>
                    <w:t>标：规划开发区大气环境质量控制在GB3095-2012《环境空气质</w:t>
                  </w:r>
                  <w:r>
                    <w:rPr>
                      <w:rFonts w:hint="default" w:ascii="Times New Roman" w:hAnsi="Times New Roman" w:eastAsia="宋体" w:cs="Times New Roman"/>
                      <w:spacing w:val="-8"/>
                      <w:sz w:val="21"/>
                      <w:szCs w:val="21"/>
                    </w:rPr>
                    <w:t>量标准》</w:t>
                  </w:r>
                  <w:r>
                    <w:rPr>
                      <w:rFonts w:hint="default" w:ascii="Times New Roman" w:hAnsi="Times New Roman" w:eastAsia="宋体" w:cs="Times New Roman"/>
                      <w:spacing w:val="-4"/>
                      <w:sz w:val="21"/>
                      <w:szCs w:val="21"/>
                    </w:rPr>
                    <w:t>二级以上标准。规划开发区烟尘达标区覆盖率达到100</w:t>
                  </w:r>
                  <w:r>
                    <w:rPr>
                      <w:rFonts w:hint="default" w:ascii="Times New Roman" w:hAnsi="Times New Roman" w:eastAsia="宋体" w:cs="Times New Roman"/>
                      <w:spacing w:val="4"/>
                      <w:sz w:val="21"/>
                      <w:szCs w:val="21"/>
                    </w:rPr>
                    <w:t>%</w:t>
                  </w:r>
                  <w:r>
                    <w:rPr>
                      <w:rFonts w:hint="default" w:ascii="Times New Roman" w:hAnsi="Times New Roman" w:eastAsia="宋体" w:cs="Times New Roman"/>
                      <w:spacing w:val="-4"/>
                      <w:sz w:val="21"/>
                      <w:szCs w:val="21"/>
                    </w:rPr>
                    <w:t>以上。</w:t>
                  </w:r>
                </w:p>
                <w:p>
                  <w:pPr>
                    <w:keepNext w:val="0"/>
                    <w:keepLines w:val="0"/>
                    <w:pageBreakBefore w:val="0"/>
                    <w:widowControl/>
                    <w:tabs>
                      <w:tab w:val="left" w:pos="116"/>
                    </w:tabs>
                    <w:kinsoku/>
                    <w:wordWrap/>
                    <w:overflowPunct/>
                    <w:topLinePunct w:val="0"/>
                    <w:autoSpaceDE w:val="0"/>
                    <w:autoSpaceDN w:val="0"/>
                    <w:bidi w:val="0"/>
                    <w:adjustRightInd w:val="0"/>
                    <w:snapToGrid w:val="0"/>
                    <w:spacing w:line="320" w:lineRule="exact"/>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(2)水环境目标：地面水环境质量控制在</w:t>
                  </w:r>
                  <w:r>
                    <w:rPr>
                      <w:rFonts w:hint="default" w:ascii="Times New Roman" w:hAnsi="Times New Roman" w:eastAsia="宋体" w:cs="Times New Roman"/>
                      <w:sz w:val="21"/>
                      <w:szCs w:val="21"/>
                    </w:rPr>
                    <w:t>GB</w:t>
                  </w:r>
                  <w:r>
                    <w:rPr>
                      <w:rFonts w:hint="default" w:ascii="Times New Roman" w:hAnsi="Times New Roman" w:eastAsia="宋体" w:cs="Times New Roman"/>
                      <w:spacing w:val="4"/>
                      <w:sz w:val="21"/>
                      <w:szCs w:val="21"/>
                    </w:rPr>
                    <w:t>3838－2002《地表水环境质量标准</w:t>
                  </w:r>
                  <w:r>
                    <w:rPr>
                      <w:rFonts w:hint="default" w:ascii="Times New Roman" w:hAnsi="Times New Roman" w:eastAsia="宋体" w:cs="Times New Roman"/>
                      <w:spacing w:val="2"/>
                      <w:sz w:val="21"/>
                      <w:szCs w:val="21"/>
                    </w:rPr>
                    <w:t>》</w:t>
                  </w:r>
                  <w:r>
                    <w:rPr>
                      <w:rFonts w:hint="default" w:ascii="Times New Roman" w:hAnsi="Times New Roman" w:eastAsia="宋体" w:cs="Times New Roman"/>
                      <w:spacing w:val="8"/>
                      <w:sz w:val="21"/>
                      <w:szCs w:val="21"/>
                    </w:rPr>
                    <w:t>相应功能</w:t>
                  </w:r>
                  <w:r>
                    <w:rPr>
                      <w:rFonts w:hint="default" w:ascii="Times New Roman" w:hAnsi="Times New Roman" w:eastAsia="宋体" w:cs="Times New Roman"/>
                      <w:spacing w:val="4"/>
                      <w:sz w:val="21"/>
                      <w:szCs w:val="21"/>
                    </w:rPr>
                    <w:t>区标准内，地下水应达国家地下水Ⅲ类标准。规划开发区内污水处理率达100%，废水治理率达100%以上，治理达标率达100%</w:t>
                  </w:r>
                  <w:r>
                    <w:rPr>
                      <w:rFonts w:hint="default" w:ascii="Times New Roman" w:hAnsi="Times New Roman" w:eastAsia="宋体" w:cs="Times New Roman"/>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516" w:type="pct"/>
                  <w:vAlign w:val="center"/>
                </w:tcPr>
                <w:p>
                  <w:pPr>
                    <w:keepNext w:val="0"/>
                    <w:keepLines w:val="0"/>
                    <w:pageBreakBefore w:val="0"/>
                    <w:widowControl/>
                    <w:kinsoku/>
                    <w:wordWrap/>
                    <w:overflowPunct/>
                    <w:topLinePunct w:val="0"/>
                    <w:autoSpaceDE w:val="0"/>
                    <w:autoSpaceDN w:val="0"/>
                    <w:bidi w:val="0"/>
                    <w:adjustRightInd w:val="0"/>
                    <w:snapToGrid w:val="0"/>
                    <w:spacing w:line="320" w:lineRule="exact"/>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环境保护</w:t>
                  </w:r>
                  <w:r>
                    <w:rPr>
                      <w:rFonts w:hint="default" w:ascii="Times New Roman" w:hAnsi="Times New Roman" w:eastAsia="宋体" w:cs="Times New Roman"/>
                      <w:spacing w:val="-1"/>
                      <w:sz w:val="21"/>
                      <w:szCs w:val="21"/>
                    </w:rPr>
                    <w:t>要</w:t>
                  </w:r>
                  <w:r>
                    <w:rPr>
                      <w:rFonts w:hint="default" w:ascii="Times New Roman" w:hAnsi="Times New Roman" w:eastAsia="宋体" w:cs="Times New Roman"/>
                      <w:sz w:val="21"/>
                      <w:szCs w:val="21"/>
                    </w:rPr>
                    <w:t>求及目标</w:t>
                  </w:r>
                </w:p>
              </w:tc>
              <w:tc>
                <w:tcPr>
                  <w:tcW w:w="4483" w:type="pct"/>
                  <w:vAlign w:val="center"/>
                </w:tcPr>
                <w:p>
                  <w:pPr>
                    <w:keepNext w:val="0"/>
                    <w:keepLines w:val="0"/>
                    <w:pageBreakBefore w:val="0"/>
                    <w:widowControl/>
                    <w:kinsoku/>
                    <w:wordWrap/>
                    <w:overflowPunct/>
                    <w:topLinePunct w:val="0"/>
                    <w:autoSpaceDE w:val="0"/>
                    <w:autoSpaceDN w:val="0"/>
                    <w:bidi w:val="0"/>
                    <w:adjustRightInd w:val="0"/>
                    <w:snapToGrid w:val="0"/>
                    <w:spacing w:line="320" w:lineRule="exact"/>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w:t>
                  </w:r>
                  <w:r>
                    <w:rPr>
                      <w:rFonts w:hint="default" w:ascii="Times New Roman" w:hAnsi="Times New Roman" w:eastAsia="宋体" w:cs="Times New Roman"/>
                      <w:spacing w:val="3"/>
                      <w:sz w:val="21"/>
                      <w:szCs w:val="21"/>
                    </w:rPr>
                    <w:t>3</w:t>
                  </w:r>
                  <w:r>
                    <w:rPr>
                      <w:rFonts w:hint="default" w:ascii="Times New Roman" w:hAnsi="Times New Roman" w:eastAsia="宋体" w:cs="Times New Roman"/>
                      <w:spacing w:val="2"/>
                      <w:sz w:val="21"/>
                      <w:szCs w:val="21"/>
                    </w:rPr>
                    <w:t>)噪声环境目标：噪声环境标准执行《声环境质量标准》(</w:t>
                  </w:r>
                  <w:r>
                    <w:rPr>
                      <w:rFonts w:hint="default" w:ascii="Times New Roman" w:hAnsi="Times New Roman" w:eastAsia="宋体" w:cs="Times New Roman"/>
                      <w:sz w:val="21"/>
                      <w:szCs w:val="21"/>
                    </w:rPr>
                    <w:t>GB</w:t>
                  </w:r>
                  <w:r>
                    <w:rPr>
                      <w:rFonts w:hint="default" w:ascii="Times New Roman" w:hAnsi="Times New Roman" w:eastAsia="宋体" w:cs="Times New Roman"/>
                      <w:spacing w:val="2"/>
                      <w:sz w:val="21"/>
                      <w:szCs w:val="21"/>
                    </w:rPr>
                    <w:t>3096-2008)。规</w:t>
                  </w:r>
                  <w:r>
                    <w:rPr>
                      <w:rFonts w:hint="default" w:ascii="Times New Roman" w:hAnsi="Times New Roman" w:eastAsia="宋体" w:cs="Times New Roman"/>
                      <w:spacing w:val="-1"/>
                      <w:sz w:val="21"/>
                      <w:szCs w:val="21"/>
                    </w:rPr>
                    <w:t>划区环境</w:t>
                  </w:r>
                  <w:r>
                    <w:rPr>
                      <w:rFonts w:hint="default" w:ascii="Times New Roman" w:hAnsi="Times New Roman" w:eastAsia="宋体" w:cs="Times New Roman"/>
                      <w:sz w:val="21"/>
                      <w:szCs w:val="21"/>
                    </w:rPr>
                    <w:t>噪声达标区覆盖率达到100%。</w:t>
                  </w:r>
                </w:p>
                <w:p>
                  <w:pPr>
                    <w:keepNext w:val="0"/>
                    <w:keepLines w:val="0"/>
                    <w:pageBreakBefore w:val="0"/>
                    <w:widowControl/>
                    <w:tabs>
                      <w:tab w:val="left" w:pos="116"/>
                    </w:tabs>
                    <w:kinsoku/>
                    <w:wordWrap/>
                    <w:overflowPunct/>
                    <w:topLinePunct w:val="0"/>
                    <w:autoSpaceDE w:val="0"/>
                    <w:autoSpaceDN w:val="0"/>
                    <w:bidi w:val="0"/>
                    <w:adjustRightInd w:val="0"/>
                    <w:snapToGrid w:val="0"/>
                    <w:spacing w:line="320" w:lineRule="exact"/>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(4)固体废</w:t>
                  </w:r>
                  <w:r>
                    <w:rPr>
                      <w:rFonts w:hint="default" w:ascii="Times New Roman" w:hAnsi="Times New Roman" w:eastAsia="宋体" w:cs="Times New Roman"/>
                      <w:spacing w:val="5"/>
                      <w:sz w:val="21"/>
                      <w:szCs w:val="21"/>
                    </w:rPr>
                    <w:t>弃</w:t>
                  </w:r>
                  <w:r>
                    <w:rPr>
                      <w:rFonts w:hint="default" w:ascii="Times New Roman" w:hAnsi="Times New Roman" w:eastAsia="宋体" w:cs="Times New Roman"/>
                      <w:spacing w:val="3"/>
                      <w:sz w:val="21"/>
                      <w:szCs w:val="21"/>
                    </w:rPr>
                    <w:t>物：固体废弃物要求达到无害化、减量化、资源化、效益化目标。</w:t>
                  </w:r>
                  <w:r>
                    <w:rPr>
                      <w:rFonts w:hint="default" w:ascii="Times New Roman" w:hAnsi="Times New Roman" w:eastAsia="宋体" w:cs="Times New Roman"/>
                      <w:spacing w:val="6"/>
                      <w:sz w:val="21"/>
                      <w:szCs w:val="21"/>
                    </w:rPr>
                    <w:t>工业固体废物</w:t>
                  </w:r>
                  <w:r>
                    <w:rPr>
                      <w:rFonts w:hint="default" w:ascii="Times New Roman" w:hAnsi="Times New Roman" w:eastAsia="宋体" w:cs="Times New Roman"/>
                      <w:spacing w:val="3"/>
                      <w:sz w:val="21"/>
                      <w:szCs w:val="21"/>
                    </w:rPr>
                    <w:t>综合利用率100%，危险废物处置率100%，生活垃圾处理率100%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6" w:hRule="atLeast"/>
                <w:jc w:val="center"/>
              </w:trPr>
              <w:tc>
                <w:tcPr>
                  <w:tcW w:w="516" w:type="pct"/>
                  <w:vMerge w:val="restart"/>
                  <w:tcBorders>
                    <w:bottom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320" w:lineRule="exact"/>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环境污染</w:t>
                  </w:r>
                  <w:r>
                    <w:rPr>
                      <w:rFonts w:hint="default" w:ascii="Times New Roman" w:hAnsi="Times New Roman" w:eastAsia="宋体" w:cs="Times New Roman"/>
                      <w:spacing w:val="-6"/>
                      <w:sz w:val="21"/>
                      <w:szCs w:val="21"/>
                    </w:rPr>
                    <w:t>防</w:t>
                  </w:r>
                  <w:r>
                    <w:rPr>
                      <w:rFonts w:hint="default" w:ascii="Times New Roman" w:hAnsi="Times New Roman" w:eastAsia="宋体" w:cs="Times New Roman"/>
                      <w:spacing w:val="-4"/>
                      <w:sz w:val="21"/>
                      <w:szCs w:val="21"/>
                    </w:rPr>
                    <w:t>治措施</w:t>
                  </w:r>
                </w:p>
              </w:tc>
              <w:tc>
                <w:tcPr>
                  <w:tcW w:w="4483" w:type="pct"/>
                  <w:vAlign w:val="center"/>
                </w:tcPr>
                <w:p>
                  <w:pPr>
                    <w:keepNext w:val="0"/>
                    <w:keepLines w:val="0"/>
                    <w:pageBreakBefore w:val="0"/>
                    <w:widowControl/>
                    <w:tabs>
                      <w:tab w:val="left" w:pos="116"/>
                    </w:tabs>
                    <w:kinsoku/>
                    <w:wordWrap/>
                    <w:overflowPunct/>
                    <w:topLinePunct w:val="0"/>
                    <w:autoSpaceDE w:val="0"/>
                    <w:autoSpaceDN w:val="0"/>
                    <w:bidi w:val="0"/>
                    <w:adjustRightInd w:val="0"/>
                    <w:snapToGrid w:val="0"/>
                    <w:spacing w:line="320" w:lineRule="exact"/>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4"/>
                      <w:sz w:val="21"/>
                      <w:szCs w:val="21"/>
                    </w:rPr>
                    <w:t>(</w:t>
                  </w:r>
                  <w:r>
                    <w:rPr>
                      <w:rFonts w:hint="default" w:ascii="Times New Roman" w:hAnsi="Times New Roman" w:eastAsia="宋体" w:cs="Times New Roman"/>
                      <w:spacing w:val="11"/>
                      <w:sz w:val="21"/>
                      <w:szCs w:val="21"/>
                    </w:rPr>
                    <w:t>1</w:t>
                  </w:r>
                  <w:r>
                    <w:rPr>
                      <w:rFonts w:hint="default" w:ascii="Times New Roman" w:hAnsi="Times New Roman" w:eastAsia="宋体" w:cs="Times New Roman"/>
                      <w:spacing w:val="7"/>
                      <w:sz w:val="21"/>
                      <w:szCs w:val="21"/>
                    </w:rPr>
                    <w:t>)大气污染控制开发区内实行集中供热、供气。坚持着力调整能源结构。实施</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5"/>
                      <w:sz w:val="21"/>
                      <w:szCs w:val="21"/>
                    </w:rPr>
                    <w:t>能</w:t>
                  </w:r>
                  <w:r>
                    <w:rPr>
                      <w:rFonts w:hint="default" w:ascii="Times New Roman" w:hAnsi="Times New Roman" w:eastAsia="宋体" w:cs="Times New Roman"/>
                      <w:spacing w:val="4"/>
                      <w:sz w:val="21"/>
                      <w:szCs w:val="21"/>
                    </w:rPr>
                    <w:t>源管制，提高清洁能源比例。开发区内禁止散煤的使用，实现区内企业的锅炉、窑炉、</w:t>
                  </w:r>
                  <w:r>
                    <w:rPr>
                      <w:rFonts w:hint="default" w:ascii="Times New Roman" w:hAnsi="Times New Roman" w:eastAsia="宋体" w:cs="Times New Roman"/>
                      <w:spacing w:val="3"/>
                      <w:sz w:val="21"/>
                      <w:szCs w:val="21"/>
                    </w:rPr>
                    <w:t>食</w:t>
                  </w:r>
                  <w:r>
                    <w:rPr>
                      <w:rFonts w:hint="default" w:ascii="Times New Roman" w:hAnsi="Times New Roman" w:eastAsia="宋体" w:cs="Times New Roman"/>
                      <w:spacing w:val="2"/>
                      <w:sz w:val="21"/>
                      <w:szCs w:val="21"/>
                    </w:rPr>
                    <w:t>堂大灶烟尘达标排放，并大力推广清洁能源。提倡余热利用、实现节能降</w:t>
                  </w:r>
                  <w:r>
                    <w:rPr>
                      <w:rFonts w:hint="default" w:ascii="Times New Roman" w:hAnsi="Times New Roman" w:eastAsia="宋体" w:cs="Times New Roman"/>
                      <w:spacing w:val="6"/>
                      <w:sz w:val="21"/>
                      <w:szCs w:val="21"/>
                    </w:rPr>
                    <w:t>耗</w:t>
                  </w:r>
                  <w:r>
                    <w:rPr>
                      <w:rFonts w:hint="default" w:ascii="Times New Roman" w:hAnsi="Times New Roman" w:eastAsia="宋体" w:cs="Times New Roman"/>
                      <w:spacing w:val="5"/>
                      <w:sz w:val="21"/>
                      <w:szCs w:val="21"/>
                    </w:rPr>
                    <w:t>。加强废气污染源管理，实行大气污染物总量控制。要提高开发区绿化率，坚持</w:t>
                  </w:r>
                  <w:r>
                    <w:rPr>
                      <w:rFonts w:hint="default" w:ascii="Times New Roman" w:hAnsi="Times New Roman" w:eastAsia="宋体" w:cs="Times New Roman"/>
                      <w:spacing w:val="12"/>
                      <w:sz w:val="21"/>
                      <w:szCs w:val="21"/>
                    </w:rPr>
                    <w:t>管</w:t>
                  </w:r>
                  <w:r>
                    <w:rPr>
                      <w:rFonts w:hint="default" w:ascii="Times New Roman" w:hAnsi="Times New Roman" w:eastAsia="宋体" w:cs="Times New Roman"/>
                      <w:spacing w:val="10"/>
                      <w:sz w:val="21"/>
                      <w:szCs w:val="21"/>
                    </w:rPr>
                    <w:t>理</w:t>
                  </w:r>
                  <w:r>
                    <w:rPr>
                      <w:rFonts w:hint="default" w:ascii="Times New Roman" w:hAnsi="Times New Roman" w:eastAsia="宋体" w:cs="Times New Roman"/>
                      <w:spacing w:val="6"/>
                      <w:sz w:val="21"/>
                      <w:szCs w:val="21"/>
                    </w:rPr>
                    <w:t>与治理并重，形成严密协调的管治体系。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3" w:hRule="atLeast"/>
                <w:jc w:val="center"/>
              </w:trPr>
              <w:tc>
                <w:tcPr>
                  <w:tcW w:w="516" w:type="pct"/>
                  <w:vMerge w:val="continue"/>
                  <w:tcBorders>
                    <w:top w:val="nil"/>
                    <w:bottom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320" w:lineRule="exact"/>
                    <w:ind w:left="0" w:right="0" w:firstLine="0"/>
                    <w:jc w:val="center"/>
                    <w:textAlignment w:val="baseline"/>
                    <w:rPr>
                      <w:rFonts w:hint="default" w:ascii="Times New Roman" w:hAnsi="Times New Roman" w:eastAsia="宋体" w:cs="Times New Roman"/>
                      <w:sz w:val="21"/>
                      <w:szCs w:val="21"/>
                    </w:rPr>
                  </w:pPr>
                </w:p>
              </w:tc>
              <w:tc>
                <w:tcPr>
                  <w:tcW w:w="4483" w:type="pct"/>
                  <w:vAlign w:val="center"/>
                </w:tcPr>
                <w:p>
                  <w:pPr>
                    <w:keepNext w:val="0"/>
                    <w:keepLines w:val="0"/>
                    <w:pageBreakBefore w:val="0"/>
                    <w:widowControl/>
                    <w:kinsoku/>
                    <w:wordWrap/>
                    <w:overflowPunct/>
                    <w:topLinePunct w:val="0"/>
                    <w:autoSpaceDE w:val="0"/>
                    <w:autoSpaceDN w:val="0"/>
                    <w:bidi w:val="0"/>
                    <w:adjustRightInd w:val="0"/>
                    <w:snapToGrid w:val="0"/>
                    <w:spacing w:line="320" w:lineRule="exact"/>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(2)水污染控制规</w:t>
                  </w:r>
                  <w:r>
                    <w:rPr>
                      <w:rFonts w:hint="default" w:ascii="Times New Roman" w:hAnsi="Times New Roman" w:eastAsia="宋体" w:cs="Times New Roman"/>
                      <w:spacing w:val="3"/>
                      <w:sz w:val="21"/>
                      <w:szCs w:val="21"/>
                    </w:rPr>
                    <w:t>划</w:t>
                  </w:r>
                  <w:r>
                    <w:rPr>
                      <w:rFonts w:hint="default" w:ascii="Times New Roman" w:hAnsi="Times New Roman" w:eastAsia="宋体" w:cs="Times New Roman"/>
                      <w:spacing w:val="2"/>
                      <w:sz w:val="21"/>
                      <w:szCs w:val="21"/>
                    </w:rPr>
                    <w:t>开发区内排水严格实行雨污完全分流制。污水经收集后统一</w:t>
                  </w:r>
                  <w:r>
                    <w:rPr>
                      <w:rFonts w:hint="default" w:ascii="Times New Roman" w:hAnsi="Times New Roman" w:eastAsia="宋体" w:cs="Times New Roman"/>
                      <w:spacing w:val="-3"/>
                      <w:sz w:val="21"/>
                      <w:szCs w:val="21"/>
                    </w:rPr>
                    <w:t>送入污水处理厂处理，工业废水必须经厂区内部自行处理达到排放标准后方能排</w:t>
                  </w:r>
                  <w:r>
                    <w:rPr>
                      <w:rFonts w:hint="default" w:ascii="Times New Roman" w:hAnsi="Times New Roman" w:eastAsia="宋体" w:cs="Times New Roman"/>
                      <w:sz w:val="21"/>
                      <w:szCs w:val="21"/>
                    </w:rPr>
                    <w:t>入</w:t>
                  </w:r>
                  <w:r>
                    <w:rPr>
                      <w:rFonts w:hint="default" w:ascii="Times New Roman" w:hAnsi="Times New Roman" w:eastAsia="宋体" w:cs="Times New Roman"/>
                      <w:spacing w:val="-3"/>
                      <w:sz w:val="21"/>
                      <w:szCs w:val="21"/>
                    </w:rPr>
                    <w:t>开发区污水管网，生活污水必须进入开发区管网统一处理。继续完善现有污水处</w:t>
                  </w:r>
                  <w:r>
                    <w:rPr>
                      <w:rFonts w:hint="default" w:ascii="Times New Roman" w:hAnsi="Times New Roman" w:eastAsia="宋体" w:cs="Times New Roman"/>
                      <w:sz w:val="21"/>
                      <w:szCs w:val="21"/>
                    </w:rPr>
                    <w:t>理</w:t>
                  </w:r>
                  <w:r>
                    <w:rPr>
                      <w:rFonts w:hint="default" w:ascii="Times New Roman" w:hAnsi="Times New Roman" w:eastAsia="宋体" w:cs="Times New Roman"/>
                      <w:spacing w:val="-3"/>
                      <w:sz w:val="21"/>
                      <w:szCs w:val="21"/>
                    </w:rPr>
                    <w:t>厂的建设，产业区内形成完整的排水管网，控制严重污染企业的进入，对重点污</w:t>
                  </w:r>
                  <w:r>
                    <w:rPr>
                      <w:rFonts w:hint="default" w:ascii="Times New Roman" w:hAnsi="Times New Roman" w:eastAsia="宋体" w:cs="Times New Roman"/>
                      <w:spacing w:val="-2"/>
                      <w:sz w:val="21"/>
                      <w:szCs w:val="21"/>
                    </w:rPr>
                    <w:t>染</w:t>
                  </w:r>
                  <w:r>
                    <w:rPr>
                      <w:rFonts w:hint="default" w:ascii="Times New Roman" w:hAnsi="Times New Roman" w:eastAsia="宋体" w:cs="Times New Roman"/>
                      <w:spacing w:val="-3"/>
                      <w:sz w:val="21"/>
                      <w:szCs w:val="21"/>
                    </w:rPr>
                    <w:t>企业要加强管理，促使完善治理措施，入产业区企业实行雨污分流的排水体制。</w:t>
                  </w:r>
                  <w:r>
                    <w:rPr>
                      <w:rFonts w:hint="default" w:ascii="Times New Roman" w:hAnsi="Times New Roman" w:eastAsia="宋体" w:cs="Times New Roman"/>
                      <w:spacing w:val="-2"/>
                      <w:sz w:val="21"/>
                      <w:szCs w:val="21"/>
                    </w:rPr>
                    <w:t>企</w:t>
                  </w:r>
                  <w:r>
                    <w:rPr>
                      <w:rFonts w:hint="default" w:ascii="Times New Roman" w:hAnsi="Times New Roman" w:eastAsia="宋体" w:cs="Times New Roman"/>
                      <w:spacing w:val="-1"/>
                      <w:sz w:val="21"/>
                      <w:szCs w:val="21"/>
                    </w:rPr>
                    <w:t>业</w:t>
                  </w:r>
                  <w:r>
                    <w:rPr>
                      <w:rFonts w:hint="default" w:ascii="Times New Roman" w:hAnsi="Times New Roman" w:eastAsia="宋体" w:cs="Times New Roman"/>
                      <w:sz w:val="21"/>
                      <w:szCs w:val="21"/>
                    </w:rPr>
                    <w:t>生产废水和生产污水经各企业自行处理达到三级排放标准后再通过管网输送到</w:t>
                  </w:r>
                  <w:r>
                    <w:rPr>
                      <w:rFonts w:hint="default" w:ascii="Times New Roman" w:hAnsi="Times New Roman" w:eastAsia="宋体" w:cs="Times New Roman"/>
                      <w:spacing w:val="-3"/>
                      <w:sz w:val="21"/>
                      <w:szCs w:val="21"/>
                    </w:rPr>
                    <w:t>污水处理厂处理达标后排放。提高水资源利用率，开发区工业用水重复利用率控</w:t>
                  </w:r>
                  <w:r>
                    <w:rPr>
                      <w:rFonts w:hint="default" w:ascii="Times New Roman" w:hAnsi="Times New Roman" w:eastAsia="宋体" w:cs="Times New Roman"/>
                      <w:sz w:val="21"/>
                      <w:szCs w:val="21"/>
                    </w:rPr>
                    <w:t>制</w:t>
                  </w:r>
                  <w:r>
                    <w:rPr>
                      <w:rFonts w:hint="default" w:ascii="Times New Roman" w:hAnsi="Times New Roman" w:eastAsia="宋体" w:cs="Times New Roman"/>
                      <w:spacing w:val="-1"/>
                      <w:sz w:val="21"/>
                      <w:szCs w:val="21"/>
                    </w:rPr>
                    <w:t>在90</w:t>
                  </w:r>
                  <w:r>
                    <w:rPr>
                      <w:rFonts w:hint="default" w:ascii="Times New Roman" w:hAnsi="Times New Roman" w:eastAsia="宋体" w:cs="Times New Roman"/>
                      <w:sz w:val="21"/>
                      <w:szCs w:val="21"/>
                    </w:rPr>
                    <w:t>%以上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jc w:val="center"/>
              </w:trPr>
              <w:tc>
                <w:tcPr>
                  <w:tcW w:w="516" w:type="pct"/>
                  <w:vMerge w:val="continue"/>
                  <w:tcBorders>
                    <w:top w:val="nil"/>
                    <w:bottom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320" w:lineRule="exact"/>
                    <w:ind w:left="0" w:right="0" w:firstLine="0"/>
                    <w:jc w:val="center"/>
                    <w:textAlignment w:val="baseline"/>
                    <w:rPr>
                      <w:rFonts w:hint="default" w:ascii="Times New Roman" w:hAnsi="Times New Roman" w:eastAsia="宋体" w:cs="Times New Roman"/>
                      <w:sz w:val="21"/>
                      <w:szCs w:val="21"/>
                    </w:rPr>
                  </w:pPr>
                </w:p>
              </w:tc>
              <w:tc>
                <w:tcPr>
                  <w:tcW w:w="4483" w:type="pct"/>
                  <w:vAlign w:val="center"/>
                </w:tcPr>
                <w:p>
                  <w:pPr>
                    <w:keepNext w:val="0"/>
                    <w:keepLines w:val="0"/>
                    <w:pageBreakBefore w:val="0"/>
                    <w:widowControl/>
                    <w:tabs>
                      <w:tab w:val="left" w:pos="116"/>
                    </w:tabs>
                    <w:kinsoku/>
                    <w:wordWrap/>
                    <w:overflowPunct/>
                    <w:topLinePunct w:val="0"/>
                    <w:autoSpaceDE w:val="0"/>
                    <w:autoSpaceDN w:val="0"/>
                    <w:bidi w:val="0"/>
                    <w:adjustRightInd w:val="0"/>
                    <w:snapToGrid w:val="0"/>
                    <w:spacing w:line="320" w:lineRule="exact"/>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(3)噪</w:t>
                  </w:r>
                  <w:r>
                    <w:rPr>
                      <w:rFonts w:hint="default" w:ascii="Times New Roman" w:hAnsi="Times New Roman" w:eastAsia="宋体" w:cs="Times New Roman"/>
                      <w:spacing w:val="4"/>
                      <w:sz w:val="21"/>
                      <w:szCs w:val="21"/>
                    </w:rPr>
                    <w:t>声污染控制。加强对流动噪声的管理，区内禁止机动车鸣高音喇叭。交通噪声控制</w:t>
                  </w:r>
                  <w:r>
                    <w:rPr>
                      <w:rFonts w:hint="default" w:ascii="Times New Roman" w:hAnsi="Times New Roman" w:eastAsia="宋体" w:cs="Times New Roman"/>
                      <w:spacing w:val="2"/>
                      <w:sz w:val="21"/>
                      <w:szCs w:val="21"/>
                    </w:rPr>
                    <w:t>：对外交通线及主要道路两侧布置防护绿带，以降低噪声的干扰。加强流动噪声源的管理；分期分批淘</w:t>
                  </w:r>
                  <w:r>
                    <w:rPr>
                      <w:rFonts w:hint="default" w:ascii="Times New Roman" w:hAnsi="Times New Roman" w:eastAsia="宋体" w:cs="Times New Roman"/>
                      <w:spacing w:val="1"/>
                      <w:sz w:val="21"/>
                      <w:szCs w:val="21"/>
                    </w:rPr>
                    <w:t>汰超标的交通工具；严禁农用车、拖拉机进入区内等。</w:t>
                  </w:r>
                  <w:r>
                    <w:rPr>
                      <w:rFonts w:hint="default" w:ascii="Times New Roman" w:hAnsi="Times New Roman" w:eastAsia="宋体" w:cs="Times New Roman"/>
                      <w:spacing w:val="7"/>
                      <w:sz w:val="21"/>
                      <w:szCs w:val="21"/>
                    </w:rPr>
                    <w:t>工</w:t>
                  </w:r>
                  <w:r>
                    <w:rPr>
                      <w:rFonts w:hint="default" w:ascii="Times New Roman" w:hAnsi="Times New Roman" w:eastAsia="宋体" w:cs="Times New Roman"/>
                      <w:spacing w:val="5"/>
                      <w:sz w:val="21"/>
                      <w:szCs w:val="21"/>
                    </w:rPr>
                    <w:t>业噪声控制：加强对重点工业噪声源的整治；严格限制建筑施工噪声。各企业应</w:t>
                  </w:r>
                  <w:r>
                    <w:rPr>
                      <w:rFonts w:hint="default" w:ascii="Times New Roman" w:hAnsi="Times New Roman" w:eastAsia="宋体" w:cs="Times New Roman"/>
                      <w:spacing w:val="7"/>
                      <w:sz w:val="21"/>
                      <w:szCs w:val="21"/>
                    </w:rPr>
                    <w:t>加</w:t>
                  </w:r>
                  <w:r>
                    <w:rPr>
                      <w:rFonts w:hint="default" w:ascii="Times New Roman" w:hAnsi="Times New Roman" w:eastAsia="宋体" w:cs="Times New Roman"/>
                      <w:spacing w:val="5"/>
                      <w:sz w:val="21"/>
                      <w:szCs w:val="21"/>
                    </w:rPr>
                    <w:t>强各项隔振降噪措施的管理，并对设施噪声、厂界噪声进行定期监测，发现问题</w:t>
                  </w:r>
                  <w:r>
                    <w:rPr>
                      <w:rFonts w:hint="default" w:ascii="Times New Roman" w:hAnsi="Times New Roman" w:eastAsia="宋体" w:cs="Times New Roman"/>
                      <w:spacing w:val="3"/>
                      <w:sz w:val="21"/>
                      <w:szCs w:val="21"/>
                    </w:rPr>
                    <w:t>及</w:t>
                  </w:r>
                  <w:r>
                    <w:rPr>
                      <w:rFonts w:hint="default" w:ascii="Times New Roman" w:hAnsi="Times New Roman" w:eastAsia="宋体" w:cs="Times New Roman"/>
                      <w:spacing w:val="2"/>
                      <w:sz w:val="21"/>
                      <w:szCs w:val="21"/>
                    </w:rPr>
                    <w:t>时解决。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jc w:val="center"/>
              </w:trPr>
              <w:tc>
                <w:tcPr>
                  <w:tcW w:w="516" w:type="pct"/>
                  <w:vMerge w:val="continue"/>
                  <w:tcBorders>
                    <w:top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320" w:lineRule="exact"/>
                    <w:ind w:left="0" w:right="0" w:firstLine="0"/>
                    <w:jc w:val="center"/>
                    <w:textAlignment w:val="baseline"/>
                    <w:rPr>
                      <w:rFonts w:hint="default" w:ascii="Times New Roman" w:hAnsi="Times New Roman" w:eastAsia="宋体" w:cs="Times New Roman"/>
                      <w:sz w:val="21"/>
                      <w:szCs w:val="21"/>
                    </w:rPr>
                  </w:pPr>
                </w:p>
              </w:tc>
              <w:tc>
                <w:tcPr>
                  <w:tcW w:w="4483" w:type="pct"/>
                  <w:vAlign w:val="center"/>
                </w:tcPr>
                <w:p>
                  <w:pPr>
                    <w:keepNext w:val="0"/>
                    <w:keepLines w:val="0"/>
                    <w:pageBreakBefore w:val="0"/>
                    <w:widowControl/>
                    <w:kinsoku/>
                    <w:wordWrap/>
                    <w:overflowPunct/>
                    <w:topLinePunct w:val="0"/>
                    <w:autoSpaceDE w:val="0"/>
                    <w:autoSpaceDN w:val="0"/>
                    <w:bidi w:val="0"/>
                    <w:adjustRightInd w:val="0"/>
                    <w:snapToGrid w:val="0"/>
                    <w:spacing w:line="320" w:lineRule="exact"/>
                    <w:ind w:left="0" w:right="0" w:firstLine="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(4)</w:t>
                  </w:r>
                  <w:r>
                    <w:rPr>
                      <w:rFonts w:hint="default" w:ascii="Times New Roman" w:hAnsi="Times New Roman" w:eastAsia="宋体" w:cs="Times New Roman"/>
                      <w:spacing w:val="-1"/>
                      <w:sz w:val="21"/>
                      <w:szCs w:val="21"/>
                    </w:rPr>
                    <w:t>固体废弃物处理。做到工业废物、危险废物，生活垃圾的减量化、无害化、</w:t>
                  </w:r>
                  <w:r>
                    <w:rPr>
                      <w:rFonts w:hint="default" w:ascii="Times New Roman" w:hAnsi="Times New Roman" w:eastAsia="宋体" w:cs="Times New Roman"/>
                      <w:spacing w:val="-6"/>
                      <w:sz w:val="21"/>
                      <w:szCs w:val="21"/>
                    </w:rPr>
                    <w:t>资</w:t>
                  </w:r>
                  <w:r>
                    <w:rPr>
                      <w:rFonts w:hint="default" w:ascii="Times New Roman" w:hAnsi="Times New Roman" w:eastAsia="宋体" w:cs="Times New Roman"/>
                      <w:spacing w:val="-3"/>
                      <w:sz w:val="21"/>
                      <w:szCs w:val="21"/>
                    </w:rPr>
                    <w:t>源化。工业废渣进行回用或填埋，并逐步提高综合利用率。加快生产垃圾处理及</w:t>
                  </w:r>
                  <w:r>
                    <w:rPr>
                      <w:rFonts w:hint="default" w:ascii="Times New Roman" w:hAnsi="Times New Roman" w:eastAsia="宋体" w:cs="Times New Roman"/>
                      <w:spacing w:val="-1"/>
                      <w:sz w:val="21"/>
                      <w:szCs w:val="21"/>
                    </w:rPr>
                    <w:t>综合利用、危险废物安全处置等城市环保基础设施建设。</w:t>
                  </w:r>
                </w:p>
              </w:tc>
            </w:tr>
          </w:tbl>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sz w:val="21"/>
                <w:szCs w:val="21"/>
                <w:lang w:val="en-US"/>
              </w:rPr>
            </w:pPr>
            <w:r>
              <w:rPr>
                <w:rFonts w:hint="eastAsia"/>
                <w:lang w:val="en-US" w:eastAsia="zh-CN"/>
              </w:rPr>
              <w:t>本项目为专科医院，项目运营期产生废气主要为污水处理站产生恶臭气体以及食堂油烟，污水处理站建设采取地埋一体化，并采取投放除臭剂等措施；食堂油烟经高效油烟净化器处理后，由专用烟道引至房顶排放，不侧排。项目运营期产生的生活污水与医疗废水一同进入化粪池预处理后，进入污水处理设施（A/O生物接触氧化工艺+消毒工艺），处理达标后经市政管网排放至双滦区城市污水厂处理。一般固废及生活垃圾交由环卫部门处理，危险废物暂存危废间，交由有资质的单位进行处理。采取环评要求环保措施后，不会对周边环境造成跟打影响，符合生态环境保护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83"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sz w:val="21"/>
                <w:szCs w:val="21"/>
              </w:rPr>
              <w:t>其他符合性分析</w:t>
            </w:r>
          </w:p>
        </w:tc>
        <w:tc>
          <w:tcPr>
            <w:tcW w:w="4516" w:type="pct"/>
            <w:gridSpan w:val="3"/>
          </w:tcPr>
          <w:p>
            <w:pPr>
              <w:keepNext/>
              <w:keepLines/>
              <w:spacing w:line="360" w:lineRule="auto"/>
              <w:ind w:firstLine="422" w:firstLineChars="200"/>
              <w:rPr>
                <w:b/>
                <w:bCs/>
                <w:sz w:val="21"/>
                <w:szCs w:val="21"/>
              </w:rPr>
            </w:pPr>
            <w:r>
              <w:rPr>
                <w:rFonts w:hint="eastAsia"/>
                <w:b/>
                <w:bCs/>
                <w:sz w:val="21"/>
                <w:szCs w:val="21"/>
                <w:lang w:val="en-US" w:eastAsia="zh-CN"/>
              </w:rPr>
              <w:t>1</w:t>
            </w:r>
            <w:r>
              <w:rPr>
                <w:rFonts w:hint="eastAsia"/>
                <w:b/>
                <w:bCs/>
                <w:sz w:val="21"/>
                <w:szCs w:val="21"/>
              </w:rPr>
              <w:t>、市场准入负面清单</w:t>
            </w:r>
            <w:r>
              <w:rPr>
                <w:b/>
                <w:bCs/>
                <w:sz w:val="21"/>
                <w:szCs w:val="21"/>
              </w:rPr>
              <w:t>符合性分析</w:t>
            </w:r>
          </w:p>
          <w:p>
            <w:pPr>
              <w:pStyle w:val="2"/>
              <w:spacing w:line="360" w:lineRule="auto"/>
              <w:ind w:firstLine="480"/>
              <w:rPr>
                <w:sz w:val="21"/>
                <w:szCs w:val="21"/>
              </w:rPr>
            </w:pPr>
            <w:r>
              <w:rPr>
                <w:b w:val="0"/>
                <w:bCs w:val="0"/>
                <w:color w:val="auto"/>
                <w:sz w:val="21"/>
                <w:szCs w:val="21"/>
              </w:rPr>
              <w:t>本项目属于《产业结构调整指导目录》(2019 年本)中的第一类、鼓励类-三十七、卫生健康-5、医疗卫生服务设施建设。根据《河北省新增限制和淘汰类产业目录(2015年版)》中的规定，本项目不属于限制类、淘汰类项目</w:t>
            </w:r>
            <w:r>
              <w:rPr>
                <w:rFonts w:hint="eastAsia"/>
                <w:b w:val="0"/>
                <w:bCs w:val="0"/>
                <w:color w:val="auto"/>
                <w:sz w:val="21"/>
                <w:szCs w:val="21"/>
              </w:rPr>
              <w:t>。</w:t>
            </w:r>
            <w:r>
              <w:rPr>
                <w:sz w:val="21"/>
                <w:szCs w:val="21"/>
              </w:rPr>
              <w:t>根</w:t>
            </w:r>
            <w:r>
              <w:rPr>
                <w:rFonts w:hint="eastAsia"/>
                <w:sz w:val="21"/>
                <w:szCs w:val="21"/>
              </w:rPr>
              <w:t>据“</w:t>
            </w:r>
            <w:r>
              <w:rPr>
                <w:sz w:val="21"/>
                <w:szCs w:val="21"/>
              </w:rPr>
              <w:t>国家发展改革委商务部关于印发《市场准入负面清单（2022年版）》的通知（发改体改规[2022]397号</w:t>
            </w:r>
            <w:r>
              <w:rPr>
                <w:rFonts w:hint="eastAsia"/>
                <w:sz w:val="21"/>
                <w:szCs w:val="21"/>
              </w:rPr>
              <w:t>）”</w:t>
            </w:r>
            <w:r>
              <w:rPr>
                <w:sz w:val="21"/>
                <w:szCs w:val="21"/>
              </w:rPr>
              <w:t>，应严格落</w:t>
            </w:r>
            <w:r>
              <w:rPr>
                <w:rFonts w:hint="eastAsia"/>
                <w:sz w:val="21"/>
                <w:szCs w:val="21"/>
              </w:rPr>
              <w:t>实“全国一张清单”管</w:t>
            </w:r>
            <w:r>
              <w:rPr>
                <w:sz w:val="21"/>
                <w:szCs w:val="21"/>
              </w:rPr>
              <w:t>理要求，坚决维护市场准入负面清单制度的统一性、严肃性和权威性，</w:t>
            </w:r>
            <w:r>
              <w:rPr>
                <w:rFonts w:hint="eastAsia"/>
                <w:sz w:val="21"/>
                <w:szCs w:val="21"/>
              </w:rPr>
              <w:t>确保“一单尽列、单外无单”</w:t>
            </w:r>
            <w:r>
              <w:rPr>
                <w:sz w:val="21"/>
                <w:szCs w:val="21"/>
              </w:rPr>
              <w:t>。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pPr>
              <w:pStyle w:val="2"/>
              <w:spacing w:line="360" w:lineRule="auto"/>
              <w:ind w:firstLine="480"/>
              <w:rPr>
                <w:b/>
                <w:bCs/>
                <w:sz w:val="21"/>
                <w:szCs w:val="21"/>
              </w:rPr>
            </w:pPr>
            <w:r>
              <w:rPr>
                <w:sz w:val="21"/>
                <w:szCs w:val="21"/>
              </w:rPr>
              <w:t>根据《市场准入负面清单（2022年版）》，禁止准入类共6项，涉及生态环境保护的3项，本项目符合性见下表。</w:t>
            </w:r>
          </w:p>
          <w:p>
            <w:pPr>
              <w:keepLines/>
              <w:spacing w:line="460" w:lineRule="exact"/>
              <w:jc w:val="center"/>
              <w:rPr>
                <w:b/>
                <w:bCs/>
                <w:sz w:val="21"/>
                <w:szCs w:val="21"/>
              </w:rPr>
            </w:pPr>
            <w:r>
              <w:rPr>
                <w:b/>
                <w:bCs/>
                <w:sz w:val="21"/>
                <w:szCs w:val="21"/>
              </w:rPr>
              <w:t>表1-</w:t>
            </w:r>
            <w:r>
              <w:rPr>
                <w:rFonts w:hint="eastAsia"/>
                <w:b/>
                <w:bCs/>
                <w:sz w:val="21"/>
                <w:szCs w:val="21"/>
                <w:lang w:val="en-US" w:eastAsia="zh-CN"/>
              </w:rPr>
              <w:t>3</w:t>
            </w:r>
            <w:r>
              <w:rPr>
                <w:b/>
                <w:bCs/>
                <w:sz w:val="21"/>
                <w:szCs w:val="21"/>
              </w:rPr>
              <w:t>项目与《市场准入负面清单（2022年版）》符合性分析</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366"/>
              <w:gridCol w:w="739"/>
              <w:gridCol w:w="2233"/>
              <w:gridCol w:w="2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shd w:val="clear" w:color="auto" w:fill="auto"/>
                  <w:vAlign w:val="center"/>
                </w:tcPr>
                <w:p>
                  <w:pPr>
                    <w:keepLines/>
                    <w:spacing w:line="320" w:lineRule="exact"/>
                    <w:jc w:val="center"/>
                    <w:rPr>
                      <w:b/>
                      <w:bCs/>
                      <w:sz w:val="21"/>
                      <w:szCs w:val="21"/>
                    </w:rPr>
                  </w:pPr>
                  <w:r>
                    <w:rPr>
                      <w:b/>
                      <w:bCs/>
                      <w:sz w:val="21"/>
                      <w:szCs w:val="21"/>
                    </w:rPr>
                    <w:t>项目号</w:t>
                  </w:r>
                </w:p>
              </w:tc>
              <w:tc>
                <w:tcPr>
                  <w:tcW w:w="937" w:type="pct"/>
                  <w:shd w:val="clear" w:color="auto" w:fill="auto"/>
                  <w:vAlign w:val="center"/>
                </w:tcPr>
                <w:p>
                  <w:pPr>
                    <w:keepLines/>
                    <w:spacing w:line="320" w:lineRule="exact"/>
                    <w:jc w:val="center"/>
                    <w:rPr>
                      <w:b/>
                      <w:bCs/>
                      <w:sz w:val="21"/>
                      <w:szCs w:val="21"/>
                    </w:rPr>
                  </w:pPr>
                  <w:r>
                    <w:rPr>
                      <w:b/>
                      <w:bCs/>
                      <w:sz w:val="21"/>
                      <w:szCs w:val="21"/>
                    </w:rPr>
                    <w:t>禁止或许可事项</w:t>
                  </w:r>
                </w:p>
              </w:tc>
              <w:tc>
                <w:tcPr>
                  <w:tcW w:w="507" w:type="pct"/>
                  <w:shd w:val="clear" w:color="auto" w:fill="auto"/>
                  <w:vAlign w:val="center"/>
                </w:tcPr>
                <w:p>
                  <w:pPr>
                    <w:keepLines/>
                    <w:spacing w:line="320" w:lineRule="exact"/>
                    <w:jc w:val="center"/>
                    <w:rPr>
                      <w:b/>
                      <w:bCs/>
                      <w:sz w:val="21"/>
                      <w:szCs w:val="21"/>
                    </w:rPr>
                  </w:pPr>
                  <w:r>
                    <w:rPr>
                      <w:b/>
                      <w:bCs/>
                      <w:sz w:val="21"/>
                      <w:szCs w:val="21"/>
                    </w:rPr>
                    <w:t>事项编码</w:t>
                  </w:r>
                </w:p>
              </w:tc>
              <w:tc>
                <w:tcPr>
                  <w:tcW w:w="1531" w:type="pct"/>
                  <w:shd w:val="clear" w:color="auto" w:fill="auto"/>
                  <w:vAlign w:val="center"/>
                </w:tcPr>
                <w:p>
                  <w:pPr>
                    <w:keepLines/>
                    <w:spacing w:line="320" w:lineRule="exact"/>
                    <w:jc w:val="center"/>
                    <w:rPr>
                      <w:b/>
                      <w:bCs/>
                      <w:sz w:val="21"/>
                      <w:szCs w:val="21"/>
                    </w:rPr>
                  </w:pPr>
                  <w:r>
                    <w:rPr>
                      <w:b/>
                      <w:bCs/>
                      <w:sz w:val="21"/>
                      <w:szCs w:val="21"/>
                    </w:rPr>
                    <w:t>禁止或许可准入措施描述</w:t>
                  </w:r>
                </w:p>
              </w:tc>
              <w:tc>
                <w:tcPr>
                  <w:tcW w:w="1601" w:type="pct"/>
                  <w:shd w:val="clear" w:color="auto" w:fill="auto"/>
                  <w:vAlign w:val="center"/>
                </w:tcPr>
                <w:p>
                  <w:pPr>
                    <w:keepLines/>
                    <w:spacing w:line="320" w:lineRule="exact"/>
                    <w:jc w:val="center"/>
                    <w:rPr>
                      <w:b/>
                      <w:bCs/>
                      <w:sz w:val="21"/>
                      <w:szCs w:val="21"/>
                    </w:rPr>
                  </w:pPr>
                  <w:r>
                    <w:rPr>
                      <w:b/>
                      <w:bCs/>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shd w:val="clear" w:color="auto" w:fill="auto"/>
                  <w:vAlign w:val="center"/>
                </w:tcPr>
                <w:p>
                  <w:pPr>
                    <w:keepLines/>
                    <w:spacing w:line="320" w:lineRule="exact"/>
                    <w:jc w:val="center"/>
                    <w:rPr>
                      <w:sz w:val="21"/>
                      <w:szCs w:val="21"/>
                    </w:rPr>
                  </w:pPr>
                  <w:r>
                    <w:rPr>
                      <w:sz w:val="21"/>
                      <w:szCs w:val="21"/>
                    </w:rPr>
                    <w:t>一、禁止准入类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shd w:val="clear" w:color="auto" w:fill="auto"/>
                  <w:vAlign w:val="center"/>
                </w:tcPr>
                <w:p>
                  <w:pPr>
                    <w:keepLines/>
                    <w:spacing w:line="320" w:lineRule="exact"/>
                    <w:jc w:val="center"/>
                    <w:rPr>
                      <w:sz w:val="21"/>
                      <w:szCs w:val="21"/>
                    </w:rPr>
                  </w:pPr>
                  <w:r>
                    <w:rPr>
                      <w:sz w:val="21"/>
                      <w:szCs w:val="21"/>
                    </w:rPr>
                    <w:t>1</w:t>
                  </w:r>
                </w:p>
              </w:tc>
              <w:tc>
                <w:tcPr>
                  <w:tcW w:w="937" w:type="pct"/>
                  <w:shd w:val="clear" w:color="auto" w:fill="auto"/>
                  <w:vAlign w:val="center"/>
                </w:tcPr>
                <w:p>
                  <w:pPr>
                    <w:keepLines/>
                    <w:spacing w:line="320" w:lineRule="exact"/>
                    <w:jc w:val="center"/>
                    <w:rPr>
                      <w:sz w:val="21"/>
                      <w:szCs w:val="21"/>
                    </w:rPr>
                  </w:pPr>
                  <w:r>
                    <w:rPr>
                      <w:sz w:val="21"/>
                      <w:szCs w:val="21"/>
                    </w:rPr>
                    <w:t>法律、法规、国务院决定等明确设立且与市场准入相关的禁止性规定</w:t>
                  </w:r>
                </w:p>
              </w:tc>
              <w:tc>
                <w:tcPr>
                  <w:tcW w:w="507" w:type="pct"/>
                  <w:shd w:val="clear" w:color="auto" w:fill="auto"/>
                  <w:vAlign w:val="center"/>
                </w:tcPr>
                <w:p>
                  <w:pPr>
                    <w:keepLines/>
                    <w:spacing w:line="320" w:lineRule="exact"/>
                    <w:jc w:val="center"/>
                    <w:rPr>
                      <w:sz w:val="21"/>
                      <w:szCs w:val="21"/>
                    </w:rPr>
                  </w:pPr>
                  <w:r>
                    <w:rPr>
                      <w:sz w:val="21"/>
                      <w:szCs w:val="21"/>
                    </w:rPr>
                    <w:t>100001</w:t>
                  </w:r>
                </w:p>
              </w:tc>
              <w:tc>
                <w:tcPr>
                  <w:tcW w:w="1531" w:type="pct"/>
                  <w:shd w:val="clear" w:color="auto" w:fill="auto"/>
                  <w:vAlign w:val="center"/>
                </w:tcPr>
                <w:p>
                  <w:pPr>
                    <w:keepLines/>
                    <w:spacing w:line="320" w:lineRule="exact"/>
                    <w:jc w:val="center"/>
                    <w:rPr>
                      <w:sz w:val="21"/>
                      <w:szCs w:val="21"/>
                    </w:rPr>
                  </w:pPr>
                  <w:r>
                    <w:rPr>
                      <w:sz w:val="21"/>
                      <w:szCs w:val="21"/>
                    </w:rPr>
                    <w:t>法律、法规、国务院决定等明确设立，且与市场准入相关的禁止性规定（见附件）</w:t>
                  </w:r>
                </w:p>
              </w:tc>
              <w:tc>
                <w:tcPr>
                  <w:tcW w:w="1601" w:type="pct"/>
                  <w:shd w:val="clear" w:color="auto" w:fill="auto"/>
                  <w:vAlign w:val="center"/>
                </w:tcPr>
                <w:p>
                  <w:pPr>
                    <w:keepLines/>
                    <w:spacing w:line="320" w:lineRule="exact"/>
                    <w:jc w:val="center"/>
                    <w:rPr>
                      <w:sz w:val="21"/>
                      <w:szCs w:val="21"/>
                    </w:rPr>
                  </w:pPr>
                  <w:r>
                    <w:rPr>
                      <w:sz w:val="21"/>
                      <w:szCs w:val="21"/>
                    </w:rPr>
                    <w:t>根据《国民经济行业分类》（GB/T4754-2017），本项目行业属于</w:t>
                  </w:r>
                  <w:r>
                    <w:rPr>
                      <w:rFonts w:hint="eastAsia"/>
                      <w:sz w:val="21"/>
                      <w:szCs w:val="21"/>
                    </w:rPr>
                    <w:t>Q</w:t>
                  </w:r>
                  <w:r>
                    <w:rPr>
                      <w:sz w:val="21"/>
                      <w:szCs w:val="21"/>
                    </w:rPr>
                    <w:t>8415专科医院，经查阅与市场准入相关的禁止性规定，本项目不属于禁止类。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shd w:val="clear" w:color="auto" w:fill="auto"/>
                  <w:vAlign w:val="center"/>
                </w:tcPr>
                <w:p>
                  <w:pPr>
                    <w:keepLines/>
                    <w:spacing w:line="320" w:lineRule="exact"/>
                    <w:jc w:val="center"/>
                    <w:rPr>
                      <w:sz w:val="21"/>
                      <w:szCs w:val="21"/>
                    </w:rPr>
                  </w:pPr>
                  <w:r>
                    <w:rPr>
                      <w:sz w:val="21"/>
                      <w:szCs w:val="21"/>
                    </w:rPr>
                    <w:t>2</w:t>
                  </w:r>
                </w:p>
              </w:tc>
              <w:tc>
                <w:tcPr>
                  <w:tcW w:w="937" w:type="pct"/>
                  <w:shd w:val="clear" w:color="auto" w:fill="auto"/>
                  <w:vAlign w:val="center"/>
                </w:tcPr>
                <w:p>
                  <w:pPr>
                    <w:keepLines/>
                    <w:spacing w:line="320" w:lineRule="exact"/>
                    <w:jc w:val="center"/>
                    <w:rPr>
                      <w:sz w:val="21"/>
                      <w:szCs w:val="21"/>
                    </w:rPr>
                  </w:pPr>
                  <w:r>
                    <w:rPr>
                      <w:sz w:val="21"/>
                      <w:szCs w:val="21"/>
                    </w:rPr>
                    <w:t>国家产业政策明令淘汰和限制的产品、技术、工艺、设备及行为</w:t>
                  </w:r>
                </w:p>
              </w:tc>
              <w:tc>
                <w:tcPr>
                  <w:tcW w:w="507" w:type="pct"/>
                  <w:shd w:val="clear" w:color="auto" w:fill="auto"/>
                  <w:vAlign w:val="center"/>
                </w:tcPr>
                <w:p>
                  <w:pPr>
                    <w:keepLines/>
                    <w:spacing w:line="320" w:lineRule="exact"/>
                    <w:jc w:val="center"/>
                    <w:rPr>
                      <w:sz w:val="21"/>
                      <w:szCs w:val="21"/>
                    </w:rPr>
                  </w:pPr>
                  <w:r>
                    <w:rPr>
                      <w:sz w:val="21"/>
                      <w:szCs w:val="21"/>
                    </w:rPr>
                    <w:t>100002</w:t>
                  </w:r>
                </w:p>
              </w:tc>
              <w:tc>
                <w:tcPr>
                  <w:tcW w:w="1531" w:type="pct"/>
                  <w:shd w:val="clear" w:color="auto" w:fill="auto"/>
                  <w:vAlign w:val="center"/>
                </w:tcPr>
                <w:p>
                  <w:pPr>
                    <w:keepLines/>
                    <w:spacing w:line="320" w:lineRule="exact"/>
                    <w:jc w:val="center"/>
                    <w:rPr>
                      <w:sz w:val="21"/>
                      <w:szCs w:val="21"/>
                    </w:rPr>
                  </w:pPr>
                  <w:r>
                    <w:rPr>
                      <w:sz w:val="21"/>
                      <w:szCs w:val="21"/>
                    </w:rPr>
                    <w:t>《产业结构调整指导目录》中的淘汰类项目，禁止投资；限制类项目，禁止新建</w:t>
                  </w:r>
                </w:p>
                <w:p>
                  <w:pPr>
                    <w:keepLines/>
                    <w:spacing w:line="320" w:lineRule="exact"/>
                    <w:jc w:val="center"/>
                    <w:rPr>
                      <w:sz w:val="21"/>
                      <w:szCs w:val="21"/>
                    </w:rPr>
                  </w:pPr>
                  <w:r>
                    <w:rPr>
                      <w:sz w:val="21"/>
                      <w:szCs w:val="21"/>
                    </w:rPr>
                    <w:t>禁止投资建设《汽车产业投资管理规定》所列的汽车投资禁止类事项</w:t>
                  </w:r>
                </w:p>
              </w:tc>
              <w:tc>
                <w:tcPr>
                  <w:tcW w:w="1601" w:type="pct"/>
                  <w:shd w:val="clear" w:color="auto" w:fill="auto"/>
                  <w:vAlign w:val="center"/>
                </w:tcPr>
                <w:p>
                  <w:pPr>
                    <w:keepLines/>
                    <w:spacing w:line="320" w:lineRule="exact"/>
                    <w:jc w:val="center"/>
                    <w:rPr>
                      <w:sz w:val="21"/>
                      <w:szCs w:val="21"/>
                    </w:rPr>
                  </w:pPr>
                  <w:r>
                    <w:rPr>
                      <w:sz w:val="21"/>
                      <w:szCs w:val="21"/>
                    </w:rPr>
                    <w:t>经查阅《产业结构调整指导目录(2019年本)》，本项目属于第一类、鼓励类-三十七、卫生健康-5、医疗卫生服务设施建设</w:t>
                  </w:r>
                  <w:r>
                    <w:rPr>
                      <w:rFonts w:hint="eastAsia"/>
                      <w:sz w:val="21"/>
                      <w:szCs w:val="21"/>
                    </w:rPr>
                    <w:t>，</w:t>
                  </w:r>
                  <w:r>
                    <w:rPr>
                      <w:sz w:val="21"/>
                      <w:szCs w:val="21"/>
                    </w:rPr>
                    <w:t>不属于限制类、淘汰类；</w:t>
                  </w:r>
                </w:p>
                <w:p>
                  <w:pPr>
                    <w:keepLines/>
                    <w:spacing w:line="320" w:lineRule="exact"/>
                    <w:jc w:val="center"/>
                    <w:rPr>
                      <w:sz w:val="21"/>
                      <w:szCs w:val="21"/>
                    </w:rPr>
                  </w:pPr>
                  <w:r>
                    <w:rPr>
                      <w:sz w:val="21"/>
                      <w:szCs w:val="21"/>
                    </w:rPr>
                    <w:t>项目不涉及汽车投资。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shd w:val="clear" w:color="auto" w:fill="auto"/>
                  <w:vAlign w:val="center"/>
                </w:tcPr>
                <w:p>
                  <w:pPr>
                    <w:keepLines/>
                    <w:spacing w:line="320" w:lineRule="exact"/>
                    <w:jc w:val="center"/>
                    <w:rPr>
                      <w:sz w:val="21"/>
                      <w:szCs w:val="21"/>
                    </w:rPr>
                  </w:pPr>
                  <w:r>
                    <w:rPr>
                      <w:sz w:val="21"/>
                      <w:szCs w:val="21"/>
                    </w:rPr>
                    <w:t>3</w:t>
                  </w:r>
                </w:p>
              </w:tc>
              <w:tc>
                <w:tcPr>
                  <w:tcW w:w="937" w:type="pct"/>
                  <w:shd w:val="clear" w:color="auto" w:fill="auto"/>
                  <w:vAlign w:val="center"/>
                </w:tcPr>
                <w:p>
                  <w:pPr>
                    <w:keepLines/>
                    <w:spacing w:line="320" w:lineRule="exact"/>
                    <w:jc w:val="center"/>
                    <w:rPr>
                      <w:sz w:val="21"/>
                      <w:szCs w:val="21"/>
                    </w:rPr>
                  </w:pPr>
                  <w:r>
                    <w:rPr>
                      <w:sz w:val="21"/>
                      <w:szCs w:val="21"/>
                    </w:rPr>
                    <w:t>不符合主体功能区建设要求的各类开发活动</w:t>
                  </w:r>
                </w:p>
              </w:tc>
              <w:tc>
                <w:tcPr>
                  <w:tcW w:w="507" w:type="pct"/>
                  <w:shd w:val="clear" w:color="auto" w:fill="auto"/>
                  <w:vAlign w:val="center"/>
                </w:tcPr>
                <w:p>
                  <w:pPr>
                    <w:keepLines/>
                    <w:spacing w:line="320" w:lineRule="exact"/>
                    <w:jc w:val="center"/>
                    <w:rPr>
                      <w:sz w:val="21"/>
                      <w:szCs w:val="21"/>
                    </w:rPr>
                  </w:pPr>
                  <w:r>
                    <w:rPr>
                      <w:sz w:val="21"/>
                      <w:szCs w:val="21"/>
                    </w:rPr>
                    <w:t>100003</w:t>
                  </w:r>
                </w:p>
              </w:tc>
              <w:tc>
                <w:tcPr>
                  <w:tcW w:w="1531" w:type="pct"/>
                  <w:shd w:val="clear" w:color="auto" w:fill="auto"/>
                  <w:vAlign w:val="center"/>
                </w:tcPr>
                <w:p>
                  <w:pPr>
                    <w:keepLines/>
                    <w:spacing w:line="320" w:lineRule="exact"/>
                    <w:jc w:val="center"/>
                    <w:rPr>
                      <w:sz w:val="21"/>
                      <w:szCs w:val="21"/>
                    </w:rPr>
                  </w:pPr>
                  <w:r>
                    <w:rPr>
                      <w:sz w:val="21"/>
                      <w:szCs w:val="21"/>
                    </w:rPr>
                    <w:t>地方国家重点生态功能区产业准入负面清单（或禁止限制目录）、农产品主产区产业准入负面清单（或禁止限制目录）所列有关事项</w:t>
                  </w:r>
                </w:p>
              </w:tc>
              <w:tc>
                <w:tcPr>
                  <w:tcW w:w="1601" w:type="pct"/>
                  <w:shd w:val="clear" w:color="auto" w:fill="auto"/>
                  <w:vAlign w:val="center"/>
                </w:tcPr>
                <w:p>
                  <w:pPr>
                    <w:keepLines/>
                    <w:spacing w:line="320" w:lineRule="exact"/>
                    <w:jc w:val="center"/>
                    <w:rPr>
                      <w:sz w:val="21"/>
                      <w:szCs w:val="21"/>
                    </w:rPr>
                  </w:pPr>
                  <w:r>
                    <w:rPr>
                      <w:rFonts w:hint="eastAsia"/>
                      <w:sz w:val="21"/>
                      <w:szCs w:val="21"/>
                    </w:rPr>
                    <w:t>项目的建设符合《承德市城市总体规划（2015－2030），且符合《承德市重点水源涵养生态功能保护区规划》的相关要求。（项目与各规划详细分析见</w:t>
                  </w:r>
                  <w:r>
                    <w:rPr>
                      <w:rFonts w:hint="eastAsia"/>
                      <w:sz w:val="21"/>
                      <w:szCs w:val="21"/>
                      <w:lang w:val="en-US" w:eastAsia="zh-CN"/>
                    </w:rPr>
                    <w:t>下述其他符合性分析</w:t>
                  </w:r>
                  <w:r>
                    <w:rPr>
                      <w:rFonts w:hint="eastAsia"/>
                      <w:sz w:val="21"/>
                      <w:szCs w:val="21"/>
                    </w:rPr>
                    <w:t>）。</w:t>
                  </w:r>
                </w:p>
              </w:tc>
            </w:tr>
          </w:tbl>
          <w:p>
            <w:pPr>
              <w:keepLines/>
              <w:spacing w:line="460" w:lineRule="exact"/>
              <w:ind w:firstLine="420" w:firstLineChars="200"/>
              <w:rPr>
                <w:sz w:val="21"/>
                <w:szCs w:val="21"/>
              </w:rPr>
            </w:pPr>
            <w:r>
              <w:rPr>
                <w:sz w:val="21"/>
                <w:szCs w:val="21"/>
              </w:rPr>
              <w:t>由以上分析可知，本项目不属于《市场准入负面清单（2022年版）》禁止准入类项目，同时，经查阅《市场准入负面清单（2022年版）》，</w:t>
            </w:r>
            <w:r>
              <w:rPr>
                <w:rFonts w:hint="eastAsia"/>
                <w:sz w:val="21"/>
                <w:szCs w:val="21"/>
              </w:rPr>
              <w:t>卫生和社会工作</w:t>
            </w:r>
            <w:r>
              <w:rPr>
                <w:sz w:val="21"/>
                <w:szCs w:val="21"/>
              </w:rPr>
              <w:t>中许可准入项共</w:t>
            </w:r>
            <w:r>
              <w:rPr>
                <w:rFonts w:hint="eastAsia"/>
                <w:sz w:val="21"/>
                <w:szCs w:val="21"/>
                <w:lang w:val="en-US" w:eastAsia="zh-CN"/>
              </w:rPr>
              <w:t>3</w:t>
            </w:r>
            <w:r>
              <w:rPr>
                <w:sz w:val="21"/>
                <w:szCs w:val="21"/>
              </w:rPr>
              <w:t>项，本项目属于许可准入类项目</w:t>
            </w:r>
            <w:r>
              <w:rPr>
                <w:rFonts w:hint="eastAsia"/>
                <w:sz w:val="21"/>
                <w:szCs w:val="21"/>
                <w:lang w:eastAsia="zh-CN"/>
              </w:rPr>
              <w:t>：</w:t>
            </w:r>
            <w:r>
              <w:rPr>
                <w:rFonts w:hint="eastAsia"/>
                <w:sz w:val="21"/>
                <w:szCs w:val="21"/>
                <w:lang w:val="en-US" w:eastAsia="zh-CN"/>
              </w:rPr>
              <w:t>90</w:t>
            </w:r>
            <w:r>
              <w:rPr>
                <w:rFonts w:hint="eastAsia"/>
                <w:sz w:val="21"/>
                <w:szCs w:val="21"/>
                <w:lang w:eastAsia="zh-CN"/>
              </w:rPr>
              <w:t>未获得许可，不得设置特定医疗机构或从事特定医疗业务</w:t>
            </w:r>
            <w:r>
              <w:rPr>
                <w:sz w:val="21"/>
                <w:szCs w:val="21"/>
              </w:rPr>
              <w:t>。</w:t>
            </w:r>
            <w:r>
              <w:rPr>
                <w:rFonts w:hint="eastAsia"/>
                <w:sz w:val="21"/>
                <w:szCs w:val="21"/>
                <w:lang w:val="en-US" w:eastAsia="zh-CN"/>
              </w:rPr>
              <w:t>企业已取得医疗机构执业许可证（见附件）。</w:t>
            </w:r>
            <w:r>
              <w:rPr>
                <w:sz w:val="21"/>
                <w:szCs w:val="21"/>
              </w:rPr>
              <w:t>因此，项目符合相关产业政策要求。</w:t>
            </w:r>
          </w:p>
          <w:p>
            <w:pPr>
              <w:keepNext/>
              <w:keepLines/>
              <w:numPr>
                <w:ilvl w:val="0"/>
                <w:numId w:val="0"/>
              </w:numPr>
              <w:spacing w:line="360" w:lineRule="auto"/>
              <w:ind w:firstLine="422" w:firstLineChars="200"/>
              <w:rPr>
                <w:b/>
                <w:bCs/>
                <w:sz w:val="21"/>
                <w:szCs w:val="21"/>
              </w:rPr>
            </w:pPr>
            <w:r>
              <w:rPr>
                <w:rFonts w:hint="eastAsia"/>
                <w:b/>
                <w:bCs/>
                <w:sz w:val="21"/>
                <w:szCs w:val="21"/>
                <w:lang w:val="en-US" w:eastAsia="zh-CN"/>
              </w:rPr>
              <w:t>2、</w:t>
            </w:r>
            <w:r>
              <w:rPr>
                <w:rFonts w:hint="eastAsia"/>
                <w:b/>
                <w:bCs/>
                <w:sz w:val="21"/>
                <w:szCs w:val="21"/>
              </w:rPr>
              <w:t>“三线一单”符合性分析</w:t>
            </w:r>
          </w:p>
          <w:p>
            <w:pPr>
              <w:pStyle w:val="12"/>
              <w:spacing w:line="360" w:lineRule="auto"/>
              <w:ind w:left="0" w:firstLine="420" w:firstLineChars="200"/>
              <w:rPr>
                <w:sz w:val="21"/>
                <w:szCs w:val="21"/>
              </w:rPr>
            </w:pPr>
            <w:r>
              <w:rPr>
                <w:rFonts w:hint="eastAsia"/>
                <w:sz w:val="21"/>
                <w:szCs w:val="21"/>
              </w:rPr>
              <w:t>根据《关于以改善环境质量为核心加强环境影响评价管理的通知》（环境保护部文件：环环评[2016]150号），进行项目“三线一单”符合性分析，判定内容如下表所示。</w:t>
            </w:r>
          </w:p>
          <w:p>
            <w:pPr>
              <w:pStyle w:val="12"/>
              <w:spacing w:line="360" w:lineRule="auto"/>
              <w:ind w:left="0" w:firstLine="0" w:firstLineChars="0"/>
              <w:jc w:val="center"/>
              <w:rPr>
                <w:sz w:val="21"/>
                <w:szCs w:val="21"/>
              </w:rPr>
            </w:pPr>
            <w:r>
              <w:rPr>
                <w:rFonts w:hint="eastAsia"/>
                <w:b/>
                <w:bCs/>
                <w:sz w:val="21"/>
                <w:szCs w:val="21"/>
              </w:rPr>
              <w:t>表1-</w:t>
            </w:r>
            <w:r>
              <w:rPr>
                <w:rFonts w:hint="eastAsia"/>
                <w:b/>
                <w:bCs/>
                <w:sz w:val="21"/>
                <w:szCs w:val="21"/>
                <w:lang w:val="en-US" w:eastAsia="zh-CN"/>
              </w:rPr>
              <w:t>4</w:t>
            </w:r>
            <w:r>
              <w:rPr>
                <w:rFonts w:hint="eastAsia"/>
                <w:b/>
                <w:bCs/>
                <w:sz w:val="21"/>
                <w:szCs w:val="21"/>
              </w:rPr>
              <w:t>项目与“三线一单”符合性分析</w:t>
            </w:r>
          </w:p>
          <w:tbl>
            <w:tblPr>
              <w:tblStyle w:val="18"/>
              <w:tblpPr w:leftFromText="180" w:rightFromText="180" w:vertAnchor="text" w:horzAnchor="page" w:tblpX="73" w:tblpY="154"/>
              <w:tblOverlap w:val="never"/>
              <w:tblW w:w="4997" w:type="pct"/>
              <w:tblInd w:w="0" w:type="dxa"/>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3004"/>
              <w:gridCol w:w="2382"/>
              <w:gridCol w:w="629"/>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5" w:type="pct"/>
                  <w:vAlign w:val="center"/>
                </w:tcPr>
                <w:p>
                  <w:pPr>
                    <w:keepLines/>
                    <w:spacing w:line="320" w:lineRule="exact"/>
                    <w:jc w:val="center"/>
                    <w:rPr>
                      <w:b/>
                      <w:bCs/>
                      <w:sz w:val="21"/>
                      <w:szCs w:val="21"/>
                    </w:rPr>
                  </w:pPr>
                  <w:r>
                    <w:rPr>
                      <w:b/>
                      <w:bCs/>
                      <w:sz w:val="21"/>
                      <w:szCs w:val="21"/>
                    </w:rPr>
                    <w:t>内容</w:t>
                  </w:r>
                </w:p>
              </w:tc>
              <w:tc>
                <w:tcPr>
                  <w:tcW w:w="4124" w:type="pct"/>
                  <w:gridSpan w:val="3"/>
                  <w:vAlign w:val="center"/>
                </w:tcPr>
                <w:p>
                  <w:pPr>
                    <w:keepLines/>
                    <w:spacing w:line="320" w:lineRule="exact"/>
                    <w:jc w:val="center"/>
                    <w:rPr>
                      <w:b/>
                      <w:bCs/>
                      <w:sz w:val="21"/>
                      <w:szCs w:val="21"/>
                    </w:rPr>
                  </w:pPr>
                  <w:r>
                    <w:rPr>
                      <w:b/>
                      <w:bCs/>
                      <w:sz w:val="21"/>
                      <w:szCs w:val="21"/>
                    </w:rPr>
                    <w:t>符合性分析</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5" w:type="pct"/>
                  <w:vAlign w:val="center"/>
                </w:tcPr>
                <w:p>
                  <w:pPr>
                    <w:keepLines/>
                    <w:spacing w:line="320" w:lineRule="exact"/>
                    <w:jc w:val="center"/>
                    <w:rPr>
                      <w:sz w:val="21"/>
                      <w:szCs w:val="21"/>
                    </w:rPr>
                  </w:pPr>
                  <w:r>
                    <w:rPr>
                      <w:sz w:val="21"/>
                      <w:szCs w:val="21"/>
                    </w:rPr>
                    <w:t>生态保护红线</w:t>
                  </w:r>
                </w:p>
              </w:tc>
              <w:tc>
                <w:tcPr>
                  <w:tcW w:w="2060" w:type="pct"/>
                  <w:vAlign w:val="center"/>
                </w:tcPr>
                <w:p>
                  <w:pPr>
                    <w:keepLines/>
                    <w:spacing w:line="320" w:lineRule="exact"/>
                    <w:jc w:val="center"/>
                    <w:rPr>
                      <w:sz w:val="21"/>
                      <w:szCs w:val="21"/>
                    </w:rPr>
                  </w:pPr>
                  <w:r>
                    <w:rPr>
                      <w:sz w:val="21"/>
                      <w:szCs w:val="21"/>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础设施项目外，在生态保护红线范围内，严控各类开发建设活动，依法不予审批技改工业项目和矿产开发项目的环评文件。</w:t>
                  </w:r>
                </w:p>
              </w:tc>
              <w:tc>
                <w:tcPr>
                  <w:tcW w:w="1633" w:type="pct"/>
                  <w:vAlign w:val="center"/>
                </w:tcPr>
                <w:p>
                  <w:pPr>
                    <w:keepLines/>
                    <w:spacing w:line="320" w:lineRule="exact"/>
                    <w:jc w:val="center"/>
                    <w:rPr>
                      <w:sz w:val="21"/>
                      <w:szCs w:val="21"/>
                    </w:rPr>
                  </w:pPr>
                  <w:r>
                    <w:rPr>
                      <w:sz w:val="21"/>
                      <w:szCs w:val="21"/>
                    </w:rPr>
                    <w:t>根据河北省承德市生态保护红线最终成果，项目选厂在划定的生态保护红线外，距离最近生态红线区约</w:t>
                  </w:r>
                  <w:r>
                    <w:rPr>
                      <w:rFonts w:hint="eastAsia"/>
                      <w:sz w:val="21"/>
                      <w:szCs w:val="21"/>
                    </w:rPr>
                    <w:t>1331</w:t>
                  </w:r>
                  <w:r>
                    <w:rPr>
                      <w:sz w:val="21"/>
                      <w:szCs w:val="21"/>
                    </w:rPr>
                    <w:t>m</w:t>
                  </w:r>
                  <w:r>
                    <w:rPr>
                      <w:rFonts w:hint="eastAsia"/>
                      <w:sz w:val="21"/>
                      <w:szCs w:val="21"/>
                    </w:rPr>
                    <w:t>,符合生态红线保护要求，关系图详见附图3。</w:t>
                  </w:r>
                </w:p>
                <w:p>
                  <w:pPr>
                    <w:keepLines/>
                    <w:spacing w:line="320" w:lineRule="exact"/>
                    <w:jc w:val="center"/>
                    <w:rPr>
                      <w:sz w:val="21"/>
                      <w:szCs w:val="21"/>
                    </w:rPr>
                  </w:pPr>
                </w:p>
              </w:tc>
              <w:tc>
                <w:tcPr>
                  <w:tcW w:w="429" w:type="pct"/>
                  <w:vAlign w:val="center"/>
                </w:tcPr>
                <w:p>
                  <w:pPr>
                    <w:keepLines/>
                    <w:spacing w:line="320" w:lineRule="exact"/>
                    <w:jc w:val="center"/>
                    <w:rPr>
                      <w:sz w:val="21"/>
                      <w:szCs w:val="21"/>
                    </w:rPr>
                  </w:pPr>
                  <w:r>
                    <w:rPr>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5" w:type="pct"/>
                  <w:vAlign w:val="center"/>
                </w:tcPr>
                <w:p>
                  <w:pPr>
                    <w:keepLines/>
                    <w:spacing w:line="320" w:lineRule="exact"/>
                    <w:jc w:val="center"/>
                    <w:rPr>
                      <w:sz w:val="21"/>
                      <w:szCs w:val="21"/>
                    </w:rPr>
                  </w:pPr>
                  <w:r>
                    <w:rPr>
                      <w:sz w:val="21"/>
                      <w:szCs w:val="21"/>
                    </w:rPr>
                    <w:t>资源利用上线</w:t>
                  </w:r>
                </w:p>
              </w:tc>
              <w:tc>
                <w:tcPr>
                  <w:tcW w:w="2060" w:type="pct"/>
                  <w:vAlign w:val="center"/>
                </w:tcPr>
                <w:p>
                  <w:pPr>
                    <w:keepLines/>
                    <w:spacing w:line="320" w:lineRule="exact"/>
                    <w:jc w:val="center"/>
                    <w:rPr>
                      <w:sz w:val="21"/>
                      <w:szCs w:val="21"/>
                    </w:rPr>
                  </w:pPr>
                  <w:r>
                    <w:rPr>
                      <w:sz w:val="21"/>
                      <w:szCs w:val="21"/>
                    </w:rPr>
                    <w:t>资源是环境的载体，资源利用上线是各地区能源、水、土地等资源消耗不得突破的</w:t>
                  </w:r>
                  <w:r>
                    <w:rPr>
                      <w:rFonts w:hint="eastAsia"/>
                      <w:sz w:val="21"/>
                      <w:szCs w:val="21"/>
                    </w:rPr>
                    <w:t>“天花板”</w:t>
                  </w:r>
                  <w:r>
                    <w:rPr>
                      <w:sz w:val="21"/>
                      <w:szCs w:val="21"/>
                    </w:rPr>
                    <w:t>。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tc>
              <w:tc>
                <w:tcPr>
                  <w:tcW w:w="1633" w:type="pct"/>
                  <w:vAlign w:val="center"/>
                </w:tcPr>
                <w:p>
                  <w:pPr>
                    <w:keepLines/>
                    <w:spacing w:line="320" w:lineRule="exact"/>
                    <w:jc w:val="center"/>
                    <w:rPr>
                      <w:sz w:val="21"/>
                      <w:szCs w:val="21"/>
                    </w:rPr>
                  </w:pPr>
                  <w:r>
                    <w:rPr>
                      <w:rFonts w:hint="eastAsia"/>
                      <w:sz w:val="21"/>
                      <w:szCs w:val="21"/>
                    </w:rPr>
                    <w:t>本项目用电量5.3万kW·h/a，用水量为25732.5m</w:t>
                  </w:r>
                  <w:r>
                    <w:rPr>
                      <w:rFonts w:hint="eastAsia"/>
                      <w:sz w:val="21"/>
                      <w:szCs w:val="21"/>
                      <w:vertAlign w:val="superscript"/>
                    </w:rPr>
                    <w:t>3</w:t>
                  </w:r>
                  <w:r>
                    <w:rPr>
                      <w:rFonts w:hint="eastAsia"/>
                      <w:sz w:val="21"/>
                      <w:szCs w:val="21"/>
                    </w:rPr>
                    <w:t>/a，项目用地为政府划转商业楼，项目资源消耗量相对区域资源利用总量较少，因此项目建设符合资源利用上线要求。</w:t>
                  </w:r>
                </w:p>
              </w:tc>
              <w:tc>
                <w:tcPr>
                  <w:tcW w:w="429" w:type="pct"/>
                  <w:vAlign w:val="center"/>
                </w:tcPr>
                <w:p>
                  <w:pPr>
                    <w:keepLines/>
                    <w:spacing w:line="320" w:lineRule="exact"/>
                    <w:jc w:val="center"/>
                    <w:rPr>
                      <w:sz w:val="21"/>
                      <w:szCs w:val="21"/>
                    </w:rPr>
                  </w:pPr>
                  <w:r>
                    <w:rPr>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5" w:type="pct"/>
                  <w:vAlign w:val="center"/>
                </w:tcPr>
                <w:p>
                  <w:pPr>
                    <w:keepLines/>
                    <w:spacing w:line="320" w:lineRule="exact"/>
                    <w:jc w:val="center"/>
                    <w:rPr>
                      <w:sz w:val="21"/>
                      <w:szCs w:val="21"/>
                    </w:rPr>
                  </w:pPr>
                  <w:r>
                    <w:rPr>
                      <w:sz w:val="21"/>
                      <w:szCs w:val="21"/>
                    </w:rPr>
                    <w:t>环境质量底线</w:t>
                  </w:r>
                </w:p>
              </w:tc>
              <w:tc>
                <w:tcPr>
                  <w:tcW w:w="2060" w:type="pct"/>
                  <w:vAlign w:val="center"/>
                </w:tcPr>
                <w:p>
                  <w:pPr>
                    <w:keepLines/>
                    <w:spacing w:line="320" w:lineRule="exact"/>
                    <w:jc w:val="center"/>
                    <w:rPr>
                      <w:sz w:val="21"/>
                      <w:szCs w:val="21"/>
                    </w:rPr>
                  </w:pPr>
                  <w:r>
                    <w:rPr>
                      <w:sz w:val="21"/>
                      <w:szCs w:val="21"/>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633" w:type="pct"/>
                  <w:vAlign w:val="center"/>
                </w:tcPr>
                <w:p>
                  <w:pPr>
                    <w:keepLines/>
                    <w:spacing w:line="320" w:lineRule="exact"/>
                    <w:jc w:val="center"/>
                    <w:rPr>
                      <w:sz w:val="21"/>
                      <w:szCs w:val="21"/>
                    </w:rPr>
                  </w:pPr>
                  <w:r>
                    <w:rPr>
                      <w:sz w:val="21"/>
                      <w:szCs w:val="21"/>
                    </w:rPr>
                    <w:t>本项目产生主要污染物为废水，项目产生废水经自有污水处理产处理后可以达到直接外排或回用标准，项目产生的污染物采取相应措施后，经废水环境影响分析满足相应的环境标准，符合环境质量底线的要求。</w:t>
                  </w:r>
                </w:p>
              </w:tc>
              <w:tc>
                <w:tcPr>
                  <w:tcW w:w="429" w:type="pct"/>
                  <w:vAlign w:val="center"/>
                </w:tcPr>
                <w:p>
                  <w:pPr>
                    <w:keepLines/>
                    <w:spacing w:line="320" w:lineRule="exact"/>
                    <w:jc w:val="center"/>
                    <w:rPr>
                      <w:sz w:val="21"/>
                      <w:szCs w:val="21"/>
                    </w:rPr>
                  </w:pPr>
                  <w:r>
                    <w:rPr>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5" w:type="pct"/>
                  <w:vAlign w:val="center"/>
                </w:tcPr>
                <w:p>
                  <w:pPr>
                    <w:keepLines/>
                    <w:spacing w:line="320" w:lineRule="exact"/>
                    <w:jc w:val="center"/>
                    <w:rPr>
                      <w:sz w:val="21"/>
                      <w:szCs w:val="21"/>
                    </w:rPr>
                  </w:pPr>
                  <w:r>
                    <w:rPr>
                      <w:sz w:val="21"/>
                      <w:szCs w:val="21"/>
                    </w:rPr>
                    <w:t>负面清单</w:t>
                  </w:r>
                </w:p>
              </w:tc>
              <w:tc>
                <w:tcPr>
                  <w:tcW w:w="2060" w:type="pct"/>
                  <w:vAlign w:val="center"/>
                </w:tcPr>
                <w:p>
                  <w:pPr>
                    <w:keepLines/>
                    <w:spacing w:line="320" w:lineRule="exact"/>
                    <w:jc w:val="center"/>
                    <w:rPr>
                      <w:sz w:val="21"/>
                      <w:szCs w:val="21"/>
                    </w:rPr>
                  </w:pPr>
                  <w:r>
                    <w:rPr>
                      <w:sz w:val="21"/>
                      <w:szCs w:val="21"/>
                    </w:rPr>
                    <w:t>环境准入负面清单是基于生态保护红线、环境质量底线和资源利用上线，以清单方式列出的禁止、限制等差别化环境准入条件和要求。</w:t>
                  </w:r>
                </w:p>
                <w:p>
                  <w:pPr>
                    <w:keepLines/>
                    <w:spacing w:line="320" w:lineRule="exact"/>
                    <w:jc w:val="center"/>
                    <w:rPr>
                      <w:sz w:val="21"/>
                      <w:szCs w:val="21"/>
                    </w:rPr>
                  </w:pPr>
                </w:p>
              </w:tc>
              <w:tc>
                <w:tcPr>
                  <w:tcW w:w="1633" w:type="pct"/>
                  <w:vAlign w:val="center"/>
                </w:tcPr>
                <w:p>
                  <w:pPr>
                    <w:keepLines/>
                    <w:spacing w:line="320" w:lineRule="exact"/>
                    <w:jc w:val="center"/>
                    <w:rPr>
                      <w:sz w:val="21"/>
                      <w:szCs w:val="21"/>
                    </w:rPr>
                  </w:pPr>
                  <w:r>
                    <w:rPr>
                      <w:sz w:val="21"/>
                      <w:szCs w:val="21"/>
                    </w:rPr>
                    <w:t>本项目为专科医院</w:t>
                  </w:r>
                  <w:r>
                    <w:rPr>
                      <w:rFonts w:hint="eastAsia"/>
                      <w:sz w:val="21"/>
                      <w:szCs w:val="21"/>
                    </w:rPr>
                    <w:t>，</w:t>
                  </w:r>
                  <w:r>
                    <w:rPr>
                      <w:sz w:val="21"/>
                      <w:szCs w:val="21"/>
                    </w:rPr>
                    <w:t>不属于《市场准入负面清单（2022版）》中禁止准入项目。因此，本项目不在负面清单之列。</w:t>
                  </w:r>
                </w:p>
              </w:tc>
              <w:tc>
                <w:tcPr>
                  <w:tcW w:w="429" w:type="pct"/>
                  <w:vAlign w:val="center"/>
                </w:tcPr>
                <w:p>
                  <w:pPr>
                    <w:keepLines/>
                    <w:spacing w:line="320" w:lineRule="exact"/>
                    <w:jc w:val="center"/>
                    <w:rPr>
                      <w:sz w:val="21"/>
                      <w:szCs w:val="21"/>
                    </w:rPr>
                  </w:pPr>
                  <w:r>
                    <w:rPr>
                      <w:sz w:val="21"/>
                      <w:szCs w:val="21"/>
                    </w:rPr>
                    <w:t>符合</w:t>
                  </w:r>
                </w:p>
              </w:tc>
            </w:tr>
          </w:tbl>
          <w:p>
            <w:pPr>
              <w:spacing w:line="360" w:lineRule="auto"/>
              <w:ind w:firstLine="420" w:firstLineChars="200"/>
              <w:rPr>
                <w:sz w:val="21"/>
                <w:szCs w:val="21"/>
              </w:rPr>
            </w:pPr>
            <w:r>
              <w:rPr>
                <w:sz w:val="21"/>
                <w:szCs w:val="21"/>
              </w:rPr>
              <w:t>综上，本项目满足《关于以改善环境质量为核心加强环境影响评价管理的通知》（环环评[2016]150号）的环境管理要求。</w:t>
            </w:r>
          </w:p>
          <w:p>
            <w:pPr>
              <w:numPr>
                <w:ilvl w:val="0"/>
                <w:numId w:val="0"/>
              </w:numPr>
              <w:spacing w:line="360" w:lineRule="auto"/>
              <w:ind w:firstLine="422" w:firstLineChars="200"/>
              <w:rPr>
                <w:sz w:val="21"/>
                <w:szCs w:val="21"/>
              </w:rPr>
            </w:pPr>
            <w:r>
              <w:rPr>
                <w:rFonts w:hint="eastAsia"/>
                <w:b/>
                <w:bCs/>
                <w:sz w:val="21"/>
                <w:szCs w:val="21"/>
                <w:lang w:val="en-US" w:eastAsia="zh-CN"/>
              </w:rPr>
              <w:t>3、</w:t>
            </w:r>
            <w:r>
              <w:rPr>
                <w:rFonts w:hint="eastAsia"/>
                <w:b/>
                <w:bCs/>
                <w:sz w:val="21"/>
                <w:szCs w:val="21"/>
              </w:rPr>
              <w:t>与《承德市人民政府关于加快实施“三线一单”生态环境分区管控的意见》符合性分析</w:t>
            </w:r>
          </w:p>
          <w:p>
            <w:pPr>
              <w:pStyle w:val="12"/>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sz w:val="21"/>
                <w:szCs w:val="21"/>
                <w:highlight w:val="yellow"/>
              </w:rPr>
            </w:pPr>
            <w:r>
              <w:rPr>
                <w:rFonts w:hint="eastAsia"/>
                <w:sz w:val="21"/>
                <w:szCs w:val="21"/>
              </w:rPr>
              <w:t>根据《承德市人民政府关于加快实施“三线一单”三线一单生态环境分区管控的意见》及承德市环境管控单元图，本项目位于河北省承德市双滦区华府南街滦河镇政府东侧酒店村回迁楼2-3#商业楼，管控类别为重点管控单元，环境管控单元编码ZH13080320005，本项目涉及环境要素为生态空间一般管控区、双滦经济开发区西区、大气环境高排放散重点管控区、水环境工业重点管控区、建设用地污染风险重点管控区地下水风险重点管控区、禁燃区，相关符合性分析见下表。</w:t>
            </w:r>
          </w:p>
          <w:p>
            <w:pPr>
              <w:pStyle w:val="12"/>
              <w:spacing w:line="360" w:lineRule="auto"/>
              <w:ind w:left="0" w:firstLine="0" w:firstLineChars="0"/>
              <w:jc w:val="center"/>
              <w:rPr>
                <w:sz w:val="21"/>
                <w:szCs w:val="21"/>
              </w:rPr>
            </w:pPr>
            <w:r>
              <w:rPr>
                <w:rFonts w:hint="eastAsia"/>
                <w:b/>
                <w:bCs/>
                <w:sz w:val="21"/>
                <w:szCs w:val="21"/>
              </w:rPr>
              <w:t>表1-</w:t>
            </w:r>
            <w:r>
              <w:rPr>
                <w:rFonts w:hint="eastAsia"/>
                <w:b/>
                <w:bCs/>
                <w:sz w:val="21"/>
                <w:szCs w:val="21"/>
                <w:lang w:val="en-US" w:eastAsia="zh-CN"/>
              </w:rPr>
              <w:t>5</w:t>
            </w:r>
            <w:r>
              <w:rPr>
                <w:b/>
                <w:bCs/>
                <w:sz w:val="21"/>
                <w:szCs w:val="21"/>
              </w:rPr>
              <w:t>项目环境管控单元准入清单符合性分析表</w:t>
            </w:r>
          </w:p>
          <w:tbl>
            <w:tblPr>
              <w:tblStyle w:val="35"/>
              <w:tblW w:w="496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4"/>
              <w:gridCol w:w="569"/>
              <w:gridCol w:w="874"/>
              <w:gridCol w:w="508"/>
              <w:gridCol w:w="2125"/>
              <w:gridCol w:w="2333"/>
              <w:gridCol w:w="2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b/>
                      <w:bCs/>
                      <w:sz w:val="21"/>
                      <w:szCs w:val="21"/>
                    </w:rPr>
                  </w:pPr>
                  <w:r>
                    <w:rPr>
                      <w:rFonts w:hint="eastAsia"/>
                      <w:b/>
                      <w:bCs/>
                      <w:sz w:val="21"/>
                      <w:szCs w:val="21"/>
                    </w:rPr>
                    <w:t>编号</w:t>
                  </w:r>
                </w:p>
              </w:tc>
              <w:tc>
                <w:tcPr>
                  <w:tcW w:w="392" w:type="pc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b/>
                      <w:bCs/>
                      <w:sz w:val="21"/>
                      <w:szCs w:val="21"/>
                    </w:rPr>
                  </w:pPr>
                  <w:r>
                    <w:rPr>
                      <w:b/>
                      <w:bCs/>
                      <w:sz w:val="21"/>
                      <w:szCs w:val="21"/>
                    </w:rPr>
                    <w:t>管控类别</w:t>
                  </w:r>
                </w:p>
              </w:tc>
              <w:tc>
                <w:tcPr>
                  <w:tcW w:w="602" w:type="pc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b/>
                      <w:bCs/>
                      <w:sz w:val="21"/>
                      <w:szCs w:val="21"/>
                    </w:rPr>
                  </w:pPr>
                  <w:r>
                    <w:rPr>
                      <w:b/>
                      <w:bCs/>
                      <w:sz w:val="21"/>
                      <w:szCs w:val="21"/>
                    </w:rPr>
                    <w:t>环境要素类别</w:t>
                  </w:r>
                </w:p>
              </w:tc>
              <w:tc>
                <w:tcPr>
                  <w:tcW w:w="350" w:type="pc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b/>
                      <w:bCs/>
                      <w:sz w:val="21"/>
                      <w:szCs w:val="21"/>
                    </w:rPr>
                  </w:pPr>
                  <w:r>
                    <w:rPr>
                      <w:b/>
                      <w:bCs/>
                      <w:sz w:val="21"/>
                      <w:szCs w:val="21"/>
                    </w:rPr>
                    <w:t>维度</w:t>
                  </w:r>
                </w:p>
              </w:tc>
              <w:tc>
                <w:tcPr>
                  <w:tcW w:w="1464" w:type="pc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b/>
                      <w:bCs/>
                      <w:sz w:val="21"/>
                      <w:szCs w:val="21"/>
                    </w:rPr>
                  </w:pPr>
                  <w:r>
                    <w:rPr>
                      <w:b/>
                      <w:bCs/>
                      <w:sz w:val="21"/>
                      <w:szCs w:val="21"/>
                    </w:rPr>
                    <w:t>管控措施</w:t>
                  </w:r>
                </w:p>
              </w:tc>
              <w:tc>
                <w:tcPr>
                  <w:tcW w:w="1607" w:type="pc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b/>
                      <w:bCs/>
                      <w:sz w:val="21"/>
                      <w:szCs w:val="21"/>
                    </w:rPr>
                  </w:pPr>
                  <w:r>
                    <w:rPr>
                      <w:b/>
                      <w:bCs/>
                      <w:sz w:val="21"/>
                      <w:szCs w:val="21"/>
                    </w:rPr>
                    <w:t>企业情况</w:t>
                  </w:r>
                </w:p>
              </w:tc>
              <w:tc>
                <w:tcPr>
                  <w:tcW w:w="158" w:type="pc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b/>
                      <w:bCs/>
                      <w:sz w:val="21"/>
                      <w:szCs w:val="21"/>
                    </w:rPr>
                  </w:pPr>
                  <w:r>
                    <w:rPr>
                      <w:b/>
                      <w:bCs/>
                      <w:sz w:val="21"/>
                      <w:szCs w:val="21"/>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23" w:type="pct"/>
                  <w:vMerge w:val="restar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r>
                    <w:rPr>
                      <w:sz w:val="21"/>
                      <w:szCs w:val="21"/>
                    </w:rPr>
                    <w:t>ZH13080320005</w:t>
                  </w:r>
                </w:p>
              </w:tc>
              <w:tc>
                <w:tcPr>
                  <w:tcW w:w="392" w:type="pc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r>
                    <w:rPr>
                      <w:rFonts w:hint="eastAsia"/>
                      <w:sz w:val="21"/>
                      <w:szCs w:val="21"/>
                    </w:rPr>
                    <w:t>/</w:t>
                  </w:r>
                </w:p>
              </w:tc>
              <w:tc>
                <w:tcPr>
                  <w:tcW w:w="602" w:type="pc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r>
                    <w:rPr>
                      <w:rFonts w:hint="eastAsia"/>
                      <w:color w:val="000000"/>
                      <w:sz w:val="21"/>
                      <w:szCs w:val="21"/>
                    </w:rPr>
                    <w:t>生态空间一般管控区</w:t>
                  </w:r>
                </w:p>
              </w:tc>
              <w:tc>
                <w:tcPr>
                  <w:tcW w:w="350" w:type="pc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r>
                    <w:rPr>
                      <w:rFonts w:hint="eastAsia"/>
                      <w:sz w:val="21"/>
                      <w:szCs w:val="21"/>
                    </w:rPr>
                    <w:t>/</w:t>
                  </w:r>
                </w:p>
              </w:tc>
              <w:tc>
                <w:tcPr>
                  <w:tcW w:w="1464" w:type="pct"/>
                  <w:tcBorders>
                    <w:tl2br w:val="nil"/>
                    <w:tr2bl w:val="nil"/>
                  </w:tcBorders>
                  <w:vAlign w:val="center"/>
                </w:tcPr>
                <w:p>
                  <w:pPr>
                    <w:widowControl/>
                    <w:kinsoku w:val="0"/>
                    <w:autoSpaceDE w:val="0"/>
                    <w:autoSpaceDN w:val="0"/>
                    <w:adjustRightInd w:val="0"/>
                    <w:snapToGrid w:val="0"/>
                    <w:textAlignment w:val="baseline"/>
                    <w:rPr>
                      <w:color w:val="000000"/>
                      <w:sz w:val="21"/>
                      <w:szCs w:val="21"/>
                    </w:rPr>
                  </w:pPr>
                  <w:r>
                    <w:rPr>
                      <w:rFonts w:hint="eastAsia"/>
                      <w:color w:val="000000"/>
                      <w:sz w:val="21"/>
                      <w:szCs w:val="21"/>
                    </w:rPr>
                    <w:t>严格执行国家和省关于产业准入、总量控制和污染物排放标准等管控要求</w:t>
                  </w:r>
                </w:p>
              </w:tc>
              <w:tc>
                <w:tcPr>
                  <w:tcW w:w="1607" w:type="pct"/>
                  <w:tcBorders>
                    <w:tl2br w:val="nil"/>
                    <w:tr2bl w:val="nil"/>
                  </w:tcBorders>
                  <w:vAlign w:val="center"/>
                </w:tcPr>
                <w:p>
                  <w:pPr>
                    <w:pStyle w:val="2"/>
                    <w:ind w:firstLine="0" w:firstLineChars="0"/>
                    <w:rPr>
                      <w:color w:val="000000"/>
                      <w:sz w:val="21"/>
                      <w:szCs w:val="21"/>
                    </w:rPr>
                  </w:pPr>
                  <w:r>
                    <w:rPr>
                      <w:rFonts w:hint="eastAsia"/>
                      <w:color w:val="000000"/>
                      <w:sz w:val="21"/>
                      <w:szCs w:val="21"/>
                    </w:rPr>
                    <w:t>项目为符合国家产业政策和行业准入条件的医院项目，</w:t>
                  </w:r>
                  <w:r>
                    <w:rPr>
                      <w:rFonts w:hint="eastAsia"/>
                      <w:color w:val="000000"/>
                      <w:sz w:val="21"/>
                      <w:szCs w:val="21"/>
                      <w:lang w:val="en-US" w:eastAsia="zh-CN"/>
                    </w:rPr>
                    <w:t>按照环评要求通过采取一系列污染防治措施，项目排放COD、氨氮</w:t>
                  </w:r>
                  <w:r>
                    <w:rPr>
                      <w:rFonts w:hint="eastAsia"/>
                      <w:color w:val="000000"/>
                      <w:sz w:val="21"/>
                      <w:szCs w:val="21"/>
                    </w:rPr>
                    <w:t>满足总量控制</w:t>
                  </w:r>
                  <w:r>
                    <w:rPr>
                      <w:rFonts w:hint="eastAsia"/>
                      <w:color w:val="000000"/>
                      <w:sz w:val="21"/>
                      <w:szCs w:val="21"/>
                      <w:lang w:val="en-US" w:eastAsia="zh-CN"/>
                    </w:rPr>
                    <w:t>指标，废气、废水、固体废物排放均能满足</w:t>
                  </w:r>
                  <w:r>
                    <w:rPr>
                      <w:rFonts w:hint="eastAsia"/>
                      <w:color w:val="000000"/>
                      <w:sz w:val="21"/>
                      <w:szCs w:val="21"/>
                    </w:rPr>
                    <w:t>污染物排放标准等管控要求</w:t>
                  </w:r>
                </w:p>
              </w:tc>
              <w:tc>
                <w:tcPr>
                  <w:tcW w:w="158" w:type="pc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23" w:type="pct"/>
                  <w:vMerge w:val="continue"/>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p>
              </w:tc>
              <w:tc>
                <w:tcPr>
                  <w:tcW w:w="392" w:type="pct"/>
                  <w:vMerge w:val="restar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r>
                    <w:rPr>
                      <w:sz w:val="21"/>
                      <w:szCs w:val="21"/>
                    </w:rPr>
                    <w:t>重点管控单元</w:t>
                  </w:r>
                </w:p>
              </w:tc>
              <w:tc>
                <w:tcPr>
                  <w:tcW w:w="602" w:type="pct"/>
                  <w:vMerge w:val="restar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r>
                    <w:rPr>
                      <w:sz w:val="21"/>
                      <w:szCs w:val="21"/>
                    </w:rPr>
                    <w:t>双滦经济开发区西区</w:t>
                  </w:r>
                  <w:r>
                    <w:rPr>
                      <w:rFonts w:hint="eastAsia"/>
                      <w:sz w:val="21"/>
                      <w:szCs w:val="21"/>
                    </w:rPr>
                    <w:t>、</w:t>
                  </w:r>
                </w:p>
                <w:p>
                  <w:pPr>
                    <w:keepNext/>
                    <w:keepLines/>
                    <w:widowControl/>
                    <w:kinsoku w:val="0"/>
                    <w:autoSpaceDE w:val="0"/>
                    <w:autoSpaceDN w:val="0"/>
                    <w:adjustRightInd w:val="0"/>
                    <w:snapToGrid w:val="0"/>
                    <w:spacing w:line="320" w:lineRule="exact"/>
                    <w:jc w:val="center"/>
                    <w:textAlignment w:val="baseline"/>
                    <w:rPr>
                      <w:sz w:val="21"/>
                      <w:szCs w:val="21"/>
                    </w:rPr>
                  </w:pPr>
                  <w:r>
                    <w:rPr>
                      <w:sz w:val="21"/>
                      <w:szCs w:val="21"/>
                    </w:rPr>
                    <w:t>大气环境高排放散重点管控区；水环境工业重点管控区；建设用地污染风险重点管控区地下水风险重点管控区</w:t>
                  </w:r>
                  <w:r>
                    <w:rPr>
                      <w:rFonts w:hint="eastAsia"/>
                      <w:sz w:val="21"/>
                      <w:szCs w:val="21"/>
                    </w:rPr>
                    <w:t>、</w:t>
                  </w:r>
                  <w:r>
                    <w:rPr>
                      <w:sz w:val="21"/>
                      <w:szCs w:val="21"/>
                    </w:rPr>
                    <w:t>禁燃区</w:t>
                  </w:r>
                </w:p>
              </w:tc>
              <w:tc>
                <w:tcPr>
                  <w:tcW w:w="350" w:type="pc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r>
                    <w:rPr>
                      <w:sz w:val="21"/>
                      <w:szCs w:val="21"/>
                    </w:rPr>
                    <w:t>空间布局约束</w:t>
                  </w:r>
                </w:p>
              </w:tc>
              <w:tc>
                <w:tcPr>
                  <w:tcW w:w="1464" w:type="pct"/>
                  <w:tcBorders>
                    <w:tl2br w:val="nil"/>
                    <w:tr2bl w:val="nil"/>
                  </w:tcBorders>
                  <w:vAlign w:val="center"/>
                </w:tcPr>
                <w:p>
                  <w:pPr>
                    <w:keepNext/>
                    <w:keepLines/>
                    <w:spacing w:line="320" w:lineRule="exact"/>
                    <w:jc w:val="center"/>
                    <w:rPr>
                      <w:sz w:val="21"/>
                      <w:szCs w:val="21"/>
                    </w:rPr>
                  </w:pPr>
                  <w:r>
                    <w:rPr>
                      <w:sz w:val="21"/>
                      <w:szCs w:val="21"/>
                    </w:rPr>
                    <w:t>1.园区距离双滦区城区较近，新建项目应加强对城区生态环境影响的论证。</w:t>
                  </w:r>
                </w:p>
                <w:p>
                  <w:pPr>
                    <w:keepNext/>
                    <w:keepLines/>
                    <w:spacing w:line="320" w:lineRule="exact"/>
                    <w:jc w:val="center"/>
                    <w:rPr>
                      <w:sz w:val="21"/>
                      <w:szCs w:val="21"/>
                    </w:rPr>
                  </w:pPr>
                  <w:r>
                    <w:rPr>
                      <w:sz w:val="21"/>
                      <w:szCs w:val="21"/>
                    </w:rPr>
                    <w:t>2.现有不符合园区产业规划企业保留现状，并不得扩产。</w:t>
                  </w:r>
                </w:p>
                <w:p>
                  <w:pPr>
                    <w:keepNext/>
                    <w:keepLines/>
                    <w:spacing w:line="320" w:lineRule="exact"/>
                    <w:jc w:val="center"/>
                    <w:rPr>
                      <w:sz w:val="21"/>
                      <w:szCs w:val="21"/>
                    </w:rPr>
                  </w:pPr>
                  <w:r>
                    <w:rPr>
                      <w:sz w:val="21"/>
                      <w:szCs w:val="21"/>
                    </w:rPr>
                    <w:t>3.为尽量减少对主城区及风景名胜区的影响，黑色金属冶炼及压延加工产业钢压延加工发展方向鼓励发展冷轧等钢铁深加工方向。</w:t>
                  </w:r>
                </w:p>
                <w:p>
                  <w:pPr>
                    <w:keepNext/>
                    <w:keepLines/>
                    <w:spacing w:line="320" w:lineRule="exact"/>
                    <w:jc w:val="center"/>
                    <w:rPr>
                      <w:sz w:val="21"/>
                      <w:szCs w:val="21"/>
                    </w:rPr>
                  </w:pPr>
                  <w:r>
                    <w:rPr>
                      <w:sz w:val="21"/>
                      <w:szCs w:val="21"/>
                    </w:rPr>
                    <w:t>4.开发区规划合理选择主导产业发展方向、严格环境准入条件。滦河西侧应布设一定宽度的绿化廊道作为缓冲区。</w:t>
                  </w:r>
                </w:p>
                <w:p>
                  <w:pPr>
                    <w:keepNext/>
                    <w:keepLines/>
                    <w:spacing w:line="320" w:lineRule="exact"/>
                    <w:jc w:val="center"/>
                    <w:rPr>
                      <w:sz w:val="21"/>
                      <w:szCs w:val="21"/>
                    </w:rPr>
                  </w:pPr>
                  <w:r>
                    <w:rPr>
                      <w:sz w:val="21"/>
                      <w:szCs w:val="21"/>
                    </w:rPr>
                    <w:t>5.新建涉水企业原则上均应建在工业园区内，推动现有工业企业入园。</w:t>
                  </w:r>
                </w:p>
              </w:tc>
              <w:tc>
                <w:tcPr>
                  <w:tcW w:w="1607" w:type="pct"/>
                  <w:tcBorders>
                    <w:tl2br w:val="nil"/>
                    <w:tr2bl w:val="nil"/>
                  </w:tcBorders>
                  <w:vAlign w:val="center"/>
                </w:tcPr>
                <w:p>
                  <w:pPr>
                    <w:keepNext/>
                    <w:keepLines/>
                    <w:spacing w:line="320" w:lineRule="exact"/>
                    <w:jc w:val="center"/>
                    <w:rPr>
                      <w:sz w:val="21"/>
                      <w:szCs w:val="21"/>
                    </w:rPr>
                  </w:pPr>
                  <w:r>
                    <w:rPr>
                      <w:sz w:val="21"/>
                      <w:szCs w:val="21"/>
                    </w:rPr>
                    <w:t>1、项目大气污染物排放满足达标排放要求；项目废水</w:t>
                  </w:r>
                  <w:r>
                    <w:rPr>
                      <w:rFonts w:hint="eastAsia"/>
                      <w:sz w:val="21"/>
                      <w:szCs w:val="21"/>
                    </w:rPr>
                    <w:t>经污水处理站处理后排放至市政管网</w:t>
                  </w:r>
                  <w:r>
                    <w:rPr>
                      <w:sz w:val="21"/>
                      <w:szCs w:val="21"/>
                    </w:rPr>
                    <w:t>，不直接排入地表水体；经分析，项目不存在土壤环境污染途径，对区域土壤环境质量影响较小</w:t>
                  </w:r>
                  <w:r>
                    <w:rPr>
                      <w:rFonts w:hint="eastAsia"/>
                      <w:sz w:val="21"/>
                      <w:szCs w:val="21"/>
                    </w:rPr>
                    <w:t>。</w:t>
                  </w:r>
                  <w:r>
                    <w:rPr>
                      <w:sz w:val="21"/>
                      <w:szCs w:val="21"/>
                    </w:rPr>
                    <w:t>项目满足承德市大气环境、水环境、土壤环境准入清单污染物排放管控要求。</w:t>
                  </w:r>
                </w:p>
                <w:p>
                  <w:pPr>
                    <w:keepNext/>
                    <w:keepLines/>
                    <w:spacing w:line="320" w:lineRule="exact"/>
                    <w:jc w:val="center"/>
                    <w:rPr>
                      <w:sz w:val="21"/>
                      <w:szCs w:val="21"/>
                    </w:rPr>
                  </w:pPr>
                  <w:r>
                    <w:rPr>
                      <w:sz w:val="21"/>
                      <w:szCs w:val="21"/>
                    </w:rPr>
                    <w:t>2、项目</w:t>
                  </w:r>
                  <w:r>
                    <w:rPr>
                      <w:rFonts w:hint="eastAsia"/>
                      <w:sz w:val="21"/>
                      <w:szCs w:val="21"/>
                    </w:rPr>
                    <w:t>符合</w:t>
                  </w:r>
                  <w:r>
                    <w:rPr>
                      <w:sz w:val="21"/>
                      <w:szCs w:val="21"/>
                    </w:rPr>
                    <w:t>园区产业规划。</w:t>
                  </w:r>
                </w:p>
                <w:p>
                  <w:pPr>
                    <w:keepNext/>
                    <w:keepLines/>
                    <w:spacing w:line="320" w:lineRule="exact"/>
                    <w:jc w:val="center"/>
                    <w:rPr>
                      <w:sz w:val="21"/>
                      <w:szCs w:val="21"/>
                    </w:rPr>
                  </w:pPr>
                  <w:r>
                    <w:rPr>
                      <w:sz w:val="21"/>
                      <w:szCs w:val="21"/>
                    </w:rPr>
                    <w:t>3、本项目不属于黑色金属冶炼及压延加工产业。</w:t>
                  </w:r>
                </w:p>
                <w:p>
                  <w:pPr>
                    <w:keepNext/>
                    <w:keepLines/>
                    <w:spacing w:line="320" w:lineRule="exact"/>
                    <w:jc w:val="center"/>
                    <w:rPr>
                      <w:sz w:val="21"/>
                      <w:szCs w:val="21"/>
                    </w:rPr>
                  </w:pPr>
                  <w:r>
                    <w:rPr>
                      <w:sz w:val="21"/>
                      <w:szCs w:val="21"/>
                    </w:rPr>
                    <w:t>4、项目为符合国家产业政策和行业准入条件的</w:t>
                  </w:r>
                  <w:r>
                    <w:rPr>
                      <w:rFonts w:hint="eastAsia"/>
                      <w:sz w:val="21"/>
                      <w:szCs w:val="21"/>
                    </w:rPr>
                    <w:t>医院</w:t>
                  </w:r>
                  <w:r>
                    <w:rPr>
                      <w:sz w:val="21"/>
                      <w:szCs w:val="21"/>
                    </w:rPr>
                    <w:t>项目。</w:t>
                  </w:r>
                </w:p>
                <w:p>
                  <w:pPr>
                    <w:keepNext/>
                    <w:keepLines/>
                    <w:spacing w:line="320" w:lineRule="exact"/>
                    <w:jc w:val="center"/>
                    <w:rPr>
                      <w:sz w:val="21"/>
                      <w:szCs w:val="21"/>
                    </w:rPr>
                  </w:pPr>
                  <w:r>
                    <w:rPr>
                      <w:sz w:val="21"/>
                      <w:szCs w:val="21"/>
                    </w:rPr>
                    <w:t>5、项目废水</w:t>
                  </w:r>
                  <w:r>
                    <w:rPr>
                      <w:rFonts w:hint="eastAsia"/>
                      <w:sz w:val="21"/>
                      <w:szCs w:val="21"/>
                    </w:rPr>
                    <w:t>经污水处理站处理后排放至市政管网</w:t>
                  </w:r>
                  <w:r>
                    <w:rPr>
                      <w:sz w:val="21"/>
                      <w:szCs w:val="21"/>
                    </w:rPr>
                    <w:t>，不外排至地表水环境中，不属于涉水工业企业。</w:t>
                  </w:r>
                </w:p>
              </w:tc>
              <w:tc>
                <w:tcPr>
                  <w:tcW w:w="158" w:type="pct"/>
                  <w:vMerge w:val="restar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r>
                    <w:rPr>
                      <w:sz w:val="21"/>
                      <w:szCs w:val="21"/>
                    </w:rPr>
                    <w:t>符合</w:t>
                  </w:r>
                </w:p>
                <w:p>
                  <w:pPr>
                    <w:keepNext/>
                    <w:keepLines/>
                    <w:widowControl/>
                    <w:kinsoku w:val="0"/>
                    <w:autoSpaceDE w:val="0"/>
                    <w:autoSpaceDN w:val="0"/>
                    <w:adjustRightInd w:val="0"/>
                    <w:snapToGrid w:val="0"/>
                    <w:spacing w:line="320" w:lineRule="exact"/>
                    <w:jc w:val="center"/>
                    <w:textAlignment w:val="baseline"/>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23" w:type="pct"/>
                  <w:vMerge w:val="continue"/>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p>
              </w:tc>
              <w:tc>
                <w:tcPr>
                  <w:tcW w:w="392" w:type="pct"/>
                  <w:vMerge w:val="continue"/>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p>
              </w:tc>
              <w:tc>
                <w:tcPr>
                  <w:tcW w:w="602" w:type="pct"/>
                  <w:vMerge w:val="continue"/>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p>
              </w:tc>
              <w:tc>
                <w:tcPr>
                  <w:tcW w:w="350" w:type="pc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r>
                    <w:rPr>
                      <w:sz w:val="21"/>
                      <w:szCs w:val="21"/>
                    </w:rPr>
                    <w:t>污染物排放管控</w:t>
                  </w:r>
                </w:p>
              </w:tc>
              <w:tc>
                <w:tcPr>
                  <w:tcW w:w="1464" w:type="pc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r>
                    <w:rPr>
                      <w:sz w:val="21"/>
                      <w:szCs w:val="21"/>
                    </w:rPr>
                    <w:t>6.钢铁企业应逐步达到超低排放标准，满足《钢铁工业大气污染物超低排放标准》要求。</w:t>
                  </w:r>
                </w:p>
                <w:p>
                  <w:pPr>
                    <w:keepNext/>
                    <w:keepLines/>
                    <w:widowControl/>
                    <w:kinsoku w:val="0"/>
                    <w:autoSpaceDE w:val="0"/>
                    <w:autoSpaceDN w:val="0"/>
                    <w:adjustRightInd w:val="0"/>
                    <w:snapToGrid w:val="0"/>
                    <w:spacing w:line="320" w:lineRule="exact"/>
                    <w:jc w:val="center"/>
                    <w:textAlignment w:val="baseline"/>
                    <w:rPr>
                      <w:sz w:val="21"/>
                      <w:szCs w:val="21"/>
                    </w:rPr>
                  </w:pPr>
                  <w:r>
                    <w:rPr>
                      <w:sz w:val="21"/>
                      <w:szCs w:val="21"/>
                    </w:rPr>
                    <w:t>7.焦化行业应全部完成深度治理，达到超低排放标准</w:t>
                  </w:r>
                </w:p>
              </w:tc>
              <w:tc>
                <w:tcPr>
                  <w:tcW w:w="1607" w:type="pct"/>
                  <w:tcBorders>
                    <w:tl2br w:val="nil"/>
                    <w:tr2bl w:val="nil"/>
                  </w:tcBorders>
                  <w:vAlign w:val="center"/>
                </w:tcPr>
                <w:p>
                  <w:pPr>
                    <w:spacing w:line="320" w:lineRule="exact"/>
                    <w:jc w:val="center"/>
                    <w:rPr>
                      <w:sz w:val="21"/>
                      <w:szCs w:val="21"/>
                    </w:rPr>
                  </w:pPr>
                  <w:r>
                    <w:rPr>
                      <w:sz w:val="21"/>
                      <w:szCs w:val="21"/>
                    </w:rPr>
                    <w:t>6.本项目不属于钢铁企业。</w:t>
                  </w:r>
                </w:p>
                <w:p>
                  <w:pPr>
                    <w:spacing w:line="320" w:lineRule="exact"/>
                    <w:jc w:val="center"/>
                    <w:rPr>
                      <w:sz w:val="21"/>
                      <w:szCs w:val="21"/>
                    </w:rPr>
                  </w:pPr>
                  <w:r>
                    <w:rPr>
                      <w:sz w:val="21"/>
                      <w:szCs w:val="21"/>
                    </w:rPr>
                    <w:t>7.本项目不属于焦化行业。</w:t>
                  </w:r>
                </w:p>
              </w:tc>
              <w:tc>
                <w:tcPr>
                  <w:tcW w:w="158" w:type="pct"/>
                  <w:vMerge w:val="continue"/>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23" w:type="pct"/>
                  <w:vMerge w:val="continue"/>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p>
              </w:tc>
              <w:tc>
                <w:tcPr>
                  <w:tcW w:w="392" w:type="pct"/>
                  <w:vMerge w:val="continue"/>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p>
              </w:tc>
              <w:tc>
                <w:tcPr>
                  <w:tcW w:w="602" w:type="pct"/>
                  <w:vMerge w:val="continue"/>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p>
              </w:tc>
              <w:tc>
                <w:tcPr>
                  <w:tcW w:w="350" w:type="pc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p>
                <w:p>
                  <w:pPr>
                    <w:keepNext/>
                    <w:keepLines/>
                    <w:widowControl/>
                    <w:kinsoku w:val="0"/>
                    <w:autoSpaceDE w:val="0"/>
                    <w:autoSpaceDN w:val="0"/>
                    <w:adjustRightInd w:val="0"/>
                    <w:snapToGrid w:val="0"/>
                    <w:spacing w:line="320" w:lineRule="exact"/>
                    <w:jc w:val="center"/>
                    <w:textAlignment w:val="baseline"/>
                    <w:rPr>
                      <w:sz w:val="21"/>
                      <w:szCs w:val="21"/>
                    </w:rPr>
                  </w:pPr>
                  <w:r>
                    <w:rPr>
                      <w:sz w:val="21"/>
                      <w:szCs w:val="21"/>
                    </w:rPr>
                    <w:t>环境风险防控</w:t>
                  </w:r>
                </w:p>
              </w:tc>
              <w:tc>
                <w:tcPr>
                  <w:tcW w:w="1464" w:type="pc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r>
                    <w:rPr>
                      <w:sz w:val="21"/>
                      <w:szCs w:val="21"/>
                    </w:rPr>
                    <w:t>8.开发区边界与周边环境敏感点保持足够的安全防护间距。</w:t>
                  </w:r>
                </w:p>
                <w:p>
                  <w:pPr>
                    <w:keepNext/>
                    <w:keepLines/>
                    <w:widowControl/>
                    <w:kinsoku w:val="0"/>
                    <w:autoSpaceDE w:val="0"/>
                    <w:autoSpaceDN w:val="0"/>
                    <w:adjustRightInd w:val="0"/>
                    <w:snapToGrid w:val="0"/>
                    <w:spacing w:line="320" w:lineRule="exact"/>
                    <w:jc w:val="center"/>
                    <w:textAlignment w:val="baseline"/>
                    <w:rPr>
                      <w:sz w:val="21"/>
                      <w:szCs w:val="21"/>
                    </w:rPr>
                  </w:pPr>
                  <w:r>
                    <w:rPr>
                      <w:sz w:val="21"/>
                      <w:szCs w:val="21"/>
                    </w:rPr>
                    <w:t>9.开发区应对入区企业进行严格把关，严格按规划的要求入区。并合理布置区内的企业，将风险较大的企业布置在远离周围村庄、学校、医院等环境敏感点的位置。10.开发区企业应制定环境应急预案，明确环境风险防范措施，建设并完善日常和应急监测系统，配备大气、水环境特征污染物监控设备，编制日常和应急监测方案。</w:t>
                  </w:r>
                </w:p>
              </w:tc>
              <w:tc>
                <w:tcPr>
                  <w:tcW w:w="1607" w:type="pct"/>
                  <w:tcBorders>
                    <w:tl2br w:val="nil"/>
                    <w:tr2bl w:val="nil"/>
                  </w:tcBorders>
                  <w:vAlign w:val="center"/>
                </w:tcPr>
                <w:p>
                  <w:pPr>
                    <w:pStyle w:val="2"/>
                    <w:keepNext/>
                    <w:keepLines/>
                    <w:spacing w:line="320" w:lineRule="exact"/>
                    <w:ind w:firstLine="0" w:firstLineChars="0"/>
                    <w:jc w:val="center"/>
                    <w:rPr>
                      <w:sz w:val="21"/>
                      <w:szCs w:val="21"/>
                    </w:rPr>
                  </w:pPr>
                  <w:r>
                    <w:rPr>
                      <w:sz w:val="21"/>
                      <w:szCs w:val="21"/>
                    </w:rPr>
                    <w:t>8.开发区边界已经与周边环境敏感点保持足够的安全防护间距。</w:t>
                  </w:r>
                </w:p>
                <w:p>
                  <w:pPr>
                    <w:pStyle w:val="2"/>
                    <w:keepNext/>
                    <w:keepLines/>
                    <w:spacing w:line="320" w:lineRule="exact"/>
                    <w:ind w:firstLine="0" w:firstLineChars="0"/>
                    <w:jc w:val="center"/>
                    <w:rPr>
                      <w:sz w:val="21"/>
                      <w:szCs w:val="21"/>
                    </w:rPr>
                  </w:pPr>
                  <w:r>
                    <w:rPr>
                      <w:sz w:val="21"/>
                      <w:szCs w:val="21"/>
                    </w:rPr>
                    <w:t>9.本项目的环境风险主要是污水处理站医疗废水泄漏，建设单位应加强污水处理站巡查，在做好防腐防渗的前提下，本项目风险可防控。</w:t>
                  </w:r>
                </w:p>
                <w:p>
                  <w:pPr>
                    <w:pStyle w:val="2"/>
                    <w:keepNext/>
                    <w:keepLines/>
                    <w:spacing w:line="320" w:lineRule="exact"/>
                    <w:ind w:firstLine="0" w:firstLineChars="0"/>
                    <w:jc w:val="center"/>
                    <w:rPr>
                      <w:sz w:val="21"/>
                      <w:szCs w:val="21"/>
                    </w:rPr>
                  </w:pPr>
                  <w:r>
                    <w:rPr>
                      <w:sz w:val="21"/>
                      <w:szCs w:val="21"/>
                    </w:rPr>
                    <w:t>10.项目建设完成后，竣工环境保护验收前，需编制突发环境事件应急预案。</w:t>
                  </w:r>
                </w:p>
                <w:p>
                  <w:pPr>
                    <w:pStyle w:val="3"/>
                    <w:spacing w:line="320" w:lineRule="exact"/>
                    <w:jc w:val="center"/>
                    <w:rPr>
                      <w:rFonts w:ascii="Times New Roman" w:hAnsi="Times New Roman"/>
                      <w:sz w:val="21"/>
                      <w:szCs w:val="21"/>
                    </w:rPr>
                  </w:pPr>
                </w:p>
              </w:tc>
              <w:tc>
                <w:tcPr>
                  <w:tcW w:w="158" w:type="pct"/>
                  <w:vMerge w:val="continue"/>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23" w:type="pct"/>
                  <w:vMerge w:val="continue"/>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p>
              </w:tc>
              <w:tc>
                <w:tcPr>
                  <w:tcW w:w="392" w:type="pct"/>
                  <w:vMerge w:val="continue"/>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p>
              </w:tc>
              <w:tc>
                <w:tcPr>
                  <w:tcW w:w="602" w:type="pct"/>
                  <w:vMerge w:val="continue"/>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p>
              </w:tc>
              <w:tc>
                <w:tcPr>
                  <w:tcW w:w="350" w:type="pc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r>
                    <w:rPr>
                      <w:sz w:val="21"/>
                      <w:szCs w:val="21"/>
                    </w:rPr>
                    <w:t>资源利用效率</w:t>
                  </w:r>
                </w:p>
              </w:tc>
              <w:tc>
                <w:tcPr>
                  <w:tcW w:w="1464" w:type="pct"/>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r>
                    <w:rPr>
                      <w:sz w:val="21"/>
                      <w:szCs w:val="21"/>
                    </w:rPr>
                    <w:t>11.生态用水补给区应在保障正常供水目标的前提下，为主要河流及湿地进行生态补水，改善和修复河流与湖泊湿地生态状况，合理调度水资源，维持湿地合理水位。12.地下水重点管控区应落实最严格水资源管理制度，强化地下水利用监管，严格禁采区、限采区管理。加大城镇污水收集处理及再生利用设施建设，逐步提高再生水利用率。结合海绵城市建设，因地制宜实施雨水集蓄利用改造。</w:t>
                  </w:r>
                </w:p>
              </w:tc>
              <w:tc>
                <w:tcPr>
                  <w:tcW w:w="1607" w:type="pct"/>
                  <w:tcBorders>
                    <w:tl2br w:val="nil"/>
                    <w:tr2bl w:val="nil"/>
                  </w:tcBorders>
                  <w:vAlign w:val="center"/>
                </w:tcPr>
                <w:p>
                  <w:pPr>
                    <w:keepNext/>
                    <w:keepLines/>
                    <w:widowControl/>
                    <w:spacing w:line="320" w:lineRule="exact"/>
                    <w:jc w:val="center"/>
                    <w:rPr>
                      <w:sz w:val="21"/>
                      <w:szCs w:val="21"/>
                    </w:rPr>
                  </w:pPr>
                  <w:r>
                    <w:rPr>
                      <w:sz w:val="21"/>
                      <w:szCs w:val="21"/>
                    </w:rPr>
                    <w:t>11.项目用水量</w:t>
                  </w:r>
                  <w:r>
                    <w:rPr>
                      <w:rFonts w:hint="eastAsia"/>
                      <w:sz w:val="21"/>
                      <w:szCs w:val="21"/>
                    </w:rPr>
                    <w:t>为市政供水，用水量</w:t>
                  </w:r>
                  <w:r>
                    <w:rPr>
                      <w:sz w:val="21"/>
                      <w:szCs w:val="21"/>
                    </w:rPr>
                    <w:t>较小，满足。</w:t>
                  </w:r>
                </w:p>
                <w:p>
                  <w:pPr>
                    <w:keepNext/>
                    <w:keepLines/>
                    <w:widowControl/>
                    <w:spacing w:line="320" w:lineRule="exact"/>
                    <w:jc w:val="center"/>
                    <w:rPr>
                      <w:sz w:val="21"/>
                      <w:szCs w:val="21"/>
                    </w:rPr>
                  </w:pPr>
                  <w:r>
                    <w:rPr>
                      <w:sz w:val="21"/>
                      <w:szCs w:val="21"/>
                    </w:rPr>
                    <w:t>12.本项目可能会对地下水产生影响的途径污水管道破损过垂直入渗的方式污染周边地下水、土壤环境，通过对管道采取防渗措施可以有效降低污水渗漏污染地下水的风险</w:t>
                  </w:r>
                  <w:r>
                    <w:rPr>
                      <w:rFonts w:hint="eastAsia"/>
                      <w:sz w:val="21"/>
                      <w:szCs w:val="21"/>
                    </w:rPr>
                    <w:t>。</w:t>
                  </w:r>
                </w:p>
              </w:tc>
              <w:tc>
                <w:tcPr>
                  <w:tcW w:w="158" w:type="pct"/>
                  <w:vMerge w:val="continue"/>
                  <w:tcBorders>
                    <w:tl2br w:val="nil"/>
                    <w:tr2bl w:val="nil"/>
                  </w:tcBorders>
                  <w:vAlign w:val="center"/>
                </w:tcPr>
                <w:p>
                  <w:pPr>
                    <w:keepNext/>
                    <w:keepLines/>
                    <w:widowControl/>
                    <w:kinsoku w:val="0"/>
                    <w:autoSpaceDE w:val="0"/>
                    <w:autoSpaceDN w:val="0"/>
                    <w:adjustRightInd w:val="0"/>
                    <w:snapToGrid w:val="0"/>
                    <w:spacing w:line="320" w:lineRule="exact"/>
                    <w:jc w:val="center"/>
                    <w:textAlignment w:val="baseline"/>
                    <w:rPr>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4、《河北省生态环境保护“十四五”规划》符合性分析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（1）根据《河北省人民政府关于印发河北省生态环境保护“十四五”规划的通知》(冀政字〔2022)2号）要求，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推动四大战略功能区绿色发展。在环京津核心功能区，突出人居环境风险防护，强化污染治理、产业结构调整及重点河湖污染防治，加强西部太行山和白洋淀生态修复保护。在沿海率先发展区，加强海洋环境治理和风险防控，保护沿海生态空间，引导重化工产业优布局、控规模。在冀中南功能拓展区，推进传统产业提升改造，构建现代工业体系，加快基础设施建设、农业种植结构调整。在冀西北生态涵养区，重点发挥生态保障、水源涵养、旅游休闲等功能，发展绿色产业和生态经济，规划建设燕山—太行山自然保护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本项目位于冀西北生态涵养区，重点发挥生态保障、水源涵养、旅游休闲等功能，本项目占地为政府划拨的滦河镇政府东侧商业楼；运行过程中加强厂区绿化；运行废水经污水处理站处理后排入市政管网，不直接外排，符合燕山-太行山生态涵养区的主体生态功能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（2）根据《河北省人民政府关于印发河北省生态环境保护“十四五”规划的通知》(冀政字〔2022)2号）要求，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“（二）强化医疗废物全过程管理。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1.严格医疗废物收集转运管理。加快基层医疗卫生机构医疗废物收集体系建设，每个乡（镇）建立1个医疗废物周转站，行政区域较大的县（市）建立1个医疗废物集中收集周转中心。建立全省医疗废物管理信息平台，推进医疗废物处置过程实时监控全覆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本项目运营产生的医疗废物、化粪池底泥、污水处理站栅渣和污泥列入危险废物，医疗废物暂存于危废间，污水处理站产生的栅渣和污泥投加消毒剂后，定期清掏暂存于危废间，所有危险废物定期委托有资质单位处理。项目严格按照《医疗卫生机构医疗废物管理办法》的规定，安排专人做好每天产生的医疗固体废物的收集、管理工作，按规定对医疗废物进行初级处理，并进行分类、包装，储放在分割明显、交通便利、防风雨、防渗漏、防失窃并设有明显标志的场地。与此同时，项目应做好医疗固体废物储存场地的消毒、灭菌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（3）根据《河北省人民政府关于印发河北省生态环境保护“十四五”规划的通知》(冀政字〔2022)2号）要求：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3.提升环境应急能力水平。加强应对突发环境事件资源调配和应急物资储备，加快省、市两级环境应急物资库建设，开展基层环境应急人员轮训。完善多层级环境应急专家管理体系。加强医疗机构、重点区域饮用水水源地、医疗废物处置单位、医疗机构废水汇入的城镇污水处理厂的应急监测，提高余氯、生物毒性等特征指标的监测能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本项目建设单位应成立本厂的突发环境事件应急小组指挥部，完善应急相关设施，并进行《突发环境事件应急预案》的编制及备案工作，定期开展应急演练，提高区域环境风险防范能力。项目运营废水经污水处理站处理后排入市政管网，污水处理站设置自动监测，符合《河北省人民政府关于印发河北省生态环境保护“十四五”规划的通知》(冀政字〔2022)2号）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综上所述：</w:t>
            </w:r>
            <w:r>
              <w:t>本项目的建设</w:t>
            </w:r>
            <w:r>
              <w:rPr>
                <w:rFonts w:hint="eastAsia"/>
                <w:lang w:val="en-US" w:eastAsia="zh-CN"/>
              </w:rPr>
              <w:t>符合《河北省人民政府关于印发河北省生态环境保护“十四五”规划的通知》(冀政字〔2022)2号）的相关要求。</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5、《承德市环境保护“十四五”规划》符合性分析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t>《承德市</w:t>
            </w:r>
            <w:r>
              <w:rPr>
                <w:rFonts w:hint="eastAsia"/>
              </w:rPr>
              <w:t>生态</w:t>
            </w:r>
            <w:r>
              <w:t>环境保护</w:t>
            </w:r>
            <w:r>
              <w:rPr>
                <w:rFonts w:hint="eastAsia"/>
              </w:rPr>
              <w:t>“</w:t>
            </w:r>
            <w:r>
              <w:t>十</w:t>
            </w:r>
            <w:r>
              <w:rPr>
                <w:rFonts w:hint="eastAsia"/>
              </w:rPr>
              <w:t>四</w:t>
            </w:r>
            <w:r>
              <w:t>五</w:t>
            </w:r>
            <w:r>
              <w:rPr>
                <w:rFonts w:hint="eastAsia"/>
              </w:rPr>
              <w:t>”</w:t>
            </w:r>
            <w:r>
              <w:t>规划（2021—2025年）》提出：</w:t>
            </w:r>
            <w:r>
              <w:rPr>
                <w:rFonts w:hint="eastAsia"/>
              </w:rPr>
              <w:t>全力推动生态绿色产业品牌引领。推动“文化旅游医疗康养、钒钛新材料及制品、绿色食品及生物医药、大数据、清洁能源、特色智能制造”(3+3)产业向生态化发展。以绿色化、高端化、智能化为方向，建设承德国家钒钛产业链现代化示范基地，推进资源高效综合利用。增强有价元素多元提取能力，加快形成“钒钛制品-含钒特钢一装备制造”完整产业链。持续培育壮大绿色食品及生物健康产业龙头企业，打造一批优质 精品基地，打造一批龙型经济产业集群，打响“承德山水”品牌。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本项目为专科医院项目，位于</w:t>
            </w:r>
            <w:r>
              <w:rPr>
                <w:rFonts w:hint="eastAsia"/>
              </w:rPr>
              <w:t>承德国家钒钛产业链现代化示范基地</w:t>
            </w:r>
            <w:r>
              <w:rPr>
                <w:rFonts w:hint="eastAsia"/>
                <w:lang w:eastAsia="zh-CN"/>
              </w:rPr>
              <w:t>，</w:t>
            </w:r>
            <w:r>
              <w:rPr>
                <w:rFonts w:hint="eastAsia"/>
                <w:lang w:val="en-US" w:eastAsia="zh-CN"/>
              </w:rPr>
              <w:t>因此本项目符合《承德市环境保护“十四五”规划》。</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6、《承德市重点水源涵养生态功能保护区规划》符合性分析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default"/>
                <w:lang w:val="en-US" w:eastAsia="zh-CN"/>
              </w:rPr>
              <w:t>根据《承德市重点水源涵养生态功能保护区规划》，承德市重点水源涵养生态功能保护区在承德市的八县二区均有分布，涉及滦平县、隆化县、丰宁县、围场县、兴隆县、平泉县、宽城县、承德县、双桥区、双滦区，包涵61个乡镇，保护区总面积8015.92km2。承德市重点水源涵养生态功能保护区分布一览表（</w:t>
            </w:r>
            <w:r>
              <w:rPr>
                <w:rFonts w:hint="eastAsia"/>
                <w:lang w:val="en-US" w:eastAsia="zh-CN"/>
              </w:rPr>
              <w:t>双滦区</w:t>
            </w:r>
            <w:r>
              <w:rPr>
                <w:rFonts w:hint="default"/>
                <w:lang w:val="en-US" w:eastAsia="zh-CN"/>
              </w:rPr>
              <w:t>）见</w:t>
            </w:r>
            <w:r>
              <w:rPr>
                <w:rFonts w:hint="eastAsia"/>
                <w:lang w:val="en-US" w:eastAsia="zh-CN"/>
              </w:rPr>
              <w:t>下表</w:t>
            </w:r>
            <w:r>
              <w:rPr>
                <w:rFonts w:hint="default"/>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b/>
                <w:bCs/>
              </w:rPr>
            </w:pPr>
            <w:r>
              <w:rPr>
                <w:b/>
                <w:bCs/>
              </w:rPr>
              <w:t>表</w:t>
            </w:r>
            <w:r>
              <w:rPr>
                <w:rFonts w:hint="eastAsia"/>
                <w:b/>
                <w:bCs/>
                <w:lang w:val="en-US" w:eastAsia="zh-CN"/>
              </w:rPr>
              <w:t>1</w:t>
            </w:r>
            <w:r>
              <w:rPr>
                <w:b/>
                <w:bCs/>
              </w:rPr>
              <w:t>-</w:t>
            </w:r>
            <w:r>
              <w:rPr>
                <w:rFonts w:hint="eastAsia"/>
                <w:b/>
                <w:bCs/>
                <w:lang w:val="en-US" w:eastAsia="zh-CN"/>
              </w:rPr>
              <w:t>6</w:t>
            </w:r>
            <w:r>
              <w:rPr>
                <w:b/>
                <w:bCs/>
              </w:rPr>
              <w:t>承德市重点水源涵养生态功能保护区分布一览表（</w:t>
            </w:r>
            <w:r>
              <w:rPr>
                <w:rFonts w:hint="eastAsia"/>
                <w:b/>
                <w:bCs/>
                <w:lang w:val="en-US" w:eastAsia="zh-CN"/>
              </w:rPr>
              <w:t>双滦区</w:t>
            </w:r>
            <w:r>
              <w:rPr>
                <w:b/>
                <w:bCs/>
              </w:rPr>
              <w:t>）</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230"/>
              <w:gridCol w:w="1495"/>
              <w:gridCol w:w="2079"/>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b/>
                      <w:bCs/>
                    </w:rPr>
                  </w:pPr>
                  <w:r>
                    <w:rPr>
                      <w:rFonts w:hint="default"/>
                      <w:b/>
                      <w:bCs/>
                    </w:rPr>
                    <w:t>所属县</w:t>
                  </w:r>
                </w:p>
              </w:tc>
              <w:tc>
                <w:tcPr>
                  <w:tcW w:w="84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b/>
                      <w:bCs/>
                    </w:rPr>
                  </w:pPr>
                  <w:r>
                    <w:rPr>
                      <w:rFonts w:hint="default"/>
                      <w:b/>
                      <w:bCs/>
                    </w:rPr>
                    <w:t>乡镇编号</w:t>
                  </w:r>
                </w:p>
              </w:tc>
              <w:tc>
                <w:tcPr>
                  <w:tcW w:w="10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b/>
                      <w:bCs/>
                    </w:rPr>
                  </w:pPr>
                  <w:r>
                    <w:rPr>
                      <w:rFonts w:hint="default"/>
                      <w:b/>
                      <w:bCs/>
                    </w:rPr>
                    <w:t>乡镇名称</w:t>
                  </w:r>
                </w:p>
              </w:tc>
              <w:tc>
                <w:tcPr>
                  <w:tcW w:w="14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b/>
                      <w:bCs/>
                    </w:rPr>
                  </w:pPr>
                  <w:r>
                    <w:rPr>
                      <w:rFonts w:hint="default"/>
                      <w:b/>
                      <w:bCs/>
                    </w:rPr>
                    <w:t>范围描述</w:t>
                  </w:r>
                </w:p>
              </w:tc>
              <w:tc>
                <w:tcPr>
                  <w:tcW w:w="92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b/>
                      <w:bCs/>
                    </w:rPr>
                  </w:pPr>
                  <w:r>
                    <w:rPr>
                      <w:rFonts w:hint="default"/>
                      <w:b/>
                      <w:bCs/>
                    </w:rPr>
                    <w:t>面积（km</w:t>
                  </w:r>
                  <w:r>
                    <w:rPr>
                      <w:rFonts w:hint="default"/>
                      <w:b/>
                      <w:bCs/>
                      <w:vertAlign w:val="superscript"/>
                    </w:rPr>
                    <w:t>2</w:t>
                  </w:r>
                  <w:r>
                    <w:rPr>
                      <w:rFonts w:hint="default"/>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rPr>
                  </w:pPr>
                  <w:r>
                    <w:rPr>
                      <w:rFonts w:hint="default"/>
                      <w:lang w:val="en-US" w:eastAsia="zh-CN"/>
                    </w:rPr>
                    <w:t>双滦区 78.5km</w:t>
                  </w:r>
                  <w:r>
                    <w:rPr>
                      <w:rFonts w:hint="default"/>
                      <w:vertAlign w:val="superscript"/>
                      <w:lang w:val="en-US" w:eastAsia="zh-CN"/>
                    </w:rPr>
                    <w:t>2</w:t>
                  </w:r>
                </w:p>
              </w:tc>
              <w:tc>
                <w:tcPr>
                  <w:tcW w:w="84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rPr>
                  </w:pPr>
                  <w:r>
                    <w:rPr>
                      <w:rFonts w:hint="default"/>
                      <w:lang w:val="en-US" w:eastAsia="zh-CN"/>
                    </w:rPr>
                    <w:t>141</w:t>
                  </w:r>
                </w:p>
              </w:tc>
              <w:tc>
                <w:tcPr>
                  <w:tcW w:w="10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rPr>
                  </w:pPr>
                  <w:r>
                    <w:rPr>
                      <w:rFonts w:hint="default"/>
                      <w:lang w:val="en-US" w:eastAsia="zh-CN"/>
                    </w:rPr>
                    <w:t>陈栅子乡</w:t>
                  </w:r>
                </w:p>
              </w:tc>
              <w:tc>
                <w:tcPr>
                  <w:tcW w:w="142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rPr>
                  </w:pPr>
                  <w:r>
                    <w:rPr>
                      <w:rFonts w:hint="default"/>
                      <w:lang w:val="en-US" w:eastAsia="zh-CN"/>
                    </w:rPr>
                    <w:t>除陈栅子村外区域</w:t>
                  </w:r>
                </w:p>
              </w:tc>
              <w:tc>
                <w:tcPr>
                  <w:tcW w:w="92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rPr>
                  </w:pPr>
                  <w:r>
                    <w:rPr>
                      <w:rFonts w:hint="default"/>
                      <w:lang w:val="en-US" w:eastAsia="zh-CN"/>
                    </w:rPr>
                    <w:t>78.5km</w:t>
                  </w:r>
                  <w:r>
                    <w:rPr>
                      <w:rFonts w:hint="default"/>
                      <w:vertAlign w:val="superscript"/>
                      <w:lang w:val="en-US" w:eastAsia="zh-CN"/>
                    </w:rPr>
                    <w:t>2</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rPr>
              <w:t>本项目位于</w:t>
            </w:r>
            <w:r>
              <w:t>承德</w:t>
            </w:r>
            <w:r>
              <w:rPr>
                <w:rFonts w:hint="eastAsia"/>
                <w:lang w:val="en-US" w:eastAsia="zh-CN"/>
              </w:rPr>
              <w:t>市双滦区滦河镇，</w:t>
            </w:r>
            <w:r>
              <w:rPr>
                <w:rFonts w:hint="eastAsia"/>
              </w:rPr>
              <w:t>不属于承德市重点水源涵养生态功能保护区，且企业且采取了一系列的水土保持及生态恢复措施，对水土流失进行了有效的防治，符合</w:t>
            </w:r>
            <w:r>
              <w:t>《承德市重点水源涵养生态功能保护区规划》</w:t>
            </w:r>
            <w:r>
              <w:rPr>
                <w:rFonts w:hint="eastAsia"/>
              </w:rPr>
              <w:t>的要求。</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b/>
                <w:bCs/>
              </w:rPr>
            </w:pPr>
            <w:r>
              <w:rPr>
                <w:rFonts w:hint="eastAsia"/>
                <w:b/>
                <w:bCs/>
                <w:lang w:val="en-US" w:eastAsia="zh-CN"/>
              </w:rPr>
              <w:t>7</w:t>
            </w:r>
            <w:r>
              <w:rPr>
                <w:rFonts w:hint="eastAsia"/>
                <w:b/>
                <w:bCs/>
              </w:rPr>
              <w:t>、《承德市城市总体规划》（2016-2030年）符合性分析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承德市城市总体规划》（2016-2030）中的生态功能区划将承德市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本项目位于双滦区</w:t>
            </w:r>
            <w:r>
              <w:rPr>
                <w:rFonts w:hint="eastAsia"/>
              </w:rPr>
              <w:t>西地乡</w:t>
            </w:r>
            <w:r>
              <w:t>，属于</w:t>
            </w:r>
            <w:r>
              <w:rPr>
                <w:rFonts w:hint="eastAsia"/>
              </w:rPr>
              <w:t>“冀北</w:t>
            </w:r>
            <w:r>
              <w:t>及燕山山地生态区（Ⅱ）——城市规划发展亚区（Ⅱ-3）——承德市生态城市建设区（Ⅱ-3-2）</w:t>
            </w:r>
            <w:r>
              <w:rPr>
                <w:rFonts w:hint="eastAsia"/>
              </w:rPr>
              <w:t>”</w:t>
            </w:r>
            <w:r>
              <w:t>，该区域主要生态环境问题、生态服务功能、建设方向及措施如下表所示。</w:t>
            </w:r>
          </w:p>
          <w:p>
            <w:pPr>
              <w:spacing w:line="360" w:lineRule="auto"/>
              <w:jc w:val="center"/>
              <w:rPr>
                <w:b/>
                <w:bCs/>
                <w:color w:val="000000"/>
                <w:sz w:val="21"/>
                <w:szCs w:val="21"/>
              </w:rPr>
            </w:pPr>
            <w:r>
              <w:rPr>
                <w:b/>
                <w:bCs/>
                <w:color w:val="000000"/>
                <w:sz w:val="21"/>
                <w:szCs w:val="21"/>
              </w:rPr>
              <w:t>表</w:t>
            </w:r>
            <w:r>
              <w:rPr>
                <w:rFonts w:hint="eastAsia"/>
                <w:b/>
                <w:bCs/>
                <w:color w:val="000000"/>
                <w:sz w:val="21"/>
                <w:szCs w:val="21"/>
              </w:rPr>
              <w:t>1-</w:t>
            </w:r>
            <w:r>
              <w:rPr>
                <w:rFonts w:hint="eastAsia"/>
                <w:b/>
                <w:bCs/>
                <w:color w:val="000000"/>
                <w:sz w:val="21"/>
                <w:szCs w:val="21"/>
                <w:lang w:val="en-US" w:eastAsia="zh-CN"/>
              </w:rPr>
              <w:t>7</w:t>
            </w:r>
            <w:r>
              <w:rPr>
                <w:b/>
                <w:bCs/>
                <w:color w:val="000000"/>
                <w:sz w:val="21"/>
                <w:szCs w:val="21"/>
              </w:rPr>
              <w:t>承德市总体规划中生态功能区划相关功能分区</w:t>
            </w:r>
          </w:p>
          <w:tbl>
            <w:tblPr>
              <w:tblStyle w:val="35"/>
              <w:tblW w:w="499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8"/>
              <w:gridCol w:w="484"/>
              <w:gridCol w:w="579"/>
              <w:gridCol w:w="1944"/>
              <w:gridCol w:w="828"/>
              <w:gridCol w:w="27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472" w:type="pct"/>
                  <w:vAlign w:val="center"/>
                </w:tcPr>
                <w:p>
                  <w:pPr>
                    <w:spacing w:line="320" w:lineRule="exact"/>
                    <w:jc w:val="center"/>
                    <w:rPr>
                      <w:b/>
                      <w:bCs/>
                      <w:color w:val="auto"/>
                      <w:sz w:val="21"/>
                      <w:szCs w:val="21"/>
                    </w:rPr>
                  </w:pPr>
                  <w:r>
                    <w:rPr>
                      <w:b/>
                      <w:bCs/>
                      <w:color w:val="auto"/>
                      <w:sz w:val="21"/>
                      <w:szCs w:val="21"/>
                    </w:rPr>
                    <w:t>生态区</w:t>
                  </w:r>
                </w:p>
              </w:tc>
              <w:tc>
                <w:tcPr>
                  <w:tcW w:w="332" w:type="pct"/>
                  <w:vAlign w:val="center"/>
                </w:tcPr>
                <w:p>
                  <w:pPr>
                    <w:spacing w:line="320" w:lineRule="exact"/>
                    <w:jc w:val="center"/>
                    <w:rPr>
                      <w:b/>
                      <w:bCs/>
                      <w:color w:val="auto"/>
                      <w:sz w:val="21"/>
                      <w:szCs w:val="21"/>
                    </w:rPr>
                  </w:pPr>
                  <w:r>
                    <w:rPr>
                      <w:b/>
                      <w:bCs/>
                      <w:color w:val="auto"/>
                      <w:sz w:val="21"/>
                      <w:szCs w:val="21"/>
                    </w:rPr>
                    <w:t>生态亚区</w:t>
                  </w:r>
                </w:p>
              </w:tc>
              <w:tc>
                <w:tcPr>
                  <w:tcW w:w="397" w:type="pct"/>
                  <w:vAlign w:val="center"/>
                </w:tcPr>
                <w:p>
                  <w:pPr>
                    <w:spacing w:line="320" w:lineRule="exact"/>
                    <w:jc w:val="center"/>
                    <w:rPr>
                      <w:b/>
                      <w:bCs/>
                      <w:color w:val="auto"/>
                      <w:sz w:val="21"/>
                      <w:szCs w:val="21"/>
                    </w:rPr>
                  </w:pPr>
                  <w:r>
                    <w:rPr>
                      <w:b/>
                      <w:bCs/>
                      <w:color w:val="auto"/>
                      <w:sz w:val="21"/>
                      <w:szCs w:val="21"/>
                    </w:rPr>
                    <w:t>生态功能区</w:t>
                  </w:r>
                </w:p>
              </w:tc>
              <w:tc>
                <w:tcPr>
                  <w:tcW w:w="1333" w:type="pct"/>
                  <w:vAlign w:val="center"/>
                </w:tcPr>
                <w:p>
                  <w:pPr>
                    <w:spacing w:line="320" w:lineRule="exact"/>
                    <w:jc w:val="center"/>
                    <w:rPr>
                      <w:b/>
                      <w:bCs/>
                      <w:color w:val="auto"/>
                      <w:sz w:val="21"/>
                      <w:szCs w:val="21"/>
                    </w:rPr>
                  </w:pPr>
                  <w:r>
                    <w:rPr>
                      <w:b/>
                      <w:bCs/>
                      <w:color w:val="auto"/>
                      <w:sz w:val="21"/>
                      <w:szCs w:val="21"/>
                    </w:rPr>
                    <w:t>主要生态环境问题</w:t>
                  </w:r>
                </w:p>
              </w:tc>
              <w:tc>
                <w:tcPr>
                  <w:tcW w:w="568" w:type="pct"/>
                  <w:vAlign w:val="center"/>
                </w:tcPr>
                <w:p>
                  <w:pPr>
                    <w:spacing w:line="320" w:lineRule="exact"/>
                    <w:jc w:val="center"/>
                    <w:rPr>
                      <w:b/>
                      <w:bCs/>
                      <w:color w:val="auto"/>
                      <w:sz w:val="21"/>
                      <w:szCs w:val="21"/>
                    </w:rPr>
                  </w:pPr>
                  <w:r>
                    <w:rPr>
                      <w:b/>
                      <w:bCs/>
                      <w:color w:val="auto"/>
                      <w:sz w:val="21"/>
                      <w:szCs w:val="21"/>
                    </w:rPr>
                    <w:t>生态服 务功能</w:t>
                  </w:r>
                </w:p>
              </w:tc>
              <w:tc>
                <w:tcPr>
                  <w:tcW w:w="1894" w:type="pct"/>
                  <w:vAlign w:val="center"/>
                </w:tcPr>
                <w:p>
                  <w:pPr>
                    <w:spacing w:line="320" w:lineRule="exact"/>
                    <w:jc w:val="center"/>
                    <w:rPr>
                      <w:b/>
                      <w:bCs/>
                      <w:color w:val="auto"/>
                      <w:sz w:val="21"/>
                      <w:szCs w:val="21"/>
                    </w:rPr>
                  </w:pPr>
                  <w:r>
                    <w:rPr>
                      <w:b/>
                      <w:bCs/>
                      <w:color w:val="auto"/>
                      <w:sz w:val="21"/>
                      <w:szCs w:val="21"/>
                    </w:rPr>
                    <w:t>建设方向及措施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75" w:hRule="atLeast"/>
                <w:jc w:val="center"/>
              </w:trPr>
              <w:tc>
                <w:tcPr>
                  <w:tcW w:w="472" w:type="pct"/>
                  <w:vAlign w:val="center"/>
                </w:tcPr>
                <w:p>
                  <w:pPr>
                    <w:spacing w:line="320" w:lineRule="exact"/>
                    <w:jc w:val="center"/>
                    <w:rPr>
                      <w:sz w:val="21"/>
                      <w:szCs w:val="21"/>
                    </w:rPr>
                  </w:pPr>
                  <w:r>
                    <w:rPr>
                      <w:sz w:val="21"/>
                      <w:szCs w:val="21"/>
                    </w:rPr>
                    <w:t>冀北及</w:t>
                  </w:r>
                </w:p>
                <w:p>
                  <w:pPr>
                    <w:spacing w:line="320" w:lineRule="exact"/>
                    <w:jc w:val="center"/>
                    <w:rPr>
                      <w:sz w:val="21"/>
                      <w:szCs w:val="21"/>
                    </w:rPr>
                  </w:pPr>
                  <w:r>
                    <w:rPr>
                      <w:sz w:val="21"/>
                      <w:szCs w:val="21"/>
                    </w:rPr>
                    <w:t>燕山山</w:t>
                  </w:r>
                </w:p>
                <w:p>
                  <w:pPr>
                    <w:spacing w:line="320" w:lineRule="exact"/>
                    <w:jc w:val="center"/>
                    <w:rPr>
                      <w:sz w:val="21"/>
                      <w:szCs w:val="21"/>
                    </w:rPr>
                  </w:pPr>
                  <w:r>
                    <w:rPr>
                      <w:sz w:val="21"/>
                      <w:szCs w:val="21"/>
                    </w:rPr>
                    <w:t>地生态</w:t>
                  </w:r>
                </w:p>
                <w:p>
                  <w:pPr>
                    <w:spacing w:line="320" w:lineRule="exact"/>
                    <w:jc w:val="center"/>
                    <w:rPr>
                      <w:sz w:val="21"/>
                      <w:szCs w:val="21"/>
                    </w:rPr>
                  </w:pPr>
                  <w:r>
                    <w:rPr>
                      <w:sz w:val="21"/>
                      <w:szCs w:val="21"/>
                    </w:rPr>
                    <w:t>区Ⅱ</w:t>
                  </w:r>
                </w:p>
              </w:tc>
              <w:tc>
                <w:tcPr>
                  <w:tcW w:w="332" w:type="pct"/>
                  <w:vAlign w:val="center"/>
                </w:tcPr>
                <w:p>
                  <w:pPr>
                    <w:spacing w:line="320" w:lineRule="exact"/>
                    <w:jc w:val="center"/>
                    <w:rPr>
                      <w:sz w:val="21"/>
                      <w:szCs w:val="21"/>
                    </w:rPr>
                  </w:pPr>
                  <w:r>
                    <w:rPr>
                      <w:sz w:val="21"/>
                      <w:szCs w:val="21"/>
                    </w:rPr>
                    <w:t>城市</w:t>
                  </w:r>
                </w:p>
                <w:p>
                  <w:pPr>
                    <w:spacing w:line="320" w:lineRule="exact"/>
                    <w:jc w:val="center"/>
                    <w:rPr>
                      <w:sz w:val="21"/>
                      <w:szCs w:val="21"/>
                    </w:rPr>
                  </w:pPr>
                  <w:r>
                    <w:rPr>
                      <w:sz w:val="21"/>
                      <w:szCs w:val="21"/>
                    </w:rPr>
                    <w:t>规划</w:t>
                  </w:r>
                </w:p>
                <w:p>
                  <w:pPr>
                    <w:spacing w:line="320" w:lineRule="exact"/>
                    <w:jc w:val="center"/>
                    <w:rPr>
                      <w:sz w:val="21"/>
                      <w:szCs w:val="21"/>
                    </w:rPr>
                  </w:pPr>
                  <w:r>
                    <w:rPr>
                      <w:sz w:val="21"/>
                      <w:szCs w:val="21"/>
                    </w:rPr>
                    <w:t>发展</w:t>
                  </w:r>
                </w:p>
                <w:p>
                  <w:pPr>
                    <w:spacing w:line="320" w:lineRule="exact"/>
                    <w:jc w:val="center"/>
                    <w:rPr>
                      <w:sz w:val="21"/>
                      <w:szCs w:val="21"/>
                    </w:rPr>
                  </w:pPr>
                  <w:r>
                    <w:rPr>
                      <w:sz w:val="21"/>
                      <w:szCs w:val="21"/>
                    </w:rPr>
                    <w:t>亚区</w:t>
                  </w:r>
                </w:p>
                <w:p>
                  <w:pPr>
                    <w:spacing w:line="320" w:lineRule="exact"/>
                    <w:jc w:val="center"/>
                    <w:rPr>
                      <w:sz w:val="21"/>
                      <w:szCs w:val="21"/>
                    </w:rPr>
                  </w:pPr>
                  <w:r>
                    <w:rPr>
                      <w:sz w:val="21"/>
                      <w:szCs w:val="21"/>
                    </w:rPr>
                    <w:t>Ⅱ-3</w:t>
                  </w:r>
                </w:p>
              </w:tc>
              <w:tc>
                <w:tcPr>
                  <w:tcW w:w="397" w:type="pct"/>
                  <w:vAlign w:val="center"/>
                </w:tcPr>
                <w:p>
                  <w:pPr>
                    <w:spacing w:line="320" w:lineRule="exact"/>
                    <w:jc w:val="center"/>
                    <w:rPr>
                      <w:sz w:val="21"/>
                      <w:szCs w:val="21"/>
                    </w:rPr>
                  </w:pPr>
                  <w:r>
                    <w:rPr>
                      <w:sz w:val="21"/>
                      <w:szCs w:val="21"/>
                    </w:rPr>
                    <w:t>承德市</w:t>
                  </w:r>
                </w:p>
                <w:p>
                  <w:pPr>
                    <w:spacing w:line="320" w:lineRule="exact"/>
                    <w:jc w:val="center"/>
                    <w:rPr>
                      <w:sz w:val="21"/>
                      <w:szCs w:val="21"/>
                    </w:rPr>
                  </w:pPr>
                  <w:r>
                    <w:rPr>
                      <w:sz w:val="21"/>
                      <w:szCs w:val="21"/>
                    </w:rPr>
                    <w:t>生态城</w:t>
                  </w:r>
                </w:p>
                <w:p>
                  <w:pPr>
                    <w:spacing w:line="320" w:lineRule="exact"/>
                    <w:jc w:val="center"/>
                    <w:rPr>
                      <w:sz w:val="21"/>
                      <w:szCs w:val="21"/>
                    </w:rPr>
                  </w:pPr>
                  <w:r>
                    <w:rPr>
                      <w:sz w:val="21"/>
                      <w:szCs w:val="21"/>
                    </w:rPr>
                    <w:t>市建设</w:t>
                  </w:r>
                </w:p>
                <w:p>
                  <w:pPr>
                    <w:spacing w:line="320" w:lineRule="exact"/>
                    <w:jc w:val="center"/>
                    <w:rPr>
                      <w:sz w:val="21"/>
                      <w:szCs w:val="21"/>
                    </w:rPr>
                  </w:pPr>
                  <w:r>
                    <w:rPr>
                      <w:sz w:val="21"/>
                      <w:szCs w:val="21"/>
                    </w:rPr>
                    <w:t>区</w:t>
                  </w:r>
                </w:p>
                <w:p>
                  <w:pPr>
                    <w:spacing w:line="320" w:lineRule="exact"/>
                    <w:jc w:val="center"/>
                    <w:rPr>
                      <w:sz w:val="21"/>
                      <w:szCs w:val="21"/>
                    </w:rPr>
                  </w:pPr>
                  <w:r>
                    <w:rPr>
                      <w:sz w:val="21"/>
                      <w:szCs w:val="21"/>
                    </w:rPr>
                    <w:t>Ⅱ-3-2</w:t>
                  </w:r>
                </w:p>
              </w:tc>
              <w:tc>
                <w:tcPr>
                  <w:tcW w:w="1333" w:type="pct"/>
                  <w:vAlign w:val="center"/>
                </w:tcPr>
                <w:p>
                  <w:pPr>
                    <w:spacing w:line="320" w:lineRule="exact"/>
                    <w:jc w:val="center"/>
                    <w:rPr>
                      <w:sz w:val="21"/>
                      <w:szCs w:val="21"/>
                    </w:rPr>
                  </w:pPr>
                  <w:r>
                    <w:rPr>
                      <w:sz w:val="21"/>
                      <w:szCs w:val="21"/>
                    </w:rPr>
                    <w:t>绿地分布不均，生态环境调控能力较低； 城市和工业发展造成了水体、大气、噪声等环境污染；城市扩张造成对山体森林和植被的破坏，人类活动产生的水土流失和污染物对河流造成了污染，影响了水资源质量</w:t>
                  </w:r>
                </w:p>
              </w:tc>
              <w:tc>
                <w:tcPr>
                  <w:tcW w:w="568" w:type="pct"/>
                  <w:vAlign w:val="center"/>
                </w:tcPr>
                <w:p>
                  <w:pPr>
                    <w:spacing w:line="320" w:lineRule="exact"/>
                    <w:jc w:val="center"/>
                    <w:rPr>
                      <w:sz w:val="21"/>
                      <w:szCs w:val="21"/>
                    </w:rPr>
                  </w:pPr>
                  <w:r>
                    <w:rPr>
                      <w:sz w:val="21"/>
                      <w:szCs w:val="21"/>
                    </w:rPr>
                    <w:t>城市建</w:t>
                  </w:r>
                </w:p>
                <w:p>
                  <w:pPr>
                    <w:spacing w:line="320" w:lineRule="exact"/>
                    <w:jc w:val="center"/>
                    <w:rPr>
                      <w:sz w:val="21"/>
                      <w:szCs w:val="21"/>
                    </w:rPr>
                  </w:pPr>
                  <w:r>
                    <w:rPr>
                      <w:sz w:val="21"/>
                      <w:szCs w:val="21"/>
                    </w:rPr>
                    <w:t>设、污</w:t>
                  </w:r>
                </w:p>
                <w:p>
                  <w:pPr>
                    <w:spacing w:line="320" w:lineRule="exact"/>
                    <w:jc w:val="center"/>
                    <w:rPr>
                      <w:sz w:val="21"/>
                      <w:szCs w:val="21"/>
                    </w:rPr>
                  </w:pPr>
                  <w:r>
                    <w:rPr>
                      <w:sz w:val="21"/>
                      <w:szCs w:val="21"/>
                    </w:rPr>
                    <w:t>染控制、水土保持</w:t>
                  </w:r>
                </w:p>
              </w:tc>
              <w:tc>
                <w:tcPr>
                  <w:tcW w:w="1894" w:type="pct"/>
                  <w:vAlign w:val="center"/>
                </w:tcPr>
                <w:p>
                  <w:pPr>
                    <w:spacing w:line="320" w:lineRule="exact"/>
                    <w:jc w:val="center"/>
                    <w:rPr>
                      <w:sz w:val="21"/>
                      <w:szCs w:val="21"/>
                    </w:rPr>
                  </w:pPr>
                  <w:r>
                    <w:rPr>
                      <w:sz w:val="21"/>
                      <w:szCs w:val="21"/>
                    </w:rPr>
                    <w:t>在城市开发建设的同时，重视生态环境质量调控系统建设，确保居民能享受亲近自然的环境质量；严格控制人为造成的污染和生态破坏等问题；污染控制与生态保护并举，严格执行水、气、声、渣污染排放管理制度，严禁将污水、废弃物直接排入河道；在武烈河等河流沿岸实施河岸林工程，既保持水土，又涵养水源；保护和管理好风景名胜区，建设成以皇家园林和寺庙为特 色的国内外著名旅游城市</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本项目</w:t>
            </w:r>
            <w:r>
              <w:rPr>
                <w:rFonts w:hint="eastAsia"/>
              </w:rPr>
              <w:t>为承德市双滦交通康定医院建设项目</w:t>
            </w:r>
            <w:r>
              <w:t>，项目建成后，采取有效的环保治理措施，污染物达标排放，符合本生态功能区的建设方向。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szCs w:val="21"/>
              </w:rPr>
            </w:pPr>
            <w:r>
              <w:t>《承德市城市总体规划（2016-2030年）》中生态功能区如下图所示</w:t>
            </w:r>
            <w:r>
              <w:rPr>
                <w:rFonts w:hint="eastAsia"/>
                <w:color w:val="000000"/>
                <w:szCs w:val="21"/>
              </w:rPr>
              <w:t>：</w:t>
            </w:r>
            <w:r>
              <w:rPr>
                <w:color w:val="000000"/>
                <w:szCs w:val="21"/>
              </w:rPr>
              <mc:AlternateContent>
                <mc:Choice Requires="wps">
                  <w:drawing>
                    <wp:anchor distT="0" distB="0" distL="114300" distR="114300" simplePos="0" relativeHeight="251663360" behindDoc="0" locked="0" layoutInCell="1" allowOverlap="1">
                      <wp:simplePos x="0" y="0"/>
                      <wp:positionH relativeFrom="column">
                        <wp:posOffset>1595755</wp:posOffset>
                      </wp:positionH>
                      <wp:positionV relativeFrom="paragraph">
                        <wp:posOffset>3558540</wp:posOffset>
                      </wp:positionV>
                      <wp:extent cx="909955" cy="276860"/>
                      <wp:effectExtent l="12700" t="12700" r="48895" b="224790"/>
                      <wp:wrapNone/>
                      <wp:docPr id="41" name="矩形标注 41"/>
                      <wp:cNvGraphicFramePr/>
                      <a:graphic xmlns:a="http://schemas.openxmlformats.org/drawingml/2006/main">
                        <a:graphicData uri="http://schemas.microsoft.com/office/word/2010/wordprocessingShape">
                          <wps:wsp>
                            <wps:cNvSpPr/>
                            <wps:spPr>
                              <a:xfrm>
                                <a:off x="3254375" y="4913630"/>
                                <a:ext cx="909955" cy="276860"/>
                              </a:xfrm>
                              <a:prstGeom prst="wedgeRectCallout">
                                <a:avLst>
                                  <a:gd name="adj1" fmla="val 52402"/>
                                  <a:gd name="adj2" fmla="val 125229"/>
                                </a:avLst>
                              </a:prstGeom>
                              <a:solidFill>
                                <a:srgbClr val="FFFFFF"/>
                              </a:solidFill>
                              <a:ln w="25400" cap="flat" cmpd="sng" algn="ctr">
                                <a:solidFill>
                                  <a:srgbClr val="FFFFFF"/>
                                </a:solidFill>
                                <a:prstDash val="solid"/>
                              </a:ln>
                              <a:effectLst/>
                            </wps:spPr>
                            <wps:txbx>
                              <w:txbxContent>
                                <w:p>
                                  <w:pPr>
                                    <w:jc w:val="center"/>
                                    <w:rPr>
                                      <w:color w:val="000000"/>
                                    </w:rPr>
                                  </w:pPr>
                                  <w:r>
                                    <w:rPr>
                                      <w:rFonts w:hint="eastAsia"/>
                                      <w:color w:val="000000"/>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25.65pt;margin-top:280.2pt;height:21.8pt;width:71.65pt;z-index:251663360;v-text-anchor:middle;mso-width-relative:page;mso-height-relative:page;" fillcolor="#FFFFFF" filled="t" stroked="t" coordsize="21600,21600" o:gfxdata="UEsDBAoAAAAAAIdO4kAAAAAAAAAAAAAAAAAEAAAAZHJzL1BLAwQUAAAACACHTuJA5/Gm4N0AAAAL&#10;AQAADwAAAGRycy9kb3ducmV2LnhtbE2PTUvDQBCG74L/YRnBS2l3049gYyZFhHopiK2l6G2bHZNg&#10;djZkt236711PepyZh3eeN18NthVn6n3jGCGZKBDEpTMNVwj79/X4AYQPmo1uHRPClTysitubXGfG&#10;XXhL512oRAxhn2mEOoQuk9KXNVntJ64jjrcv11sd4thX0vT6EsNtK6dKpdLqhuOHWnf0XFP5vTtZ&#10;hNFr+zHaVsPmLe0+N0/79WF5HV4Q7+8S9Qgi0BD+YPjVj+pQRKejO7HxokWYLpJZRBEWqZqDiMRs&#10;OU9BHBHiQoEscvm/Q/EDUEsDBBQAAAAIAIdO4kATRgXJrgIAAGcFAAAOAAAAZHJzL2Uyb0RvYy54&#10;bWytVM1uEzEQviPxDpbvdJPNT5uomypKFIRUQUVBnB2vN7vIaxvbyaa8AI8B4gRnzjwO5TX47N22&#10;aeHQAzk4M57Zz/N94/Hp2b6WZCesq7TKaP+oR4lQXOeV2mT07ZvVsxNKnGcqZ1IrkdEr4ejZ7OmT&#10;08ZMRapLLXNhCUCUmzYmo6X3ZpokjpeiZu5IG6EQLLStmYdrN0luWQP0WiZprzdOGm1zYzUXzmF3&#10;2QZph2gfA6iLouJiqfm2Fsq3qFZI5kHJlZVxdBarLQrB/auicMITmVEw9XHFIbDXYU1mp2y6scyU&#10;Fe9KYI8p4QGnmlUKh95CLZlnZGurv6DqilvtdOGPuK6TlkhUBCz6vQfaXJbMiMgFUjtzK7r7f7D8&#10;5e7CkirP6LBPiWI1Ov778/dfP79ef/l0/eMbwTY0aoybIvXSXNjOczAD4X1h6/APKmSf0UE6Gg6O&#10;R5RcAXHSH4wHncZi7wlHwqQ3mYwQ50hIj8cn4xhP7oCMdf650DUJRkYbkW/Ea/RxwaTUWx9VZrtz&#10;56PceVczy9+j/qKW6N6OSTJKh7206+5BTnqY009HaToJSTi+g4R1U0DAd1pW+aqSMjp2s15IS4Cf&#10;0VX8dR/fS5OKNOA2GvZwyTjDiBS4mjBrA5md2lDC5Aazx72NbO597R53SChyyVzZFhMRulqkCrWK&#10;ePehUmAXutf2K1h+v953TVzr/Artt7qdC2f4qgLwOXP+gllICQZ4KvwrLIXUoKU7i5JS24//2g/5&#10;uJ+IUtJgsED5w5ZZQYl8oXBzJ/3hMExidIaj4xSOPYysDyNqWy805EZzUV00Q76XN2Zhdf0OL8o8&#10;nIoQUxxnt+J2zsK3A483iYv5PKZh+gzz5+rS8AAeJFN6vvW6qG4la9Xp9MP8xXvSvRVhwA/9mHX3&#10;Ps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OfxpuDdAAAACwEAAA8AAAAAAAAAAQAgAAAAIgAA&#10;AGRycy9kb3ducmV2LnhtbFBLAQIUABQAAAAIAIdO4kATRgXJrgIAAGcFAAAOAAAAAAAAAAEAIAAA&#10;ACwBAABkcnMvZTJvRG9jLnhtbFBLBQYAAAAABgAGAFkBAABMBgAAAAA=&#10;" adj="22119,37849">
                      <v:fill on="t" focussize="0,0"/>
                      <v:stroke weight="2pt" color="#FFFFFF" joinstyle="round"/>
                      <v:imagedata o:title=""/>
                      <o:lock v:ext="edit" aspectratio="f"/>
                      <v:textbox>
                        <w:txbxContent>
                          <w:p>
                            <w:pPr>
                              <w:jc w:val="center"/>
                              <w:rPr>
                                <w:color w:val="000000"/>
                              </w:rPr>
                            </w:pPr>
                            <w:r>
                              <w:rPr>
                                <w:rFonts w:hint="eastAsia"/>
                                <w:color w:val="000000"/>
                              </w:rPr>
                              <w:t>项目所在地</w:t>
                            </w:r>
                          </w:p>
                        </w:txbxContent>
                      </v:textbox>
                    </v:shape>
                  </w:pict>
                </mc:Fallback>
              </mc:AlternateContent>
            </w:r>
            <w:r>
              <w:rPr>
                <w:color w:val="000000"/>
                <w:szCs w:val="21"/>
              </w:rPr>
              <mc:AlternateContent>
                <mc:Choice Requires="wps">
                  <w:drawing>
                    <wp:anchor distT="0" distB="0" distL="114300" distR="114300" simplePos="0" relativeHeight="251662336" behindDoc="0" locked="0" layoutInCell="1" allowOverlap="1">
                      <wp:simplePos x="0" y="0"/>
                      <wp:positionH relativeFrom="column">
                        <wp:posOffset>2527935</wp:posOffset>
                      </wp:positionH>
                      <wp:positionV relativeFrom="paragraph">
                        <wp:posOffset>4024630</wp:posOffset>
                      </wp:positionV>
                      <wp:extent cx="75565" cy="75565"/>
                      <wp:effectExtent l="12700" t="12700" r="26035" b="26035"/>
                      <wp:wrapNone/>
                      <wp:docPr id="40" name="五角星 40"/>
                      <wp:cNvGraphicFramePr/>
                      <a:graphic xmlns:a="http://schemas.openxmlformats.org/drawingml/2006/main">
                        <a:graphicData uri="http://schemas.microsoft.com/office/word/2010/wordprocessingShape">
                          <wps:wsp>
                            <wps:cNvSpPr/>
                            <wps:spPr>
                              <a:xfrm>
                                <a:off x="4258945" y="5354320"/>
                                <a:ext cx="75565" cy="75565"/>
                              </a:xfrm>
                              <a:prstGeom prst="star5">
                                <a:avLst/>
                              </a:prstGeom>
                              <a:solidFill>
                                <a:srgbClr val="FFFF00"/>
                              </a:solidFill>
                              <a:ln w="25400" cap="flat" cmpd="sng" algn="ctr">
                                <a:solidFill>
                                  <a:srgbClr val="FFFF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99.05pt;margin-top:316.9pt;height:5.95pt;width:5.95pt;z-index:251662336;v-text-anchor:middle;mso-width-relative:page;mso-height-relative:page;" fillcolor="#FFFF00" filled="t" stroked="t" coordsize="75565,75565" o:gfxdata="UEsDBAoAAAAAAIdO4kAAAAAAAAAAAAAAAAAEAAAAZHJzL1BLAwQUAAAACACHTuJA/M/WEdoAAAAL&#10;AQAADwAAAGRycy9kb3ducmV2LnhtbE2PwU7DMAyG70i8Q2QkbizpWtpSmk5oCAlxQRu9cMua0FYk&#10;TtVk3Xh7zIkdbX/6/f315uwsW8wcRo8SkpUAZrDzesReQvvxclcCC1GhVtajkfBjAmya66taVdqf&#10;cGeWfewZhWColIQhxqniPHSDcSqs/GSQbl9+dirSOPdcz+pE4c7ytRA5d2pE+jCoyWwH033vj07C&#10;+u15+563WV8+ja3FfCk+d6+FlLc3iXgEFs05/sPwp0/q0JDTwR9RB2YlpA9lQqiEPE2pAxFZIqjd&#10;gTbZfQG8qfllh+YXUEsDBBQAAAAIAIdO4kBrGgdlfAIAAAUFAAAOAAAAZHJzL2Uyb0RvYy54bWyt&#10;VM2O0zAQviPxDpbvbNpusz/VpqtqqyKkFVupIM6u4zSR/IftNl0eA3HgxpF34HkQ4jH47GR/4dAD&#10;PaQzmck3832e8cXlXkmyE843Rhd0eDSgRGhuykZvCvr+3eLVGSU+MF0yabQo6K3w9HL68sVFaydi&#10;ZGojS+EIQLSftLagdQh2kmWe10Ixf2Ss0AhWxikW4LpNVjrWAl3JbDQYnGStcaV1hgvv8XbeBWmP&#10;6A4BNFXVcDE3fKuEDh2qE5IFUPJ1Yz2dpm6rSvBwU1VeBCILCqYhPVEE9jo+s+kFm2wcs3XD+xbY&#10;IS0846RYo1H0HmrOAiNb1/wFpRrujDdVOOJGZR2RpAhYDAfPtFnVzIrEBVJ7ey+6/3+w/O1u6UhT&#10;FnQMSTRTOPGfP778/v7519dvBO8gUGv9BHkru3S952FGtvvKqfgPHmQPiFF+dj7OKbktaH6cj49H&#10;vcBiHwhHwmmenyDMEe9M4GUPMNb58FoYRaJRUEyhy5OqbHftQ5d7lxPLeiObctFImRy3WV9JR3YM&#10;R73Ab5CKA/5JmtSkLegoHyNMOMMAVxgcmMpCBK83lDC5wWbw4FLtJ1/7w4rEJufM110zCSEKiV6k&#10;jr2KNJk9pyhvJ2i0wn6971Vem/IWh+NMN7Xe8kUD4Gvmw5I5jCkYYJHDDR6VNKBleouS2rhP/3of&#10;8zE9iFLSYuxB+eOWOUGJfKMxV+fDcRyEkJxxfooTJO5xZP04orfqykDuIa4My5MZ84O8Mytn1Afs&#10;+yxWRYhpjtqduL1zFbp1xI3BxWyW0rAbloVrvbI8gkfJtJltg6maNAZRqE4diBodbEeSt9/kuH6P&#10;/ZT1cHtN/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8z9YR2gAAAAsBAAAPAAAAAAAAAAEAIAAA&#10;ACIAAABkcnMvZG93bnJldi54bWxQSwECFAAUAAAACACHTuJAaxoHZXwCAAAFBQAADgAAAAAAAAAB&#10;ACAAAAApAQAAZHJzL2Uyb0RvYy54bWxQSwUGAAAAAAYABgBZAQAAFwYAAAAA&#10;" path="m0,28863l28863,28863,37782,0,46701,28863,75564,28863,52213,46701,61133,75564,37782,57726,14431,75564,23351,46701xe">
                      <v:path textboxrect="0,0,75565,75565" o:connectlocs="37782,0;0,28863;14431,75564;61133,75564;75564,28863" o:connectangles="247,164,82,82,0"/>
                      <v:fill on="t" focussize="0,0"/>
                      <v:stroke weight="2pt" color="#FFFF00" joinstyle="round"/>
                      <v:imagedata o:title=""/>
                      <o:lock v:ext="edit" aspectratio="f"/>
                      <v:textbox>
                        <w:txbxContent>
                          <w:p>
                            <w:pPr>
                              <w:jc w:val="center"/>
                            </w:pPr>
                          </w:p>
                        </w:txbxContent>
                      </v:textbox>
                    </v:shape>
                  </w:pict>
                </mc:Fallback>
              </mc:AlternateContent>
            </w:r>
            <w:r>
              <w:rPr>
                <w:color w:val="000000"/>
                <w:szCs w:val="21"/>
              </w:rPr>
              <w:drawing>
                <wp:inline distT="0" distB="0" distL="114300" distR="114300">
                  <wp:extent cx="4401185" cy="6775450"/>
                  <wp:effectExtent l="0" t="0" r="18415" b="635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9"/>
                          <a:stretch>
                            <a:fillRect/>
                          </a:stretch>
                        </pic:blipFill>
                        <pic:spPr>
                          <a:xfrm>
                            <a:off x="0" y="0"/>
                            <a:ext cx="4401185" cy="6775450"/>
                          </a:xfrm>
                          <a:prstGeom prst="rect">
                            <a:avLst/>
                          </a:prstGeom>
                          <a:noFill/>
                          <a:ln>
                            <a:noFill/>
                          </a:ln>
                        </pic:spPr>
                      </pic:pic>
                    </a:graphicData>
                  </a:graphic>
                </wp:inline>
              </w:drawing>
            </w:r>
          </w:p>
          <w:p>
            <w:pPr>
              <w:autoSpaceDE w:val="0"/>
              <w:autoSpaceDN w:val="0"/>
              <w:adjustRightInd w:val="0"/>
              <w:snapToGrid w:val="0"/>
              <w:spacing w:line="360" w:lineRule="auto"/>
              <w:jc w:val="center"/>
              <w:rPr>
                <w:b/>
                <w:bCs/>
                <w:color w:val="000000"/>
                <w:sz w:val="21"/>
                <w:szCs w:val="21"/>
              </w:rPr>
            </w:pPr>
            <w:r>
              <w:rPr>
                <w:rFonts w:hint="eastAsia"/>
                <w:b/>
                <w:bCs/>
                <w:color w:val="000000"/>
                <w:sz w:val="21"/>
                <w:szCs w:val="21"/>
              </w:rPr>
              <w:t>图1</w:t>
            </w:r>
            <w:r>
              <w:rPr>
                <w:rFonts w:hint="eastAsia"/>
                <w:b/>
                <w:bCs/>
                <w:color w:val="000000"/>
                <w:sz w:val="21"/>
                <w:szCs w:val="21"/>
                <w:lang w:val="en-US" w:eastAsia="zh-CN"/>
              </w:rPr>
              <w:t>-3</w:t>
            </w:r>
            <w:r>
              <w:rPr>
                <w:rFonts w:hint="eastAsia"/>
                <w:b/>
                <w:bCs/>
                <w:color w:val="000000"/>
                <w:sz w:val="21"/>
                <w:szCs w:val="21"/>
              </w:rPr>
              <w:t>项目与承德市生态功能区位置关系图</w:t>
            </w:r>
          </w:p>
          <w:p>
            <w:pPr>
              <w:pStyle w:val="12"/>
              <w:ind w:left="0" w:firstLine="0" w:firstLineChars="0"/>
              <w:rPr>
                <w:sz w:val="21"/>
                <w:szCs w:val="21"/>
              </w:rPr>
            </w:pPr>
          </w:p>
        </w:tc>
      </w:tr>
    </w:tbl>
    <w:p>
      <w:pPr>
        <w:spacing w:line="360" w:lineRule="auto"/>
        <w:rPr>
          <w:b/>
          <w:bCs/>
          <w:sz w:val="32"/>
          <w:szCs w:val="32"/>
        </w:rPr>
        <w:sectPr>
          <w:footerReference r:id="rId4" w:type="default"/>
          <w:pgSz w:w="11906" w:h="16838"/>
          <w:pgMar w:top="1440" w:right="1800" w:bottom="1440" w:left="1800" w:header="851" w:footer="992" w:gutter="0"/>
          <w:pgNumType w:start="1"/>
          <w:cols w:space="425" w:num="1"/>
          <w:docGrid w:type="lines" w:linePitch="312" w:charSpace="0"/>
        </w:sectPr>
      </w:pPr>
    </w:p>
    <w:p>
      <w:pPr>
        <w:pStyle w:val="12"/>
        <w:numPr>
          <w:ilvl w:val="0"/>
          <w:numId w:val="1"/>
        </w:numPr>
        <w:spacing w:line="360" w:lineRule="auto"/>
        <w:ind w:firstLine="0" w:firstLineChars="0"/>
        <w:jc w:val="center"/>
        <w:outlineLvl w:val="0"/>
        <w:rPr>
          <w:rFonts w:ascii="宋体" w:hAnsi="宋体" w:cs="宋体"/>
          <w:b/>
          <w:bCs/>
          <w:sz w:val="32"/>
          <w:szCs w:val="32"/>
        </w:rPr>
      </w:pPr>
      <w:r>
        <w:rPr>
          <w:rFonts w:hint="eastAsia" w:ascii="宋体" w:hAnsi="宋体" w:cs="宋体"/>
          <w:b/>
          <w:bCs/>
          <w:sz w:val="32"/>
          <w:szCs w:val="32"/>
        </w:rPr>
        <w:t>建设项目工程分析</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7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93" w:type="dxa"/>
            <w:vAlign w:val="center"/>
          </w:tcPr>
          <w:p>
            <w:pPr>
              <w:pStyle w:val="12"/>
              <w:spacing w:line="360" w:lineRule="auto"/>
              <w:ind w:left="0" w:firstLine="0" w:firstLineChars="0"/>
              <w:jc w:val="center"/>
              <w:rPr>
                <w:rFonts w:ascii="宋体" w:hAnsi="宋体" w:cs="宋体"/>
                <w:sz w:val="21"/>
                <w:szCs w:val="21"/>
              </w:rPr>
            </w:pPr>
            <w:r>
              <w:rPr>
                <w:rFonts w:hint="eastAsia" w:ascii="宋体" w:hAnsi="宋体" w:cs="宋体"/>
                <w:sz w:val="21"/>
                <w:szCs w:val="21"/>
              </w:rPr>
              <w:t>建设内容</w:t>
            </w:r>
          </w:p>
        </w:tc>
        <w:tc>
          <w:tcPr>
            <w:tcW w:w="7729" w:type="dxa"/>
          </w:tcPr>
          <w:p>
            <w:pPr>
              <w:pStyle w:val="12"/>
              <w:spacing w:line="360" w:lineRule="auto"/>
              <w:ind w:left="0" w:firstLine="0" w:firstLineChars="0"/>
              <w:rPr>
                <w:rFonts w:ascii="宋体" w:hAnsi="宋体" w:cs="宋体"/>
                <w:sz w:val="21"/>
                <w:szCs w:val="21"/>
              </w:rPr>
            </w:pPr>
            <w:r>
              <w:rPr>
                <w:rFonts w:hint="default" w:ascii="Times New Roman" w:hAnsi="Times New Roman" w:cs="Times New Roman"/>
                <w:sz w:val="21"/>
                <w:szCs w:val="21"/>
              </w:rPr>
              <w:t>1、</w:t>
            </w:r>
            <w:r>
              <w:rPr>
                <w:rFonts w:hint="eastAsia" w:ascii="宋体" w:hAnsi="宋体" w:cs="宋体"/>
                <w:sz w:val="21"/>
                <w:szCs w:val="21"/>
              </w:rPr>
              <w:t>项目建设内容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default"/>
              </w:rPr>
              <w:t>承德市双滦交通康定医院，是承德市生局批准的一级精神病专科医院。</w:t>
            </w:r>
            <w:r>
              <w:rPr>
                <w:rFonts w:hint="default"/>
                <w:lang w:val="en-US" w:eastAsia="zh-CN"/>
              </w:rPr>
              <w:t>2021年5月，承德市双滦区十届政府第81次常务会议研究审议了</w:t>
            </w:r>
            <w:r>
              <w:rPr>
                <w:rFonts w:hint="eastAsia"/>
                <w:lang w:val="en-US" w:eastAsia="zh-CN"/>
              </w:rPr>
              <w:t>“</w:t>
            </w:r>
            <w:r>
              <w:rPr>
                <w:rFonts w:hint="default"/>
                <w:lang w:val="en-US" w:eastAsia="zh-CN"/>
              </w:rPr>
              <w:t>区交通运输局提交的关于申请将滦河镇政府东侧商业楼划拨至承德市双交建工集团的请示</w:t>
            </w:r>
            <w:r>
              <w:rPr>
                <w:rFonts w:hint="eastAsia"/>
                <w:lang w:val="en-US" w:eastAsia="zh-CN"/>
              </w:rPr>
              <w:t>”，</w:t>
            </w:r>
            <w:r>
              <w:rPr>
                <w:rFonts w:hint="default"/>
                <w:lang w:val="en-US" w:eastAsia="zh-CN"/>
              </w:rPr>
              <w:t>会议认为将滦河镇政府东侧商业楼划拨至承德市双交建工集团能够有效盘活闲置国有资产，同时有利于进一步扩充康定医院容量，满足群众就医需求。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default"/>
              </w:rPr>
              <w:t>滦河镇政府东侧商业楼，地上4层，地下1层。</w:t>
            </w:r>
            <w:r>
              <w:rPr>
                <w:rFonts w:hint="default"/>
                <w:lang w:val="en-US" w:eastAsia="zh-CN"/>
              </w:rPr>
              <w:t>此次</w:t>
            </w:r>
            <w:r>
              <w:rPr>
                <w:rFonts w:hint="default"/>
              </w:rPr>
              <w:t>项目占地4059平方米，建筑面积5732.25平方米，开放床位数150张</w:t>
            </w:r>
            <w:r>
              <w:rPr>
                <w:rFonts w:hint="eastAsia"/>
                <w:lang w:eastAsia="zh-CN"/>
              </w:rPr>
              <w:t>。</w:t>
            </w:r>
            <w:r>
              <w:rPr>
                <w:rFonts w:hint="eastAsia"/>
                <w:lang w:val="en-US" w:eastAsia="zh-CN"/>
              </w:rPr>
              <w:t>工程内容包括：</w:t>
            </w:r>
            <w:r>
              <w:rPr>
                <w:rFonts w:hint="default"/>
              </w:rPr>
              <w:t>土建、电气、水暖、弱电、消防、通风、新风、空调工程建设，电梯、空气能设备采购安装，新建医疗污水处理系统，新建DR机房，DR设备采购安装，办公及医疗家具采购安装，原有医疗设备拆除搬迁安装，原有办公及医疗家具拆除搬迁安装</w:t>
            </w:r>
            <w:r>
              <w:rPr>
                <w:rFonts w:hint="eastAsia"/>
                <w:lang w:val="en-US" w:eastAsia="zh-CN"/>
              </w:rPr>
              <w:t>等</w:t>
            </w:r>
            <w:r>
              <w:rPr>
                <w:rFonts w:hint="eastAsia"/>
              </w:rPr>
              <w:t>。</w:t>
            </w:r>
          </w:p>
          <w:p>
            <w:pPr>
              <w:pStyle w:val="12"/>
              <w:spacing w:line="360" w:lineRule="auto"/>
              <w:ind w:left="0" w:firstLine="0" w:firstLineChars="0"/>
              <w:jc w:val="center"/>
              <w:rPr>
                <w:rFonts w:ascii="宋体" w:hAnsi="宋体" w:cs="宋体"/>
                <w:b/>
                <w:bCs/>
                <w:sz w:val="21"/>
                <w:szCs w:val="21"/>
              </w:rPr>
            </w:pPr>
            <w:r>
              <w:rPr>
                <w:rFonts w:hint="eastAsia" w:ascii="宋体" w:hAnsi="宋体" w:cs="宋体"/>
                <w:b/>
                <w:bCs/>
                <w:sz w:val="21"/>
                <w:szCs w:val="21"/>
              </w:rPr>
              <w:t>表</w:t>
            </w:r>
            <w:r>
              <w:rPr>
                <w:b/>
                <w:bCs/>
                <w:sz w:val="21"/>
                <w:szCs w:val="21"/>
              </w:rPr>
              <w:t>2-1</w:t>
            </w:r>
            <w:r>
              <w:rPr>
                <w:rFonts w:hint="eastAsia" w:ascii="宋体" w:hAnsi="宋体" w:cs="宋体"/>
                <w:b/>
                <w:bCs/>
                <w:sz w:val="21"/>
                <w:szCs w:val="21"/>
              </w:rPr>
              <w:t>项目主要内容建设一览表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214"/>
              <w:gridCol w:w="5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Align w:val="center"/>
                </w:tcPr>
                <w:p>
                  <w:pPr>
                    <w:pStyle w:val="27"/>
                    <w:rPr>
                      <w:b/>
                      <w:bCs/>
                      <w:sz w:val="21"/>
                      <w:szCs w:val="21"/>
                    </w:rPr>
                  </w:pPr>
                  <w:r>
                    <w:rPr>
                      <w:b/>
                      <w:bCs/>
                      <w:sz w:val="21"/>
                      <w:szCs w:val="21"/>
                    </w:rPr>
                    <w:t>工程类别</w:t>
                  </w:r>
                </w:p>
              </w:tc>
              <w:tc>
                <w:tcPr>
                  <w:tcW w:w="809" w:type="pct"/>
                  <w:vAlign w:val="center"/>
                </w:tcPr>
                <w:p>
                  <w:pPr>
                    <w:pStyle w:val="27"/>
                    <w:rPr>
                      <w:b/>
                      <w:bCs/>
                      <w:sz w:val="21"/>
                      <w:szCs w:val="21"/>
                    </w:rPr>
                  </w:pPr>
                  <w:r>
                    <w:rPr>
                      <w:b/>
                      <w:bCs/>
                      <w:sz w:val="21"/>
                      <w:szCs w:val="21"/>
                    </w:rPr>
                    <w:t>工程名称</w:t>
                  </w:r>
                </w:p>
              </w:tc>
              <w:tc>
                <w:tcPr>
                  <w:tcW w:w="3644" w:type="pct"/>
                  <w:vAlign w:val="center"/>
                </w:tcPr>
                <w:p>
                  <w:pPr>
                    <w:pStyle w:val="27"/>
                    <w:rPr>
                      <w:b/>
                      <w:bCs/>
                      <w:sz w:val="21"/>
                      <w:szCs w:val="21"/>
                    </w:rPr>
                  </w:pPr>
                  <w:r>
                    <w:rPr>
                      <w:b/>
                      <w:bCs/>
                      <w:sz w:val="21"/>
                      <w:szCs w:val="21"/>
                    </w:rPr>
                    <w:t>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546" w:type="pct"/>
                  <w:vMerge w:val="restart"/>
                  <w:vAlign w:val="center"/>
                </w:tcPr>
                <w:p>
                  <w:pPr>
                    <w:pStyle w:val="27"/>
                    <w:rPr>
                      <w:sz w:val="21"/>
                      <w:szCs w:val="21"/>
                    </w:rPr>
                  </w:pPr>
                  <w:r>
                    <w:rPr>
                      <w:sz w:val="21"/>
                      <w:szCs w:val="21"/>
                    </w:rPr>
                    <w:t>主体工程</w:t>
                  </w:r>
                </w:p>
              </w:tc>
              <w:tc>
                <w:tcPr>
                  <w:tcW w:w="809" w:type="pct"/>
                  <w:vAlign w:val="center"/>
                </w:tcPr>
                <w:p>
                  <w:pPr>
                    <w:pStyle w:val="27"/>
                    <w:rPr>
                      <w:sz w:val="21"/>
                      <w:szCs w:val="21"/>
                    </w:rPr>
                  </w:pPr>
                  <w:r>
                    <w:rPr>
                      <w:rFonts w:hint="eastAsia"/>
                      <w:sz w:val="21"/>
                      <w:szCs w:val="21"/>
                    </w:rPr>
                    <w:t>一层</w:t>
                  </w:r>
                </w:p>
              </w:tc>
              <w:tc>
                <w:tcPr>
                  <w:tcW w:w="3644" w:type="pct"/>
                  <w:vAlign w:val="center"/>
                </w:tcPr>
                <w:p>
                  <w:pPr>
                    <w:jc w:val="center"/>
                    <w:rPr>
                      <w:sz w:val="21"/>
                      <w:szCs w:val="21"/>
                    </w:rPr>
                  </w:pPr>
                  <w:r>
                    <w:rPr>
                      <w:rFonts w:hint="eastAsia"/>
                      <w:sz w:val="21"/>
                      <w:szCs w:val="21"/>
                    </w:rPr>
                    <w:t>一层设有诊室3间、办公室3间、综合功能科1间、检验科1间、心电图1间、药房2间、药库1间、会议室1间、财务室1间、信息室1间、X光室、阅片室、操作间1间、消防兼安全控制室、导诊台、卫生间、大厅、水暖井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546" w:type="pct"/>
                  <w:vMerge w:val="continue"/>
                  <w:vAlign w:val="center"/>
                </w:tcPr>
                <w:p>
                  <w:pPr>
                    <w:pStyle w:val="27"/>
                    <w:rPr>
                      <w:sz w:val="21"/>
                      <w:szCs w:val="21"/>
                    </w:rPr>
                  </w:pPr>
                </w:p>
              </w:tc>
              <w:tc>
                <w:tcPr>
                  <w:tcW w:w="809" w:type="pct"/>
                  <w:vAlign w:val="center"/>
                </w:tcPr>
                <w:p>
                  <w:pPr>
                    <w:pStyle w:val="27"/>
                    <w:rPr>
                      <w:sz w:val="21"/>
                      <w:szCs w:val="21"/>
                    </w:rPr>
                  </w:pPr>
                  <w:r>
                    <w:rPr>
                      <w:rFonts w:hint="eastAsia"/>
                      <w:sz w:val="21"/>
                      <w:szCs w:val="21"/>
                    </w:rPr>
                    <w:t>二层</w:t>
                  </w:r>
                </w:p>
              </w:tc>
              <w:tc>
                <w:tcPr>
                  <w:tcW w:w="3644" w:type="pct"/>
                  <w:vAlign w:val="center"/>
                </w:tcPr>
                <w:p>
                  <w:pPr>
                    <w:pStyle w:val="27"/>
                    <w:rPr>
                      <w:sz w:val="21"/>
                      <w:szCs w:val="21"/>
                    </w:rPr>
                  </w:pPr>
                  <w:r>
                    <w:rPr>
                      <w:rFonts w:hint="eastAsia"/>
                      <w:sz w:val="21"/>
                      <w:szCs w:val="21"/>
                    </w:rPr>
                    <w:t>二层设有办公室10间（40）、4张开放床位、治疗室1间、淋浴间更衣室1间、消毒柜、饮水机、公共就餐区域、护士站以及卫生间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546" w:type="pct"/>
                  <w:vMerge w:val="continue"/>
                  <w:vAlign w:val="center"/>
                </w:tcPr>
                <w:p>
                  <w:pPr>
                    <w:pStyle w:val="27"/>
                    <w:rPr>
                      <w:sz w:val="21"/>
                      <w:szCs w:val="21"/>
                    </w:rPr>
                  </w:pPr>
                </w:p>
              </w:tc>
              <w:tc>
                <w:tcPr>
                  <w:tcW w:w="809" w:type="pct"/>
                  <w:vAlign w:val="center"/>
                </w:tcPr>
                <w:p>
                  <w:pPr>
                    <w:pStyle w:val="27"/>
                    <w:rPr>
                      <w:sz w:val="21"/>
                      <w:szCs w:val="21"/>
                    </w:rPr>
                  </w:pPr>
                  <w:r>
                    <w:rPr>
                      <w:rFonts w:hint="eastAsia"/>
                      <w:sz w:val="21"/>
                      <w:szCs w:val="21"/>
                    </w:rPr>
                    <w:t>三层</w:t>
                  </w:r>
                </w:p>
              </w:tc>
              <w:tc>
                <w:tcPr>
                  <w:tcW w:w="3644" w:type="pct"/>
                  <w:vAlign w:val="center"/>
                </w:tcPr>
                <w:p>
                  <w:pPr>
                    <w:pStyle w:val="27"/>
                    <w:rPr>
                      <w:sz w:val="21"/>
                      <w:szCs w:val="21"/>
                    </w:rPr>
                  </w:pPr>
                  <w:r>
                    <w:rPr>
                      <w:rFonts w:hint="eastAsia"/>
                      <w:sz w:val="21"/>
                      <w:szCs w:val="21"/>
                    </w:rPr>
                    <w:t>三层设有病房7间（24）、办公室1间、治疗室1间、库房1座、淋浴间更衣室1间、处置室、消毒柜、饮水机、公共就餐区域、护士站以及卫生间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546" w:type="pct"/>
                  <w:vMerge w:val="continue"/>
                  <w:vAlign w:val="center"/>
                </w:tcPr>
                <w:p>
                  <w:pPr>
                    <w:pStyle w:val="27"/>
                    <w:rPr>
                      <w:sz w:val="21"/>
                      <w:szCs w:val="21"/>
                    </w:rPr>
                  </w:pPr>
                </w:p>
              </w:tc>
              <w:tc>
                <w:tcPr>
                  <w:tcW w:w="809" w:type="pct"/>
                  <w:vAlign w:val="center"/>
                </w:tcPr>
                <w:p>
                  <w:pPr>
                    <w:pStyle w:val="27"/>
                    <w:rPr>
                      <w:sz w:val="21"/>
                      <w:szCs w:val="21"/>
                    </w:rPr>
                  </w:pPr>
                  <w:r>
                    <w:rPr>
                      <w:rFonts w:hint="eastAsia"/>
                      <w:sz w:val="21"/>
                      <w:szCs w:val="21"/>
                    </w:rPr>
                    <w:t>四层</w:t>
                  </w:r>
                </w:p>
              </w:tc>
              <w:tc>
                <w:tcPr>
                  <w:tcW w:w="3644" w:type="pct"/>
                  <w:vAlign w:val="center"/>
                </w:tcPr>
                <w:p>
                  <w:pPr>
                    <w:pStyle w:val="27"/>
                    <w:rPr>
                      <w:sz w:val="21"/>
                      <w:szCs w:val="21"/>
                    </w:rPr>
                  </w:pPr>
                  <w:r>
                    <w:rPr>
                      <w:rFonts w:hint="eastAsia"/>
                      <w:sz w:val="21"/>
                      <w:szCs w:val="21"/>
                    </w:rPr>
                    <w:t>四层设有病房13间(47)，治疗室1间、库房1座、淋浴间更衣室1间、消毒柜、饮水机、公共就餐区域、护士站以及卫生间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546" w:type="pct"/>
                  <w:vMerge w:val="continue"/>
                  <w:vAlign w:val="center"/>
                </w:tcPr>
                <w:p>
                  <w:pPr>
                    <w:pStyle w:val="27"/>
                    <w:rPr>
                      <w:sz w:val="21"/>
                      <w:szCs w:val="21"/>
                    </w:rPr>
                  </w:pPr>
                </w:p>
              </w:tc>
              <w:tc>
                <w:tcPr>
                  <w:tcW w:w="809" w:type="pct"/>
                  <w:vAlign w:val="center"/>
                </w:tcPr>
                <w:p>
                  <w:pPr>
                    <w:pStyle w:val="27"/>
                    <w:rPr>
                      <w:sz w:val="21"/>
                      <w:szCs w:val="21"/>
                    </w:rPr>
                  </w:pPr>
                  <w:r>
                    <w:rPr>
                      <w:rFonts w:hint="eastAsia"/>
                      <w:sz w:val="21"/>
                      <w:szCs w:val="21"/>
                    </w:rPr>
                    <w:t>地下一层</w:t>
                  </w:r>
                </w:p>
              </w:tc>
              <w:tc>
                <w:tcPr>
                  <w:tcW w:w="3644" w:type="pct"/>
                  <w:vAlign w:val="center"/>
                </w:tcPr>
                <w:p>
                  <w:pPr>
                    <w:pStyle w:val="27"/>
                    <w:rPr>
                      <w:sz w:val="21"/>
                      <w:szCs w:val="21"/>
                    </w:rPr>
                  </w:pPr>
                  <w:r>
                    <w:rPr>
                      <w:rFonts w:hint="eastAsia"/>
                      <w:sz w:val="21"/>
                      <w:szCs w:val="21"/>
                    </w:rPr>
                    <w:t>隔离室2间、发热筛查1间、治疗室、卫生间、危废间1间、污水处理水池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restart"/>
                  <w:vAlign w:val="center"/>
                </w:tcPr>
                <w:p>
                  <w:pPr>
                    <w:pStyle w:val="27"/>
                    <w:rPr>
                      <w:sz w:val="21"/>
                      <w:szCs w:val="21"/>
                    </w:rPr>
                  </w:pPr>
                  <w:r>
                    <w:rPr>
                      <w:sz w:val="21"/>
                      <w:szCs w:val="21"/>
                    </w:rPr>
                    <w:t>公用工程</w:t>
                  </w:r>
                </w:p>
              </w:tc>
              <w:tc>
                <w:tcPr>
                  <w:tcW w:w="809" w:type="pct"/>
                  <w:vAlign w:val="center"/>
                </w:tcPr>
                <w:p>
                  <w:pPr>
                    <w:pStyle w:val="27"/>
                    <w:rPr>
                      <w:sz w:val="21"/>
                      <w:szCs w:val="21"/>
                    </w:rPr>
                  </w:pPr>
                  <w:r>
                    <w:rPr>
                      <w:sz w:val="21"/>
                      <w:szCs w:val="21"/>
                    </w:rPr>
                    <w:t>给水</w:t>
                  </w:r>
                </w:p>
              </w:tc>
              <w:tc>
                <w:tcPr>
                  <w:tcW w:w="3644" w:type="pct"/>
                  <w:vAlign w:val="center"/>
                </w:tcPr>
                <w:p>
                  <w:pPr>
                    <w:pStyle w:val="27"/>
                    <w:rPr>
                      <w:sz w:val="21"/>
                      <w:szCs w:val="21"/>
                    </w:rPr>
                  </w:pPr>
                  <w:r>
                    <w:rPr>
                      <w:rFonts w:hint="eastAsia"/>
                      <w:sz w:val="21"/>
                      <w:szCs w:val="21"/>
                    </w:rPr>
                    <w:t>由双滦区供水管网提供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continue"/>
                  <w:vAlign w:val="center"/>
                </w:tcPr>
                <w:p>
                  <w:pPr>
                    <w:pStyle w:val="27"/>
                    <w:rPr>
                      <w:sz w:val="21"/>
                      <w:szCs w:val="21"/>
                    </w:rPr>
                  </w:pPr>
                </w:p>
              </w:tc>
              <w:tc>
                <w:tcPr>
                  <w:tcW w:w="809" w:type="pct"/>
                  <w:vAlign w:val="center"/>
                </w:tcPr>
                <w:p>
                  <w:pPr>
                    <w:pStyle w:val="27"/>
                    <w:rPr>
                      <w:sz w:val="21"/>
                      <w:szCs w:val="21"/>
                    </w:rPr>
                  </w:pPr>
                  <w:r>
                    <w:rPr>
                      <w:sz w:val="21"/>
                      <w:szCs w:val="21"/>
                    </w:rPr>
                    <w:t>排水</w:t>
                  </w:r>
                </w:p>
              </w:tc>
              <w:tc>
                <w:tcPr>
                  <w:tcW w:w="3644" w:type="pct"/>
                  <w:vAlign w:val="center"/>
                </w:tcPr>
                <w:p>
                  <w:pPr>
                    <w:pStyle w:val="27"/>
                    <w:rPr>
                      <w:sz w:val="21"/>
                      <w:szCs w:val="21"/>
                    </w:rPr>
                  </w:pPr>
                  <w:r>
                    <w:rPr>
                      <w:rFonts w:hint="eastAsia"/>
                      <w:sz w:val="21"/>
                      <w:szCs w:val="21"/>
                    </w:rPr>
                    <w:t>经医院污水处理站处理后排入市政管网，最终进入承德市双滦区城市污水厂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continue"/>
                  <w:vAlign w:val="center"/>
                </w:tcPr>
                <w:p>
                  <w:pPr>
                    <w:pStyle w:val="27"/>
                    <w:rPr>
                      <w:sz w:val="21"/>
                      <w:szCs w:val="21"/>
                    </w:rPr>
                  </w:pPr>
                </w:p>
              </w:tc>
              <w:tc>
                <w:tcPr>
                  <w:tcW w:w="809" w:type="pct"/>
                  <w:vAlign w:val="center"/>
                </w:tcPr>
                <w:p>
                  <w:pPr>
                    <w:pStyle w:val="27"/>
                    <w:rPr>
                      <w:sz w:val="21"/>
                      <w:szCs w:val="21"/>
                    </w:rPr>
                  </w:pPr>
                  <w:r>
                    <w:rPr>
                      <w:sz w:val="21"/>
                      <w:szCs w:val="21"/>
                    </w:rPr>
                    <w:t>供电</w:t>
                  </w:r>
                </w:p>
              </w:tc>
              <w:tc>
                <w:tcPr>
                  <w:tcW w:w="3644" w:type="pct"/>
                  <w:vAlign w:val="center"/>
                </w:tcPr>
                <w:p>
                  <w:pPr>
                    <w:autoSpaceDE w:val="0"/>
                    <w:jc w:val="center"/>
                    <w:textAlignment w:val="baseline"/>
                    <w:rPr>
                      <w:sz w:val="21"/>
                      <w:szCs w:val="21"/>
                    </w:rPr>
                  </w:pPr>
                  <w:r>
                    <w:rPr>
                      <w:rFonts w:hint="eastAsia"/>
                      <w:sz w:val="21"/>
                      <w:szCs w:val="21"/>
                    </w:rPr>
                    <w:t>由双滦区供电网提供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continue"/>
                  <w:vAlign w:val="center"/>
                </w:tcPr>
                <w:p>
                  <w:pPr>
                    <w:pStyle w:val="27"/>
                    <w:rPr>
                      <w:sz w:val="21"/>
                      <w:szCs w:val="21"/>
                    </w:rPr>
                  </w:pPr>
                </w:p>
              </w:tc>
              <w:tc>
                <w:tcPr>
                  <w:tcW w:w="809" w:type="pct"/>
                  <w:vAlign w:val="center"/>
                </w:tcPr>
                <w:p>
                  <w:pPr>
                    <w:pStyle w:val="27"/>
                    <w:rPr>
                      <w:sz w:val="21"/>
                      <w:szCs w:val="21"/>
                    </w:rPr>
                  </w:pPr>
                  <w:r>
                    <w:rPr>
                      <w:sz w:val="21"/>
                      <w:szCs w:val="21"/>
                    </w:rPr>
                    <w:t>供热</w:t>
                  </w:r>
                </w:p>
              </w:tc>
              <w:tc>
                <w:tcPr>
                  <w:tcW w:w="3644" w:type="pct"/>
                  <w:vAlign w:val="center"/>
                </w:tcPr>
                <w:p>
                  <w:pPr>
                    <w:jc w:val="center"/>
                    <w:rPr>
                      <w:sz w:val="21"/>
                      <w:szCs w:val="21"/>
                    </w:rPr>
                  </w:pPr>
                  <w:r>
                    <w:rPr>
                      <w:rFonts w:hint="eastAsia"/>
                      <w:sz w:val="21"/>
                      <w:szCs w:val="21"/>
                    </w:rPr>
                    <w:t>由双滦区集中供热提供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restart"/>
                  <w:vAlign w:val="center"/>
                </w:tcPr>
                <w:p>
                  <w:pPr>
                    <w:pStyle w:val="27"/>
                    <w:rPr>
                      <w:sz w:val="21"/>
                      <w:szCs w:val="21"/>
                    </w:rPr>
                  </w:pPr>
                  <w:r>
                    <w:rPr>
                      <w:sz w:val="21"/>
                      <w:szCs w:val="21"/>
                    </w:rPr>
                    <w:t>环保工程</w:t>
                  </w:r>
                </w:p>
              </w:tc>
              <w:tc>
                <w:tcPr>
                  <w:tcW w:w="809" w:type="pct"/>
                  <w:vAlign w:val="center"/>
                </w:tcPr>
                <w:p>
                  <w:pPr>
                    <w:pStyle w:val="27"/>
                    <w:rPr>
                      <w:sz w:val="21"/>
                      <w:szCs w:val="21"/>
                    </w:rPr>
                  </w:pPr>
                  <w:r>
                    <w:rPr>
                      <w:sz w:val="21"/>
                      <w:szCs w:val="21"/>
                    </w:rPr>
                    <w:t>废气</w:t>
                  </w:r>
                </w:p>
              </w:tc>
              <w:tc>
                <w:tcPr>
                  <w:tcW w:w="3644" w:type="pct"/>
                  <w:vAlign w:val="center"/>
                </w:tcPr>
                <w:p>
                  <w:pPr>
                    <w:pStyle w:val="27"/>
                    <w:rPr>
                      <w:sz w:val="21"/>
                      <w:szCs w:val="21"/>
                    </w:rPr>
                  </w:pPr>
                  <w:r>
                    <w:rPr>
                      <w:rFonts w:hint="eastAsia"/>
                      <w:sz w:val="21"/>
                      <w:szCs w:val="21"/>
                    </w:rPr>
                    <w:t>项目废气主要为污水处理站无组织恶臭，采取加盖遮蔽、投加除臭剂措施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continue"/>
                  <w:vAlign w:val="center"/>
                </w:tcPr>
                <w:p>
                  <w:pPr>
                    <w:pStyle w:val="27"/>
                    <w:rPr>
                      <w:sz w:val="21"/>
                      <w:szCs w:val="21"/>
                    </w:rPr>
                  </w:pPr>
                </w:p>
              </w:tc>
              <w:tc>
                <w:tcPr>
                  <w:tcW w:w="809" w:type="pct"/>
                  <w:vAlign w:val="center"/>
                </w:tcPr>
                <w:p>
                  <w:pPr>
                    <w:pStyle w:val="27"/>
                    <w:rPr>
                      <w:sz w:val="21"/>
                      <w:szCs w:val="21"/>
                    </w:rPr>
                  </w:pPr>
                  <w:r>
                    <w:rPr>
                      <w:sz w:val="21"/>
                      <w:szCs w:val="21"/>
                    </w:rPr>
                    <w:t>废水</w:t>
                  </w:r>
                </w:p>
              </w:tc>
              <w:tc>
                <w:tcPr>
                  <w:tcW w:w="3644" w:type="pct"/>
                  <w:vAlign w:val="center"/>
                </w:tcPr>
                <w:p>
                  <w:pPr>
                    <w:pStyle w:val="27"/>
                    <w:rPr>
                      <w:sz w:val="21"/>
                      <w:szCs w:val="21"/>
                    </w:rPr>
                  </w:pPr>
                  <w:r>
                    <w:rPr>
                      <w:rFonts w:hint="eastAsia"/>
                      <w:sz w:val="21"/>
                      <w:szCs w:val="21"/>
                    </w:rPr>
                    <w:t>项目医疗废水经各科室预处理后与生活污水一同排入医院污水处理站处理，项目污水处理站采取A/O生物接触氧化+消毒工艺”，处理后污水排入市政管网，最终入承德市双滦区城市污水厂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continue"/>
                  <w:vAlign w:val="center"/>
                </w:tcPr>
                <w:p>
                  <w:pPr>
                    <w:pStyle w:val="27"/>
                    <w:rPr>
                      <w:sz w:val="21"/>
                      <w:szCs w:val="21"/>
                    </w:rPr>
                  </w:pPr>
                </w:p>
              </w:tc>
              <w:tc>
                <w:tcPr>
                  <w:tcW w:w="809" w:type="pct"/>
                  <w:vAlign w:val="center"/>
                </w:tcPr>
                <w:p>
                  <w:pPr>
                    <w:pStyle w:val="27"/>
                    <w:rPr>
                      <w:sz w:val="21"/>
                      <w:szCs w:val="21"/>
                    </w:rPr>
                  </w:pPr>
                  <w:r>
                    <w:rPr>
                      <w:sz w:val="21"/>
                      <w:szCs w:val="21"/>
                    </w:rPr>
                    <w:t>噪声</w:t>
                  </w:r>
                </w:p>
              </w:tc>
              <w:tc>
                <w:tcPr>
                  <w:tcW w:w="3644" w:type="pct"/>
                  <w:vAlign w:val="center"/>
                </w:tcPr>
                <w:p>
                  <w:pPr>
                    <w:pStyle w:val="27"/>
                    <w:rPr>
                      <w:sz w:val="21"/>
                      <w:szCs w:val="21"/>
                    </w:rPr>
                  </w:pPr>
                  <w:r>
                    <w:rPr>
                      <w:rFonts w:hint="eastAsia"/>
                      <w:sz w:val="21"/>
                      <w:szCs w:val="21"/>
                    </w:rPr>
                    <w:t>建筑隔声、基础减振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546" w:type="pct"/>
                  <w:vMerge w:val="continue"/>
                  <w:vAlign w:val="center"/>
                </w:tcPr>
                <w:p>
                  <w:pPr>
                    <w:pStyle w:val="27"/>
                    <w:rPr>
                      <w:sz w:val="21"/>
                      <w:szCs w:val="21"/>
                    </w:rPr>
                  </w:pPr>
                </w:p>
              </w:tc>
              <w:tc>
                <w:tcPr>
                  <w:tcW w:w="809" w:type="pct"/>
                  <w:vMerge w:val="restart"/>
                  <w:vAlign w:val="center"/>
                </w:tcPr>
                <w:p>
                  <w:pPr>
                    <w:pStyle w:val="27"/>
                    <w:rPr>
                      <w:sz w:val="21"/>
                      <w:szCs w:val="21"/>
                    </w:rPr>
                  </w:pPr>
                  <w:r>
                    <w:rPr>
                      <w:sz w:val="21"/>
                      <w:szCs w:val="21"/>
                    </w:rPr>
                    <w:t>固废</w:t>
                  </w:r>
                </w:p>
              </w:tc>
              <w:tc>
                <w:tcPr>
                  <w:tcW w:w="3644" w:type="pct"/>
                  <w:vAlign w:val="center"/>
                </w:tcPr>
                <w:p>
                  <w:pPr>
                    <w:jc w:val="center"/>
                    <w:rPr>
                      <w:sz w:val="21"/>
                      <w:szCs w:val="21"/>
                    </w:rPr>
                  </w:pPr>
                  <w:r>
                    <w:rPr>
                      <w:rFonts w:hint="eastAsia"/>
                      <w:sz w:val="21"/>
                      <w:szCs w:val="21"/>
                    </w:rPr>
                    <w:t>生活垃圾集中收集至生活垃圾堆放点，由相关部门统一清运处理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546" w:type="pct"/>
                  <w:vMerge w:val="continue"/>
                  <w:vAlign w:val="center"/>
                </w:tcPr>
                <w:p>
                  <w:pPr>
                    <w:pStyle w:val="27"/>
                    <w:rPr>
                      <w:sz w:val="21"/>
                      <w:szCs w:val="21"/>
                    </w:rPr>
                  </w:pPr>
                </w:p>
              </w:tc>
              <w:tc>
                <w:tcPr>
                  <w:tcW w:w="809" w:type="pct"/>
                  <w:vMerge w:val="continue"/>
                  <w:vAlign w:val="center"/>
                </w:tcPr>
                <w:p>
                  <w:pPr>
                    <w:pStyle w:val="27"/>
                    <w:rPr>
                      <w:sz w:val="21"/>
                      <w:szCs w:val="21"/>
                    </w:rPr>
                  </w:pPr>
                </w:p>
              </w:tc>
              <w:tc>
                <w:tcPr>
                  <w:tcW w:w="3644" w:type="pct"/>
                  <w:vAlign w:val="center"/>
                </w:tcPr>
                <w:p>
                  <w:pPr>
                    <w:jc w:val="center"/>
                    <w:rPr>
                      <w:sz w:val="21"/>
                      <w:szCs w:val="21"/>
                    </w:rPr>
                  </w:pPr>
                  <w:r>
                    <w:rPr>
                      <w:rFonts w:hint="eastAsia"/>
                      <w:sz w:val="21"/>
                      <w:szCs w:val="21"/>
                    </w:rPr>
                    <w:t>医疗废物、污水处理产生的化粪池底泥、栅渣和污泥暂存于医院一层的10m</w:t>
                  </w:r>
                  <w:r>
                    <w:rPr>
                      <w:rFonts w:hint="eastAsia"/>
                      <w:sz w:val="21"/>
                      <w:szCs w:val="21"/>
                      <w:vertAlign w:val="superscript"/>
                    </w:rPr>
                    <w:t>2</w:t>
                  </w:r>
                  <w:r>
                    <w:rPr>
                      <w:rFonts w:hint="eastAsia"/>
                      <w:sz w:val="21"/>
                      <w:szCs w:val="21"/>
                    </w:rPr>
                    <w:t>危废间，定期委托有资质单位处理</w:t>
                  </w:r>
                </w:p>
              </w:tc>
            </w:tr>
          </w:tbl>
          <w:p>
            <w:pPr>
              <w:pStyle w:val="12"/>
              <w:spacing w:line="360" w:lineRule="auto"/>
              <w:ind w:left="0" w:firstLine="0" w:firstLineChars="0"/>
              <w:rPr>
                <w:rFonts w:ascii="宋体" w:hAnsi="宋体" w:cs="宋体"/>
                <w:sz w:val="21"/>
                <w:szCs w:val="21"/>
              </w:rPr>
            </w:pPr>
            <w:r>
              <w:rPr>
                <w:sz w:val="21"/>
                <w:szCs w:val="21"/>
              </w:rPr>
              <w:t>2、</w:t>
            </w:r>
            <w:r>
              <w:rPr>
                <w:rFonts w:hint="eastAsia" w:ascii="宋体" w:hAnsi="宋体" w:cs="宋体"/>
                <w:sz w:val="21"/>
                <w:szCs w:val="21"/>
              </w:rPr>
              <w:t>现有项目原辅材料用量</w:t>
            </w:r>
          </w:p>
          <w:p>
            <w:pPr>
              <w:pStyle w:val="12"/>
              <w:spacing w:line="360" w:lineRule="auto"/>
              <w:ind w:left="0" w:firstLine="0" w:firstLineChars="0"/>
              <w:jc w:val="center"/>
              <w:rPr>
                <w:rFonts w:ascii="宋体" w:hAnsi="宋体" w:cs="宋体"/>
                <w:b/>
                <w:bCs/>
                <w:sz w:val="21"/>
                <w:szCs w:val="21"/>
              </w:rPr>
            </w:pPr>
            <w:r>
              <w:rPr>
                <w:rFonts w:hint="eastAsia" w:ascii="宋体" w:hAnsi="宋体" w:cs="宋体"/>
                <w:b/>
                <w:bCs/>
                <w:sz w:val="21"/>
                <w:szCs w:val="21"/>
              </w:rPr>
              <w:t>表</w:t>
            </w:r>
            <w:r>
              <w:rPr>
                <w:b/>
                <w:bCs/>
                <w:sz w:val="21"/>
                <w:szCs w:val="21"/>
              </w:rPr>
              <w:t>2-2</w:t>
            </w:r>
            <w:r>
              <w:rPr>
                <w:rFonts w:hint="eastAsia" w:ascii="宋体" w:hAnsi="宋体" w:cs="宋体"/>
                <w:b/>
                <w:bCs/>
                <w:sz w:val="21"/>
                <w:szCs w:val="21"/>
              </w:rPr>
              <w:t>原辅材料一览表</w:t>
            </w:r>
          </w:p>
          <w:tbl>
            <w:tblPr>
              <w:tblStyle w:val="18"/>
              <w:tblW w:w="7415" w:type="dxa"/>
              <w:tblInd w:w="0" w:type="dxa"/>
              <w:tblLayout w:type="fixed"/>
              <w:tblCellMar>
                <w:top w:w="0" w:type="dxa"/>
                <w:left w:w="108" w:type="dxa"/>
                <w:bottom w:w="0" w:type="dxa"/>
                <w:right w:w="108" w:type="dxa"/>
              </w:tblCellMar>
            </w:tblPr>
            <w:tblGrid>
              <w:gridCol w:w="4741"/>
              <w:gridCol w:w="885"/>
              <w:gridCol w:w="1140"/>
              <w:gridCol w:w="649"/>
            </w:tblGrid>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名称</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单位</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出库数量</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备注</w:t>
                  </w: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75%酒精消毒液</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瓶</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75%酒精消毒液</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瓶</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13</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75%酒精消毒液</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瓶</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75%医用酒精</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瓶</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30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84消毒液</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瓶</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150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84消毒液</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瓶</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360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CD80生化分析仪用清洗液</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瓶</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C-反应蛋白 （CRP)校准品5*0.5ML</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C-反应蛋白（CRP）测定试剂盒2*25ML</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白蛋白(ALB）测定试剂盒R1:4*40ML+校准品：1*1.5ML</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丙氨酸氨基转移酶（ALT）测定试剂盒R1：4*35ML+R2:2*18ML</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丙型肝炎病毒抗体检测试剂盒</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丙型肝炎病毒抗体校准品</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常规生化复合校准品3ML</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支</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6</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促甲状腺激素测定试剂盒</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促甲状腺激素校准品</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低密度脂蛋白胆固醇（LDL-C)测定试剂盒R1:1*40ML+R2：1*14ML</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碘伏</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瓶</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碘伏消毒液</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瓶</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帆船牌载玻片</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甘油三酯（TG)测定试剂盒R1:4*40ML+校准品：1*1.5ML</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高密度脂蛋白胆固醇（HDL-C)测定试剂盒R1:1*40ML+R2：1*14ML</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谷氨酰转移酶(r-GT)测定试剂盒R1:4*35ML+R2:2*18ML</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胱抑素C测定试剂盒</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化学发光免疫分析仪反应杯及废料箱</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肌酐（crea）测定试剂盒R1：4*35ML+R2：2*18ML+校准品：1*1.5ml</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肌酸激酶测定试剂盒</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甲状腺球蛋白测定试剂盒</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甲状腺球蛋白校准品</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碱性磷酸酶（ALP）测定试剂盒R1:4*35ML+R2:2*18ML</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酒精消毒液</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瓶</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梅毒螺旋体抗体测定试剂盒</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梅毒螺旋体抗体校准品</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尿素（urea）测定试剂盒R1：4*35ML+R2：2*18ML+校准品：1*1.5ml</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尿酸（UA）测定试剂盒R1：4*35ML+R2：2*18ML校准品：1*1.5ML</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葡萄糖测定试剂盒</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羟丁酸脱氢酶测定试剂盒</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清洗液（发光分离液）</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19</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全自动免疫检验系统用底物液</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人类免疫缺陷病毒抗原抗体测定试剂盒</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人类免疫缺陷病毒抗原抗体校准品</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乳酸脱氢酶测定试剂盒</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生化复合定值质控品5ML</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支</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探头保养液</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瓶</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天门冬氨酸氨基转移酶（AST）测定试剂盒R1：4*35ML+R2：2*18ML</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脱脂棉</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袋</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外科纱布辅料</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袋</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120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戊二醛消毒液</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桶</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7</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血细胞分析用溶血剂（M-53LH溶血剂）</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箱</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血细胞分析用溶血剂（M-5LEO(1)溶血剂</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箱</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血细胞分析用溶血剂（M-5LEO(11)溶血剂</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箱</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血细胞分析用溶血剂LC溶血剂</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箱</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血细胞分析用稀释液</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箱</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19</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血细胞分析用质控物（BC-5D）3ML</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支</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压敏胶带</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压舌板</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包</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一次性使用PE检查手套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包</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100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一次性使用导尿包</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包</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一次性使用负压采血管</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一次性使用负压采血管</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一次性使用负压采血管（EDTA）</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一次性使用负压采血管（普通管）</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一次性使用配药注射器</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支</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300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一次性使用输液器</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袋</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400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一次性使用橡胶检查手套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袋</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1,162.00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一次性使用橡胶检查手套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袋</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250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一次性使用注射器</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支</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150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一次性注射器</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支</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45</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医用胶带</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50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医用棉签</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袋</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400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医用输液贴</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5</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医用脱脂绷带</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轴</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医用脱脂棉</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包</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医用外科口罩</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片</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500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乙型肝炎病毒e抗体测定试剂盒</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乙型肝炎病毒e抗体校准品</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乙型肝炎病毒e抗原测定试剂盒</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乙型肝炎病毒e抗原校准品</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乙型肝炎病毒表面抗体测定试剂盒</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乙型肝炎病毒表面抗体校准品</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乙型肝炎病毒表面抗原测定试剂盒</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乙型肝炎病毒核心抗体测定试剂盒</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乙型肝炎病毒核心抗体校准品</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游离甲状腺素测定试剂盒</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游离甲状腺素校准品</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游离三碘甲状腺原氨酸测定试剂盒</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游离三碘甲状腺原氨酸校准品</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脂类校准品1ML</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支</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直接胆红素（D-B11）测定试剂盒R1:4*35ML+R2:2*18ML</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4</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总胆固醇（TC)测定试剂盒R1：4*40ML+校准品：1*1.5ml</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总胆红素（T-B11）测定试剂盒R1:4*35ML+R2:2*18ML</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总胆汁酸测定试剂盒</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总蛋白（TP)测定试剂盒R1:4*40ML+校准品：1*1.5ML</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1</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总甲状腺素测定试剂盒</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总甲状腺素校准品</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总三碘甲状腺原氨酸测定试剂盒</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2</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总三碘甲状腺原氨酸校准品</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盒</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1"/>
                      <w:szCs w:val="21"/>
                    </w:rPr>
                  </w:pPr>
                  <w:r>
                    <w:rPr>
                      <w:color w:val="000000"/>
                      <w:kern w:val="0"/>
                      <w:sz w:val="21"/>
                      <w:szCs w:val="21"/>
                      <w:lang w:bidi="ar"/>
                    </w:rPr>
                    <w:t>3</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000000"/>
                      <w:sz w:val="21"/>
                      <w:szCs w:val="21"/>
                    </w:rPr>
                  </w:pP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20" w:lineRule="exact"/>
                    <w:jc w:val="center"/>
                    <w:rPr>
                      <w:sz w:val="21"/>
                      <w:szCs w:val="21"/>
                    </w:rPr>
                  </w:pPr>
                  <w:r>
                    <w:rPr>
                      <w:sz w:val="21"/>
                      <w:szCs w:val="21"/>
                    </w:rPr>
                    <w:t>水</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20" w:lineRule="exact"/>
                    <w:jc w:val="center"/>
                    <w:rPr>
                      <w:sz w:val="21"/>
                      <w:szCs w:val="21"/>
                    </w:rPr>
                  </w:pPr>
                  <w:r>
                    <w:rPr>
                      <w:sz w:val="21"/>
                      <w:szCs w:val="21"/>
                    </w:rPr>
                    <w:t>m</w:t>
                  </w:r>
                  <w:r>
                    <w:rPr>
                      <w:sz w:val="21"/>
                      <w:szCs w:val="21"/>
                      <w:vertAlign w:val="superscript"/>
                    </w:rPr>
                    <w:t>3</w:t>
                  </w:r>
                  <w:r>
                    <w:rPr>
                      <w:sz w:val="21"/>
                      <w:szCs w:val="21"/>
                    </w:rPr>
                    <w:t>/a</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20" w:lineRule="exact"/>
                    <w:jc w:val="center"/>
                    <w:rPr>
                      <w:sz w:val="21"/>
                      <w:szCs w:val="21"/>
                    </w:rPr>
                  </w:pPr>
                  <w:r>
                    <w:rPr>
                      <w:sz w:val="21"/>
                      <w:szCs w:val="21"/>
                    </w:rPr>
                    <w:t>25732.5</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20" w:lineRule="exact"/>
                    <w:jc w:val="center"/>
                    <w:rPr>
                      <w:sz w:val="21"/>
                      <w:szCs w:val="21"/>
                    </w:rPr>
                  </w:pPr>
                  <w:r>
                    <w:rPr>
                      <w:sz w:val="21"/>
                      <w:szCs w:val="21"/>
                    </w:rPr>
                    <w:t>供水管网</w:t>
                  </w:r>
                </w:p>
              </w:tc>
            </w:tr>
            <w:tr>
              <w:tblPrEx>
                <w:tblCellMar>
                  <w:top w:w="0" w:type="dxa"/>
                  <w:left w:w="108" w:type="dxa"/>
                  <w:bottom w:w="0" w:type="dxa"/>
                  <w:right w:w="108" w:type="dxa"/>
                </w:tblCellMar>
              </w:tblPrEx>
              <w:trPr>
                <w:trHeight w:val="369" w:hRule="atLeast"/>
              </w:trPr>
              <w:tc>
                <w:tcPr>
                  <w:tcW w:w="4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20" w:lineRule="exact"/>
                    <w:jc w:val="center"/>
                    <w:rPr>
                      <w:sz w:val="21"/>
                      <w:szCs w:val="21"/>
                    </w:rPr>
                  </w:pPr>
                  <w:r>
                    <w:rPr>
                      <w:sz w:val="21"/>
                      <w:szCs w:val="21"/>
                    </w:rPr>
                    <w:t>电</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20" w:lineRule="exact"/>
                    <w:jc w:val="center"/>
                    <w:rPr>
                      <w:sz w:val="21"/>
                      <w:szCs w:val="21"/>
                    </w:rPr>
                  </w:pPr>
                  <w:r>
                    <w:rPr>
                      <w:sz w:val="21"/>
                      <w:szCs w:val="21"/>
                    </w:rPr>
                    <w:t>kw·h/a</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20" w:lineRule="exact"/>
                    <w:jc w:val="center"/>
                    <w:rPr>
                      <w:sz w:val="21"/>
                      <w:szCs w:val="21"/>
                    </w:rPr>
                  </w:pPr>
                  <w:r>
                    <w:rPr>
                      <w:sz w:val="21"/>
                      <w:szCs w:val="21"/>
                    </w:rPr>
                    <w:t>53000</w:t>
                  </w:r>
                </w:p>
              </w:tc>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20" w:lineRule="exact"/>
                    <w:jc w:val="center"/>
                    <w:rPr>
                      <w:sz w:val="21"/>
                      <w:szCs w:val="21"/>
                    </w:rPr>
                  </w:pPr>
                  <w:r>
                    <w:rPr>
                      <w:sz w:val="21"/>
                      <w:szCs w:val="21"/>
                    </w:rPr>
                    <w:t>电网</w:t>
                  </w:r>
                </w:p>
              </w:tc>
            </w:tr>
          </w:tbl>
          <w:p>
            <w:pPr>
              <w:pStyle w:val="12"/>
              <w:spacing w:line="360" w:lineRule="auto"/>
              <w:ind w:left="0" w:firstLine="0" w:firstLineChars="0"/>
              <w:rPr>
                <w:sz w:val="21"/>
                <w:szCs w:val="21"/>
              </w:rPr>
            </w:pPr>
            <w:r>
              <w:rPr>
                <w:rFonts w:hint="default" w:ascii="Times New Roman" w:hAnsi="Times New Roman" w:cs="Times New Roman"/>
                <w:sz w:val="21"/>
                <w:szCs w:val="21"/>
              </w:rPr>
              <w:t>3、项</w:t>
            </w:r>
            <w:r>
              <w:rPr>
                <w:sz w:val="21"/>
                <w:szCs w:val="21"/>
              </w:rPr>
              <w:t>目主要器械设备设施</w:t>
            </w:r>
          </w:p>
          <w:p>
            <w:pPr>
              <w:pStyle w:val="12"/>
              <w:spacing w:line="360" w:lineRule="auto"/>
              <w:ind w:left="0" w:firstLine="0" w:firstLineChars="0"/>
              <w:jc w:val="center"/>
              <w:rPr>
                <w:rFonts w:ascii="宋体" w:hAnsi="宋体" w:cs="宋体"/>
                <w:b/>
                <w:bCs/>
                <w:sz w:val="21"/>
                <w:szCs w:val="21"/>
              </w:rPr>
            </w:pPr>
            <w:r>
              <w:rPr>
                <w:b/>
                <w:bCs/>
                <w:sz w:val="21"/>
                <w:szCs w:val="21"/>
              </w:rPr>
              <w:t>表</w:t>
            </w:r>
            <w:r>
              <w:rPr>
                <w:rFonts w:hint="eastAsia"/>
                <w:b/>
                <w:bCs/>
                <w:sz w:val="21"/>
                <w:szCs w:val="21"/>
                <w:lang w:val="en-US" w:eastAsia="zh-CN"/>
              </w:rPr>
              <w:t>2</w:t>
            </w:r>
            <w:r>
              <w:rPr>
                <w:b/>
                <w:bCs/>
                <w:sz w:val="21"/>
                <w:szCs w:val="21"/>
              </w:rPr>
              <w:t>-3主</w:t>
            </w:r>
            <w:r>
              <w:rPr>
                <w:rFonts w:hint="eastAsia" w:ascii="宋体" w:hAnsi="宋体" w:cs="宋体"/>
                <w:b/>
                <w:bCs/>
                <w:sz w:val="21"/>
                <w:szCs w:val="21"/>
              </w:rPr>
              <w:t>要器械设施及设施参数表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4"/>
              <w:gridCol w:w="2365"/>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pct"/>
                  <w:vAlign w:val="center"/>
                </w:tcPr>
                <w:p>
                  <w:pPr>
                    <w:spacing w:line="320" w:lineRule="exact"/>
                    <w:jc w:val="center"/>
                    <w:rPr>
                      <w:b/>
                      <w:bCs/>
                      <w:sz w:val="21"/>
                      <w:szCs w:val="21"/>
                    </w:rPr>
                  </w:pPr>
                  <w:r>
                    <w:rPr>
                      <w:b/>
                      <w:bCs/>
                      <w:sz w:val="21"/>
                      <w:szCs w:val="21"/>
                    </w:rPr>
                    <w:t>名称</w:t>
                  </w:r>
                </w:p>
              </w:tc>
              <w:tc>
                <w:tcPr>
                  <w:tcW w:w="1575" w:type="pct"/>
                  <w:vAlign w:val="center"/>
                </w:tcPr>
                <w:p>
                  <w:pPr>
                    <w:spacing w:line="320" w:lineRule="exact"/>
                    <w:jc w:val="center"/>
                    <w:rPr>
                      <w:b/>
                      <w:bCs/>
                      <w:sz w:val="21"/>
                      <w:szCs w:val="21"/>
                    </w:rPr>
                  </w:pPr>
                  <w:r>
                    <w:rPr>
                      <w:b/>
                      <w:bCs/>
                      <w:sz w:val="21"/>
                      <w:szCs w:val="21"/>
                    </w:rPr>
                    <w:t>数量</w:t>
                  </w:r>
                </w:p>
              </w:tc>
              <w:tc>
                <w:tcPr>
                  <w:tcW w:w="1042" w:type="pct"/>
                  <w:vAlign w:val="center"/>
                </w:tcPr>
                <w:p>
                  <w:pPr>
                    <w:spacing w:line="320" w:lineRule="exact"/>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pct"/>
                  <w:vAlign w:val="center"/>
                </w:tcPr>
                <w:p>
                  <w:pPr>
                    <w:spacing w:line="320" w:lineRule="exact"/>
                    <w:jc w:val="center"/>
                    <w:rPr>
                      <w:sz w:val="21"/>
                      <w:szCs w:val="21"/>
                    </w:rPr>
                  </w:pPr>
                  <w:r>
                    <w:rPr>
                      <w:sz w:val="21"/>
                      <w:szCs w:val="21"/>
                    </w:rPr>
                    <w:t>经颅多普勒分析仪</w:t>
                  </w:r>
                </w:p>
              </w:tc>
              <w:tc>
                <w:tcPr>
                  <w:tcW w:w="1575" w:type="pct"/>
                  <w:vAlign w:val="center"/>
                </w:tcPr>
                <w:p>
                  <w:pPr>
                    <w:spacing w:line="320" w:lineRule="exact"/>
                    <w:jc w:val="center"/>
                    <w:rPr>
                      <w:sz w:val="21"/>
                      <w:szCs w:val="21"/>
                    </w:rPr>
                  </w:pPr>
                  <w:r>
                    <w:rPr>
                      <w:sz w:val="21"/>
                      <w:szCs w:val="21"/>
                    </w:rPr>
                    <w:t>1</w:t>
                  </w:r>
                </w:p>
              </w:tc>
              <w:tc>
                <w:tcPr>
                  <w:tcW w:w="1042" w:type="pct"/>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pct"/>
                  <w:vAlign w:val="center"/>
                </w:tcPr>
                <w:p>
                  <w:pPr>
                    <w:spacing w:line="320" w:lineRule="exact"/>
                    <w:jc w:val="center"/>
                    <w:rPr>
                      <w:sz w:val="21"/>
                      <w:szCs w:val="21"/>
                    </w:rPr>
                  </w:pPr>
                  <w:r>
                    <w:rPr>
                      <w:sz w:val="21"/>
                      <w:szCs w:val="21"/>
                    </w:rPr>
                    <w:t>心电工作站</w:t>
                  </w:r>
                </w:p>
              </w:tc>
              <w:tc>
                <w:tcPr>
                  <w:tcW w:w="1575" w:type="pct"/>
                  <w:vAlign w:val="center"/>
                </w:tcPr>
                <w:p>
                  <w:pPr>
                    <w:spacing w:line="320" w:lineRule="exact"/>
                    <w:jc w:val="center"/>
                    <w:rPr>
                      <w:sz w:val="21"/>
                      <w:szCs w:val="21"/>
                    </w:rPr>
                  </w:pPr>
                  <w:r>
                    <w:rPr>
                      <w:sz w:val="21"/>
                      <w:szCs w:val="21"/>
                    </w:rPr>
                    <w:t>1</w:t>
                  </w:r>
                </w:p>
              </w:tc>
              <w:tc>
                <w:tcPr>
                  <w:tcW w:w="1042" w:type="pct"/>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pct"/>
                  <w:vAlign w:val="center"/>
                </w:tcPr>
                <w:p>
                  <w:pPr>
                    <w:spacing w:line="320" w:lineRule="exact"/>
                    <w:jc w:val="center"/>
                    <w:rPr>
                      <w:sz w:val="21"/>
                      <w:szCs w:val="21"/>
                    </w:rPr>
                  </w:pPr>
                  <w:r>
                    <w:rPr>
                      <w:sz w:val="21"/>
                      <w:szCs w:val="21"/>
                    </w:rPr>
                    <w:t>脑电工作站</w:t>
                  </w:r>
                </w:p>
              </w:tc>
              <w:tc>
                <w:tcPr>
                  <w:tcW w:w="1575" w:type="pct"/>
                  <w:vAlign w:val="center"/>
                </w:tcPr>
                <w:p>
                  <w:pPr>
                    <w:spacing w:line="320" w:lineRule="exact"/>
                    <w:jc w:val="center"/>
                    <w:rPr>
                      <w:sz w:val="21"/>
                      <w:szCs w:val="21"/>
                    </w:rPr>
                  </w:pPr>
                  <w:r>
                    <w:rPr>
                      <w:sz w:val="21"/>
                      <w:szCs w:val="21"/>
                    </w:rPr>
                    <w:t>1</w:t>
                  </w:r>
                </w:p>
              </w:tc>
              <w:tc>
                <w:tcPr>
                  <w:tcW w:w="1042" w:type="pct"/>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pct"/>
                  <w:vAlign w:val="center"/>
                </w:tcPr>
                <w:p>
                  <w:pPr>
                    <w:spacing w:line="320" w:lineRule="exact"/>
                    <w:jc w:val="center"/>
                    <w:rPr>
                      <w:sz w:val="21"/>
                      <w:szCs w:val="21"/>
                    </w:rPr>
                  </w:pPr>
                  <w:r>
                    <w:rPr>
                      <w:sz w:val="21"/>
                      <w:szCs w:val="21"/>
                    </w:rPr>
                    <w:t>脑电治疗仪</w:t>
                  </w:r>
                </w:p>
              </w:tc>
              <w:tc>
                <w:tcPr>
                  <w:tcW w:w="1575" w:type="pct"/>
                  <w:vAlign w:val="center"/>
                </w:tcPr>
                <w:p>
                  <w:pPr>
                    <w:spacing w:line="320" w:lineRule="exact"/>
                    <w:jc w:val="center"/>
                    <w:rPr>
                      <w:sz w:val="21"/>
                      <w:szCs w:val="21"/>
                    </w:rPr>
                  </w:pPr>
                  <w:r>
                    <w:rPr>
                      <w:sz w:val="21"/>
                      <w:szCs w:val="21"/>
                    </w:rPr>
                    <w:t>1</w:t>
                  </w:r>
                </w:p>
              </w:tc>
              <w:tc>
                <w:tcPr>
                  <w:tcW w:w="1042" w:type="pct"/>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pct"/>
                  <w:vAlign w:val="center"/>
                </w:tcPr>
                <w:p>
                  <w:pPr>
                    <w:spacing w:line="320" w:lineRule="exact"/>
                    <w:jc w:val="center"/>
                    <w:rPr>
                      <w:sz w:val="21"/>
                      <w:szCs w:val="21"/>
                    </w:rPr>
                  </w:pPr>
                  <w:r>
                    <w:rPr>
                      <w:sz w:val="21"/>
                      <w:szCs w:val="21"/>
                    </w:rPr>
                    <w:t>全自动生化分析仪</w:t>
                  </w:r>
                </w:p>
              </w:tc>
              <w:tc>
                <w:tcPr>
                  <w:tcW w:w="1575" w:type="pct"/>
                  <w:vAlign w:val="center"/>
                </w:tcPr>
                <w:p>
                  <w:pPr>
                    <w:spacing w:line="320" w:lineRule="exact"/>
                    <w:jc w:val="center"/>
                    <w:rPr>
                      <w:sz w:val="21"/>
                      <w:szCs w:val="21"/>
                    </w:rPr>
                  </w:pPr>
                  <w:r>
                    <w:rPr>
                      <w:sz w:val="21"/>
                      <w:szCs w:val="21"/>
                    </w:rPr>
                    <w:t>1</w:t>
                  </w:r>
                </w:p>
              </w:tc>
              <w:tc>
                <w:tcPr>
                  <w:tcW w:w="1042" w:type="pct"/>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pct"/>
                  <w:vAlign w:val="center"/>
                </w:tcPr>
                <w:p>
                  <w:pPr>
                    <w:spacing w:line="320" w:lineRule="exact"/>
                    <w:jc w:val="center"/>
                    <w:rPr>
                      <w:sz w:val="21"/>
                      <w:szCs w:val="21"/>
                    </w:rPr>
                  </w:pPr>
                  <w:r>
                    <w:rPr>
                      <w:sz w:val="21"/>
                      <w:szCs w:val="21"/>
                    </w:rPr>
                    <w:t>全自动血液分析仪</w:t>
                  </w:r>
                </w:p>
              </w:tc>
              <w:tc>
                <w:tcPr>
                  <w:tcW w:w="1575" w:type="pct"/>
                  <w:vAlign w:val="center"/>
                </w:tcPr>
                <w:p>
                  <w:pPr>
                    <w:spacing w:line="320" w:lineRule="exact"/>
                    <w:jc w:val="center"/>
                    <w:rPr>
                      <w:sz w:val="21"/>
                      <w:szCs w:val="21"/>
                    </w:rPr>
                  </w:pPr>
                  <w:r>
                    <w:rPr>
                      <w:sz w:val="21"/>
                      <w:szCs w:val="21"/>
                    </w:rPr>
                    <w:t>1</w:t>
                  </w:r>
                </w:p>
              </w:tc>
              <w:tc>
                <w:tcPr>
                  <w:tcW w:w="1042" w:type="pct"/>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pct"/>
                  <w:vAlign w:val="center"/>
                </w:tcPr>
                <w:p>
                  <w:pPr>
                    <w:spacing w:line="320" w:lineRule="exact"/>
                    <w:jc w:val="center"/>
                    <w:rPr>
                      <w:sz w:val="21"/>
                      <w:szCs w:val="21"/>
                    </w:rPr>
                  </w:pPr>
                  <w:r>
                    <w:rPr>
                      <w:sz w:val="21"/>
                      <w:szCs w:val="21"/>
                    </w:rPr>
                    <w:t>电解质分析仪</w:t>
                  </w:r>
                </w:p>
              </w:tc>
              <w:tc>
                <w:tcPr>
                  <w:tcW w:w="1575" w:type="pct"/>
                  <w:vAlign w:val="center"/>
                </w:tcPr>
                <w:p>
                  <w:pPr>
                    <w:spacing w:line="320" w:lineRule="exact"/>
                    <w:jc w:val="center"/>
                    <w:rPr>
                      <w:sz w:val="21"/>
                      <w:szCs w:val="21"/>
                    </w:rPr>
                  </w:pPr>
                  <w:r>
                    <w:rPr>
                      <w:sz w:val="21"/>
                      <w:szCs w:val="21"/>
                    </w:rPr>
                    <w:t>1</w:t>
                  </w:r>
                </w:p>
              </w:tc>
              <w:tc>
                <w:tcPr>
                  <w:tcW w:w="1042" w:type="pct"/>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pct"/>
                  <w:vAlign w:val="center"/>
                </w:tcPr>
                <w:p>
                  <w:pPr>
                    <w:spacing w:line="320" w:lineRule="exact"/>
                    <w:jc w:val="center"/>
                    <w:rPr>
                      <w:sz w:val="21"/>
                      <w:szCs w:val="21"/>
                    </w:rPr>
                  </w:pPr>
                  <w:r>
                    <w:rPr>
                      <w:sz w:val="21"/>
                      <w:szCs w:val="21"/>
                    </w:rPr>
                    <w:t>尿液分析仪</w:t>
                  </w:r>
                </w:p>
              </w:tc>
              <w:tc>
                <w:tcPr>
                  <w:tcW w:w="1575" w:type="pct"/>
                  <w:vAlign w:val="center"/>
                </w:tcPr>
                <w:p>
                  <w:pPr>
                    <w:spacing w:line="320" w:lineRule="exact"/>
                    <w:jc w:val="center"/>
                    <w:rPr>
                      <w:sz w:val="21"/>
                      <w:szCs w:val="21"/>
                    </w:rPr>
                  </w:pPr>
                  <w:r>
                    <w:rPr>
                      <w:sz w:val="21"/>
                      <w:szCs w:val="21"/>
                    </w:rPr>
                    <w:t>1</w:t>
                  </w:r>
                </w:p>
              </w:tc>
              <w:tc>
                <w:tcPr>
                  <w:tcW w:w="1042" w:type="pct"/>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pct"/>
                  <w:vAlign w:val="center"/>
                </w:tcPr>
                <w:p>
                  <w:pPr>
                    <w:spacing w:line="320" w:lineRule="exact"/>
                    <w:jc w:val="center"/>
                    <w:rPr>
                      <w:sz w:val="21"/>
                      <w:szCs w:val="21"/>
                    </w:rPr>
                  </w:pPr>
                  <w:r>
                    <w:rPr>
                      <w:sz w:val="21"/>
                      <w:szCs w:val="21"/>
                    </w:rPr>
                    <w:t>超声诊断仪</w:t>
                  </w:r>
                </w:p>
              </w:tc>
              <w:tc>
                <w:tcPr>
                  <w:tcW w:w="1575" w:type="pct"/>
                  <w:vAlign w:val="center"/>
                </w:tcPr>
                <w:p>
                  <w:pPr>
                    <w:spacing w:line="320" w:lineRule="exact"/>
                    <w:jc w:val="center"/>
                    <w:rPr>
                      <w:sz w:val="21"/>
                      <w:szCs w:val="21"/>
                    </w:rPr>
                  </w:pPr>
                  <w:r>
                    <w:rPr>
                      <w:sz w:val="21"/>
                      <w:szCs w:val="21"/>
                    </w:rPr>
                    <w:t>1</w:t>
                  </w:r>
                </w:p>
              </w:tc>
              <w:tc>
                <w:tcPr>
                  <w:tcW w:w="1042" w:type="pct"/>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pct"/>
                  <w:vAlign w:val="center"/>
                </w:tcPr>
                <w:p>
                  <w:pPr>
                    <w:spacing w:line="320" w:lineRule="exact"/>
                    <w:jc w:val="center"/>
                    <w:rPr>
                      <w:sz w:val="21"/>
                      <w:szCs w:val="21"/>
                    </w:rPr>
                  </w:pPr>
                  <w:r>
                    <w:rPr>
                      <w:sz w:val="21"/>
                      <w:szCs w:val="21"/>
                    </w:rPr>
                    <w:t>数字心电图机</w:t>
                  </w:r>
                </w:p>
              </w:tc>
              <w:tc>
                <w:tcPr>
                  <w:tcW w:w="1575" w:type="pct"/>
                  <w:vAlign w:val="center"/>
                </w:tcPr>
                <w:p>
                  <w:pPr>
                    <w:spacing w:line="320" w:lineRule="exact"/>
                    <w:jc w:val="center"/>
                    <w:rPr>
                      <w:sz w:val="21"/>
                      <w:szCs w:val="21"/>
                    </w:rPr>
                  </w:pPr>
                  <w:r>
                    <w:rPr>
                      <w:sz w:val="21"/>
                      <w:szCs w:val="21"/>
                    </w:rPr>
                    <w:t>3</w:t>
                  </w:r>
                </w:p>
              </w:tc>
              <w:tc>
                <w:tcPr>
                  <w:tcW w:w="1042" w:type="pct"/>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pct"/>
                  <w:vAlign w:val="center"/>
                </w:tcPr>
                <w:p>
                  <w:pPr>
                    <w:spacing w:line="320" w:lineRule="exact"/>
                    <w:jc w:val="center"/>
                    <w:rPr>
                      <w:sz w:val="21"/>
                      <w:szCs w:val="21"/>
                    </w:rPr>
                  </w:pPr>
                  <w:r>
                    <w:rPr>
                      <w:sz w:val="21"/>
                      <w:szCs w:val="21"/>
                    </w:rPr>
                    <w:t>心电监护仪</w:t>
                  </w:r>
                </w:p>
              </w:tc>
              <w:tc>
                <w:tcPr>
                  <w:tcW w:w="1575" w:type="pct"/>
                  <w:vAlign w:val="center"/>
                </w:tcPr>
                <w:p>
                  <w:pPr>
                    <w:spacing w:line="320" w:lineRule="exact"/>
                    <w:jc w:val="center"/>
                    <w:rPr>
                      <w:sz w:val="21"/>
                      <w:szCs w:val="21"/>
                    </w:rPr>
                  </w:pPr>
                  <w:r>
                    <w:rPr>
                      <w:sz w:val="21"/>
                      <w:szCs w:val="21"/>
                    </w:rPr>
                    <w:t>2</w:t>
                  </w:r>
                </w:p>
              </w:tc>
              <w:tc>
                <w:tcPr>
                  <w:tcW w:w="1042" w:type="pct"/>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pct"/>
                  <w:vAlign w:val="center"/>
                </w:tcPr>
                <w:p>
                  <w:pPr>
                    <w:spacing w:line="320" w:lineRule="exact"/>
                    <w:jc w:val="center"/>
                    <w:rPr>
                      <w:sz w:val="21"/>
                      <w:szCs w:val="21"/>
                    </w:rPr>
                  </w:pPr>
                  <w:r>
                    <w:rPr>
                      <w:sz w:val="21"/>
                      <w:szCs w:val="21"/>
                    </w:rPr>
                    <w:t>生物反馈治疗仪</w:t>
                  </w:r>
                </w:p>
              </w:tc>
              <w:tc>
                <w:tcPr>
                  <w:tcW w:w="1575" w:type="pct"/>
                  <w:vAlign w:val="center"/>
                </w:tcPr>
                <w:p>
                  <w:pPr>
                    <w:spacing w:line="320" w:lineRule="exact"/>
                    <w:jc w:val="center"/>
                    <w:rPr>
                      <w:sz w:val="21"/>
                      <w:szCs w:val="21"/>
                    </w:rPr>
                  </w:pPr>
                  <w:r>
                    <w:rPr>
                      <w:sz w:val="21"/>
                      <w:szCs w:val="21"/>
                    </w:rPr>
                    <w:t>1</w:t>
                  </w:r>
                </w:p>
              </w:tc>
              <w:tc>
                <w:tcPr>
                  <w:tcW w:w="1042" w:type="pct"/>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pct"/>
                  <w:vAlign w:val="center"/>
                </w:tcPr>
                <w:p>
                  <w:pPr>
                    <w:spacing w:line="320" w:lineRule="exact"/>
                    <w:jc w:val="center"/>
                    <w:rPr>
                      <w:sz w:val="21"/>
                      <w:szCs w:val="21"/>
                    </w:rPr>
                  </w:pPr>
                  <w:r>
                    <w:rPr>
                      <w:sz w:val="21"/>
                      <w:szCs w:val="21"/>
                    </w:rPr>
                    <w:t>心理CT</w:t>
                  </w:r>
                </w:p>
              </w:tc>
              <w:tc>
                <w:tcPr>
                  <w:tcW w:w="1575" w:type="pct"/>
                  <w:vAlign w:val="center"/>
                </w:tcPr>
                <w:p>
                  <w:pPr>
                    <w:spacing w:line="320" w:lineRule="exact"/>
                    <w:jc w:val="center"/>
                    <w:rPr>
                      <w:sz w:val="21"/>
                      <w:szCs w:val="21"/>
                    </w:rPr>
                  </w:pPr>
                  <w:r>
                    <w:rPr>
                      <w:sz w:val="21"/>
                      <w:szCs w:val="21"/>
                    </w:rPr>
                    <w:t>1</w:t>
                  </w:r>
                </w:p>
              </w:tc>
              <w:tc>
                <w:tcPr>
                  <w:tcW w:w="1042" w:type="pct"/>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pct"/>
                  <w:vAlign w:val="center"/>
                </w:tcPr>
                <w:p>
                  <w:pPr>
                    <w:spacing w:line="320" w:lineRule="exact"/>
                    <w:jc w:val="center"/>
                    <w:rPr>
                      <w:sz w:val="21"/>
                      <w:szCs w:val="21"/>
                    </w:rPr>
                  </w:pPr>
                  <w:r>
                    <w:rPr>
                      <w:sz w:val="21"/>
                      <w:szCs w:val="21"/>
                    </w:rPr>
                    <w:t>DR设</w:t>
                  </w:r>
                  <w:r>
                    <w:rPr>
                      <w:rFonts w:hint="eastAsia" w:ascii="宋体" w:hAnsi="宋体" w:cs="宋体"/>
                      <w:sz w:val="21"/>
                      <w:szCs w:val="21"/>
                    </w:rPr>
                    <w:t>备</w:t>
                  </w:r>
                </w:p>
              </w:tc>
              <w:tc>
                <w:tcPr>
                  <w:tcW w:w="1575" w:type="pct"/>
                  <w:vAlign w:val="center"/>
                </w:tcPr>
                <w:p>
                  <w:pPr>
                    <w:spacing w:line="320" w:lineRule="exact"/>
                    <w:jc w:val="center"/>
                    <w:rPr>
                      <w:sz w:val="21"/>
                      <w:szCs w:val="21"/>
                    </w:rPr>
                  </w:pPr>
                  <w:r>
                    <w:rPr>
                      <w:rFonts w:hint="eastAsia"/>
                      <w:sz w:val="21"/>
                      <w:szCs w:val="21"/>
                    </w:rPr>
                    <w:t>1</w:t>
                  </w:r>
                </w:p>
              </w:tc>
              <w:tc>
                <w:tcPr>
                  <w:tcW w:w="1042" w:type="pct"/>
                  <w:vAlign w:val="center"/>
                </w:tcPr>
                <w:p>
                  <w:pPr>
                    <w:spacing w:line="320" w:lineRule="exact"/>
                    <w:jc w:val="center"/>
                    <w:rPr>
                      <w:sz w:val="21"/>
                      <w:szCs w:val="21"/>
                    </w:rPr>
                  </w:pPr>
                </w:p>
              </w:tc>
            </w:tr>
          </w:tbl>
          <w:p>
            <w:pPr>
              <w:numPr>
                <w:ilvl w:val="0"/>
                <w:numId w:val="4"/>
              </w:numPr>
              <w:adjustRightInd w:val="0"/>
              <w:snapToGrid w:val="0"/>
              <w:spacing w:line="360" w:lineRule="auto"/>
              <w:rPr>
                <w:rFonts w:hint="eastAsia" w:ascii="宋体" w:hAnsi="宋体" w:cs="宋体"/>
                <w:sz w:val="21"/>
                <w:szCs w:val="21"/>
              </w:rPr>
            </w:pPr>
            <w:r>
              <w:rPr>
                <w:rFonts w:hint="eastAsia" w:ascii="宋体" w:hAnsi="宋体" w:cs="宋体"/>
                <w:sz w:val="21"/>
                <w:szCs w:val="21"/>
              </w:rPr>
              <w:t>原辅料中与污染物排放有关的物质元素简要分析：</w:t>
            </w:r>
          </w:p>
          <w:p>
            <w:pPr>
              <w:numPr>
                <w:ilvl w:val="0"/>
                <w:numId w:val="0"/>
              </w:numPr>
              <w:adjustRightInd w:val="0"/>
              <w:snapToGrid w:val="0"/>
              <w:spacing w:line="360" w:lineRule="auto"/>
              <w:ind w:firstLine="420" w:firstLineChars="200"/>
              <w:rPr>
                <w:rFonts w:ascii="宋体" w:hAnsi="宋体" w:cs="宋体"/>
                <w:sz w:val="21"/>
                <w:szCs w:val="21"/>
              </w:rPr>
            </w:pPr>
            <w:r>
              <w:rPr>
                <w:rFonts w:hint="eastAsia" w:ascii="宋体" w:hAnsi="宋体" w:cs="宋体"/>
                <w:sz w:val="21"/>
                <w:szCs w:val="21"/>
              </w:rPr>
              <w:t>本项目原辅料中医疗耗材使用后全部作为医疗废物暂存于医废间中，委托有资质单位处理；项目医疗废水中不涉及重金属、放射性等元素。</w:t>
            </w:r>
          </w:p>
          <w:p>
            <w:pPr>
              <w:pStyle w:val="13"/>
              <w:spacing w:line="360" w:lineRule="auto"/>
              <w:ind w:left="0" w:leftChars="0"/>
              <w:rPr>
                <w:rFonts w:ascii="宋体" w:hAnsi="宋体" w:cs="宋体"/>
                <w:sz w:val="21"/>
                <w:szCs w:val="21"/>
              </w:rPr>
            </w:pPr>
            <w:r>
              <w:rPr>
                <w:rFonts w:hint="default" w:ascii="Times New Roman" w:hAnsi="Times New Roman" w:cs="Times New Roman"/>
                <w:sz w:val="21"/>
                <w:szCs w:val="21"/>
              </w:rPr>
              <w:t>5、</w:t>
            </w:r>
            <w:r>
              <w:rPr>
                <w:rFonts w:hint="eastAsia" w:ascii="宋体" w:hAnsi="宋体" w:cs="宋体"/>
                <w:sz w:val="21"/>
                <w:szCs w:val="21"/>
              </w:rPr>
              <w:t>院区平面布置</w:t>
            </w:r>
          </w:p>
          <w:p>
            <w:pPr>
              <w:spacing w:line="360" w:lineRule="auto"/>
              <w:ind w:firstLine="420" w:firstLineChars="200"/>
              <w:rPr>
                <w:sz w:val="21"/>
                <w:szCs w:val="21"/>
              </w:rPr>
            </w:pPr>
            <w:r>
              <w:rPr>
                <w:sz w:val="21"/>
                <w:szCs w:val="21"/>
              </w:rPr>
              <w:t>项目占地为政府划拨的滦河镇正否东侧商业楼，地上4层，地下1层。</w:t>
            </w:r>
            <w:r>
              <w:rPr>
                <w:rFonts w:hint="eastAsia"/>
                <w:sz w:val="21"/>
                <w:szCs w:val="21"/>
                <w:lang w:val="en-US" w:eastAsia="zh-CN"/>
              </w:rPr>
              <w:t>建设</w:t>
            </w:r>
            <w:r>
              <w:rPr>
                <w:sz w:val="21"/>
                <w:szCs w:val="21"/>
              </w:rPr>
              <w:t>项目占地4059平方米，建筑面积5732.25平方米，开放床位数150张。地下室主要为污水处理</w:t>
            </w:r>
            <w:r>
              <w:rPr>
                <w:rFonts w:hint="eastAsia"/>
                <w:sz w:val="21"/>
                <w:szCs w:val="21"/>
              </w:rPr>
              <w:t>、危废间、</w:t>
            </w:r>
            <w:r>
              <w:rPr>
                <w:sz w:val="21"/>
                <w:szCs w:val="21"/>
              </w:rPr>
              <w:t>隔离室2间、发热筛查1间；一层主要为诊断室、药房、检验科；二层、三层、四层主要为病房以及办公室，各层平面布置图见附图。</w:t>
            </w:r>
          </w:p>
          <w:p>
            <w:pPr>
              <w:pStyle w:val="13"/>
              <w:spacing w:line="360" w:lineRule="auto"/>
              <w:ind w:left="0" w:leftChars="0"/>
              <w:rPr>
                <w:sz w:val="21"/>
                <w:szCs w:val="21"/>
              </w:rPr>
            </w:pPr>
            <w:r>
              <w:rPr>
                <w:rFonts w:hint="eastAsia"/>
                <w:sz w:val="21"/>
                <w:szCs w:val="21"/>
              </w:rPr>
              <w:t>6、四邻关系</w:t>
            </w:r>
          </w:p>
          <w:p>
            <w:pPr>
              <w:spacing w:line="360" w:lineRule="auto"/>
              <w:ind w:firstLine="420" w:firstLineChars="200"/>
              <w:rPr>
                <w:sz w:val="21"/>
                <w:szCs w:val="21"/>
              </w:rPr>
            </w:pPr>
            <w:r>
              <w:rPr>
                <w:rFonts w:hint="eastAsia"/>
                <w:sz w:val="21"/>
                <w:szCs w:val="21"/>
              </w:rPr>
              <w:t>医院东侧为铁路、南侧滦河新村回迁楼、西侧滦河镇人民政府、北侧华府南街，项目四邻关系图见附件。</w:t>
            </w:r>
          </w:p>
          <w:p>
            <w:pPr>
              <w:spacing w:line="360" w:lineRule="auto"/>
              <w:rPr>
                <w:sz w:val="21"/>
                <w:szCs w:val="21"/>
              </w:rPr>
            </w:pPr>
            <w:r>
              <w:rPr>
                <w:rFonts w:hint="eastAsia"/>
                <w:sz w:val="21"/>
                <w:szCs w:val="21"/>
              </w:rPr>
              <w:t>7、劳动定员及工作制度</w:t>
            </w:r>
          </w:p>
          <w:p>
            <w:pPr>
              <w:pStyle w:val="13"/>
              <w:spacing w:line="360" w:lineRule="auto"/>
              <w:ind w:left="0" w:leftChars="0" w:firstLine="420" w:firstLineChars="200"/>
              <w:rPr>
                <w:sz w:val="21"/>
                <w:szCs w:val="21"/>
              </w:rPr>
            </w:pPr>
            <w:r>
              <w:rPr>
                <w:sz w:val="21"/>
                <w:szCs w:val="21"/>
              </w:rPr>
              <w:t>康定医院现有职工54人，执业医师(助理)8人，其中主治医师3人，护士14人，护师5人，影像医师1人，药师1人，心理咨询师7人。年运行365天，实行24h值班制度。</w:t>
            </w:r>
          </w:p>
          <w:p>
            <w:pPr>
              <w:spacing w:line="360" w:lineRule="auto"/>
              <w:rPr>
                <w:sz w:val="21"/>
                <w:szCs w:val="21"/>
              </w:rPr>
            </w:pPr>
            <w:r>
              <w:rPr>
                <w:rFonts w:hint="eastAsia"/>
                <w:sz w:val="21"/>
                <w:szCs w:val="21"/>
              </w:rPr>
              <w:t>8、公用工程</w:t>
            </w:r>
          </w:p>
          <w:p>
            <w:pPr>
              <w:pStyle w:val="13"/>
              <w:spacing w:line="360" w:lineRule="auto"/>
              <w:ind w:left="0" w:leftChars="0" w:firstLine="420" w:firstLineChars="200"/>
              <w:rPr>
                <w:sz w:val="21"/>
                <w:szCs w:val="21"/>
              </w:rPr>
            </w:pPr>
            <w:r>
              <w:rPr>
                <w:rFonts w:hint="eastAsia"/>
                <w:sz w:val="21"/>
                <w:szCs w:val="21"/>
              </w:rPr>
              <w:t>（1）</w:t>
            </w:r>
            <w:r>
              <w:rPr>
                <w:sz w:val="21"/>
                <w:szCs w:val="21"/>
              </w:rPr>
              <w:t>水平衡分析</w:t>
            </w:r>
          </w:p>
          <w:p>
            <w:pPr>
              <w:spacing w:line="360" w:lineRule="auto"/>
              <w:ind w:firstLine="420" w:firstLineChars="200"/>
              <w:rPr>
                <w:rFonts w:ascii="宋体" w:hAnsi="宋体" w:cs="宋体"/>
                <w:sz w:val="21"/>
                <w:szCs w:val="21"/>
              </w:rPr>
            </w:pPr>
            <w:r>
              <w:rPr>
                <w:rFonts w:hint="eastAsia" w:ascii="宋体" w:hAnsi="宋体" w:cs="宋体"/>
                <w:sz w:val="21"/>
                <w:szCs w:val="21"/>
              </w:rPr>
              <w:t>项目用水市政自来水，根据河北省地方标准《生活与服务业用水定额—第</w:t>
            </w:r>
            <w:r>
              <w:rPr>
                <w:sz w:val="21"/>
                <w:szCs w:val="21"/>
              </w:rPr>
              <w:t>2</w:t>
            </w:r>
            <w:r>
              <w:rPr>
                <w:rFonts w:hint="eastAsia" w:ascii="宋体" w:hAnsi="宋体" w:cs="宋体"/>
                <w:sz w:val="21"/>
                <w:szCs w:val="21"/>
              </w:rPr>
              <w:t>部分：服务业》（</w:t>
            </w:r>
            <w:r>
              <w:rPr>
                <w:sz w:val="21"/>
                <w:szCs w:val="21"/>
              </w:rPr>
              <w:t>DB13/T5450.2—2021</w:t>
            </w:r>
            <w:r>
              <w:rPr>
                <w:rFonts w:hint="eastAsia" w:ascii="宋体" w:hAnsi="宋体" w:cs="宋体"/>
                <w:sz w:val="21"/>
                <w:szCs w:val="21"/>
              </w:rPr>
              <w:t>）中服务业用水定额，并结合项目的实际情况：</w:t>
            </w:r>
          </w:p>
          <w:p>
            <w:pPr>
              <w:pStyle w:val="13"/>
              <w:spacing w:line="360" w:lineRule="auto"/>
              <w:ind w:left="0" w:leftChars="0" w:firstLine="420" w:firstLineChars="200"/>
              <w:rPr>
                <w:sz w:val="21"/>
                <w:szCs w:val="21"/>
              </w:rPr>
            </w:pPr>
            <w:r>
              <w:rPr>
                <w:sz w:val="21"/>
                <w:szCs w:val="21"/>
              </w:rPr>
              <w:t>①医护人员生活：医院总职工</w:t>
            </w:r>
            <w:r>
              <w:rPr>
                <w:rFonts w:hint="eastAsia"/>
                <w:sz w:val="21"/>
                <w:szCs w:val="21"/>
              </w:rPr>
              <w:t>54</w:t>
            </w:r>
            <w:r>
              <w:rPr>
                <w:sz w:val="21"/>
                <w:szCs w:val="21"/>
              </w:rPr>
              <w:t>人，用水量按每人每天</w:t>
            </w:r>
            <w:r>
              <w:rPr>
                <w:rFonts w:hint="eastAsia"/>
                <w:sz w:val="21"/>
                <w:szCs w:val="21"/>
              </w:rPr>
              <w:t>45</w:t>
            </w:r>
            <w:r>
              <w:rPr>
                <w:sz w:val="21"/>
                <w:szCs w:val="21"/>
              </w:rPr>
              <w:t>L计算，用水量为</w:t>
            </w:r>
            <w:r>
              <w:rPr>
                <w:rFonts w:hint="eastAsia"/>
                <w:sz w:val="21"/>
                <w:szCs w:val="21"/>
              </w:rPr>
              <w:t>2.4</w:t>
            </w:r>
            <w:r>
              <w:rPr>
                <w:sz w:val="21"/>
                <w:szCs w:val="21"/>
              </w:rPr>
              <w:t>m</w:t>
            </w:r>
            <w:r>
              <w:rPr>
                <w:sz w:val="21"/>
                <w:szCs w:val="21"/>
                <w:vertAlign w:val="superscript"/>
              </w:rPr>
              <w:t>3</w:t>
            </w:r>
            <w:r>
              <w:rPr>
                <w:sz w:val="21"/>
                <w:szCs w:val="21"/>
              </w:rPr>
              <w:t xml:space="preserve"> /d（</w:t>
            </w:r>
            <w:r>
              <w:rPr>
                <w:rFonts w:hint="eastAsia"/>
                <w:sz w:val="21"/>
                <w:szCs w:val="21"/>
              </w:rPr>
              <w:t>875</w:t>
            </w:r>
            <w:r>
              <w:rPr>
                <w:sz w:val="21"/>
                <w:szCs w:val="21"/>
              </w:rPr>
              <w:t>m</w:t>
            </w:r>
            <w:r>
              <w:rPr>
                <w:sz w:val="21"/>
                <w:szCs w:val="21"/>
                <w:vertAlign w:val="superscript"/>
              </w:rPr>
              <w:t>3</w:t>
            </w:r>
            <w:r>
              <w:rPr>
                <w:sz w:val="21"/>
                <w:szCs w:val="21"/>
              </w:rPr>
              <w:t>/a），污水量产生量按照用水量的80%计，污水量为</w:t>
            </w:r>
            <w:r>
              <w:rPr>
                <w:rFonts w:hint="eastAsia"/>
                <w:sz w:val="21"/>
                <w:szCs w:val="21"/>
              </w:rPr>
              <w:t>1.92</w:t>
            </w:r>
            <w:r>
              <w:rPr>
                <w:sz w:val="21"/>
                <w:szCs w:val="21"/>
              </w:rPr>
              <w:t>m</w:t>
            </w:r>
            <w:r>
              <w:rPr>
                <w:sz w:val="21"/>
                <w:szCs w:val="21"/>
                <w:vertAlign w:val="superscript"/>
              </w:rPr>
              <w:t>3</w:t>
            </w:r>
            <w:r>
              <w:rPr>
                <w:sz w:val="21"/>
                <w:szCs w:val="21"/>
              </w:rPr>
              <w:t>/d（</w:t>
            </w:r>
            <w:r>
              <w:rPr>
                <w:rFonts w:hint="eastAsia"/>
                <w:sz w:val="21"/>
                <w:szCs w:val="21"/>
              </w:rPr>
              <w:t>700.8</w:t>
            </w:r>
            <w:r>
              <w:rPr>
                <w:sz w:val="21"/>
                <w:szCs w:val="21"/>
              </w:rPr>
              <w:t>m</w:t>
            </w:r>
            <w:r>
              <w:rPr>
                <w:sz w:val="21"/>
                <w:szCs w:val="21"/>
                <w:vertAlign w:val="superscript"/>
              </w:rPr>
              <w:t>3</w:t>
            </w:r>
            <w:r>
              <w:rPr>
                <w:sz w:val="21"/>
                <w:szCs w:val="21"/>
              </w:rPr>
              <w:t>/a）。</w:t>
            </w:r>
          </w:p>
          <w:p>
            <w:pPr>
              <w:pStyle w:val="13"/>
              <w:spacing w:line="360" w:lineRule="auto"/>
              <w:ind w:left="0" w:leftChars="0" w:firstLine="420" w:firstLineChars="200"/>
              <w:rPr>
                <w:sz w:val="21"/>
                <w:szCs w:val="21"/>
              </w:rPr>
            </w:pPr>
            <w:r>
              <w:rPr>
                <w:sz w:val="21"/>
                <w:szCs w:val="21"/>
              </w:rPr>
              <w:t>②病房：床位数量为</w:t>
            </w:r>
            <w:r>
              <w:rPr>
                <w:rFonts w:hint="eastAsia"/>
                <w:sz w:val="21"/>
                <w:szCs w:val="21"/>
              </w:rPr>
              <w:t>150</w:t>
            </w:r>
            <w:r>
              <w:rPr>
                <w:sz w:val="21"/>
                <w:szCs w:val="21"/>
              </w:rPr>
              <w:t>张，床位利用率按100%计，用水量按</w:t>
            </w:r>
            <w:r>
              <w:rPr>
                <w:rFonts w:hint="eastAsia"/>
                <w:sz w:val="21"/>
                <w:szCs w:val="21"/>
              </w:rPr>
              <w:t>450</w:t>
            </w:r>
            <w:r>
              <w:rPr>
                <w:sz w:val="21"/>
                <w:szCs w:val="21"/>
              </w:rPr>
              <w:t>L/床·d，则病房日均用水量</w:t>
            </w:r>
            <w:r>
              <w:rPr>
                <w:rFonts w:hint="eastAsia"/>
                <w:sz w:val="21"/>
                <w:szCs w:val="21"/>
              </w:rPr>
              <w:t>67.5</w:t>
            </w:r>
            <w:r>
              <w:rPr>
                <w:sz w:val="21"/>
                <w:szCs w:val="21"/>
              </w:rPr>
              <w:t>m</w:t>
            </w:r>
            <w:r>
              <w:rPr>
                <w:sz w:val="21"/>
                <w:szCs w:val="21"/>
                <w:vertAlign w:val="superscript"/>
              </w:rPr>
              <w:t>3</w:t>
            </w:r>
            <w:r>
              <w:rPr>
                <w:sz w:val="21"/>
                <w:szCs w:val="21"/>
              </w:rPr>
              <w:t>/d（</w:t>
            </w:r>
            <w:r>
              <w:rPr>
                <w:rFonts w:hint="eastAsia"/>
                <w:sz w:val="21"/>
                <w:szCs w:val="21"/>
              </w:rPr>
              <w:t>24637.5</w:t>
            </w:r>
            <w:r>
              <w:rPr>
                <w:sz w:val="21"/>
                <w:szCs w:val="21"/>
              </w:rPr>
              <w:t>m</w:t>
            </w:r>
            <w:r>
              <w:rPr>
                <w:sz w:val="21"/>
                <w:szCs w:val="21"/>
                <w:vertAlign w:val="superscript"/>
              </w:rPr>
              <w:t>3</w:t>
            </w:r>
            <w:r>
              <w:rPr>
                <w:sz w:val="21"/>
                <w:szCs w:val="21"/>
              </w:rPr>
              <w:t>/a）</w:t>
            </w:r>
            <w:r>
              <w:rPr>
                <w:rFonts w:hint="eastAsia"/>
                <w:sz w:val="21"/>
                <w:szCs w:val="21"/>
              </w:rPr>
              <w:t>；</w:t>
            </w:r>
            <w:r>
              <w:rPr>
                <w:sz w:val="21"/>
                <w:szCs w:val="21"/>
              </w:rPr>
              <w:t>污水量产生量按照用水量的80%计，污水量为</w:t>
            </w:r>
            <w:r>
              <w:rPr>
                <w:rFonts w:hint="eastAsia"/>
                <w:sz w:val="21"/>
                <w:szCs w:val="21"/>
              </w:rPr>
              <w:t>54</w:t>
            </w:r>
            <w:r>
              <w:rPr>
                <w:sz w:val="21"/>
                <w:szCs w:val="21"/>
              </w:rPr>
              <w:t>m</w:t>
            </w:r>
            <w:r>
              <w:rPr>
                <w:sz w:val="21"/>
                <w:szCs w:val="21"/>
                <w:vertAlign w:val="superscript"/>
              </w:rPr>
              <w:t>3</w:t>
            </w:r>
            <w:r>
              <w:rPr>
                <w:sz w:val="21"/>
                <w:szCs w:val="21"/>
              </w:rPr>
              <w:t>/d（</w:t>
            </w:r>
            <w:r>
              <w:rPr>
                <w:rFonts w:hint="eastAsia"/>
                <w:sz w:val="21"/>
                <w:szCs w:val="21"/>
              </w:rPr>
              <w:t>19710</w:t>
            </w:r>
            <w:r>
              <w:rPr>
                <w:sz w:val="21"/>
                <w:szCs w:val="21"/>
              </w:rPr>
              <w:t>m</w:t>
            </w:r>
            <w:r>
              <w:rPr>
                <w:sz w:val="21"/>
                <w:szCs w:val="21"/>
                <w:vertAlign w:val="superscript"/>
              </w:rPr>
              <w:t>3</w:t>
            </w:r>
            <w:r>
              <w:rPr>
                <w:sz w:val="21"/>
                <w:szCs w:val="21"/>
              </w:rPr>
              <w:t>/a）。</w:t>
            </w:r>
          </w:p>
          <w:p>
            <w:pPr>
              <w:pStyle w:val="13"/>
              <w:spacing w:line="360" w:lineRule="auto"/>
              <w:ind w:left="0" w:leftChars="0" w:firstLine="420" w:firstLineChars="200"/>
              <w:rPr>
                <w:sz w:val="21"/>
                <w:szCs w:val="21"/>
              </w:rPr>
            </w:pPr>
            <w:r>
              <w:rPr>
                <w:sz w:val="21"/>
                <w:szCs w:val="21"/>
              </w:rPr>
              <w:t>③门诊：门诊量约</w:t>
            </w:r>
            <w:r>
              <w:rPr>
                <w:rFonts w:hint="eastAsia"/>
                <w:sz w:val="21"/>
                <w:szCs w:val="21"/>
              </w:rPr>
              <w:t>30</w:t>
            </w:r>
            <w:r>
              <w:rPr>
                <w:sz w:val="21"/>
                <w:szCs w:val="21"/>
              </w:rPr>
              <w:t>人次/d，门诊用水量按</w:t>
            </w:r>
            <w:r>
              <w:rPr>
                <w:rFonts w:hint="eastAsia"/>
                <w:sz w:val="21"/>
                <w:szCs w:val="21"/>
              </w:rPr>
              <w:t>20</w:t>
            </w:r>
            <w:r>
              <w:rPr>
                <w:sz w:val="21"/>
                <w:szCs w:val="21"/>
              </w:rPr>
              <w:t>L/人·次计算，则门诊用水量为0.</w:t>
            </w:r>
            <w:r>
              <w:rPr>
                <w:rFonts w:hint="eastAsia"/>
                <w:sz w:val="21"/>
                <w:szCs w:val="21"/>
              </w:rPr>
              <w:t>6</w:t>
            </w:r>
            <w:r>
              <w:rPr>
                <w:sz w:val="21"/>
                <w:szCs w:val="21"/>
              </w:rPr>
              <w:t>m</w:t>
            </w:r>
            <w:r>
              <w:rPr>
                <w:sz w:val="21"/>
                <w:szCs w:val="21"/>
                <w:vertAlign w:val="superscript"/>
              </w:rPr>
              <w:t>3</w:t>
            </w:r>
            <w:r>
              <w:rPr>
                <w:sz w:val="21"/>
                <w:szCs w:val="21"/>
              </w:rPr>
              <w:t>/d（</w:t>
            </w:r>
            <w:r>
              <w:rPr>
                <w:rFonts w:hint="eastAsia"/>
                <w:sz w:val="21"/>
                <w:szCs w:val="21"/>
              </w:rPr>
              <w:t>219</w:t>
            </w:r>
            <w:r>
              <w:rPr>
                <w:sz w:val="21"/>
                <w:szCs w:val="21"/>
              </w:rPr>
              <w:t>m</w:t>
            </w:r>
            <w:r>
              <w:rPr>
                <w:sz w:val="21"/>
                <w:szCs w:val="21"/>
                <w:vertAlign w:val="superscript"/>
              </w:rPr>
              <w:t>3</w:t>
            </w:r>
            <w:r>
              <w:rPr>
                <w:sz w:val="21"/>
                <w:szCs w:val="21"/>
              </w:rPr>
              <w:t>/a），污水量产生量按照用水量的80%计，污水量为0.4</w:t>
            </w:r>
            <w:r>
              <w:rPr>
                <w:rFonts w:hint="eastAsia"/>
                <w:sz w:val="21"/>
                <w:szCs w:val="21"/>
              </w:rPr>
              <w:t>8</w:t>
            </w:r>
            <w:r>
              <w:rPr>
                <w:sz w:val="21"/>
                <w:szCs w:val="21"/>
              </w:rPr>
              <w:t>m</w:t>
            </w:r>
            <w:r>
              <w:rPr>
                <w:sz w:val="21"/>
                <w:szCs w:val="21"/>
                <w:vertAlign w:val="superscript"/>
              </w:rPr>
              <w:t>3</w:t>
            </w:r>
            <w:r>
              <w:rPr>
                <w:sz w:val="21"/>
                <w:szCs w:val="21"/>
              </w:rPr>
              <w:t>/d（</w:t>
            </w:r>
            <w:r>
              <w:rPr>
                <w:rFonts w:hint="eastAsia"/>
                <w:sz w:val="21"/>
                <w:szCs w:val="21"/>
              </w:rPr>
              <w:t>175.2</w:t>
            </w:r>
            <w:r>
              <w:rPr>
                <w:sz w:val="21"/>
                <w:szCs w:val="21"/>
              </w:rPr>
              <w:t>m</w:t>
            </w:r>
            <w:r>
              <w:rPr>
                <w:sz w:val="21"/>
                <w:szCs w:val="21"/>
                <w:vertAlign w:val="superscript"/>
              </w:rPr>
              <w:t>3</w:t>
            </w:r>
            <w:r>
              <w:rPr>
                <w:sz w:val="21"/>
                <w:szCs w:val="21"/>
              </w:rPr>
              <w:t>/a）。</w:t>
            </w:r>
          </w:p>
          <w:p>
            <w:pPr>
              <w:pStyle w:val="13"/>
              <w:spacing w:line="360" w:lineRule="auto"/>
              <w:ind w:left="0" w:leftChars="0" w:firstLine="420" w:firstLineChars="200"/>
              <w:rPr>
                <w:sz w:val="21"/>
                <w:szCs w:val="21"/>
              </w:rPr>
            </w:pPr>
            <w:r>
              <w:rPr>
                <w:sz w:val="21"/>
                <w:szCs w:val="21"/>
              </w:rPr>
              <w:t>项目水平衡图见</w:t>
            </w:r>
            <w:r>
              <w:rPr>
                <w:rFonts w:hint="eastAsia"/>
                <w:sz w:val="21"/>
                <w:szCs w:val="21"/>
              </w:rPr>
              <w:t>下图</w:t>
            </w:r>
            <w:r>
              <w:rPr>
                <w:sz w:val="21"/>
                <w:szCs w:val="21"/>
              </w:rPr>
              <w:t>。</w:t>
            </w:r>
          </w:p>
          <w:p>
            <w:pPr>
              <w:rPr>
                <w:sz w:val="21"/>
                <w:szCs w:val="21"/>
              </w:rPr>
            </w:pPr>
            <w:r>
              <w:rPr>
                <w:sz w:val="21"/>
                <w:szCs w:val="21"/>
              </w:rPr>
              <mc:AlternateContent>
                <mc:Choice Requires="wpc">
                  <w:drawing>
                    <wp:inline distT="0" distB="0" distL="114300" distR="114300">
                      <wp:extent cx="4770755" cy="2778760"/>
                      <wp:effectExtent l="0" t="0" r="11430" b="0"/>
                      <wp:docPr id="3" name="画布 3"/>
                      <wp:cNvGraphicFramePr/>
                      <a:graphic xmlns:a="http://schemas.openxmlformats.org/drawingml/2006/main">
                        <a:graphicData uri="http://schemas.microsoft.com/office/word/2010/wordprocessingCanvas">
                          <wpc:wpc>
                            <wpc:bg/>
                            <wpc:whole/>
                            <wps:wsp>
                              <wps:cNvPr id="4" name="直接连接符 4"/>
                              <wps:cNvCnPr/>
                              <wps:spPr>
                                <a:xfrm>
                                  <a:off x="528955" y="366395"/>
                                  <a:ext cx="0" cy="1751330"/>
                                </a:xfrm>
                                <a:prstGeom prst="line">
                                  <a:avLst/>
                                </a:prstGeom>
                              </wps:spPr>
                              <wps:style>
                                <a:lnRef idx="1">
                                  <a:schemeClr val="dk1"/>
                                </a:lnRef>
                                <a:fillRef idx="0">
                                  <a:schemeClr val="dk1"/>
                                </a:fillRef>
                                <a:effectRef idx="0">
                                  <a:schemeClr val="dk1"/>
                                </a:effectRef>
                                <a:fontRef idx="minor">
                                  <a:schemeClr val="tx1"/>
                                </a:fontRef>
                              </wps:style>
                              <wps:bodyPr/>
                            </wps:wsp>
                            <wps:wsp>
                              <wps:cNvPr id="5" name="直接箭头连接符 5"/>
                              <wps:cNvCnPr/>
                              <wps:spPr>
                                <a:xfrm>
                                  <a:off x="528955" y="366395"/>
                                  <a:ext cx="59055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6" name="矩形 6"/>
                              <wps:cNvSpPr/>
                              <wps:spPr>
                                <a:xfrm>
                                  <a:off x="1148080" y="204470"/>
                                  <a:ext cx="1084580"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医护人员用水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直接箭头连接符 8"/>
                              <wps:cNvCnPr/>
                              <wps:spPr>
                                <a:xfrm>
                                  <a:off x="532130" y="1256030"/>
                                  <a:ext cx="59055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 name="矩形 9"/>
                              <wps:cNvSpPr/>
                              <wps:spPr>
                                <a:xfrm>
                                  <a:off x="1151255" y="1094105"/>
                                  <a:ext cx="1084580"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住院患者用水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直接箭头连接符 10"/>
                              <wps:cNvCnPr/>
                              <wps:spPr>
                                <a:xfrm>
                                  <a:off x="541655" y="2132330"/>
                                  <a:ext cx="59055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1" name="矩形 11"/>
                              <wps:cNvSpPr/>
                              <wps:spPr>
                                <a:xfrm>
                                  <a:off x="1132205" y="1951355"/>
                                  <a:ext cx="1084580"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门诊患者用水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直接连接符 12"/>
                              <wps:cNvCnPr/>
                              <wps:spPr>
                                <a:xfrm flipH="1">
                                  <a:off x="3005455" y="384175"/>
                                  <a:ext cx="9525" cy="1762125"/>
                                </a:xfrm>
                                <a:prstGeom prst="line">
                                  <a:avLst/>
                                </a:prstGeom>
                              </wps:spPr>
                              <wps:style>
                                <a:lnRef idx="1">
                                  <a:schemeClr val="dk1"/>
                                </a:lnRef>
                                <a:fillRef idx="0">
                                  <a:schemeClr val="dk1"/>
                                </a:fillRef>
                                <a:effectRef idx="0">
                                  <a:schemeClr val="dk1"/>
                                </a:effectRef>
                                <a:fontRef idx="minor">
                                  <a:schemeClr val="tx1"/>
                                </a:fontRef>
                              </wps:style>
                              <wps:bodyPr/>
                            </wps:wsp>
                            <wps:wsp>
                              <wps:cNvPr id="13" name="直接连接符 13"/>
                              <wps:cNvCnPr>
                                <a:stCxn id="6" idx="3"/>
                              </wps:cNvCnPr>
                              <wps:spPr>
                                <a:xfrm>
                                  <a:off x="2232660" y="385445"/>
                                  <a:ext cx="772795" cy="8255"/>
                                </a:xfrm>
                                <a:prstGeom prst="line">
                                  <a:avLst/>
                                </a:prstGeom>
                              </wps:spPr>
                              <wps:style>
                                <a:lnRef idx="1">
                                  <a:schemeClr val="dk1"/>
                                </a:lnRef>
                                <a:fillRef idx="0">
                                  <a:schemeClr val="dk1"/>
                                </a:fillRef>
                                <a:effectRef idx="0">
                                  <a:schemeClr val="dk1"/>
                                </a:effectRef>
                                <a:fontRef idx="minor">
                                  <a:schemeClr val="tx1"/>
                                </a:fontRef>
                              </wps:style>
                              <wps:bodyPr/>
                            </wps:wsp>
                            <wps:wsp>
                              <wps:cNvPr id="14" name="直接连接符 14"/>
                              <wps:cNvCnPr/>
                              <wps:spPr>
                                <a:xfrm>
                                  <a:off x="2237105" y="1314450"/>
                                  <a:ext cx="768350" cy="3175"/>
                                </a:xfrm>
                                <a:prstGeom prst="line">
                                  <a:avLst/>
                                </a:prstGeom>
                              </wps:spPr>
                              <wps:style>
                                <a:lnRef idx="1">
                                  <a:schemeClr val="dk1"/>
                                </a:lnRef>
                                <a:fillRef idx="0">
                                  <a:schemeClr val="dk1"/>
                                </a:fillRef>
                                <a:effectRef idx="0">
                                  <a:schemeClr val="dk1"/>
                                </a:effectRef>
                                <a:fontRef idx="minor">
                                  <a:schemeClr val="tx1"/>
                                </a:fontRef>
                              </wps:style>
                              <wps:bodyPr/>
                            </wps:wsp>
                            <wps:wsp>
                              <wps:cNvPr id="15" name="直接连接符 15"/>
                              <wps:cNvCnPr/>
                              <wps:spPr>
                                <a:xfrm>
                                  <a:off x="2218055" y="2133600"/>
                                  <a:ext cx="796925" cy="3175"/>
                                </a:xfrm>
                                <a:prstGeom prst="line">
                                  <a:avLst/>
                                </a:prstGeom>
                              </wps:spPr>
                              <wps:style>
                                <a:lnRef idx="1">
                                  <a:schemeClr val="dk1"/>
                                </a:lnRef>
                                <a:fillRef idx="0">
                                  <a:schemeClr val="dk1"/>
                                </a:fillRef>
                                <a:effectRef idx="0">
                                  <a:schemeClr val="dk1"/>
                                </a:effectRef>
                                <a:fontRef idx="minor">
                                  <a:schemeClr val="tx1"/>
                                </a:fontRef>
                              </wps:style>
                              <wps:bodyPr/>
                            </wps:wsp>
                            <wps:wsp>
                              <wps:cNvPr id="16" name="直接连接符 16"/>
                              <wps:cNvCnPr/>
                              <wps:spPr>
                                <a:xfrm>
                                  <a:off x="3005455" y="1317625"/>
                                  <a:ext cx="27622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17" name="直接连接符 17"/>
                              <wps:cNvCnPr/>
                              <wps:spPr>
                                <a:xfrm>
                                  <a:off x="328930" y="1250950"/>
                                  <a:ext cx="200025" cy="0"/>
                                </a:xfrm>
                                <a:prstGeom prst="line">
                                  <a:avLst/>
                                </a:prstGeom>
                              </wps:spPr>
                              <wps:style>
                                <a:lnRef idx="1">
                                  <a:schemeClr val="dk1"/>
                                </a:lnRef>
                                <a:fillRef idx="0">
                                  <a:schemeClr val="dk1"/>
                                </a:fillRef>
                                <a:effectRef idx="0">
                                  <a:schemeClr val="dk1"/>
                                </a:effectRef>
                                <a:fontRef idx="minor">
                                  <a:schemeClr val="tx1"/>
                                </a:fontRef>
                              </wps:style>
                              <wps:bodyPr/>
                            </wps:wsp>
                            <wps:wsp>
                              <wps:cNvPr id="18" name="矩形 18"/>
                              <wps:cNvSpPr/>
                              <wps:spPr>
                                <a:xfrm>
                                  <a:off x="0" y="1012825"/>
                                  <a:ext cx="476250" cy="5334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自来水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矩形 19"/>
                              <wps:cNvSpPr/>
                              <wps:spPr>
                                <a:xfrm>
                                  <a:off x="3265805" y="1141730"/>
                                  <a:ext cx="600075"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化粪池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直接箭头连接符 20"/>
                              <wps:cNvCnPr>
                                <a:endCxn id="19" idx="1"/>
                              </wps:cNvCnPr>
                              <wps:spPr>
                                <a:xfrm flipV="1">
                                  <a:off x="3014980" y="1322705"/>
                                  <a:ext cx="250825"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1" name="直接箭头连接符 21"/>
                              <wps:cNvCnPr>
                                <a:stCxn id="19" idx="3"/>
                              </wps:cNvCnPr>
                              <wps:spPr>
                                <a:xfrm>
                                  <a:off x="3865880" y="1322705"/>
                                  <a:ext cx="206375"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2" name="矩形 22"/>
                              <wps:cNvSpPr/>
                              <wps:spPr>
                                <a:xfrm>
                                  <a:off x="4110355" y="1089025"/>
                                  <a:ext cx="609600" cy="514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污水处理站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23"/>
                              <wps:cNvCnPr>
                                <a:stCxn id="22" idx="2"/>
                              </wps:cNvCnPr>
                              <wps:spPr>
                                <a:xfrm>
                                  <a:off x="4415155" y="1603375"/>
                                  <a:ext cx="1905" cy="2286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4" name="矩形 24"/>
                              <wps:cNvSpPr/>
                              <wps:spPr>
                                <a:xfrm>
                                  <a:off x="3951605" y="1765300"/>
                                  <a:ext cx="81915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市政管网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矩形 26"/>
                              <wps:cNvSpPr/>
                              <wps:spPr>
                                <a:xfrm>
                                  <a:off x="502285" y="109855"/>
                                  <a:ext cx="6197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2.4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矩形 27"/>
                              <wps:cNvSpPr/>
                              <wps:spPr>
                                <a:xfrm>
                                  <a:off x="522605" y="1036955"/>
                                  <a:ext cx="6197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67.5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 name="矩形 28"/>
                              <wps:cNvSpPr/>
                              <wps:spPr>
                                <a:xfrm>
                                  <a:off x="494030" y="1913255"/>
                                  <a:ext cx="6197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0.6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矩形 29"/>
                              <wps:cNvSpPr/>
                              <wps:spPr>
                                <a:xfrm>
                                  <a:off x="2275205" y="170180"/>
                                  <a:ext cx="6197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1.92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矩形 30"/>
                              <wps:cNvSpPr/>
                              <wps:spPr>
                                <a:xfrm>
                                  <a:off x="2284730" y="1113155"/>
                                  <a:ext cx="6197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54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 name="矩形 31"/>
                              <wps:cNvSpPr/>
                              <wps:spPr>
                                <a:xfrm>
                                  <a:off x="2275205" y="1913255"/>
                                  <a:ext cx="6197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0.48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 name="直接箭头连接符 32"/>
                              <wps:cNvCnPr/>
                              <wps:spPr>
                                <a:xfrm>
                                  <a:off x="1690370" y="566420"/>
                                  <a:ext cx="488315" cy="1435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3" name="矩形 33"/>
                              <wps:cNvSpPr/>
                              <wps:spPr>
                                <a:xfrm>
                                  <a:off x="2018030" y="570230"/>
                                  <a:ext cx="6197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0.48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直接箭头连接符 34"/>
                              <wps:cNvCnPr/>
                              <wps:spPr>
                                <a:xfrm>
                                  <a:off x="1675130" y="1456055"/>
                                  <a:ext cx="488315" cy="1435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5" name="矩形 35"/>
                              <wps:cNvSpPr/>
                              <wps:spPr>
                                <a:xfrm>
                                  <a:off x="2018030" y="1437005"/>
                                  <a:ext cx="6197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13.5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直接箭头连接符 36"/>
                              <wps:cNvCnPr/>
                              <wps:spPr>
                                <a:xfrm>
                                  <a:off x="1656080" y="2313305"/>
                                  <a:ext cx="488315" cy="1435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7" name="矩形 37"/>
                              <wps:cNvSpPr/>
                              <wps:spPr>
                                <a:xfrm>
                                  <a:off x="2008505" y="2313305"/>
                                  <a:ext cx="6197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0.12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矩形 38"/>
                              <wps:cNvSpPr/>
                              <wps:spPr>
                                <a:xfrm>
                                  <a:off x="2837180" y="1036955"/>
                                  <a:ext cx="6197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56.4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 name="矩形 39"/>
                              <wps:cNvSpPr/>
                              <wps:spPr>
                                <a:xfrm>
                                  <a:off x="84455" y="998855"/>
                                  <a:ext cx="6197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70.5</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218.8pt;width:375.65pt;" coordsize="4770755,2778760" editas="canvas" o:gfxdata="UEsDBAoAAAAAAIdO4kAAAAAAAAAAAAAAAAAEAAAAZHJzL1BLAwQUAAAACACHTuJA4k15xtcAAAAF&#10;AQAADwAAAGRycy9kb3ducmV2LnhtbE2PT0vDQBDF74LfYRnBi9hN7F9iNj0UxCJCMbU9b7NjEszO&#10;ptltUr+9o5f2MvB4j/d+ky7PthE9dr52pCAeRSCQCmdqKhV8bl8eFyB80GR04wgV/KCHZXZ7k+rE&#10;uIE+sM9DKbiEfKIVVCG0iZS+qNBqP3ItEntfrrM6sOxKaTo9cLlt5FMUzaTVNfFCpVtcVVh85yer&#10;YCg2/X77/io3D/u1o+P6uMp3b0rd38XRM4iA53AJwx8+o0PGTAd3IuNFo4AfCf+Xvfk0HoM4KJiM&#10;5zOQWSqv6bNfUEsDBBQAAAAIAIdO4kDqe5e2mwgAABBZAAAOAAAAZHJzL2Uyb0RvYy54bWztXEuP&#10;40QQviPxHyzf2bjb72izaDX7AGnFrrQ8zh7HSSz5he3ZzHLlzokbEkgIkJCAEwckhPg1y/Iz+Prh&#10;tONJJskOChnUc8jYbrttd1V9Vf1Vte++e5lnxoukbtKymJjkjmUaSRGX07SYT8yPPnz0TmAaTRsV&#10;0ygri2Rivkwa8917b791d1mNE1ouymya1AY6KZrxspqYi7atxqNREy+SPGrulFVSoHFW1nnUYree&#10;j6Z1tETveTailuWNlmU9reoyTpoGRx+IRlP2WO/TYTmbpXHyoIwv8qRoRa91kkUtXqlZpFVj3uNP&#10;O5slcft0NmuS1sgmJt605b+4CbbP2e/o3t1oPK+japHG8hGifR5h8E55lBa46aqrB1EbGRd1eqWr&#10;PI3rsiln7Z24zEfiRfiI4C2INRibx3V5UfF3mY+X82o16BDUYNTfuNv4gxfPaiOdTkzbNIooh8Bf&#10;f/n7q98+N2w2NstqPsYpj+vqefWslgfmYo+97uWsztl/vIhxyUf15WpUk8vWiHHQ8X3Ld13TiNFG&#10;fT/wPTnu8QLCuXJdvHi448pRd+MRe77V4ywraGSjhqm52TA9X0RVwke/YWMgh8lZDdNXv/71xfd/&#10;//k1fl//9IPhiPHi554VcrCacYNx2zBSLg1CNiYYEtvz7NAVmtiNGdSTjRbxXWLbfLRW7xyNq7pp&#10;HydlbrCNiZmlBXvMaBy9eNK0kBFO7U5hh4vyUZplXNGzwlhOTM92Wf8RjHcGo8FmXkEBmmJuGlE2&#10;ByrEbc17bMosnbKrWT9NPT8/y2rjRcRsif+xh8bd1k5jt34QNQtxHm8S75anLYAjS/OJGfSvzgp0&#10;wmQnhoptnZfTl3wE+XHIlGniEYQLgUgb4MJ9/cvPr777VYmYC4k9CNThxiJ2Q8vlcugsZruEm7aO&#10;0vmiPSuLAohW1uTo8n7E/24u72jcRmn2sJga7csKYBPVdbk0mVbmydQ0sgTax7aEYp2Qangr1fjm&#10;x1d/fGt47BGlLqywsdPhDp9WwEiIE1gBrI5BoOU4vkTAzt6JFTgua2dWb3skhGaIIegQtrNoafQ1&#10;9OA6JVgzyTXL3S5JgQ6E+taJw0N7eX4pR18ghVGXwrM3VfwoBQA9iZr2WVTDleNVEOy0T/Ezy0ro&#10;WSm3TGNR1p9tOs7Oh+tAKxQToQGg8dOLqE6gnu8XcCohcRx02/Idx/Updup+y3m/pbjIz0ogJkFY&#10;VcV8k53fZt3mrC7zTxAT3Wd3RVNUxLi3AGG5c9aKkAVRVZzcv89PQ/xQRe2T4nkVs84F0t+/aMtZ&#10;yp2AwlEJr8eDUUSQ18Fo0DOdPWDUpgQukFkOoa5nCXcYjTvT0Th6q3A0XOmGwNGwpwz74KgLJRBx&#10;E7FCh1iDwEkD6fiAOEsDKYDlhIGU4PGuQ1K0qyhkDyh1iCeNB5hK5cxCQ+ktDUkJQgqpHQJLcUCp&#10;wz5galMKAOWuNcRME7qB65U+aDDVYPr/iUoJXZnLgLpBi7KbLTBqzLK0eq+LtCXfZVuW63Q0TuCA&#10;rlk3oNClMC/B5HgUkQtr3j7P10yO4JAPYjM303RE0ZlDYUtic8XicG6rPbssOA2KeX46BWvJz+L0&#10;kyR7xGxfcFRX5veU2tQDrcn5vMB1nIEi+D71wfFxVQhYAKv14DiMHtnK16Jlp9Ez1ZCmDgn7bLbB&#10;naUNBkAwNMpZ+l4geFXG4Egk0KZ+BNKWQCj9IFnxtWg5TMQkACfLRYz42PbAg+H6nohDL+wAXYuY&#10;5VqOxMsTxb4O0bzPw25x3T0r7jtsAhF6wiUrEVMc6kTMvbcG6iMBtb/Viv2DrNhGZk3xhZZk0nsS&#10;Ru6pk/AOkl3HY/9ePKY4YTlX7bPAu+eqkgC2CEX4tI7KDrNixuPA8bq27QjU3u56d6VOruRLD8iI&#10;9K79N/Kgmp9jcj3dRAcZstk4oCKO3VqNSQOyfjKoJJg/DpMbCEFQOyF0W6cFd1QNaGs5bWthedJ+&#10;oD4sr0C7Mh4Wy/HYu5h2U3NmbXxuzmnO6+fmnK75+ApdQ5xQZuHBfyPRPXAl8CPMvXBX4shJ/HZH&#10;ossyBBuiMs0sWGZ7x5sZUMWBbyzZQftVnWpWbM9KpQ6je+wAuH2tIlme3eG2VqTbUN9DFTssAlQc&#10;UJqz25U7hFgsgcL5ISsI2RwD16t5h2eFjFAQYSpxGFfEzEVRibrCR8GJduUn7soH9PoVV349yc6M&#10;jXtybmPXe/Iee+M4xCWdjaESiEHsmo0R1FQKC6M0kPTddgvT/lsZ3H9VcUsVPy9ht0/L74ZdVE4T&#10;r5tB+Z4Lgm9dJQISko4dsC1UYd4Qdnsz/IPrJXvXanaAFzH+r8sgqWKtpW73yerduu1aQLEuoggD&#10;kTXsBRQkZCspeECB5COr2r1RQNHTTq3ZusBXLM/anF2niqyXmt3n6PfQbEpXoG3ZHlsJs+bHUQCv&#10;VVvXrmMN0PEJhWGigh6WqHBCh5Woi5o6kExatTEYelnGKSzLoMNsBQ4AdvdexATC1F3Vi/oWiiU0&#10;amvVPokVRwxx10qhRSLtANUOHJZ847BNUBmiYVvDdnkaq+lsleIQwTYOvDFshzok0StF2TcBTkS3&#10;VdZlY/rO7idhdpf3ES+0bKytZjDuep4jMsqKMnGCANAuKBOWghHrpzRDfMoL722VapDw188t7OYa&#10;8F2VoJuRub5FRWSgdEJzDXqdvMh+HJ1rsFXyYzP69XMh+6Af+1yMDGIdLJUfBrEa/m7fd0dsuKv1&#10;mQ3nSvef2fTgDy4PWQLNtWpC6kSiP5Ug24x//XzZPvgHzJNVWdTGAp6hqmv8u4X4N0w12YelmvDJ&#10;wcCVBQIblULHfzr++6/iv2GuyT4s10QDrEntylB1HlV/AwzlpifD7AyTTfZhyaYA5fei9iUMA137&#10;wj4Mp7OoO7KoKCTlH8rlZdXyo77sS7z9fT7JVx8yvvc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wsAAFtDb250ZW50X1R5cGVzXS54bWxQSwEC&#10;FAAKAAAAAACHTuJAAAAAAAAAAAAAAAAABgAAAAAAAAAAABAAAADtCQAAX3JlbHMvUEsBAhQAFAAA&#10;AAgAh07iQIoUZjzRAAAAlAEAAAsAAAAAAAAAAQAgAAAAEQoAAF9yZWxzLy5yZWxzUEsBAhQACgAA&#10;AAAAh07iQAAAAAAAAAAAAAAAAAQAAAAAAAAAAAAQAAAAAAAAAGRycy9QSwECFAAUAAAACACHTuJA&#10;4k15xtcAAAAFAQAADwAAAAAAAAABACAAAAAiAAAAZHJzL2Rvd25yZXYueG1sUEsBAhQAFAAAAAgA&#10;h07iQOp7l7abCAAAEFkAAA4AAAAAAAAAAQAgAAAAJgEAAGRycy9lMm9Eb2MueG1sUEsFBgAAAAAG&#10;AAYAWQEAADMMAAAAAA==&#10;">
                      <o:lock v:ext="edit" aspectratio="f"/>
                      <v:shape id="_x0000_s1026" o:spid="_x0000_s1026" style="position:absolute;left:0;top:0;height:2778760;width:4770755;" filled="f" stroked="f" coordsize="21600,21600" o:gfxdata="UEsDBAoAAAAAAIdO4kAAAAAAAAAAAAAAAAAEAAAAZHJzL1BLAwQUAAAACACHTuJA4k15xtcAAAAF&#10;AQAADwAAAGRycy9kb3ducmV2LnhtbE2PT0vDQBDF74LfYRnBi9hN7F9iNj0UxCJCMbU9b7NjEszO&#10;ptltUr+9o5f2MvB4j/d+ky7PthE9dr52pCAeRSCQCmdqKhV8bl8eFyB80GR04wgV/KCHZXZ7k+rE&#10;uIE+sM9DKbiEfKIVVCG0iZS+qNBqP3ItEntfrrM6sOxKaTo9cLlt5FMUzaTVNfFCpVtcVVh85yer&#10;YCg2/X77/io3D/u1o+P6uMp3b0rd38XRM4iA53AJwx8+o0PGTAd3IuNFo4AfCf+Xvfk0HoM4KJiM&#10;5zOQWSqv6bNfUEsDBBQAAAAIAIdO4kBKn52JUggAAFdYAAAOAAAAZHJzL2Uyb0RvYy54bWztXN2O&#10;20QUvkfiHSzf0/XM2I4dNa2qLQtIFV2p/FzPOk5iyX/Y3j8eghdAAgkBEhJw1VvE05TyGHzz49jx&#10;bjYJbUMWzV5kbY89tuec850z3znjh4+vstS6iKs6KfKJTR44thXnUTFN8vnE/vyzkw8C26obnk95&#10;WuTxxL6Oa/vxo/ffe3hZjmNaLIp0GlcWOsnr8WU5sRdNU46PjupoEWe8flCUcY7GWVFlvMFuNT+a&#10;VvwSvWfpEXUc/+iyqKZlVURxXePoU9Vo6x6rbTosZrMkip8W0XkW543qtYpT3uCV6kVS1vYj+bSz&#10;WRw1z2ezOm6sdGLjTRv5i5tg+0z8Hj16yMfzipeLJNKPwLd5hME7ZTzJcdNlV095w63zKrnRVZZE&#10;VVEXs+ZBVGRH6kXkiOAtiDMYm2OeX3D1MhHGun1AbL3Ffs/mGAN0Ob6EaGO5DcHW5VLE9Zvd7MWC&#10;l7EUSD2OPr04raxkOrFd28p5BvV6/e3Lv7756e8/v8Pv619/tlwhkstSnnucn1Z6ry5PKzG+V7Mq&#10;E/8xctbVxPZoEHqebV1PbOb7LPSUQOOrxorQDClHaCIjjzAmhX3UdVFWdfNRXGSW2JjYaZKLx+Rj&#10;fvGsbnBbnNqeIg7nxUmSpjjOx2luXU5sn3mifw4bmEH3sJmVeLM6n9sWT+cwrqipZI91kSZTcbW4&#10;uK7mZ8dpZV1woZLyTzw07rZymrj1U14v1HmySb1bljSwvzTJJnbQvzrN0YkYODVUYuusmF7LEZTH&#10;IVM1su9cuBBIX7ivf//t1Y8vOxFLIb0tEXuh40k5QM4bJFw3FU/mi+a4yHMAQ1GRvcv7RP69ubz5&#10;uOFJ+mE+tZrrElbEq6q4tIVWZvHUttIY2ie2lGIdkGr4S9X4/pdXf/xg+eIRtS68gI3rvTXmTogb&#10;OAGsDsKmjuuONIC39k6cwPVEu7B65pMQmqGGoMWN1qK10VfQg7uUYMUkVyx3vSQVOhA6cg4cHpqr&#10;sys93goprKpQDrIuo5MEAPSM180pr+AR8SqIGZrn+JmlBfSs0Fu2tSiqr287Ls6H60ArFBMeFtD4&#10;1TmvYqjnJzmcSkhcF902csf1RhQ7Vb/lrN+Sn2fHBRCTIDopI7kpzm/SdnNWFdmXCC2eiLuiiecR&#10;7q1AWO8cN8rzIziJ4idP5GlwwyVvnuUvhFNVgJAXT86bYpZIJ9DhqIbX/cEoArG7YDTomc4WnpJR&#10;AhcoLIdQz3eUO+Tj1nQMjt4rHA2XuqFwNOwpwzY46kEJVNxEnNAlziBwMkA63iHOMkAKYDlgICV4&#10;vLuQFO1dFLIFlLrE18YDTKV6ZmGg9J6GpAQhhdYOhaU40KnDNmDKKAWAStcaYqYJ3cD1nT4YMDVg&#10;+v+JSgldmsuAukFLZzdrYNSapUn5cRtpaxaHOY7ntjRO4IKuWTWg0KMwL8Xk+BSRi2g2TM4eaDrC&#10;1gqbDYQtua3m+CqX/B7m+ckUDJw8S9JP4P6ETqjZ/pr5PaWM+r6apbDAc92BIoxGdASOT6pCIAJY&#10;oweSPHnnjB5Zy9eiZaPRC9XQpg4Jj8RsQzpLBgZAMTSdsxz5geJVBYOjkcCY+j5MHULpB8kdX0uk&#10;nW1N2FJKAnCyiqQjjPngwaAiPRGHftgCuhGxyLXsiZcnHfs6dN19HnaN6+5Zcd9hE4jQVy65EzHF&#10;oVbE0nsboN4TUI/WWvFoJ6BmyKx1fKGjmfSehJF7aiW8gWQ3mTWVGt8p93t72pR0nLCeq/ZZ4M1z&#10;VU0AO4QifFpFZVdYseBx4Hg9xlyF2utd76bUyY186Q4Zkd61byMPavg5IdfDTXSQIZuNA11QuVmr&#10;MWlA1k8HlQTzx2FyAyGIg0mlSQtuUzVgrOWwrUXkSfuB+rC8Au2d8agpN9x2Pm2n5sLa5Nxc0px3&#10;z80lXfPFDbqGuKHOwoP/RqJ74ErgR4R7kebm6kn8ekdiyjIUG9JlmkWwLPb2NzOgHQcuZwY3dKpP&#10;ibc6VS/ZnqVK7Ub3sAC4faciOT5rcdso0n2o76EdO6wCVBzo0GizK3cJcUQCRfJDThCKOQau7+Yd&#10;vhMKQkGFqcQVXJEwl7VlfZvCVFPhYyp82krJ/cPugF6/Abt3k+zC2KQnlzZ2tyfvsTeuSzzS2hgq&#10;gQTErtgYQU2lsjBKA03frbcw478PwH93/LyG3T4tvxl2UTlN/HYGNfI9EHyrKhGQkLTsAHNQhfmG&#10;sNub4e9cL9m71rADsojxf10GSTvWWut2n6zerNueAxRrI4owUFnDXkBBwpFIOQreC8lHUbX7RgFF&#10;TzuNZpsCX7XK6XY2l3ZkvdbsPke/hWZTugRth/liJcyKH0cBvFFtU7uONUD7j2yHiQq6W6LCDV1R&#10;oq5q6kAyGdXGYJhlGYewLIMOsxU4ANjV9RGbURuEqbesFx05KJYwqG1U+yBWHAnEXSmFVom0HVQ7&#10;cEXyTcI2QWWIgW0D2weymo51KQ4VbOPAv4bt0IQkZqWo+CbAYawUZV3W5db0Hdo7Vd9c3kf80GFY&#10;Wy1g3PN9V2WUO8rEDQJAu6JMRApGrZ8yDPEhL7xnXapBw18/t7BF1CoCVe3avZFDVWTQ6YThGsw6&#10;efUVgb1zDaxLftyOfv1cyDboJz4Xo4NYF0vlh0Gsgb/7990RBne1OrORXOn2M5se/MHlIUtguFZD&#10;SB1I9NclyG7Hv36+bBv8A+bpqizKsIBnqOoG/+4h/g1TTWy3VBO+3Bd4ukDgVqUw8Z+J//6r+G+Y&#10;a2K75ZpogDWpbRmqyaOab4Ch3PRgmJ1hsontlmwKUH6val/CMDC1L+LDcCaLuiGLikLSSHxuVpZV&#10;62/jig/a9vflJL/7HvCj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CgAAW0NvbnRlbnRfVHlwZXNdLnhtbFBLAQIUAAoAAAAAAIdO4kAAAAAA&#10;AAAAAAAAAAAGAAAAAAAAAAAAEAAAAKQJAABfcmVscy9QSwECFAAUAAAACACHTuJAihRmPNEAAACU&#10;AQAACwAAAAAAAAABACAAAADICQAAX3JlbHMvLnJlbHNQSwECFAAKAAAAAACHTuJAAAAAAAAAAAAA&#10;AAAABAAAAAAAAAAAABAAAAAAAAAAZHJzL1BLAQIUABQAAAAIAIdO4kDiTXnG1wAAAAUBAAAPAAAA&#10;AAAAAAEAIAAAACIAAABkcnMvZG93bnJldi54bWxQSwECFAAUAAAACACHTuJASp+diVIIAABXWAAA&#10;DgAAAAAAAAABACAAAAAmAQAAZHJzL2Uyb0RvYy54bWxQSwUGAAAAAAYABgBZAQAA6gsAAAAA&#10;">
                        <v:fill on="f" focussize="0,0"/>
                        <v:stroke on="f"/>
                        <v:imagedata o:title=""/>
                        <o:lock v:ext="edit" aspectratio="f"/>
                      </v:shape>
                      <v:line id="_x0000_s1026" o:spid="_x0000_s1026" o:spt="20" style="position:absolute;left:528955;top:366395;height:1751330;width:0;" filled="f" stroked="t" coordsize="21600,21600" o:gfxdata="UEsDBAoAAAAAAIdO4kAAAAAAAAAAAAAAAAAEAAAAZHJzL1BLAwQUAAAACACHTuJAL2Cra9QAAAAF&#10;AQAADwAAAGRycy9kb3ducmV2LnhtbE2PsU7EMAyGdyTeITISG5eWg+upNL0BiQEJCSgMjLnG1xQa&#10;pyS5trw9hgUWS9b/6/Pnare4QUwYYu9JQb7KQCC13vTUKXh9ubvYgohJk9GDJ1TwhRF29elJpUvj&#10;Z3rGqUmdYAjFUiuwKY2llLG16HRc+RGJs4MPTideQydN0DPD3SAvs2wjne6JL1g94q3F9qM5OqZQ&#10;8XlYhvD29Phgt838jvdTgUqdn+XZDYiES/orw48+q0PNTnt/JBPFoIAfSb+Ts+I6X4PYK7haFxuQ&#10;dSX/29ffUEsDBBQAAAAIAIdO4kASmHvr8AEAALsDAAAOAAAAZHJzL2Uyb0RvYy54bWytU82O0zAQ&#10;viPxDpbvNG2zKd2o7h62Wi4IKgEP4DpOYsl/8nib9iV4ASRucOLInbdheQzGTtnfyx7IwRl7Zr6Z&#10;7/N4dXEwmuxlAOUso7PJlBJphWuU7Rj99PHq1ZISiNw2XDsrGT1KoBfrly9Wg6/l3PVONzIQBLFQ&#10;D57RPkZfFwWIXhoOE+elRWfrguERt6ErmsAHRDe6mE+ni2JwofHBCQmAp5vRSU+I4TmArm2VkBsn&#10;ro20cUQNUvOIlKBXHug6d9u2UsT3bQsyEs0oMo15xSJo79JarFe87gL3vRKnFvhzWnjEyXBlsegt&#10;1IZHTq6DegJllAgOXBsnwpliJJIVQRaz6SNtPvTcy8wFpQZ/Kzr8P1jxbr8NRDWMnlFiucELv/ny&#10;8/fnb39+fcX15sd3cpZEGjzUGHtpt+G0A78NifGhDSb9kQs5MFrNl+dVRcmR0XKxKM+rUWJ5iESg&#10;G3UX6Jq9rmZlmeUv7iB8gPhGOkOSwahWNrHnNd+/hYhlMfRfSDq27kppnW9QWzIwuiirhM9xKluc&#10;BjSNR2ZgO0q47nDcRQwZEZxWTcpOOBC63aUOZM/TkOQvNY3VHoSl0hsO/RiXXSM3oyK+CK0Mo8v7&#10;2doiSBJulCpZO9ccs4L5HO80lznNXxqa+/ucfffm1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2Cra9QAAAAFAQAADwAAAAAAAAABACAAAAAiAAAAZHJzL2Rvd25yZXYueG1sUEsBAhQAFAAAAAgA&#10;h07iQBKYe+vwAQAAuwMAAA4AAAAAAAAAAQAgAAAAIwEAAGRycy9lMm9Eb2MueG1sUEsFBgAAAAAG&#10;AAYAWQEAAIUFAAAAAA==&#10;">
                        <v:fill on="f" focussize="0,0"/>
                        <v:stroke weight="0.5pt" color="#000000 [3200]" miterlimit="8" joinstyle="miter"/>
                        <v:imagedata o:title=""/>
                        <o:lock v:ext="edit" aspectratio="f"/>
                      </v:line>
                      <v:shape id="_x0000_s1026" o:spid="_x0000_s1026" o:spt="32" type="#_x0000_t32" style="position:absolute;left:528955;top:366395;height:0;width:590550;" filled="f" stroked="t" coordsize="21600,21600" o:gfxdata="UEsDBAoAAAAAAIdO4kAAAAAAAAAAAAAAAAAEAAAAZHJzL1BLAwQUAAAACACHTuJAfuMRstcAAAAF&#10;AQAADwAAAGRycy9kb3ducmV2LnhtbE2PzU7DMBCE70i8g7VIXBB1QtuUpnEqfoSg3Cg8wDbeJmns&#10;dRS7f2+P4QKXlUYzmvm2WJ6sEQcafOtYQTpKQBBXTrdcK/j6fLm9B+EDskbjmBScycOyvLwoMNfu&#10;yB90WIdaxBL2OSpoQuhzKX3VkEU/cj1x9LZusBiiHGqpBzzGcmvkXZJk0mLLcaHBnp4aqrr13irY&#10;7lbZ46Tavb/6s715mz907tl0Sl1fpckCRKBT+AvDD35EhzIybdyetRdGQXwk/N7ozabpGMRGwWQ8&#10;y0CWhfxPX34DUEsDBBQAAAAIAIdO4kDppa5eFwIAAPkDAAAOAAAAZHJzL2Uyb0RvYy54bWytU0uO&#10;EzEQ3SNxB8t70vkoUaY1nVkkDBsEkYAD1Ljd3Zb8U9mTTi7BBZBYAStgNXtOA8MxKLtDBobNLMii&#10;U+7qeq/eq/L5xd5otpMYlLMVn4zGnEkrXK1sW/E3ry+fLDkLEWwN2llZ8YMM/GL1+NF570s5dZ3T&#10;tURGIDaUva94F6MviyKIThoII+elpWTj0ECkI7ZFjdATutHFdDxeFL3D2qMTMgR6uxmS/IiIDwF0&#10;TaOE3DhxbaSNAypKDZEkhU75wFe526aRIr5smiAj0xUnpTE/iYTiq/QsVudQtgi+U+LYAjykhXua&#10;DChLpCeoDURg16j+gTJKoAuuiSPhTDEIyY6Qisn4njevOvAyayGrgz+ZHv4frHix2yJTdcXnnFkw&#10;NPDbdzc/3n68/frl+4ebn9/ep/jzJzZPVvU+lFSxtls8noLfYtK9b9Ckf1LE9gQ2XZ7NCfFQ8dli&#10;MTvL1VDKfWQipc/G8zmNQFA+z6C4Q/AY4jPpDEtBxUNEUG0X185amqbDSfYZds9DpB6o8HdBorfu&#10;Ummdh6ot6yu+mGUeoEVtaEGI0ngSG2zLGeiWboCImBGD06pO1QknYHu11sh2kPYm/5J+Yvvrs0S9&#10;gdAN3+XUsFFGRbokWpmKL0/VUEZQ+qmtWTx4MhoQXc9Tl0bWnGlJ3aRoINKW+JLhg8UpunL1ITuf&#10;39NG5I6O25tW7s9zrr67sa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uMRstcAAAAFAQAADwAA&#10;AAAAAAABACAAAAAiAAAAZHJzL2Rvd25yZXYueG1sUEsBAhQAFAAAAAgAh07iQOmlrl4XAgAA+QMA&#10;AA4AAAAAAAAAAQAgAAAAJgEAAGRycy9lMm9Eb2MueG1sUEsFBgAAAAAGAAYAWQEAAK8FAAAAAA==&#10;">
                        <v:fill on="f" focussize="0,0"/>
                        <v:stroke weight="0.5pt" color="#000000 [3200]" miterlimit="8" joinstyle="miter" endarrow="open"/>
                        <v:imagedata o:title=""/>
                        <o:lock v:ext="edit" aspectratio="f"/>
                      </v:shape>
                      <v:rect id="_x0000_s1026" o:spid="_x0000_s1026" o:spt="1" style="position:absolute;left:1148080;top:204470;height:361950;width:1084580;v-text-anchor:middle;" fillcolor="#FFFFFF [3201]" filled="t" stroked="t" coordsize="21600,21600" o:gfxdata="UEsDBAoAAAAAAIdO4kAAAAAAAAAAAAAAAAAEAAAAZHJzL1BLAwQUAAAACACHTuJAru2cBtQAAAAF&#10;AQAADwAAAGRycy9kb3ducmV2LnhtbE2PMU/DMBCFdyT+g3VIbNQOhRalcTog2FgSGGC7xtckwj5H&#10;sdsk/HoMCywnPb2n974r9rOz4kxj6D1ryFYKBHHjTc+thrfX55sHECEiG7SeScNCAfbl5UWBufET&#10;V3SuYytSCYccNXQxDrmUoenIYVj5gTh5Rz86jEmOrTQjTqncWXmr1EY67DktdDjQY0fNZ31yGrCe&#10;P5ZleZ8mWVnVP31VQ/1SaX19lakdiEhz/AvDD35ChzIxHfyJTRBWQ3ok/t7kbe+zNYiDhrv1dgOy&#10;LOR/+vIbUEsDBBQAAAAIAIdO4kA0+biAgAIAAAoFAAAOAAAAZHJzL2Uyb0RvYy54bWytVEtu2zAQ&#10;3RfoHQjuG8mu4zhG5MCI4aJA0ARIi65pirII8FeS/qSXKdBdD5HjFL1GHyklcdIssqgW1Axn+Gbm&#10;cYZn53utyFb4IK2p6OCopEQYbmtp1hX98nn5bkJJiMzUTFkjKnorAj2fvX1ztnNTMbStVbXwBCAm&#10;THeuom2MbloUgbdCs3BknTAwNtZrFqH6dVF7tgO6VsWwLMfFzvraectFCNhddEbaI/rXANqmkVws&#10;LN9oYWKH6oViESWFVrpAZznbphE8XjVNEJGoiqLSmFcEgbxKazE7Y9O1Z66VvE+BvSaFZzVpJg2C&#10;PkAtWGRk4+U/UFpyb4Nt4hG3uugKyYygikH5jJubljmRawHVwT2QHv4fLP+0vfZE1hUdU2KYxoX/&#10;+fHr991PMk7c7FyYwuXGXfteCxBTofvG6/RHCWSPPhqMJuUErN5WdFiORic9tWIfCU/2cjI6TnYO&#10;h/fjwelxdigegZwP8YOwmiShoh5Xlxll28sQERyu9y4pbrBK1kupVFb8enWhPNkyXPMyfyl7HHni&#10;pgzZIZXhSZkSYWjeBk0DUTsQEMyaEqbWmAoefY795HQ4DFLm76UgKckFC22XTEZIbmyqZcTgKKkr&#10;Ojk8rQwyTUR31CYp7lf7nu+VrW9xQ952rRscX0pEuGQhXjOPXkUpmOZ4haVRFvXZXqKktf77S/vJ&#10;Hy0EKyU79D5q/7ZhXlCiPho01+lgNAJszMro+GQIxR9aVocWs9EXFrwP8G44nsXkH9W92Hirv2Lo&#10;5ykqTMxwxO5Y7pWL2M0kng0u5vPshgFxLF6aG8cTeKLQ2Pkm2kbmfkhEdez0/GFE8p3345xm8FDP&#10;Xo9P2Ow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u2cBtQAAAAFAQAADwAAAAAAAAABACAAAAAi&#10;AAAAZHJzL2Rvd25yZXYueG1sUEsBAhQAFAAAAAgAh07iQDT5uICAAgAACgUAAA4AAAAAAAAAAQAg&#10;AAAAIwEAAGRycy9lMm9Eb2MueG1sUEsFBgAAAAAGAAYAWQEAABUGAAAAAA==&#10;">
                        <v:fill on="t" focussize="0,0"/>
                        <v:stroke weight="1pt" color="#000000 [3213]" miterlimit="8" joinstyle="miter"/>
                        <v:imagedata o:title=""/>
                        <o:lock v:ext="edit" aspectratio="f"/>
                        <v:textbox>
                          <w:txbxContent>
                            <w:p>
                              <w:pPr>
                                <w:jc w:val="center"/>
                              </w:pPr>
                              <w:r>
                                <w:rPr>
                                  <w:rFonts w:hint="eastAsia"/>
                                </w:rPr>
                                <w:t>医护人员用水</w:t>
                              </w:r>
                            </w:p>
                          </w:txbxContent>
                        </v:textbox>
                      </v:rect>
                      <v:shape id="_x0000_s1026" o:spid="_x0000_s1026" o:spt="32" type="#_x0000_t32" style="position:absolute;left:532130;top:1256030;height:0;width:590550;" filled="f" stroked="t" coordsize="21600,21600" o:gfxdata="UEsDBAoAAAAAAIdO4kAAAAAAAAAAAAAAAAAEAAAAZHJzL1BLAwQUAAAACACHTuJAfuMRstcAAAAF&#10;AQAADwAAAGRycy9kb3ducmV2LnhtbE2PzU7DMBCE70i8g7VIXBB1QtuUpnEqfoSg3Cg8wDbeJmns&#10;dRS7f2+P4QKXlUYzmvm2WJ6sEQcafOtYQTpKQBBXTrdcK/j6fLm9B+EDskbjmBScycOyvLwoMNfu&#10;yB90WIdaxBL2OSpoQuhzKX3VkEU/cj1x9LZusBiiHGqpBzzGcmvkXZJk0mLLcaHBnp4aqrr13irY&#10;7lbZ46Tavb/6s715mz907tl0Sl1fpckCRKBT+AvDD35EhzIybdyetRdGQXwk/N7ozabpGMRGwWQ8&#10;y0CWhfxPX34DUEsDBBQAAAAIAIdO4kDwNMSZFQIAAPoDAAAOAAAAZHJzL2Uyb0RvYy54bWytU82O&#10;0zAQviPxDpbvNP1RqyVquoeW5YJgJeABpo6TWPKfxt6mfQleAIkTcAJOe9+ngeUxGDulC8tlD+SQ&#10;jDOe75vv83h5vjea7SQG5WzFJ6MxZ9IKVyvbVvztm4snZ5yFCLYG7ays+EEGfr56/GjZ+1JOXed0&#10;LZERiA1l7yvexejLogiikwbCyHlpKdk4NBBpiW1RI/SEbnQxHY8XRe+w9uiEDIH+boYkPyLiQwBd&#10;0yghN05cGWnjgIpSQyRJoVM+8FXutmmkiK+aJsjIdMVJacxvIqF4m97Faglli+A7JY4twENauKfJ&#10;gLJEeoLaQAR2heofKKMEuuCaOBLOFIOQ7AipmIzvefO6Ay+zFrI6+JPp4f/Bipe7S2SqrjgduwVD&#10;B377/vrHu0+3375+/3j98+ZDir98ZmfJqt6HkirW9hKPq+AvMeneN2jSlxSxfcXns+lkRh4faMKm&#10;88WY4uy03EcmUv7peD6nvKANOVXcQXgM8bl0hqWg4iEiqLaLa2ctHafDSTYadi9CJEwq/F2Q+K27&#10;UFpnLm1ZX/HFLPMATWpDE0KUxpPaYFvOQLd0BUTEjBicVnWqTjgB2+1aI9tBGpz8JAXE9te2RL2B&#10;0A37cmoQalSkW6KVIWNP1VBGUPqZrVk8eHIaEF3PU5dG1pxpSd2kaCDSlviS44PHKdq6+pCtz/9p&#10;JHJHx/FNM/fnOlffXdnV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7jEbLXAAAABQEAAA8AAAAA&#10;AAAAAQAgAAAAIgAAAGRycy9kb3ducmV2LnhtbFBLAQIUABQAAAAIAIdO4kDwNMSZFQIAAPoDAAAO&#10;AAAAAAAAAAEAIAAAACYBAABkcnMvZTJvRG9jLnhtbFBLBQYAAAAABgAGAFkBAACtBQAAAAA=&#10;">
                        <v:fill on="f" focussize="0,0"/>
                        <v:stroke weight="0.5pt" color="#000000 [3200]" miterlimit="8" joinstyle="miter" endarrow="open"/>
                        <v:imagedata o:title=""/>
                        <o:lock v:ext="edit" aspectratio="f"/>
                      </v:shape>
                      <v:rect id="_x0000_s1026" o:spid="_x0000_s1026" o:spt="1" style="position:absolute;left:1151255;top:1094105;height:361950;width:1084580;v-text-anchor:middle;" fillcolor="#FFFFFF [3201]" filled="t" stroked="t" coordsize="21600,21600" o:gfxdata="UEsDBAoAAAAAAIdO4kAAAAAAAAAAAAAAAAAEAAAAZHJzL1BLAwQUAAAACACHTuJAru2cBtQAAAAF&#10;AQAADwAAAGRycy9kb3ducmV2LnhtbE2PMU/DMBCFdyT+g3VIbNQOhRalcTog2FgSGGC7xtckwj5H&#10;sdsk/HoMCywnPb2n974r9rOz4kxj6D1ryFYKBHHjTc+thrfX55sHECEiG7SeScNCAfbl5UWBufET&#10;V3SuYytSCYccNXQxDrmUoenIYVj5gTh5Rz86jEmOrTQjTqncWXmr1EY67DktdDjQY0fNZ31yGrCe&#10;P5ZleZ8mWVnVP31VQ/1SaX19lakdiEhz/AvDD35ChzIxHfyJTRBWQ3ok/t7kbe+zNYiDhrv1dgOy&#10;LOR/+vIbUEsDBBQAAAAIAIdO4kAoGtUXggIAAAsFAAAOAAAAZHJzL2Uyb0RvYy54bWytVM1u2zAM&#10;vg/YOwi6r7azpE2COkXQIMOAYivQDTsrshwb0N8kJU73MgN220PscYa9xj7Jbpt2PfQwH2zSpD6S&#10;H0mdXxyUJHvhfGt0SYuTnBKhualavS3p50/rN1NKfGC6YtJoUdJb4enF4vWr887Oxcg0RlbCEYBo&#10;P+9sSZsQ7DzLPG+EYv7EWKFhrI1TLEB126xyrAO6ktkoz0+zzrjKOsOF9/i76o10QHQvATR13XKx&#10;MnynhA49qhOSBZTkm9Z6ukjZ1rXg4WNdexGILCkqDemNIJA38Z0tztl865htWj6kwF6SwpOaFGs1&#10;gt5DrVhgZOfaf6BUy53xpg4n3KisLyQxgiqK/Ak3Nw2zItUCqr29J93/P1j+YX/tSFuVdEaJZgoN&#10;//P95+9fP8gsctNZP4fLjb12g+YhxkIPtVPxixLIAXNUTIrRZELJLeR8Ni7ySc+tOATCo0M+HU+m&#10;oJ3D4+1pMZsk8rMHJOt8eCeMIlEoqUPvEqVsf+UDosP1ziUG9ka21bqVMiluu7mUjuwZ+rxOTwyP&#10;I4/cpCYdUhmd5TERhumtMTUQlQUDXm8pYXKLteDBpdiPTvvjIHl6ngsSk1wx3/TJJISeCtUGbI5s&#10;VUmnx6elRqaR6Z7bKIXD5jAQvjHVLVrkTD+73vJ1iwhXzIdr5jCsKAXrHD7iVUuD+swgUdIY9+25&#10;/9EfMwQrJR2GH7V/3TEnKJHvNaZrVozHgA1JGU/ORlDcsWVzbNE7dWnAe4GLw/IkRv8g78TaGfUF&#10;W7+MUWFimiN2z/KgXIZ+KXFvcLFcJjdsiGXhSt9YHsFjn7VZ7oKp2zQPkaienYE/7Ejq+bDPcQmP&#10;9eT1cIct/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u7ZwG1AAAAAUBAAAPAAAAAAAAAAEAIAAA&#10;ACIAAABkcnMvZG93bnJldi54bWxQSwECFAAUAAAACACHTuJAKBrVF4ICAAALBQAADgAAAAAAAAAB&#10;ACAAAAAjAQAAZHJzL2Uyb0RvYy54bWxQSwUGAAAAAAYABgBZAQAAFwYAAAAA&#10;">
                        <v:fill on="t" focussize="0,0"/>
                        <v:stroke weight="1pt" color="#000000 [3213]" miterlimit="8" joinstyle="miter"/>
                        <v:imagedata o:title=""/>
                        <o:lock v:ext="edit" aspectratio="f"/>
                        <v:textbox>
                          <w:txbxContent>
                            <w:p>
                              <w:pPr>
                                <w:jc w:val="center"/>
                              </w:pPr>
                              <w:r>
                                <w:rPr>
                                  <w:rFonts w:hint="eastAsia"/>
                                </w:rPr>
                                <w:t>住院患者用水</w:t>
                              </w:r>
                            </w:p>
                          </w:txbxContent>
                        </v:textbox>
                      </v:rect>
                      <v:shape id="_x0000_s1026" o:spid="_x0000_s1026" o:spt="32" type="#_x0000_t32" style="position:absolute;left:541655;top:2132330;height:0;width:590550;" filled="f" stroked="t" coordsize="21600,21600" o:gfxdata="UEsDBAoAAAAAAIdO4kAAAAAAAAAAAAAAAAAEAAAAZHJzL1BLAwQUAAAACACHTuJAfuMRstcAAAAF&#10;AQAADwAAAGRycy9kb3ducmV2LnhtbE2PzU7DMBCE70i8g7VIXBB1QtuUpnEqfoSg3Cg8wDbeJmns&#10;dRS7f2+P4QKXlUYzmvm2WJ6sEQcafOtYQTpKQBBXTrdcK/j6fLm9B+EDskbjmBScycOyvLwoMNfu&#10;yB90WIdaxBL2OSpoQuhzKX3VkEU/cj1x9LZusBiiHGqpBzzGcmvkXZJk0mLLcaHBnp4aqrr13irY&#10;7lbZ46Tavb/6s715mz907tl0Sl1fpckCRKBT+AvDD35EhzIybdyetRdGQXwk/N7ozabpGMRGwWQ8&#10;y0CWhfxPX34DUEsDBBQAAAAIAIdO4kDtZsoGGAIAAPwDAAAOAAAAZHJzL2Uyb0RvYy54bWytU82O&#10;0zAQviPxDpbvNP2h1RI13UPLckGwEvAAU8dJLPlPY2/TvgQvgMQJOAGnvfM0sDwGY6d0YbnsgRyS&#10;ccbzffN9Hi/P90azncSgnK34ZDTmTFrhamXbir95ffHojLMQwdagnZUVP8jAz1cPHyx7X8qp65yu&#10;JTICsaHsfcW7GH1ZFEF00kAYOS8tJRuHBiItsS1qhJ7QjS6m4/Gi6B3WHp2QIdDfzZDkR0S8D6Br&#10;GiXkxokrI20cUFFqiCQpdMoHvsrdNo0U8WXTBBmZrjgpjflNJBRv07tYLaFsEXynxLEFuE8LdzQZ&#10;UJZIT1AbiMCuUP0DZZRAF1wTR8KZYhCSHSEVk/Edb1514GXWQlYHfzI9/D9Y8WJ3iUzVNAlkiQVD&#10;J37z7vrH2483X798/3D989v7FH/+xChPZvU+lFSztpd4XAV/iUn5vkGTvqSJ7Ss+fzxZzOecHSo+&#10;ncyms9nRa7mPTKT8k/F8TpSCNuRUcQvhMcRn0hmWgoqHiKDaLq6dtXSgDifZatg9D5GaoMLfBYnf&#10;uguldT5XbVlf8cUs8wDNakMzQpTGk95gW85At3QJRMSMGJxWdapOOAHb7Voj20EanfwkA4jtr22J&#10;egOhG/bl1DBURkW6J1qZip+dqqGMoPRTW7N48GQ1ILqepy6NrDnTkrpJ0UCkLfElxwePU7R19SFb&#10;n//TUOSOjgOcpu7Pda6+vbS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7jEbLXAAAABQEAAA8A&#10;AAAAAAAAAQAgAAAAIgAAAGRycy9kb3ducmV2LnhtbFBLAQIUABQAAAAIAIdO4kDtZsoGGAIAAPwD&#10;AAAOAAAAAAAAAAEAIAAAACYBAABkcnMvZTJvRG9jLnhtbFBLBQYAAAAABgAGAFkBAACwBQAAAAA=&#10;">
                        <v:fill on="f" focussize="0,0"/>
                        <v:stroke weight="0.5pt" color="#000000 [3200]" miterlimit="8" joinstyle="miter" endarrow="open"/>
                        <v:imagedata o:title=""/>
                        <o:lock v:ext="edit" aspectratio="f"/>
                      </v:shape>
                      <v:rect id="_x0000_s1026" o:spid="_x0000_s1026" o:spt="1" style="position:absolute;left:1132205;top:1951355;height:361950;width:1084580;v-text-anchor:middle;" fillcolor="#FFFFFF [3201]" filled="t" stroked="t" coordsize="21600,21600" o:gfxdata="UEsDBAoAAAAAAIdO4kAAAAAAAAAAAAAAAAAEAAAAZHJzL1BLAwQUAAAACACHTuJAru2cBtQAAAAF&#10;AQAADwAAAGRycy9kb3ducmV2LnhtbE2PMU/DMBCFdyT+g3VIbNQOhRalcTog2FgSGGC7xtckwj5H&#10;sdsk/HoMCywnPb2n974r9rOz4kxj6D1ryFYKBHHjTc+thrfX55sHECEiG7SeScNCAfbl5UWBufET&#10;V3SuYytSCYccNXQxDrmUoenIYVj5gTh5Rz86jEmOrTQjTqncWXmr1EY67DktdDjQY0fNZ31yGrCe&#10;P5ZleZ8mWVnVP31VQ/1SaX19lakdiEhz/AvDD35ChzIxHfyJTRBWQ3ok/t7kbe+zNYiDhrv1dgOy&#10;LOR/+vIbUEsDBBQAAAAIAIdO4kBpZiHUgAIAAA0FAAAOAAAAZHJzL2Uyb0RvYy54bWytVEtu2zAQ&#10;3RfoHQjuG8mOnThG5MCI4aJA0ARIi65pirII8FeS/qSXKdBdD9HjFL1GHyklcdIssqgW1Ixm+Gbm&#10;zYzOL/Zaka3wQVpT0cFRSYkw3NbSrCv6+dPy3YSSEJmpmbJGVPROBHoxe/vmfOemYmhbq2rhCUBM&#10;mO5cRdsY3bQoAm+FZuHIOmFgbKzXLEL166L2bAd0rYphWZ4UO+tr5y0XIeDrojPSHtG/BtA2jeRi&#10;YflGCxM7VC8UiygptNIFOsvZNo3g8bppgohEVRSVxnwiCORVOovZOZuuPXOt5H0K7DUpPKtJM2kQ&#10;9AFqwSIjGy//gdKSextsE4+41UVXSGYEVQzKZ9zctsyJXAuoDu6B9PD/YPnH7Y0nssYkDCgxTKPj&#10;f77//P3rB8EHsLNzYQqnW3fjey1ATKXuG6/TG0WQfbp/PByWY0ruIJ+NB8fjcceu2EfCk0M5GY0n&#10;IJ7D4/gEPpn+4hHJ+RDfC6tJEirq0b1MKttehYjocL13SYGDVbJeSqWy4terS+XJlqHTy/yk8Ljy&#10;xE0ZskMqw9MyJcIwvw3mBqJ24CCYNSVMrbEYPPoc+8ntcBikzM9LQVKSCxbaLpmM0FGhZcTuKKkr&#10;Ojm8rQwyTUx33CYp7lf7nvCVre/QJG+76Q2OLyUiXLEQb5jHuKIULHS8xtEoi/psL1HSWv/tpe/J&#10;H1MEKyU7jD9q/7phXlCiPhjM19lgNAJszMpofDqE4g8tq0OL2ehLC94xQsgui8k/qnux8VZ/wd7P&#10;U1SYmOGI3bHcK5exW0v8ObiYz7MbdsSxeGVuHU/gqc/GzjfRNjLPQyKqY6fnD1uSe95vdFrDQz17&#10;Pf7FZ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u2cBtQAAAAFAQAADwAAAAAAAAABACAAAAAi&#10;AAAAZHJzL2Rvd25yZXYueG1sUEsBAhQAFAAAAAgAh07iQGlmIdSAAgAADQUAAA4AAAAAAAAAAQAg&#10;AAAAIwEAAGRycy9lMm9Eb2MueG1sUEsFBgAAAAAGAAYAWQEAABUGAAAAAA==&#10;">
                        <v:fill on="t" focussize="0,0"/>
                        <v:stroke weight="1pt" color="#000000 [3213]" miterlimit="8" joinstyle="miter"/>
                        <v:imagedata o:title=""/>
                        <o:lock v:ext="edit" aspectratio="f"/>
                        <v:textbox>
                          <w:txbxContent>
                            <w:p>
                              <w:pPr>
                                <w:jc w:val="center"/>
                              </w:pPr>
                              <w:r>
                                <w:rPr>
                                  <w:rFonts w:hint="eastAsia"/>
                                </w:rPr>
                                <w:t>门诊患者用水</w:t>
                              </w:r>
                            </w:p>
                          </w:txbxContent>
                        </v:textbox>
                      </v:rect>
                      <v:line id="_x0000_s1026" o:spid="_x0000_s1026" o:spt="20" style="position:absolute;left:3005455;top:384175;flip:x;height:1762125;width:9525;" filled="f" stroked="t" coordsize="21600,21600" o:gfxdata="UEsDBAoAAAAAAIdO4kAAAAAAAAAAAAAAAAAEAAAAZHJzL1BLAwQUAAAACACHTuJAeH1kXNUAAAAF&#10;AQAADwAAAGRycy9kb3ducmV2LnhtbE2PQU/CQBCF7yb8h82YeJNtKQKt3RIxEW8kgtyH7tA2dGdr&#10;dwv471286GWSl/fy3jf58mpacabeNZYVxOMIBHFpdcOVgs/d2+MChPPIGlvLpOCbHCyL0V2OmbYX&#10;/qDz1lcilLDLUEHtfZdJ6cqaDLqx7YiDd7S9QR9kX0nd4yWUm1ZOomgmDTYcFmrs6LWm8rQdjILV&#10;Lk3Wej+8nzbplF5WaeyGr71SD/dx9AzC09X/heGGH9ChCEwHO7B2olUQHvG/N3jzpzgBcVAwTeYz&#10;kEUu/9MXP1BLAwQUAAAACACHTuJAmixeJPkBAADLAwAADgAAAGRycy9lMm9Eb2MueG1srVNNjtMw&#10;FN4jcQfLe5q0M+mUqOksphpYIKgEHMB17MSS/+TnadpLcAEkdrBiyZ7bMByDZycMw7CZBVlY7/fz&#10;+z6/rC+PRpODCKCcbeh8VlIiLHetsl1D37+7fraiBCKzLdPOioaeBNDLzdMn68HXYuF6p1sRCIJY&#10;qAff0D5GXxcF8F4YBjPnhcWkdMGwiG7oijawAdGNLhZluSwGF1ofHBcAGN2OSTohhscAOikVF1vH&#10;b4ywcUQNQrOIlKBXHugmTyul4PGNlCAi0Q1FpjGfeAna+3QWmzWru8B8r/g0AnvMCA84GaYsXnoH&#10;tWWRkZug/oEyigcHTsYZd6YYiWRFkMW8fKDN2555kbmg1ODvRIf/B8tfH3aBqBY3YUGJZQZf/Pbj&#10;tx8fPv/8/gnP269fCGZQpsFDjdVXdhcmD/wuJM5HGQyRWvmXiJJVQF7k2NCzsqzOq4qSE9qr8/lF&#10;NeotjpFwzD+vFpjkmJ1fLBdzdBC5GAETsA8QXwhnSDIaqpVNarCaHV5BHEt/l6SwdddKa4yzWlsy&#10;NHR5VuE7c4ZbKnE70DQemYLtKGG6w/XnMWREcFq1qTs1Q+j2VzqQA0tLk79psL/K0tVbBv1Yl1Mj&#10;PaMi/iFamYau7ndri+ySjKNwydq79pT1zHF848x/2se0RPf93P3nH9z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h9ZFzVAAAABQEAAA8AAAAAAAAAAQAgAAAAIgAAAGRycy9kb3ducmV2LnhtbFBL&#10;AQIUABQAAAAIAIdO4kCaLF4k+QEAAMsDAAAOAAAAAAAAAAEAIAAAACQBAABkcnMvZTJvRG9jLnht&#10;bFBLBQYAAAAABgAGAFkBAACPBQAAAAA=&#10;">
                        <v:fill on="f" focussize="0,0"/>
                        <v:stroke weight="0.5pt" color="#000000 [3200]" miterlimit="8" joinstyle="miter"/>
                        <v:imagedata o:title=""/>
                        <o:lock v:ext="edit" aspectratio="f"/>
                      </v:line>
                      <v:line id="_x0000_s1026" o:spid="_x0000_s1026" o:spt="20" style="position:absolute;left:2232660;top:385445;height:8255;width:772795;" filled="f" stroked="t" coordsize="21600,21600" o:gfxdata="UEsDBAoAAAAAAIdO4kAAAAAAAAAAAAAAAAAEAAAAZHJzL1BLAwQUAAAACACHTuJAL2Cra9QAAAAF&#10;AQAADwAAAGRycy9kb3ducmV2LnhtbE2PsU7EMAyGdyTeITISG5eWg+upNL0BiQEJCSgMjLnG1xQa&#10;pyS5trw9hgUWS9b/6/Pnare4QUwYYu9JQb7KQCC13vTUKXh9ubvYgohJk9GDJ1TwhRF29elJpUvj&#10;Z3rGqUmdYAjFUiuwKY2llLG16HRc+RGJs4MPTideQydN0DPD3SAvs2wjne6JL1g94q3F9qM5OqZQ&#10;8XlYhvD29Phgt838jvdTgUqdn+XZDYiES/orw48+q0PNTnt/JBPFoIAfSb+Ts+I6X4PYK7haFxuQ&#10;dSX/29ffUEsDBBQAAAAIAIdO4kDIczUCAQIAAOYDAAAOAAAAZHJzL2Uyb0RvYy54bWytUzuO2zAQ&#10;7QPkDgT7WF55ZTuC5S1sbJogMZDkADRFSQT4A4dryZfIBQKkS6qU6XObbI6RIeX9N1usCorkvHkz&#10;b2a4uhi0IgfhQVpT0bPJlBJhuK2laSv65fPlmyUlEJipmbJGVPQogF6sX79a9a4Uue2sqoUnSGKg&#10;7F1FuxBcmWXAO6EZTKwTBo2N9ZoFPPo2qz3rkV2rLJ9O51lvfe285QIAb7ejkZ4Y/XMIbdNILraW&#10;X2lhwsjqhWIBJUEnHdB1yrZpBA8fmwZEIKqiqDSkFYPgfh/XbL1iZeuZ6yQ/pcCek8IjTZpJg0Fv&#10;qbYsMHLl5RMqLbm3YJsw4VZno5BUEVRxNn1Um08dcyJpwVKDuy06vBwt/3DYeSJrnIQZJYZp7Pj1&#10;t99/v/749+c7rte/fhK0YJl6ByWiN2bno1AIm8EkxznF31DRhMoewOIB3OgwNF5HR9RMEJ3ns3w+&#10;xzYc0XNZnJ8XYy/EEAhH+2KRL94WlHC0L/MiWTNW3rA4D+GdsJrETUWVNLFQrGSH9xAwW4TeQOK1&#10;sZdSqdRsZUhf0fmswNic4QA3ODi41Q6LAKalhKkWXwYPPjGCVbKO3km1b/cb5cmBxXlKX0wboz2A&#10;xdBbBt2IS6ZRnZYBH4+SGkXd91YGSe6qFXd7Wx93PpLHE7Y/hTmNapyv++eEunue6/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YKtr1AAAAAUBAAAPAAAAAAAAAAEAIAAAACIAAABkcnMvZG93bnJl&#10;di54bWxQSwECFAAUAAAACACHTuJAyHM1AgECAADmAwAADgAAAAAAAAABACAAAAAjAQAAZHJzL2Uy&#10;b0RvYy54bWxQSwUGAAAAAAYABgBZAQAAlgUAAAAA&#10;">
                        <v:fill on="f" focussize="0,0"/>
                        <v:stroke weight="0.5pt" color="#000000 [3200]" miterlimit="8" joinstyle="miter"/>
                        <v:imagedata o:title=""/>
                        <o:lock v:ext="edit" aspectratio="f"/>
                      </v:line>
                      <v:line id="_x0000_s1026" o:spid="_x0000_s1026" o:spt="20" style="position:absolute;left:2237105;top:1314450;height:3175;width:768350;" filled="f" stroked="t" coordsize="21600,21600" o:gfxdata="UEsDBAoAAAAAAIdO4kAAAAAAAAAAAAAAAAAEAAAAZHJzL1BLAwQUAAAACACHTuJAL2Cra9QAAAAF&#10;AQAADwAAAGRycy9kb3ducmV2LnhtbE2PsU7EMAyGdyTeITISG5eWg+upNL0BiQEJCSgMjLnG1xQa&#10;pyS5trw9hgUWS9b/6/Pnare4QUwYYu9JQb7KQCC13vTUKXh9ubvYgohJk9GDJ1TwhRF29elJpUvj&#10;Z3rGqUmdYAjFUiuwKY2llLG16HRc+RGJs4MPTideQydN0DPD3SAvs2wjne6JL1g94q3F9qM5OqZQ&#10;8XlYhvD29Phgt838jvdTgUqdn+XZDYiES/orw48+q0PNTnt/JBPFoIAfSb+Ts+I6X4PYK7haFxuQ&#10;dSX/29ffUEsDBBQAAAAIAIdO4kDtnfuX8AEAAMEDAAAOAAAAZHJzL2Uyb0RvYy54bWytU0tu2zAQ&#10;3RfoHQjua/lvQ7CcRYx0U7QG2h5gTFESAf7AYSz7Er1Age7aVZfd9zZNjtGhpCZpsskiWlDkfN7M&#10;exxuLk5Gs6MMqJwt+GQ05kxa4Upl64J//nT1Zs0ZRrAlaGdlwc8S+cX29atN63M5dY3TpQyMQCzm&#10;rS94E6PPswxFIw3gyHlpyVm5YCDSMdRZGaAldKOz6Xi8zFoXSh+ckIhk3fVOPiCG5wC6qlJC7py4&#10;NtLGHjVIDZEoYaM88m3XbVVJET9UFcrIdMGJaexWKkL7Q1qz7QbyOoBvlBhagOe08IiTAWWp6B3U&#10;DiKw66CeQBklgkNXxZFwJuuJdIoQi8n4kTYfG/Cy40JSo78THV8OVrw/7gNTJU3CnDMLhm785uuv&#10;P1++3/7+RuvNzx+MPCRT6zGn6Eu7D8MJ/T4kzqcqmPQnNuxU8Ol0tpqMF5ydCXQ2mc8Xg8zyFJmg&#10;gNVyPSMbExQwm6wWCT27h/EB41vpDEubgmtlkwaQw/Edxj70X0gyW3eltCY75NqytuDLHhxoNiua&#10;CapjPPFDW3MGuqahFzF0iOi0KlN2SsZQHy51YEdIo9J9Q2P/haXSO8Cmj+tcKQxyoyK9C61MwdcP&#10;s7Uldkm8Xq60O7jy3KnY2elmO/7DFKbReXjusu9f3vY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2Cra9QAAAAFAQAADwAAAAAAAAABACAAAAAiAAAAZHJzL2Rvd25yZXYueG1sUEsBAhQAFAAAAAgA&#10;h07iQO2d+5fwAQAAwQMAAA4AAAAAAAAAAQAgAAAAIwEAAGRycy9lMm9Eb2MueG1sUEsFBgAAAAAG&#10;AAYAWQEAAIUFAAAAAA==&#10;">
                        <v:fill on="f" focussize="0,0"/>
                        <v:stroke weight="0.5pt" color="#000000 [3200]" miterlimit="8" joinstyle="miter"/>
                        <v:imagedata o:title=""/>
                        <o:lock v:ext="edit" aspectratio="f"/>
                      </v:line>
                      <v:line id="_x0000_s1026" o:spid="_x0000_s1026" o:spt="20" style="position:absolute;left:2218055;top:2133600;height:3175;width:796925;" filled="f" stroked="t" coordsize="21600,21600" o:gfxdata="UEsDBAoAAAAAAIdO4kAAAAAAAAAAAAAAAAAEAAAAZHJzL1BLAwQUAAAACACHTuJAL2Cra9QAAAAF&#10;AQAADwAAAGRycy9kb3ducmV2LnhtbE2PsU7EMAyGdyTeITISG5eWg+upNL0BiQEJCSgMjLnG1xQa&#10;pyS5trw9hgUWS9b/6/Pnare4QUwYYu9JQb7KQCC13vTUKXh9ubvYgohJk9GDJ1TwhRF29elJpUvj&#10;Z3rGqUmdYAjFUiuwKY2llLG16HRc+RGJs4MPTideQydN0DPD3SAvs2wjne6JL1g94q3F9qM5OqZQ&#10;8XlYhvD29Phgt838jvdTgUqdn+XZDYiES/orw48+q0PNTnt/JBPFoIAfSb+Ts+I6X4PYK7haFxuQ&#10;dSX/29ffUEsDBBQAAAAIAIdO4kDnkRks8gEAAMEDAAAOAAAAZHJzL2Uyb0RvYy54bWytUzuO2zAQ&#10;7QPkDgT7WB/DXq9geYs1Nk2QGEhyAJqiJAL8gcO17EvkAgHSJVXK9LlNdo+RIaX9ptkiKqghZ/iG&#10;7/FxfXHUihyEB2lNTYtZTokw3DbSdDX9/OnqzYoSCMw0TFkjanoSQC82r1+tB1eJ0vZWNcITBDFQ&#10;Da6mfQiuyjLgvdAMZtYJg8nWes0CTn2XNZ4NiK5VVub5Mhusb5y3XADg6nZM0gnRvwTQtq3kYmv5&#10;tRYmjKheKBaQEvTSAd2k07at4OFD24IIRNUUmYY0YhOM93HMNmtWdZ65XvLpCOwlR3jGSTNpsOk9&#10;1JYFRq69/AdKS+4t2DbMuNXZSCQpgiyK/Jk2H3vmROKCUoO7Fx3+Hyx/f9h5Iht0woISwzTe+M3X&#10;X3++fL/9/Q3Hm58/CGZQpsFBhdWXZuenGbidj5yPrdfxj2zIsaZlWazyBaKdMC7m82U+ySyOgXAs&#10;ODtfnpeY51gwL84SevYA4zyEt8JqEoOaKmmiBqxih3cQsDWW3pXEZWOvpFLpHpUhQ02X8wXeLmfo&#10;zRY9gaF2yA9MRwlTHZqeB58QwSrZxN0RB3y3v1SeHFi0Svoibez2pCy23jLox7qUGk2kZcB3oaSu&#10;6erxbmUQJIo3yhWjvW1OScW0jjeb2kwujNZ5PE+7H17e5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vYKtr1AAAAAUBAAAPAAAAAAAAAAEAIAAAACIAAABkcnMvZG93bnJldi54bWxQSwECFAAUAAAA&#10;CACHTuJA55EZLPIBAADBAwAADgAAAAAAAAABACAAAAAjAQAAZHJzL2Uyb0RvYy54bWxQSwUGAAAA&#10;AAYABgBZAQAAhwUAAAAA&#10;">
                        <v:fill on="f" focussize="0,0"/>
                        <v:stroke weight="0.5pt" color="#000000 [3200]" miterlimit="8" joinstyle="miter"/>
                        <v:imagedata o:title=""/>
                        <o:lock v:ext="edit" aspectratio="f"/>
                      </v:line>
                      <v:line id="_x0000_s1026" o:spid="_x0000_s1026" o:spt="20" style="position:absolute;left:3005455;top:1317625;height:9525;width:276225;" filled="f" stroked="t" coordsize="21600,21600" o:gfxdata="UEsDBAoAAAAAAIdO4kAAAAAAAAAAAAAAAAAEAAAAZHJzL1BLAwQUAAAACACHTuJAL2Cra9QAAAAF&#10;AQAADwAAAGRycy9kb3ducmV2LnhtbE2PsU7EMAyGdyTeITISG5eWg+upNL0BiQEJCSgMjLnG1xQa&#10;pyS5trw9hgUWS9b/6/Pnare4QUwYYu9JQb7KQCC13vTUKXh9ubvYgohJk9GDJ1TwhRF29elJpUvj&#10;Z3rGqUmdYAjFUiuwKY2llLG16HRc+RGJs4MPTideQydN0DPD3SAvs2wjne6JL1g94q3F9qM5OqZQ&#10;8XlYhvD29Phgt838jvdTgUqdn+XZDYiES/orw48+q0PNTnt/JBPFoIAfSb+Ts+I6X4PYK7haFxuQ&#10;dSX/29ffUEsDBBQAAAAIAIdO4kCVIQFU8gEAAMEDAAAOAAAAZHJzL2Uyb0RvYy54bWytU82O0zAQ&#10;viPxDpbvNNmWlCVquoetlguCSsADTB0nseQ/ebxN+xK8ABI3OHHkztuwPAZjp+wuy2UP5OCMZ8bf&#10;zPd5vLo4GM32MqBytuFns5IzaYVrle0b/uH91bNzzjCCbUE7Kxt+lMgv1k+frEZfy7kbnG5lYARi&#10;sR59w4cYfV0UKAZpAGfOS0vBzgUDkbahL9oAI6EbXczLclmMLrQ+OCERybuZgvyEGB4D6LpOCblx&#10;4tpIGyfUIDVEooSD8sjXuduukyK+7TqUkemGE9OYVypC9i6txXoFdR/AD0qcWoDHtPCAkwFlqegt&#10;1AYisOug/oEySgSHrosz4UwxEcmKEIuz8oE27wbwMnMhqdHfio7/D1a82W8DUy1NwpIzC4Zu/ObT&#10;958fv/z68ZnWm29fGUVIptFjTdmXdhtOO/TbkDgfumDSn9iwQ8MXZVk9ryrOjgS6OHuxnFeTzPIQ&#10;maCEObnIxwQlvKymaHEH4wPGV9IZloyGa2WTBlDD/jVGKk2pf1KS27orpXW+R23Z2PDloqLbFUCz&#10;2dFMkGk88UPbcwa6p6EXMWREdFq16XTCwdDvLnVge0ijkr/UNlX7Ky2V3gAOU14OTeyMivQutDIN&#10;P79/WlsCSeJNciVr59pjVjH76WZzmdMUptG5v8+n717e+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vYKtr1AAAAAUBAAAPAAAAAAAAAAEAIAAAACIAAABkcnMvZG93bnJldi54bWxQSwECFAAUAAAA&#10;CACHTuJAlSEBVPIBAADBAwAADgAAAAAAAAABACAAAAAjAQAAZHJzL2Uyb0RvYy54bWxQSwUGAAAA&#10;AAYABgBZAQAAhwUAAAAA&#10;">
                        <v:fill on="f" focussize="0,0"/>
                        <v:stroke weight="0.5pt" color="#000000 [3200]" miterlimit="8" joinstyle="miter"/>
                        <v:imagedata o:title=""/>
                        <o:lock v:ext="edit" aspectratio="f"/>
                      </v:line>
                      <v:line id="_x0000_s1026" o:spid="_x0000_s1026" o:spt="20" style="position:absolute;left:328930;top:1250950;height:0;width:200025;" filled="f" stroked="t" coordsize="21600,21600" o:gfxdata="UEsDBAoAAAAAAIdO4kAAAAAAAAAAAAAAAAAEAAAAZHJzL1BLAwQUAAAACACHTuJAL2Cra9QAAAAF&#10;AQAADwAAAGRycy9kb3ducmV2LnhtbE2PsU7EMAyGdyTeITISG5eWg+upNL0BiQEJCSgMjLnG1xQa&#10;pyS5trw9hgUWS9b/6/Pnare4QUwYYu9JQb7KQCC13vTUKXh9ubvYgohJk9GDJ1TwhRF29elJpUvj&#10;Z3rGqUmdYAjFUiuwKY2llLG16HRc+RGJs4MPTideQydN0DPD3SAvs2wjne6JL1g94q3F9qM5OqZQ&#10;8XlYhvD29Phgt838jvdTgUqdn+XZDYiES/orw48+q0PNTnt/JBPFoIAfSb+Ts+I6X4PYK7haFxuQ&#10;dSX/29ffUEsDBBQAAAAIAIdO4kDoVjCp7wEAAL0DAAAOAAAAZHJzL2Uyb0RvYy54bWytU82O0zAQ&#10;viPxDpbvNNlWXbpR0z1stVwQVAIewHWcxJL/NONt2pfgBZC4wYkjd96G5TEYO2F3WS57IAdn7Bl/&#10;4+/z5/Xl0Rp2UIDau5qfzUrOlJO+0a6r+Yf31y9WnGEUrhHGO1Xzk0J+uXn+bD2ESs19702jgBGI&#10;w2oINe9jDFVRoOyVFTjzQTlKth6siDSFrmhADIRuTTEvy/Ni8NAE8FIh0up2TPIJEZ4C6NtWS7X1&#10;8sYqF0dUUEZEooS9Dsg3+bRtq2R827aoIjM1J6Yxj9SE4n0ai81aVB2I0Gs5HUE85QiPOFmhHTW9&#10;g9qKKNgN6H+grJbg0bdxJr0tRiJZEWJxVj7S5l0vgspcSGoMd6Lj/4OVbw47YLohJ7zkzAlLN377&#10;6fvPj19+/fhM4+23r4wyJNMQsKLqK7eDaYZhB4nzsQWb/sSGHWu+mK8uFqTviTDny/JiOamsjpFJ&#10;ypMJyvmSM0kFOVXcQwTA+Ep5y1JQc6Nd4i8qcXiNkdpS6Z+StOz8tTYm36FxbKj5+YK6MSnIly35&#10;gUIbiBu6jjNhOjK8jJAR0RvdpN0JB6HbXxlgB5Fskr9Embr9VZZabwX2Y11OjQayOtKbMNrWfPVw&#10;t3EEkoQbpUrR3jenrGBep1vNbSYHJts8nOfd969u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v&#10;YKtr1AAAAAUBAAAPAAAAAAAAAAEAIAAAACIAAABkcnMvZG93bnJldi54bWxQSwECFAAUAAAACACH&#10;TuJA6FYwqe8BAAC9AwAADgAAAAAAAAABACAAAAAjAQAAZHJzL2Uyb0RvYy54bWxQSwUGAAAAAAYA&#10;BgBZAQAAhAUAAAAA&#10;">
                        <v:fill on="f" focussize="0,0"/>
                        <v:stroke weight="0.5pt" color="#000000 [3200]" miterlimit="8" joinstyle="miter"/>
                        <v:imagedata o:title=""/>
                        <o:lock v:ext="edit" aspectratio="f"/>
                      </v:line>
                      <v:rect id="_x0000_s1026" o:spid="_x0000_s1026" o:spt="1" style="position:absolute;left:0;top:1012825;height:533400;width:476250;v-text-anchor:middle;" filled="f" stroked="f" coordsize="21600,21600" o:gfxdata="UEsDBAoAAAAAAIdO4kAAAAAAAAAAAAAAAAAEAAAAZHJzL1BLAwQUAAAACACHTuJADuocj9UAAAAF&#10;AQAADwAAAGRycy9kb3ducmV2LnhtbE2PQUvDQBCF74L/YRnBm93EaltiJgUFEelBrHrf7E6TYHY2&#10;7G6S9t+7erGXgcd7vPdNuT3aXkzkQ+cYIV9kIIi1Mx03CJ8fzzcbECEqNqp3TAgnCrCtLi9KVRg3&#10;8ztN+9iIVMKhUAhtjEMhZdAtWRUWbiBO3sF5q2KSvpHGqzmV217eZtlKWtVxWmjVQE8t6e/9aBG+&#10;3OFxtrrm1+n01o0vO6/1Zod4fZVnDyAiHeN/GH7xEzpUial2I5sgeoT0SPy7yVvf50sQNcLdcr0C&#10;WZXynL76AVBLAwQUAAAACACHTuJATTPBg2UCAAC0BAAADgAAAGRycy9lMm9Eb2MueG1srVRLbtsw&#10;EN0X6B0I7hvJip2kRuTAiJGiQNAESIuuaYqyCPBXkracXqZAdz1Ej1P0Gn2klMRIu8iiXkhDzvjN&#10;zJs3Or/Ya0V2wgdpTU0nRyUlwnDbSLOp6aePV2/OKAmRmYYpa0RN70WgF4vXr857NxeV7axqhCcA&#10;MWHeu5p2Mbp5UQTeCc3CkXXCwNlar1nE0W+KxrMe6FoVVVmeFL31jfOWixBwuxqcdET0LwG0bSu5&#10;WFm+1cLEAdULxSJaCp10gS5ytW0reLxp2yAiUTVFpzE/kQT2Oj2LxTmbbzxzneRjCewlJTzrSTNp&#10;kPQRasUiI1sv/4LSknsbbBuPuNXF0EhmBF1Mymfc3HXMidwLqA7ukfTw/2D5h92tJ7KBEjB3wzQm&#10;/vvbj18/vxNcgJ3ehTmC7tytH08BZmp133qd3miC7DOj90ApJ9VZNRt4FftIOFzT05NqBsY5AmbH&#10;x9My8148QTgf4jthNUlGTT3Gltlku+sQkRahDyEpo7FXUqk8OmVIj6zVKTAJZ9BjCx3A1A49BbOh&#10;hKkNhM6jz5AH/02QKxY6smNQR7BKNkPdWkZIXEld07My/dI1alAGr0TIQEGy4n69H3lZ2+YeXHo7&#10;iCw4fiWR4ZqFeMs8VIUKsXfxBo9WWZRtR4uSzvqv/7pP8Rg2vJT0UCnK/LJlXlCi3hvI4O1kOgVs&#10;zIfp7LTCwR961oces9WXFq1OsOGOZzPFR/Vgtt7qz1jPZcoKFzMcuQfyxsNlHLYHC87FcpnDIGXH&#10;4rW5czyBDyNabqNtZZ5eImpgZ+QPYs6EjouXtuXwnKOePja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7qHI/VAAAABQEAAA8AAAAAAAAAAQAgAAAAIgAAAGRycy9kb3ducmV2LnhtbFBLAQIUABQA&#10;AAAIAIdO4kBNM8GDZQIAALQEAAAOAAAAAAAAAAEAIAAAACQBAABkcnMvZTJvRG9jLnhtbFBLBQYA&#10;AAAABgAGAFkBAAD7BQAAAAA=&#10;">
                        <v:fill on="f" focussize="0,0"/>
                        <v:stroke on="f" weight="1pt" miterlimit="8" joinstyle="miter"/>
                        <v:imagedata o:title=""/>
                        <o:lock v:ext="edit" aspectratio="f"/>
                        <v:textbox>
                          <w:txbxContent>
                            <w:p>
                              <w:pPr>
                                <w:jc w:val="center"/>
                              </w:pPr>
                              <w:r>
                                <w:rPr>
                                  <w:rFonts w:hint="eastAsia"/>
                                </w:rPr>
                                <w:t>自来水</w:t>
                              </w:r>
                            </w:p>
                          </w:txbxContent>
                        </v:textbox>
                      </v:rect>
                      <v:rect id="_x0000_s1026" o:spid="_x0000_s1026" o:spt="1" style="position:absolute;left:3265805;top:1141730;height:361950;width:600075;v-text-anchor:middle;" fillcolor="#FFFFFF [3201]" filled="t" stroked="t" coordsize="21600,21600" o:gfxdata="UEsDBAoAAAAAAIdO4kAAAAAAAAAAAAAAAAAEAAAAZHJzL1BLAwQUAAAACACHTuJAru2cBtQAAAAF&#10;AQAADwAAAGRycy9kb3ducmV2LnhtbE2PMU/DMBCFdyT+g3VIbNQOhRalcTog2FgSGGC7xtckwj5H&#10;sdsk/HoMCywnPb2n974r9rOz4kxj6D1ryFYKBHHjTc+thrfX55sHECEiG7SeScNCAfbl5UWBufET&#10;V3SuYytSCYccNXQxDrmUoenIYVj5gTh5Rz86jEmOrTQjTqncWXmr1EY67DktdDjQY0fNZ31yGrCe&#10;P5ZleZ8mWVnVP31VQ/1SaX19lakdiEhz/AvDD35ChzIxHfyJTRBWQ3ok/t7kbe+zNYiDhrv1dgOy&#10;LOR/+vIbUEsDBBQAAAAIAIdO4kDQibC7hAIAAAwFAAAOAAAAZHJzL2Uyb0RvYy54bWytVEtu2zAQ&#10;3RfoHQjuG8mO7SRG5MCI4aJA0ARIi65pirII8FeS/qSXKdBdD9HjFL1GHyklcdIssqgW1Axn+Gbm&#10;cYbnF3utyFb4IK2p6OCopEQYbmtp1hX9/Gn57pSSEJmpmbJGVPROBHoxe/vmfOemYmhbq2rhCUBM&#10;mO5cRdsY3bQoAm+FZuHIOmFgbKzXLEL166L2bAd0rYphWU6KnfW185aLELC76Iy0R/SvAbRNI7lY&#10;WL7RwsQO1QvFIkoKrXSBznK2TSN4vG6aICJRFUWlMa8IAnmV1mJ2zqZrz1wreZ8Ce00Kz2rSTBoE&#10;fYBasMjIxst/oLTk3gbbxCNuddEVkhlBFYPyGTe3LXMi1wKqg3sgPfw/WP5xe+OJrNEJZ5QYpnHj&#10;f77//P3rB8EG2Nm5MIXTrbvxvRYgplL3jdfpjyLIvqLHw8n4tBxTcgeswWhwctyzK/aRcDhMyrI8&#10;gZ3D4XgyOBtne/EI5HyI74XVJAkV9bi8zCnbXoWI4HC9d0lxg1WyXkqlsuLXq0vlyZbhopf5S9nj&#10;yBM3ZcgO6Q1PSjQAZ2jfBm0DUTtQEMyaEqbWmAsefY795HQ4DIJq8L0UJCW5YKHtkskIyY1NtYwY&#10;HSV1RU8PTyuDTBPRHbVJivvVvud7Zes73JG3XfMGx5cSEa5YiDfMo1tRCuY5XmNplEV9tpcoaa3/&#10;9tJ+8kcTwUrJDt2P2r9umBeUqA8G7XU2GI3SuGRlND4ZQvGHltWhxWz0pQXvA7wcjmcx+Ud1Lzbe&#10;6i8Y+3mKChMzHLE7lnvlMnZTiYeDi/k8u2FEHItX5tbxBJ4oNHa+ibaRuR8SUR07PX8Yknzn/UCn&#10;KTzUs9fjIzb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K7tnAbUAAAABQEAAA8AAAAAAAAAAQAg&#10;AAAAIgAAAGRycy9kb3ducmV2LnhtbFBLAQIUABQAAAAIAIdO4kDQibC7hAIAAAwFAAAOAAAAAAAA&#10;AAEAIAAAACMBAABkcnMvZTJvRG9jLnhtbFBLBQYAAAAABgAGAFkBAAAZBgAAAAA=&#10;">
                        <v:fill on="t" focussize="0,0"/>
                        <v:stroke weight="1pt" color="#000000 [3213]" miterlimit="8" joinstyle="miter"/>
                        <v:imagedata o:title=""/>
                        <o:lock v:ext="edit" aspectratio="f"/>
                        <v:textbox>
                          <w:txbxContent>
                            <w:p>
                              <w:pPr>
                                <w:jc w:val="center"/>
                              </w:pPr>
                              <w:r>
                                <w:rPr>
                                  <w:rFonts w:hint="eastAsia"/>
                                </w:rPr>
                                <w:t>化粪池</w:t>
                              </w:r>
                            </w:p>
                          </w:txbxContent>
                        </v:textbox>
                      </v:rect>
                      <v:shape id="_x0000_s1026" o:spid="_x0000_s1026" o:spt="32" type="#_x0000_t32" style="position:absolute;left:3014980;top:1322705;flip:y;height:4445;width:250825;" filled="f" stroked="t" coordsize="21600,21600" o:gfxdata="UEsDBAoAAAAAAIdO4kAAAAAAAAAAAAAAAAAEAAAAZHJzL1BLAwQUAAAACACHTuJAiuhNVdYAAAAF&#10;AQAADwAAAGRycy9kb3ducmV2LnhtbE2PzU7DMBCE70i8g7VI3KgTCi0KcSpBmxMcIOXAcRMvSYS9&#10;jmz3hz49hgtcVhrNaObbcnW0RuzJh9GxgnyWgSDunB65V/C2ra/uQISIrNE4JgVfFGBVnZ+VWGh3&#10;4FfaN7EXqYRDgQqGGKdCytANZDHM3EScvA/nLcYkfS+1x0Mqt0ZeZ9lCWhw5LQw40eNA3Wezswqm&#10;9+fN6emhxlifzHrzQn67blqlLi/y7B5EpGP8C8MPfkKHKjG1bsc6CKMgPRJ/b/KWt/kcRKvgZr5c&#10;gKxK+Z+++gZQSwMEFAAAAAgAh07iQJWfRJE2AgAAMgQAAA4AAABkcnMvZTJvRG9jLnhtbK1TzXLT&#10;MBC+M8M7aHQndpykpJ44PSSUCwOd4eeuyLKtGf3NSo2Tl+AFmOEEnAqn3nkaKI/BSg5pKZce8MFe&#10;eXc/fd+n1eJspxXZCvDSmoqORzklwnBbS9NW9O2b8ydzSnxgpmbKGlHRvfD0bPn40aJ3pShsZ1Ut&#10;gCCI8WXvKtqF4Mos87wTmvmRdcJgsrGgWcAltFkNrEd0rbIiz0+y3kLtwHLhPf5dD0l6QISHANqm&#10;kVysLb/UwoQBFYRiASX5TjpPl4lt0wgeXjWNF4GoiqLSkN64Ccab+M6WC1a2wFwn+YECewiFe5o0&#10;kwY3PUKtWWDkEuQ/UFpysN42YcStzgYhyRFUMc7vefO6Y04kLWi1d0fT/f+D5S+3F0BkXdECLTFM&#10;44nffLj++f7zzbevPz5d//r+McZXXwjm0aze+RJ7VuYColxh6tXOpP7xKcXvDkcq1mV/FcaFd0PL&#10;rgFNGiXdu1gaQdAFgn2TfDw9nSOLPSYmRfE0nw3HI3aBcCwoZvm8mFHCsWA6naZsxsoIGGEc+PBc&#10;WE1iUFEfgMm2CytrDI6BhWEztn3hQyR42xCbjT2XSqVpUIb0FT2ZzJAKZzjhDU4WhtqhS960lDDV&#10;4tXhARJ9b5WsY3fE8dBuVgrIlsWBS0+yAzN3yyLFNfPdUJdSg1YtA94uJXVF58duVgYm1TNTk7B3&#10;eEAMwPY0stSipkQJZBOjQZYyB/sHx6P3G1vvL+DPseAoJf2HsY+zenedum+v+v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uhNVdYAAAAFAQAADwAAAAAAAAABACAAAAAiAAAAZHJzL2Rvd25yZXYu&#10;eG1sUEsBAhQAFAAAAAgAh07iQJWfRJE2AgAAMgQAAA4AAAAAAAAAAQAgAAAAJQEAAGRycy9lMm9E&#10;b2MueG1sUEsFBgAAAAAGAAYAWQEAAM0FAAAAAA==&#10;">
                        <v:fill on="f" focussize="0,0"/>
                        <v:stroke weight="0.5pt" color="#000000 [3200]" miterlimit="8" joinstyle="miter" endarrow="open"/>
                        <v:imagedata o:title=""/>
                        <o:lock v:ext="edit" aspectratio="f"/>
                      </v:shape>
                      <v:shape id="_x0000_s1026" o:spid="_x0000_s1026" o:spt="32" type="#_x0000_t32" style="position:absolute;left:3865880;top:1322705;height:4445;width:206375;" filled="f" stroked="t" coordsize="21600,21600" o:gfxdata="UEsDBAoAAAAAAIdO4kAAAAAAAAAAAAAAAAAEAAAAZHJzL1BLAwQUAAAACACHTuJAfuMRstcAAAAF&#10;AQAADwAAAGRycy9kb3ducmV2LnhtbE2PzU7DMBCE70i8g7VIXBB1QtuUpnEqfoSg3Cg8wDbeJmns&#10;dRS7f2+P4QKXlUYzmvm2WJ6sEQcafOtYQTpKQBBXTrdcK/j6fLm9B+EDskbjmBScycOyvLwoMNfu&#10;yB90WIdaxBL2OSpoQuhzKX3VkEU/cj1x9LZusBiiHGqpBzzGcmvkXZJk0mLLcaHBnp4aqrr13irY&#10;7lbZ46Tavb/6s715mz907tl0Sl1fpckCRKBT+AvDD35EhzIybdyetRdGQXwk/N7ozabpGMRGwWQ8&#10;y0CWhfxPX34DUEsDBBQAAAAIAIdO4kBQoo5zMAIAACcEAAAOAAAAZHJzL2Uyb0RvYy54bWytU82O&#10;0zAQviPxDpbvNOnvlqjpHlqWC4JKwANMHSex5D/Z3qZ9CV4AiRNwAk5752lgeQzGTluW5bIHcnDG&#10;npnP830zXlzulSQ77rwwuqTDQU4J18xUQjclffvm6smcEh9AVyCN5iU9cE8vl48fLTpb8JFpjay4&#10;IwiifdHZkrYh2CLLPGu5Aj8wlmt01sYpCLh1TVY56BBdyWyU57OsM66yzjDuPZ6ueyc9IrqHAJq6&#10;FoyvDbtWXIce1XEJASn5VlhPl6nauuYsvKprzwORJUWmIa14CdrbuGbLBRSNA9sKdiwBHlLCPU4K&#10;hMZLz1BrCECunfgHSgnmjDd1GDCjsp5IUgRZDPN72rxuwfLEBaX29iy6/3+w7OVu44ioSjoaUqJB&#10;Ycdv39/8fPfp9tvXHx9vfn3/EO0vnwn6UazO+gJzVnrjIl0fVnud0odPKf73JR3HsOyvuLjxts/Y&#10;107FTKROYvR8Np3PsRsHnMXxaHSRT/ue8H0gDANG+Wx8MaWEYcBkMkneDIoTjHU+POdGkWiU1AcH&#10;omnDymiNvTdumLoCuxc+xLKgOCXEGrS5ElKmEZCadCWdjadYCgMc6xrHCU1lURqvG0pANvheWHAJ&#10;0RspqpidVHDNdiUd2UGcsvQlEVCfu2Hx6jX4to9Lrp6rEgGflBSqpPNzNhQBhHymKxIOFrsCzpmO&#10;xioVryiRHKuJVk9L6qPovc5R8a2pDht3agbOT+J/nPU4oHf3KfvP+17+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7jEbLXAAAABQEAAA8AAAAAAAAAAQAgAAAAIgAAAGRycy9kb3ducmV2LnhtbFBL&#10;AQIUABQAAAAIAIdO4kBQoo5zMAIAACcEAAAOAAAAAAAAAAEAIAAAACYBAABkcnMvZTJvRG9jLnht&#10;bFBLBQYAAAAABgAGAFkBAADIBQAAAAA=&#10;">
                        <v:fill on="f" focussize="0,0"/>
                        <v:stroke weight="0.5pt" color="#000000 [3200]" miterlimit="8" joinstyle="miter" endarrow="open"/>
                        <v:imagedata o:title=""/>
                        <o:lock v:ext="edit" aspectratio="f"/>
                      </v:shape>
                      <v:rect id="_x0000_s1026" o:spid="_x0000_s1026" o:spt="1" style="position:absolute;left:4110355;top:1089025;height:514350;width:609600;v-text-anchor:middle;" fillcolor="#FFFFFF [3201]" filled="t" stroked="t" coordsize="21600,21600" o:gfxdata="UEsDBAoAAAAAAIdO4kAAAAAAAAAAAAAAAAAEAAAAZHJzL1BLAwQUAAAACACHTuJAru2cBtQAAAAF&#10;AQAADwAAAGRycy9kb3ducmV2LnhtbE2PMU/DMBCFdyT+g3VIbNQOhRalcTog2FgSGGC7xtckwj5H&#10;sdsk/HoMCywnPb2n974r9rOz4kxj6D1ryFYKBHHjTc+thrfX55sHECEiG7SeScNCAfbl5UWBufET&#10;V3SuYytSCYccNXQxDrmUoenIYVj5gTh5Rz86jEmOrTQjTqncWXmr1EY67DktdDjQY0fNZ31yGrCe&#10;P5ZleZ8mWVnVP31VQ/1SaX19lakdiEhz/AvDD35ChzIxHfyJTRBWQ3ok/t7kbe+zNYiDhrv1dgOy&#10;LOR/+vIbUEsDBBQAAAAIAIdO4kCcaVtxgwIAAAwFAAAOAAAAZHJzL2Uyb0RvYy54bWytVEtu2zAQ&#10;3RfoHQjuG8mOnY8ROTBiuCgQNAHcomuaoiwC/JWkP+llCnTXQ/Q4Ra/RR0pJnDSLLKoFNUMO38y8&#10;meHF5V4rshU+SGsqOjgqKRGG21qadUU/f1q8O6MkRGZqpqwRFb0TgV5O37652LmJGNrWqlp4AhAT&#10;JjtX0TZGNymKwFuhWTiyThgcNtZrFqH6dVF7tgO6VsWwLE+KnfW185aLELA77w5pj+hfA2ibRnIx&#10;t3yjhYkdqheKRaQUWukCneZom0bweNM0QUSiKopMY17hBPIqrcX0gk3WnrlW8j4E9poQnuWkmTRw&#10;+gA1Z5GRjZf/QGnJvQ22iUfc6qJLJDOCLAblM26WLXMi5wKqg3sgPfw/WP5xe+uJrCs6HFJimEbF&#10;/3z/+fvXD4INsLNzYQKjpbv1vRYgplT3jdfpjyTIvqKjwaA8Ho8puUNXlWfn5XDcsSv2kXAYnJTn&#10;JyV45zAYD0bH48x+8QjkfIjvhdUkCRX1KF7mlG2vQ4RzmN6bJL/BKlkvpFJZ8evVlfJky1DoRf6S&#10;d1x5YqYM2SG84WkOhKF9G7QNYtIOFASzpoSpNeaCR599P7kdDp2U+XvJSQpyzkLbBZMROia0jBgd&#10;JXVFzw5vK4NIE9EdtUmK+9W+53tl6zvUyNuueYPjCwkP1yzEW+bRreAU8xxvsDTKIj/bS5S01n97&#10;aT/Zo4lwSskO3Y/cv26YF5SoDwbtdT4YjdK4ZGU0Ph1C8Ycnq8MTs9FXFrwP8HI4nsVkH9W92Hir&#10;v2DsZ8krjpjh8N2x3CtXsZtKPBxczGbZDCPiWLw2S8cTeKqzsbNNtI3M/ZCI6tjp+cOQ5Jr3A52m&#10;8FDPVo+P2PQ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u2cBtQAAAAFAQAADwAAAAAAAAABACAA&#10;AAAiAAAAZHJzL2Rvd25yZXYueG1sUEsBAhQAFAAAAAgAh07iQJxpW3GDAgAADAUAAA4AAAAAAAAA&#10;AQAgAAAAIwEAAGRycy9lMm9Eb2MueG1sUEsFBgAAAAAGAAYAWQEAABgGAAAAAA==&#10;">
                        <v:fill on="t" focussize="0,0"/>
                        <v:stroke weight="1pt" color="#000000 [3213]" miterlimit="8" joinstyle="miter"/>
                        <v:imagedata o:title=""/>
                        <o:lock v:ext="edit" aspectratio="f"/>
                        <v:textbox>
                          <w:txbxContent>
                            <w:p>
                              <w:pPr>
                                <w:jc w:val="center"/>
                              </w:pPr>
                              <w:r>
                                <w:rPr>
                                  <w:rFonts w:hint="eastAsia"/>
                                </w:rPr>
                                <w:t>污水处理站</w:t>
                              </w:r>
                            </w:p>
                          </w:txbxContent>
                        </v:textbox>
                      </v:rect>
                      <v:shape id="_x0000_s1026" o:spid="_x0000_s1026" o:spt="32" type="#_x0000_t32" style="position:absolute;left:4415155;top:1603375;height:228600;width:1905;" filled="f" stroked="t" coordsize="21600,21600" o:gfxdata="UEsDBAoAAAAAAIdO4kAAAAAAAAAAAAAAAAAEAAAAZHJzL1BLAwQUAAAACACHTuJAfuMRstcAAAAF&#10;AQAADwAAAGRycy9kb3ducmV2LnhtbE2PzU7DMBCE70i8g7VIXBB1QtuUpnEqfoSg3Cg8wDbeJmns&#10;dRS7f2+P4QKXlUYzmvm2WJ6sEQcafOtYQTpKQBBXTrdcK/j6fLm9B+EDskbjmBScycOyvLwoMNfu&#10;yB90WIdaxBL2OSpoQuhzKX3VkEU/cj1x9LZusBiiHGqpBzzGcmvkXZJk0mLLcaHBnp4aqrr13irY&#10;7lbZ46Tavb/6s715mz907tl0Sl1fpckCRKBT+AvDD35EhzIybdyetRdGQXwk/N7ozabpGMRGwWQ8&#10;y0CWhfxPX34DUEsDBBQAAAAIAIdO4kACmKNJMAIAACcEAAAOAAAAZHJzL2Uyb0RvYy54bWytU82O&#10;0zAQviPxDpbvNEm7LSVquoeW5YJgJeABpo6TWPKfbG/TvgQvgMQJOLGc9s7TwPIYjJ22LMtlD+SQ&#10;2JmZz/N983lxvlOSbLnzwuiKFqOcEq6ZqYVuK/ru7cWTOSU+gK5BGs0ruueeni8fP1r0tuRj0xlZ&#10;c0cQRPuytxXtQrBllnnWcQV+ZCzXGGyMUxBw69qsdtAjupLZOM9nWW9cbZ1h3Hv8ux6C9IDoHgJo&#10;mkYwvjbsSnEdBlTHJQSk5DthPV2mbpuGs/C6aTwPRFYUmYb0xkNwvYnvbLmAsnVgO8EOLcBDWrjH&#10;SYHQeOgJag0ByJUT/0ApwZzxpgkjZlQ2EEmKIIsiv6fNmw4sT1xQam9Povv/B8tebS8dEXVFxxNK&#10;NCic+O2Hm5/vP99+u/7x6ebX949x/fULwTiK1VtfYs1KX7pI14fVTg/lY4rfHeLEtOyvvLjxdqjY&#10;NU7FSqROMPvsrJgW0ykle/TiLJ9Mnk6HmfBdIAwTimc5RhmGx+P5LE8Ty6A8wljnwwtuFImLivrg&#10;QLRdWBmtcfbGFWkqsH3pQ2wLymNB7EGbCyFlsoDUpK/obDJFYzBAWzdoJ1wqi9J43VICssX7woJL&#10;iN5IUcfqpIJrNyvpyBaiy9KTREB97qbFo9fguyEvhQauSgS8UlKois5P1VAGEPK5rknYW5wKOGd6&#10;GrtUvKZEcuwmrgZaUh9EH3SOim9Mvb90x2GgfxL/g9ejQe/uU/Wf+73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7jEbLXAAAABQEAAA8AAAAAAAAAAQAgAAAAIgAAAGRycy9kb3ducmV2LnhtbFBL&#10;AQIUABQAAAAIAIdO4kACmKNJMAIAACcEAAAOAAAAAAAAAAEAIAAAACYBAABkcnMvZTJvRG9jLnht&#10;bFBLBQYAAAAABgAGAFkBAADIBQAAAAA=&#10;">
                        <v:fill on="f" focussize="0,0"/>
                        <v:stroke weight="0.5pt" color="#000000 [3200]" miterlimit="8" joinstyle="miter" endarrow="open"/>
                        <v:imagedata o:title=""/>
                        <o:lock v:ext="edit" aspectratio="f"/>
                      </v:shape>
                      <v:rect id="_x0000_s1026" o:spid="_x0000_s1026" o:spt="1" style="position:absolute;left:3951605;top:1765300;height:304800;width:819150;v-text-anchor:middle;" filled="f" stroked="f" coordsize="21600,21600" o:gfxdata="UEsDBAoAAAAAAIdO4kAAAAAAAAAAAAAAAAAEAAAAZHJzL1BLAwQUAAAACACHTuJADuocj9UAAAAF&#10;AQAADwAAAGRycy9kb3ducmV2LnhtbE2PQUvDQBCF74L/YRnBm93EaltiJgUFEelBrHrf7E6TYHY2&#10;7G6S9t+7erGXgcd7vPdNuT3aXkzkQ+cYIV9kIIi1Mx03CJ8fzzcbECEqNqp3TAgnCrCtLi9KVRg3&#10;8ztN+9iIVMKhUAhtjEMhZdAtWRUWbiBO3sF5q2KSvpHGqzmV217eZtlKWtVxWmjVQE8t6e/9aBG+&#10;3OFxtrrm1+n01o0vO6/1Zod4fZVnDyAiHeN/GH7xEzpUial2I5sgeoT0SPy7yVvf50sQNcLdcr0C&#10;WZXynL76AVBLAwQUAAAACACHTuJA1WzicmsCAAC6BAAADgAAAGRycy9lMm9Eb2MueG1srVRLbtsw&#10;EN0X6B0I7htJjp2PETkwYqQoELQB0qJrmiItAvyVpC2nlynQXQ/R4xS9Rh8lJTHSLrKoF9IMZ/xm&#10;5vGNLi73RpOdCFE5W9PqqKREWO4aZTc1/fTx+s0ZJTEx2zDtrKjpvYj0cvH61UXn52LiWqcbEQhA&#10;bJx3vqZtSn5eFJG3wrB45LywCEoXDEtww6ZoAuuAbnQxKcuTonOh8cFxESNOV0OQjojhJYBOSsXF&#10;yvGtETYNqEFoljBSbJWPdNF3K6Xg6YOUUSSia4pJU/9EEdjr/CwWF2y+Ccy3io8tsJe08Gwmw5RF&#10;0UeoFUuMbIP6C8ooHlx0Mh1xZ4phkJ4RTFGVz7i5a5kX/SygOvpH0uP/g+Xvd7eBqKamkykllhnc&#10;+O9vP379/E5wAHY6H+dIuvO3YfQizDzqXgaT3xiC7Gt6fD6rTsoZJfdQ1enJ7Lgc2RX7RDgSzqrz&#10;agbeORKOy+nZEC+egHyI6a1whmSjpgGX13PKdjcxoThSH1JyXeuuldb9BWpLOlSdnAKTcAZVSqgB&#10;pvGYLNoNJUxvIHeeQg958N8MuWKxJTsGjUSnVTOowqgEoWtl0HqZf/kYPWiLV6ZlICJbab/ej+ys&#10;XXMPRoMbpBY9v1aocMNiumUB2kKH2L70AQ+pHdp2o0VJ68LXf53nfFw5opR00Cra/LJlQVCi31mI&#10;4byaTgGbemc6O53ACYeR9WHEbs2Vw6gV9tzz3sz5ST+YMjjzGUu6zFURYpaj9kDe6FylYYew5lws&#10;l30aBO1ZurF3nmfw4YqW2+Sk6m8vEzWwM/IHSfeEjuuXd+bQ77OePjm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7qHI/VAAAABQEAAA8AAAAAAAAAAQAgAAAAIgAAAGRycy9kb3ducmV2LnhtbFBL&#10;AQIUABQAAAAIAIdO4kDVbOJyawIAALoEAAAOAAAAAAAAAAEAIAAAACQBAABkcnMvZTJvRG9jLnht&#10;bFBLBQYAAAAABgAGAFkBAAABBgAAAAA=&#10;">
                        <v:fill on="f" focussize="0,0"/>
                        <v:stroke on="f" weight="1pt" miterlimit="8" joinstyle="miter"/>
                        <v:imagedata o:title=""/>
                        <o:lock v:ext="edit" aspectratio="f"/>
                        <v:textbox>
                          <w:txbxContent>
                            <w:p>
                              <w:pPr>
                                <w:jc w:val="center"/>
                              </w:pPr>
                              <w:r>
                                <w:rPr>
                                  <w:rFonts w:hint="eastAsia"/>
                                </w:rPr>
                                <w:t>市政管网</w:t>
                              </w:r>
                            </w:p>
                          </w:txbxContent>
                        </v:textbox>
                      </v:rect>
                      <v:rect id="_x0000_s1026" o:spid="_x0000_s1026" o:spt="1" style="position:absolute;left:502285;top:109855;height:266700;width:619760;v-text-anchor:middle;" filled="f" stroked="f" coordsize="21600,21600" o:gfxdata="UEsDBAoAAAAAAIdO4kAAAAAAAAAAAAAAAAAEAAAAZHJzL1BLAwQUAAAACACHTuJADuocj9UAAAAF&#10;AQAADwAAAGRycy9kb3ducmV2LnhtbE2PQUvDQBCF74L/YRnBm93EaltiJgUFEelBrHrf7E6TYHY2&#10;7G6S9t+7erGXgcd7vPdNuT3aXkzkQ+cYIV9kIIi1Mx03CJ8fzzcbECEqNqp3TAgnCrCtLi9KVRg3&#10;8ztN+9iIVMKhUAhtjEMhZdAtWRUWbiBO3sF5q2KSvpHGqzmV217eZtlKWtVxWmjVQE8t6e/9aBG+&#10;3OFxtrrm1+n01o0vO6/1Zod4fZVnDyAiHeN/GH7xEzpUial2I5sgeoT0SPy7yVvf50sQNcLdcr0C&#10;WZXynL76AVBLAwQUAAAACACHTuJAMyxdJGsCAAC4BAAADgAAAGRycy9lMm9Eb2MueG1srVRLbtsw&#10;EN0X6B0I7hvJQuw4RuTAiJGiQNAGSIuuaYqyCPBXkracXqZAdz1Ej1P0Gn2klMRIu8iiXkgznPGb&#10;mcc3urg8aEX2wgdpTU0nJyUlwnDbSLOt6aeP12/mlITITMOUNaKm9yLQy+XrVxe9W4jKdlY1whOA&#10;mLDoXU27GN2iKALvhGbhxDphEGyt1yzC9dui8awHulZFVZazore+cd5yEQJO10OQjoj+JYC2bSUX&#10;a8t3Wpg4oHqhWMRIoZMu0GXutm0Fjx/aNohIVE0xacxPFIG9Sc9iecEWW89cJ/nYAntJC89m0kwa&#10;FH2EWrPIyM7Lv6C05N4G28YTbnUxDJIZwRST8hk3dx1zIs8CqoN7JD38P1j+fn/riWxqWs0oMUzj&#10;xn9/+/Hr53eCA7DTu7BA0p279aMXYKZRD63X6Y0hyKGm07Kq5lNK7iGq8nw+nQ7cikMkHOHZ5Pxs&#10;BtY54tVsdlZm7osnGOdDfCusJsmoqcfVZUbZ/iZElEbqQ0qqauy1VCpfnzKkR9EqYRLOoMkWWoCp&#10;HeYKZksJU1uInUefIY/+myDXLHRkz6CQYJVshr61jJC5krqm8zL90jF6UAavRMpAQ7LiYXMYudnY&#10;5h58ejsILTh+LVHhhoV4yzyUhQ6xe/EDHq2yaNuOFiWd9V//dZ7yceGIUtJDqWjzy455QYl6ZyCF&#10;88npKWBjdk6nZxUcfxzZHEfMTl9ZjDrBljuezZQf1YPZeqs/Y0VXqSpCzHDUHsgbnas4bBCWnIvV&#10;KqdBzo7FG3PneAIfrmi1i7aV+fYSUQM7I38QdCZ0XL60Mcd+znr64C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7qHI/VAAAABQEAAA8AAAAAAAAAAQAgAAAAIgAAAGRycy9kb3ducmV2LnhtbFBL&#10;AQIUABQAAAAIAIdO4kAzLF0kawIAALgEAAAOAAAAAAAAAAEAIAAAACQBAABkcnMvZTJvRG9jLnht&#10;bFBLBQYAAAAABgAGAFkBAAABBgAAAAA=&#10;">
                        <v:fill on="f" focussize="0,0"/>
                        <v:stroke on="f" weight="1pt" miterlimit="8" joinstyle="miter"/>
                        <v:imagedata o:title=""/>
                        <o:lock v:ext="edit" aspectratio="f"/>
                        <v:textbo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2.4</w:t>
                              </w:r>
                            </w:p>
                          </w:txbxContent>
                        </v:textbox>
                      </v:rect>
                      <v:rect id="_x0000_s1026" o:spid="_x0000_s1026" o:spt="1" style="position:absolute;left:522605;top:1036955;height:266700;width:619760;v-text-anchor:middle;" filled="f" stroked="f" coordsize="21600,21600" o:gfxdata="UEsDBAoAAAAAAIdO4kAAAAAAAAAAAAAAAAAEAAAAZHJzL1BLAwQUAAAACACHTuJADuocj9UAAAAF&#10;AQAADwAAAGRycy9kb3ducmV2LnhtbE2PQUvDQBCF74L/YRnBm93EaltiJgUFEelBrHrf7E6TYHY2&#10;7G6S9t+7erGXgcd7vPdNuT3aXkzkQ+cYIV9kIIi1Mx03CJ8fzzcbECEqNqp3TAgnCrCtLi9KVRg3&#10;8ztN+9iIVMKhUAhtjEMhZdAtWRUWbiBO3sF5q2KSvpHGqzmV217eZtlKWtVxWmjVQE8t6e/9aBG+&#10;3OFxtrrm1+n01o0vO6/1Zod4fZVnDyAiHeN/GH7xEzpUial2I5sgeoT0SPy7yVvf50sQNcLdcr0C&#10;WZXynL76AVBLAwQUAAAACACHTuJAU56cVmwCAAC5BAAADgAAAGRycy9lMm9Eb2MueG1srVRLbtsw&#10;EN0X6B0I7hvJaizHRuTAiJGiQNAESIuuaYqyCPBXkracXqZAdz1Ej1P0Gn2UlMRIu8iiXkgznPGb&#10;mcc3Or84aEX2wgdpTUUnJzklwnBbS7Ot6KePV2/OKAmRmZopa0RF70WgF8vXr847txCFba2qhScA&#10;MWHRuYq2MbpFlgXeCs3CiXXCINhYr1mE67dZ7VkHdK2yIs/LrLO+dt5yEQJO10OQjoj+JYC2aSQX&#10;a8t3Wpg4oHqhWMRIoZUu0GXfbdMIHm+aJohIVEUxaeyfKAJ7k57Z8pwttp65VvKxBfaSFp7NpJk0&#10;KPoItWaRkZ2Xf0Fpyb0Ntokn3OpsGKRnBFNM8mfc3LXMiX4WUB3cI+nh/8HyD/tbT2Rd0WJGiWEa&#10;N/77249fP78THICdzoUFku7crR+9ADONemi8Tm8MQQ4VnRZFmU8puYeo8rflfDodyBWHSDji5WQ+&#10;K0E7R0JRlrO8Jz97wnE+xHfCapKMinrcXU8p21+HiNpIfUhJZY29kkr196cM6VC1SJiEM4iygRhg&#10;aofBgtlSwtQWaufR95BH/02QaxZasmeQSLBK1kPfWkboXEld0bM8/dIxelAGr8TKwEOy4mFzGMnZ&#10;2PoehHo7KC04fiVR4ZqFeMs8pIUOsXzxBo9GWbRtR4uS1vqv/zpP+bhxRCnpIFW0+WXHvKBEvTfQ&#10;wnxyegrY2Dun01kBxx9HNscRs9OXFqNOsOaO92bKj+rBbLzVn7Gjq1QVIWY4ag/kjc5lHFYIW87F&#10;atWnQc+OxWtz53gCH65otYu2kf3tJaIGdkb+oOie0HH70soc+33W0xdn+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O6hyP1QAAAAUBAAAPAAAAAAAAAAEAIAAAACIAAABkcnMvZG93bnJldi54bWxQ&#10;SwECFAAUAAAACACHTuJAU56cVmwCAAC5BAAADgAAAAAAAAABACAAAAAkAQAAZHJzL2Uyb0RvYy54&#10;bWxQSwUGAAAAAAYABgBZAQAAAgYAAAAA&#10;">
                        <v:fill on="f" focussize="0,0"/>
                        <v:stroke on="f" weight="1pt" miterlimit="8" joinstyle="miter"/>
                        <v:imagedata o:title=""/>
                        <o:lock v:ext="edit" aspectratio="f"/>
                        <v:textbo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67.5</w:t>
                              </w:r>
                            </w:p>
                          </w:txbxContent>
                        </v:textbox>
                      </v:rect>
                      <v:rect id="_x0000_s1026" o:spid="_x0000_s1026" o:spt="1" style="position:absolute;left:494030;top:1913255;height:266700;width:619760;v-text-anchor:middle;" filled="f" stroked="f" coordsize="21600,21600" o:gfxdata="UEsDBAoAAAAAAIdO4kAAAAAAAAAAAAAAAAAEAAAAZHJzL1BLAwQUAAAACACHTuJADuocj9UAAAAF&#10;AQAADwAAAGRycy9kb3ducmV2LnhtbE2PQUvDQBCF74L/YRnBm93EaltiJgUFEelBrHrf7E6TYHY2&#10;7G6S9t+7erGXgcd7vPdNuT3aXkzkQ+cYIV9kIIi1Mx03CJ8fzzcbECEqNqp3TAgnCrCtLi9KVRg3&#10;8ztN+9iIVMKhUAhtjEMhZdAtWRUWbiBO3sF5q2KSvpHGqzmV217eZtlKWtVxWmjVQE8t6e/9aBG+&#10;3OFxtrrm1+n01o0vO6/1Zod4fZVnDyAiHeN/GH7xEzpUial2I5sgeoT0SPy7yVvf50sQNcLdcr0C&#10;WZXynL76AVBLAwQUAAAACACHTuJAtIFiG2sCAAC5BAAADgAAAGRycy9lMm9Eb2MueG1srVRLbtsw&#10;EN0X6B0I7hvJiuPERuTAiJGiQNAESIuuaYqyCPBXkv6klynQXQ+R4xS9Rh8pJTHSLrKoF9KQM34z&#10;8+aNzi/2WpGt8EFaU9PRUUmJMNw20qxr+vnT1bszSkJkpmHKGlHTexHoxfztm/Odm4nKdlY1whOA&#10;mDDbuZp2MbpZUQTeCc3CkXXCwNlar1nE0a+LxrMd0LUqqrKcFDvrG+ctFyHgdtk76YDoXwNo21Zy&#10;sbR8o4WJPaoXikW0FDrpAp3nattW8HjTtkFEomqKTmN+IgnsVXoW83M2W3vmOsmHEthrSnjRk2bS&#10;IOkT1JJFRjZe/gWlJfc22DYecauLvpHMCLoYlS+4ueuYE7kXUB3cE+nh/8Hyj9tbT2RT0wpzN0xj&#10;4r+///z18IPgAuzsXJgh6M7d+uEUYKZW963X6Y0myL6m4+m4PAat9xDVdHRcnZz05Ip9JBz+yWh6&#10;OoGfI6CaTE7LTH7xjON8iO+F1SQZNfWYXaaUba9DRG6EPoaktMZeSaXy/JQhO2StEibhDKJsIQaY&#10;2qGxYNaUMLWG2nn0GfLgvwlyyUJHtgwSCVbJpq9bywidK6lrelamX7pGDcrglVjpeUhW3K/2Azkr&#10;29yDUG97pQXHryQyXLMQb5mHtFAhli/e4NEqi7LtYFHSWf/tX/cpHhOHl5IdpIoyv26YF5SoDwZa&#10;mI7GY8DGfBifnFY4+EPP6tBjNvrSotUR1tzxbKb4qB7N1lv9BTu6SFnhYoYjd0/ecLiM/Qphy7lY&#10;LHIY9OxYvDZ3jifwfkSLTbStzNNLRPXsDPxB0ZnQYfvSyhyec9TzF2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7qHI/VAAAABQEAAA8AAAAAAAAAAQAgAAAAIgAAAGRycy9kb3ducmV2LnhtbFBL&#10;AQIUABQAAAAIAIdO4kC0gWIbawIAALkEAAAOAAAAAAAAAAEAIAAAACQBAABkcnMvZTJvRG9jLnht&#10;bFBLBQYAAAAABgAGAFkBAAABBgAAAAA=&#10;">
                        <v:fill on="f" focussize="0,0"/>
                        <v:stroke on="f" weight="1pt" miterlimit="8" joinstyle="miter"/>
                        <v:imagedata o:title=""/>
                        <o:lock v:ext="edit" aspectratio="f"/>
                        <v:textbo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0.6</w:t>
                              </w:r>
                            </w:p>
                          </w:txbxContent>
                        </v:textbox>
                      </v:rect>
                      <v:rect id="_x0000_s1026" o:spid="_x0000_s1026" o:spt="1" style="position:absolute;left:2275205;top:170180;height:266700;width:619760;v-text-anchor:middle;" filled="f" stroked="f" coordsize="21600,21600" o:gfxdata="UEsDBAoAAAAAAIdO4kAAAAAAAAAAAAAAAAAEAAAAZHJzL1BLAwQUAAAACACHTuJADuocj9UAAAAF&#10;AQAADwAAAGRycy9kb3ducmV2LnhtbE2PQUvDQBCF74L/YRnBm93EaltiJgUFEelBrHrf7E6TYHY2&#10;7G6S9t+7erGXgcd7vPdNuT3aXkzkQ+cYIV9kIIi1Mx03CJ8fzzcbECEqNqp3TAgnCrCtLi9KVRg3&#10;8ztN+9iIVMKhUAhtjEMhZdAtWRUWbiBO3sF5q2KSvpHGqzmV217eZtlKWtVxWmjVQE8t6e/9aBG+&#10;3OFxtrrm1+n01o0vO6/1Zod4fZVnDyAiHeN/GH7xEzpUial2I5sgeoT0SPy7yVvf50sQNcLdcr0C&#10;WZXynL76AVBLAwQUAAAACACHTuJA9v9XnmoCAAC5BAAADgAAAGRycy9lMm9Eb2MueG1srVRLbtsw&#10;EN0X6B0I7hvJQmInRuTAiJGiQNAESIuuaYqyCPBXkracXqZAdz1EjxP0Gn2klMRIu8iiXkgznNGb&#10;mcc3Pr/Ya0V2wgdpTU0nRyUlwnDbSLOp6edPV+9OKQmRmYYpa0RN70WgF4u3b857NxeV7axqhCcA&#10;MWHeu5p2Mbp5UQTeCc3CkXXCINhar1mE6zdF41kPdK2KqiynRW9947zlIgScroYgHRH9awBt20ou&#10;VpZvtTBxQPVCsYiRQiddoIvcbdsKHm/aNohIVE0xacxPFIG9Ts9icc7mG89cJ/nYAntNCy9m0kwa&#10;FH2CWrHIyNbLv6C05N4G28YjbnUxDJIZwRST8gU3dx1zIs8CqoN7Ij38P1j+cXfriWxqWp1RYpjG&#10;jf/+/vPh1w+CA7DTuzBH0p279aMXYKZR963X6Y0hyB7fV7OTqjyh5B6qmpWT05FcsY+EIz6dnM2m&#10;oJ0jXk2nszLHi2cc50N8L6wmyaipx91lStnuOkTURupjSipr7JVUKt+fMqRH0SphEs4gyhZigKkd&#10;BgtmQwlTG6idR58hD75NkCsWOrJjkEiwSjaDKLSM0LmSuqanZfqlY/SgDF6JlYGHZMX9ej+Ss7bN&#10;PQj1dlBacPxKosI1C/GWeUgLHWL54g0erbJo244WJZ313/51nvJx44hS0kOqaPPrlnlBifpgoIWz&#10;yfExYGN2jk9mFRx/GFkfRsxWX1qMOsGaO57NlB/Vo9l6q79gR5epKkLMcNQeyBudyzisELaci+Uy&#10;p0HPjsVrc+d4Ah+uaLmNtpX59hJRAzsjf1B0JnTcvrQyh37Oev7HWf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uocj9UAAAAFAQAADwAAAAAAAAABACAAAAAiAAAAZHJzL2Rvd25yZXYueG1sUEsB&#10;AhQAFAAAAAgAh07iQPb/V55qAgAAuQQAAA4AAAAAAAAAAQAgAAAAJAEAAGRycy9lMm9Eb2MueG1s&#10;UEsFBgAAAAAGAAYAWQEAAAAGAAAAAA==&#10;">
                        <v:fill on="f" focussize="0,0"/>
                        <v:stroke on="f" weight="1pt" miterlimit="8" joinstyle="miter"/>
                        <v:imagedata o:title=""/>
                        <o:lock v:ext="edit" aspectratio="f"/>
                        <v:textbo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1.92</w:t>
                              </w:r>
                            </w:p>
                          </w:txbxContent>
                        </v:textbox>
                      </v:rect>
                      <v:rect id="_x0000_s1026" o:spid="_x0000_s1026" o:spt="1" style="position:absolute;left:2284730;top:1113155;height:266700;width:619760;v-text-anchor:middle;" filled="f" stroked="f" coordsize="21600,21600" o:gfxdata="UEsDBAoAAAAAAIdO4kAAAAAAAAAAAAAAAAAEAAAAZHJzL1BLAwQUAAAACACHTuJADuocj9UAAAAF&#10;AQAADwAAAGRycy9kb3ducmV2LnhtbE2PQUvDQBCF74L/YRnBm93EaltiJgUFEelBrHrf7E6TYHY2&#10;7G6S9t+7erGXgcd7vPdNuT3aXkzkQ+cYIV9kIIi1Mx03CJ8fzzcbECEqNqp3TAgnCrCtLi9KVRg3&#10;8ztN+9iIVMKhUAhtjEMhZdAtWRUWbiBO3sF5q2KSvpHGqzmV217eZtlKWtVxWmjVQE8t6e/9aBG+&#10;3OFxtrrm1+n01o0vO6/1Zod4fZVnDyAiHeN/GH7xEzpUial2I5sgeoT0SPy7yVvf50sQNcLdcr0C&#10;WZXynL76AVBLAwQUAAAACACHTuJABi8nTGsCAAC6BAAADgAAAGRycy9lMm9Eb2MueG1srVRLbtsw&#10;EN0X6B0I7htZimMnRuTAiJGiQNAESIuuaYqyCPBXkv6klynQXQ+R4xS9Rh8pJTHSLrKoF9IMZ/xm&#10;5vGNzi/2WpGt8EFaU9PyaESJMNw20qxr+vnT1btTSkJkpmHKGlHTexHoxfztm/Odm4nKdlY1whOA&#10;mDDbuZp2MbpZUQTeCc3CkXXCINhar1mE69dF49kO6FoV1Wg0KXbWN85bLkLA6bIP0gHRvwbQtq3k&#10;Ymn5RgsTe1QvFIsYKXTSBTrP3bat4PGmbYOIRNUUk8b8RBHYq/Qs5udstvbMdZIPLbDXtPBiJs2k&#10;QdEnqCWLjGy8/AtKS+5tsG084lYX/SCZEUxRjl5wc9cxJ/IsoDq4J9LD/4PlH7e3nsimpsegxDCN&#10;G//9/eevhx8EB2Bn58IMSXfu1g9egJlG3bdepzeGIPuaVtXpeJpA7qGqsjwuT056dsU+Eo6ESXk2&#10;nSDOkVBNJtNRxi+egZwP8b2wmiSjph6Xlzll2+sQURypjymprrFXUql8gcqQHapWCZNwBlW2UANM&#10;7TBZMGtKmFpD7jz6DHnw3wS5ZKEjWwaNBKtk0/etZYTQldQ1PR2lXzpGD8rglWjpiUhW3K/2Azsr&#10;29yDUW97qQXHryQqXLMQb5mHttAhti/e4NEqi7btYFHSWf/tX+cpH1eOKCU7aBVtft0wLyhRHwzE&#10;cFaOx4CN2RmfTCs4/jCyOoyYjb60GLXEnjuezZQf1aPZequ/YEkXqSpCzHDU7skbnMvY7xDWnIvF&#10;IqdB0I7Fa3PneALvr2ixibaV+fYSUT07A3+QdCZ0WL+0M4d+znr+5M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7qHI/VAAAABQEAAA8AAAAAAAAAAQAgAAAAIgAAAGRycy9kb3ducmV2LnhtbFBL&#10;AQIUABQAAAAIAIdO4kAGLydMawIAALoEAAAOAAAAAAAAAAEAIAAAACQBAABkcnMvZTJvRG9jLnht&#10;bFBLBQYAAAAABgAGAFkBAAABBgAAAAA=&#10;">
                        <v:fill on="f" focussize="0,0"/>
                        <v:stroke on="f" weight="1pt" miterlimit="8" joinstyle="miter"/>
                        <v:imagedata o:title=""/>
                        <o:lock v:ext="edit" aspectratio="f"/>
                        <v:textbo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54</w:t>
                              </w:r>
                            </w:p>
                          </w:txbxContent>
                        </v:textbox>
                      </v:rect>
                      <v:rect id="_x0000_s1026" o:spid="_x0000_s1026" o:spt="1" style="position:absolute;left:2275205;top:1913255;height:266700;width:619760;v-text-anchor:middle;" filled="f" stroked="f" coordsize="21600,21600" o:gfxdata="UEsDBAoAAAAAAIdO4kAAAAAAAAAAAAAAAAAEAAAAZHJzL1BLAwQUAAAACACHTuJADuocj9UAAAAF&#10;AQAADwAAAGRycy9kb3ducmV2LnhtbE2PQUvDQBCF74L/YRnBm93EaltiJgUFEelBrHrf7E6TYHY2&#10;7G6S9t+7erGXgcd7vPdNuT3aXkzkQ+cYIV9kIIi1Mx03CJ8fzzcbECEqNqp3TAgnCrCtLi9KVRg3&#10;8ztN+9iIVMKhUAhtjEMhZdAtWRUWbiBO3sF5q2KSvpHGqzmV217eZtlKWtVxWmjVQE8t6e/9aBG+&#10;3OFxtrrm1+n01o0vO6/1Zod4fZVnDyAiHeN/GH7xEzpUial2I5sgeoT0SPy7yVvf50sQNcLdcr0C&#10;WZXynL76AVBLAwQUAAAACACHTuJAuY8kLWwCAAC6BAAADgAAAGRycy9lMm9Eb2MueG1srVRLbtsw&#10;EN0X6B0I7hvJSmwnRuTAiJGiQNAESIuuaYqyCPBXkv6klynQXQ+R4xS9Rh8pJTHSLrKoF9IMOX4z&#10;8+aNzi/2WpGt8EFaU9PRUUmJMNw20qxr+vnT1btTSkJkpmHKGlHTexHoxfztm/Odm4nKdlY1whOA&#10;mDDbuZp2MbpZUQTeCc3CkXXC4LK1XrMI16+LxrMd0LUqqrKcFDvrG+ctFyHgdNlf0gHRvwbQtq3k&#10;Ymn5RgsTe1QvFItoKXTSBTrP1bat4PGmbYOIRNUUncb8RBLYq/Qs5udstvbMdZIPJbDXlPCiJ82k&#10;QdInqCWLjGy8/AtKS+5tsG084lYXfSOZEXQxKl9wc9cxJ3IvoDq4J9LD/4PlH7e3nsimpscjSgzT&#10;mPjv7z9/PfwgOAA7OxdmCLpzt37wAszU6r71Or3RBNnXtKqm46ocU3IPVZ2NjqvxuGdX7CPhCJiM&#10;zqYT8M4RUE0m0zKzXzwDOR/ie2E1SUZNPYaXOWXb6xCRHKGPISmvsVdSqTxAZcgOWauESTiDKluo&#10;AaZ26CyYNSVMrSF3Hn2GPPhvglyy0JEtg0aCVbLp69YyQuhK6pqelumXjlGDMnglWnoikhX3q/3A&#10;zso292DU215qwfEriQzXLMRb5qEtVIjtizd4tMqibDtYlHTWf/vXeYrHyHFLyQ5aRZlfN8wLStQH&#10;AzGcjU5OABuzczKeVnD84c3q8MZs9KVFq5g3qstmio/q0Wy91V+wpIuUFVfMcOTuyRucy9jvENac&#10;i8Uih0HQjsVrc+d4Au9HtNhE28o8vURUz87AHySdCR3WL+3MoZ+jnj85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O6hyP1QAAAAUBAAAPAAAAAAAAAAEAIAAAACIAAABkcnMvZG93bnJldi54bWxQ&#10;SwECFAAUAAAACACHTuJAuY8kLWwCAAC6BAAADgAAAAAAAAABACAAAAAkAQAAZHJzL2Uyb0RvYy54&#10;bWxQSwUGAAAAAAYABgBZAQAAAgYAAAAA&#10;">
                        <v:fill on="f" focussize="0,0"/>
                        <v:stroke on="f" weight="1pt" miterlimit="8" joinstyle="miter"/>
                        <v:imagedata o:title=""/>
                        <o:lock v:ext="edit" aspectratio="f"/>
                        <v:textbo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0.48</w:t>
                              </w:r>
                            </w:p>
                          </w:txbxContent>
                        </v:textbox>
                      </v:rect>
                      <v:shape id="_x0000_s1026" o:spid="_x0000_s1026" o:spt="32" type="#_x0000_t32" style="position:absolute;left:1690370;top:566420;height:143510;width:488315;" filled="f" stroked="t" coordsize="21600,21600" o:gfxdata="UEsDBAoAAAAAAIdO4kAAAAAAAAAAAAAAAAAEAAAAZHJzL1BLAwQUAAAACACHTuJAfuMRstcAAAAF&#10;AQAADwAAAGRycy9kb3ducmV2LnhtbE2PzU7DMBCE70i8g7VIXBB1QtuUpnEqfoSg3Cg8wDbeJmns&#10;dRS7f2+P4QKXlUYzmvm2WJ6sEQcafOtYQTpKQBBXTrdcK/j6fLm9B+EDskbjmBScycOyvLwoMNfu&#10;yB90WIdaxBL2OSpoQuhzKX3VkEU/cj1x9LZusBiiHGqpBzzGcmvkXZJk0mLLcaHBnp4aqrr13irY&#10;7lbZ46Tavb/6s715mz907tl0Sl1fpckCRKBT+AvDD35EhzIybdyetRdGQXwk/N7ozabpGMRGwWQ8&#10;y0CWhfxPX34DUEsDBBQAAAAIAIdO4kA8ZAg8HwIAAAEEAAAOAAAAZHJzL2Uyb0RvYy54bWytU0uS&#10;0zAQ3VPFHVTaE9v5EVxxZpEwbChIFXAARZZtVelXLU2cXIILUMUKWAGr2XMaGI5BSw4ZGDazwAu7&#10;5Va/fu+ptbw4aEX2Ary0pqLFKKdEGG5radqKvnl9+WhBiQ/M1ExZIyp6FJ5erB4+WPauFGPbWVUL&#10;IAhifNm7inYhuDLLPO+EZn5knTCYbCxoFnAJbVYD6xFdq2yc5/Ost1A7sFx4j383Q5KeEOE+gLZp&#10;JBcby6+0MGFABaFYQEm+k87TVWLbNIKHl03jRSCqoqg0pDc2wXgX39lqycoWmOskP1Fg96FwR5Nm&#10;0mDTM9SGBUauQP4DpSUH620TRtzqbBCSHEEVRX7Hm1cdcyJpQau9O5vu/x8sf7HfApF1RSdjSgzT&#10;eOI3765/vP148/XL9w/XP7+9j/HnTwTzaFbvfIk1a7OF08q7LUTlhwZ0/KImcsDBmj/JJ4/R5mNF&#10;Z/P5dHzyWhwC4ZifLhaTYkYJx3wxncyKlM9ucRz48ExYTWJQUR+AybYLa2sMnqqFIvnN9s99QCZY&#10;+LsgkjD2UiqVDlcZ0ld0PpkhF85wYBscFAy1Q9HetJQw1eJN4AESordK1rE64nhod2sFZM/i/KQn&#10;uoDd/toWW2+Y74Z9KTVMlpYBL4uSuqKLczUrA5PqqalJODr0mwHYnkaWWtSUKIFsYjQ0Ugb7RdsH&#10;o2O0s/Ux+Z/+42QkRqcpjqP35zpV397c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4xGy1wAA&#10;AAUBAAAPAAAAAAAAAAEAIAAAACIAAABkcnMvZG93bnJldi54bWxQSwECFAAUAAAACACHTuJAPGQI&#10;PB8CAAABBAAADgAAAAAAAAABACAAAAAmAQAAZHJzL2Uyb0RvYy54bWxQSwUGAAAAAAYABgBZAQAA&#10;twUAAAAA&#10;">
                        <v:fill on="f" focussize="0,0"/>
                        <v:stroke weight="0.5pt" color="#000000 [3200]" miterlimit="8" joinstyle="miter" endarrow="open"/>
                        <v:imagedata o:title=""/>
                        <o:lock v:ext="edit" aspectratio="f"/>
                      </v:shape>
                      <v:rect id="_x0000_s1026" o:spid="_x0000_s1026" o:spt="1" style="position:absolute;left:2018030;top:570230;height:266700;width:619760;v-text-anchor:middle;" filled="f" stroked="f" coordsize="21600,21600" o:gfxdata="UEsDBAoAAAAAAIdO4kAAAAAAAAAAAAAAAAAEAAAAZHJzL1BLAwQUAAAACACHTuJADuocj9UAAAAF&#10;AQAADwAAAGRycy9kb3ducmV2LnhtbE2PQUvDQBCF74L/YRnBm93EaltiJgUFEelBrHrf7E6TYHY2&#10;7G6S9t+7erGXgcd7vPdNuT3aXkzkQ+cYIV9kIIi1Mx03CJ8fzzcbECEqNqp3TAgnCrCtLi9KVRg3&#10;8ztN+9iIVMKhUAhtjEMhZdAtWRUWbiBO3sF5q2KSvpHGqzmV217eZtlKWtVxWmjVQE8t6e/9aBG+&#10;3OFxtrrm1+n01o0vO6/1Zod4fZVnDyAiHeN/GH7xEzpUial2I5sgeoT0SPy7yVvf50sQNcLdcr0C&#10;WZXynL76AVBLAwQUAAAACACHTuJAgt48kmkCAAC5BAAADgAAAGRycy9lMm9Eb2MueG1srVRLbtsw&#10;EN0X6B0I7hvJTmInRuTAiJGiQNAEcIuuaYqyCPBXkracXqZAdz1EjlP0Gn2klMRIu8iiXkgznPGb&#10;mcc3urjca0V2wgdpTUVHRyUlwnBbS7Op6OdP1+/OKAmRmZopa0RF70Wgl/O3by46NxNj21pVC08A&#10;YsKscxVtY3Szogi8FZqFI+uEQbCxXrMI12+K2rMO6FoV47KcFJ31tfOWixBwuuyDdED0rwG0TSO5&#10;WFq+1cLEHtULxSJGCq10gc5zt00jeLxtmiAiURXFpDE/UQT2Oj2L+QWbbTxzreRDC+w1LbyYSTNp&#10;UPQJaskiI1sv/4LSknsbbBOPuNVFP0hmBFOMyhfcrFrmRJ4FVAf3RHr4f7D84+7OE1lX9PiYEsM0&#10;bvz395+/Hn4QHICdzoUZklbuzg9egJlG3TdepzeGIPuKov+z8hi83lf0dFqOYWZyxT4SjvhkdD6d&#10;IMwRH08m0zLHi2cc50N8L6wmyaiox91lStnuJkRAIfUxJZU19loqlUsoQzpIeZwwCWcQZQMxwNQO&#10;gwWzoYSpDdTOo8+QB/9NkEsWWrJjkEiwStZ931pG6FxJXdGzMv3SMXpQBq/ESs9DsuJ+vUcwmWtb&#10;34NQb3ulBcevJSrcsBDvmIe00CGWL97i0SiLtu1gUdJa/+1f5ykfN44oJR2kija/bpkXlKgPBlo4&#10;H52cADZm5+R0OobjDyPrw4jZ6iuLUUdYc8ezmfKjejQbb/UX7OgiVUWIGY7aPXmDcxX7FcKWc7FY&#10;5DTo2bF4Y1aOJ/D+ihbbaBuZb++ZnYE/KDoTOmxfWplDP2c9f3H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O6hyP1QAAAAUBAAAPAAAAAAAAAAEAIAAAACIAAABkcnMvZG93bnJldi54bWxQSwEC&#10;FAAUAAAACACHTuJAgt48kmkCAAC5BAAADgAAAAAAAAABACAAAAAkAQAAZHJzL2Uyb0RvYy54bWxQ&#10;SwUGAAAAAAYABgBZAQAA/wUAAAAA&#10;">
                        <v:fill on="f" focussize="0,0"/>
                        <v:stroke on="f" weight="1pt" miterlimit="8" joinstyle="miter"/>
                        <v:imagedata o:title=""/>
                        <o:lock v:ext="edit" aspectratio="f"/>
                        <v:textbo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0.48</w:t>
                              </w:r>
                            </w:p>
                          </w:txbxContent>
                        </v:textbox>
                      </v:rect>
                      <v:shape id="_x0000_s1026" o:spid="_x0000_s1026" o:spt="32" type="#_x0000_t32" style="position:absolute;left:1675130;top:1456055;height:143510;width:488315;" filled="f" stroked="t" coordsize="21600,21600" o:gfxdata="UEsDBAoAAAAAAIdO4kAAAAAAAAAAAAAAAAAEAAAAZHJzL1BLAwQUAAAACACHTuJAfuMRstcAAAAF&#10;AQAADwAAAGRycy9kb3ducmV2LnhtbE2PzU7DMBCE70i8g7VIXBB1QtuUpnEqfoSg3Cg8wDbeJmns&#10;dRS7f2+P4QKXlUYzmvm2WJ6sEQcafOtYQTpKQBBXTrdcK/j6fLm9B+EDskbjmBScycOyvLwoMNfu&#10;yB90WIdaxBL2OSpoQuhzKX3VkEU/cj1x9LZusBiiHGqpBzzGcmvkXZJk0mLLcaHBnp4aqrr13irY&#10;7lbZ46Tavb/6s715mz907tl0Sl1fpckCRKBT+AvDD35EhzIybdyetRdGQXwk/N7ozabpGMRGwWQ8&#10;y0CWhfxPX34DUEsDBBQAAAAIAIdO4kBc7ttKIAIAAAIEAAAOAAAAZHJzL2Uyb0RvYy54bWytU82O&#10;0zAQviPxDpbvNM22KVXUdA8tywVBJeABXMdJLPlPY2/TvgQvgMQJOMGe9s7TsLuPwdgpXVgueyCH&#10;ZBx7vvm+b8aL871WZCfAS2sqmo/GlAjDbS1NW9H37y6ezSnxgZmaKWtERQ/C0/Pl0yeL3pXizHZW&#10;1QIIghhf9q6iXQiuzDLPO6GZH1knDG42FjQLuIQ2q4H1iK5VdjYez7LeQu3AcuE9/l0Pm/SICI8B&#10;tE0juVhbfqmFCQMqCMUCSvKddJ4uE9umETy8aRovAlEVRaUhvbEIxtv4zpYLVrbAXCf5kQJ7DIUH&#10;mjSTBoueoNYsMHIJ8h8oLTlYb5sw4lZng5DkCKrIxw+8edsxJ5IWtNq7k+n+/8Hy17sNEFlXdDKl&#10;xDCNHb/9eH3z4cvt1fefn6/vfnyK8bevBPfRrN75EnNWZgPHlXcbiMr3Dej4RU1kj4M1e17kE7T5&#10;gPG0mI2LYjBb7APheGA6n0/yghKeDkyKPDUjuwdy4MNLYTWJQUV9ACbbLqysMdhWC3kynO1e+YBU&#10;MPF3QmRh7IVUKnVXGdJXdDYpkAxnOLENTgqG2qFqb1pKmGrxKvAACdFbJeuYHXE8tNuVArJjcYDS&#10;E2Vgtb+OxdJr5rvhXNoa1GoZ8LYoqSs6P2WzMjCpXpiahINDwxmA7WlkqUVNiRLIJkZDIWWwXvR9&#10;cDpGW1sfUgPSfxyNxOg4xnH2/lyn7Puru/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uMRstcA&#10;AAAFAQAADwAAAAAAAAABACAAAAAiAAAAZHJzL2Rvd25yZXYueG1sUEsBAhQAFAAAAAgAh07iQFzu&#10;20ogAgAAAgQAAA4AAAAAAAAAAQAgAAAAJgEAAGRycy9lMm9Eb2MueG1sUEsFBgAAAAAGAAYAWQEA&#10;ALgFAAAAAA==&#10;">
                        <v:fill on="f" focussize="0,0"/>
                        <v:stroke weight="0.5pt" color="#000000 [3200]" miterlimit="8" joinstyle="miter" endarrow="open"/>
                        <v:imagedata o:title=""/>
                        <o:lock v:ext="edit" aspectratio="f"/>
                      </v:shape>
                      <v:rect id="_x0000_s1026" o:spid="_x0000_s1026" o:spt="1" style="position:absolute;left:2018030;top:1437005;height:266700;width:619760;v-text-anchor:middle;" filled="f" stroked="f" coordsize="21600,21600" o:gfxdata="UEsDBAoAAAAAAIdO4kAAAAAAAAAAAAAAAAAEAAAAZHJzL1BLAwQUAAAACACHTuJADuocj9UAAAAF&#10;AQAADwAAAGRycy9kb3ducmV2LnhtbE2PQUvDQBCF74L/YRnBm93EaltiJgUFEelBrHrf7E6TYHY2&#10;7G6S9t+7erGXgcd7vPdNuT3aXkzkQ+cYIV9kIIi1Mx03CJ8fzzcbECEqNqp3TAgnCrCtLi9KVRg3&#10;8ztN+9iIVMKhUAhtjEMhZdAtWRUWbiBO3sF5q2KSvpHGqzmV217eZtlKWtVxWmjVQE8t6e/9aBG+&#10;3OFxtrrm1+n01o0vO6/1Zod4fZVnDyAiHeN/GH7xEzpUial2I5sgeoT0SPy7yVvf50sQNcLdcr0C&#10;WZXynL76AVBLAwQUAAAACACHTuJAwCq3vWoCAAC6BAAADgAAAGRycy9lMm9Eb2MueG1srVRLbtsw&#10;EN0X6B0I7hvJjuMkQuTAiJGiQNAGSIuuaYqyCPBXkracXqZAdz1Ej1P0Gn2klMRIu8iiXsgznNGb&#10;mcc3urjca0V2wgdpTU0nRyUlwnDbSLOp6aeP12/OKAmRmYYpa0RN70Wgl4vXry56V4mp7axqhCcA&#10;MaHqXU27GF1VFIF3QrNwZJ0wCLbWaxbh+k3ReNYDXatiWpbzore+cd5yEQJOV0OQjoj+JYC2bSUX&#10;K8u3Wpg4oHqhWMRIoZMu0EXutm0Fjx/aNohIVE0xacxPFIG9Ts9iccGqjWeuk3xsgb2khWczaSYN&#10;ij5CrVhkZOvlX1Bacm+DbeMRt7oYBsmMYIpJ+Yybu445kWcB1cE9kh7+Hyx/v7v1RDY1PT6hxDCN&#10;G//97cevn98JDsBO70KFpDt360cvwEyj7luv0z+GIPuaov+z8hi83kNVs+PTsszvs0rsI+FImE/O&#10;T+eIcyRM53MkJPziCcj5EN8Kq0kyaupxeZlTtrsJcUh9SEl1jb2WSuGcVcqQHlWnCZNwBlW2UANM&#10;7TBZMBtKmNpA7jz6DHnwboJcsdCRHYNGglWyGVShZYTQldQ1PSvTb2xXGXSdaBmISFbcr/cjO2vb&#10;3INRbwepBcevJSrcsBBvmYe20CG2L37Ao1UWbdvRoqSz/uu/zlM+rhxRSnpoFW1+2TIvKFHvDMRw&#10;PpnNABuzMzs5ncLxh5H1YcRs9ZXFqBPsuePZTPlRPZitt/ozlnSZqiLEDEftgbzRuYrDDmHNuVgu&#10;cxoE7Vi8MXeOJ/DhipbbaFuZby8RNbAz8gdJ5/sf1y/tzKGfs54+OY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uocj9UAAAAFAQAADwAAAAAAAAABACAAAAAiAAAAZHJzL2Rvd25yZXYueG1sUEsB&#10;AhQAFAAAAAgAh07iQMAqt71qAgAAugQAAA4AAAAAAAAAAQAgAAAAJAEAAGRycy9lMm9Eb2MueG1s&#10;UEsFBgAAAAAGAAYAWQEAAAAGAAAAAA==&#10;">
                        <v:fill on="f" focussize="0,0"/>
                        <v:stroke on="f" weight="1pt" miterlimit="8" joinstyle="miter"/>
                        <v:imagedata o:title=""/>
                        <o:lock v:ext="edit" aspectratio="f"/>
                        <v:textbo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13.5</w:t>
                              </w:r>
                            </w:p>
                          </w:txbxContent>
                        </v:textbox>
                      </v:rect>
                      <v:shape id="_x0000_s1026" o:spid="_x0000_s1026" o:spt="32" type="#_x0000_t32" style="position:absolute;left:1656080;top:2313305;height:143510;width:488315;" filled="f" stroked="t" coordsize="21600,21600" o:gfxdata="UEsDBAoAAAAAAIdO4kAAAAAAAAAAAAAAAAAEAAAAZHJzL1BLAwQUAAAACACHTuJAfuMRstcAAAAF&#10;AQAADwAAAGRycy9kb3ducmV2LnhtbE2PzU7DMBCE70i8g7VIXBB1QtuUpnEqfoSg3Cg8wDbeJmns&#10;dRS7f2+P4QKXlUYzmvm2WJ6sEQcafOtYQTpKQBBXTrdcK/j6fLm9B+EDskbjmBScycOyvLwoMNfu&#10;yB90WIdaxBL2OSpoQuhzKX3VkEU/cj1x9LZusBiiHGqpBzzGcmvkXZJk0mLLcaHBnp4aqrr13irY&#10;7lbZ46Tavb/6s715mz907tl0Sl1fpckCRKBT+AvDD35EhzIybdyetRdGQXwk/N7ozabpGMRGwWQ8&#10;y0CWhfxPX34DUEsDBBQAAAAIAIdO4kAM2MvMIQIAAAIEAAAOAAAAZHJzL2Uyb0RvYy54bWytU82O&#10;0zAQviPxDpbvNEmzraqo6R5alguCSsADuI6TWPKfxt6mfQleAIkTcAJOe+dpYHkMxk7pwnLZAzkk&#10;49jzzfd9M15eHrQiewFeWlPTYpJTIgy3jTRdTd+8vnqyoMQHZhqmrBE1PQpPL1ePHy0HV4mp7a1q&#10;BBAEMb4aXE37EFyVZZ73QjM/sU4Y3GwtaBZwCV3WABsQXatsmufzbLDQOLBceI9/N+MmPSHCQwBt&#10;20ouNpZfa2HCiApCsYCSfC+dp6vEtm0FDy/b1otAVE1RaUhvLILxLr6z1ZJVHTDXS36iwB5C4Z4m&#10;zaTBomeoDQuMXIP8B0pLDtbbNky41dkoJDmCKor8njeveuZE0oJWe3c23f8/WP5ivwUim5qWc0oM&#10;09jx23c3P95+vP365fuHm5/f3sf48yeC+2jW4HyFOWuzhdPKuy1E5YcWdPyiJnLAwZrP5vkCbT7W&#10;dFoWZZnPRrPFIRCOBy4Wi7KYUcLxQHFRzorUjOwOyIEPz4TVJAY19QGY7PqwtsZgWy0UyXC2f+4D&#10;UsHE3wmRhbFXUqnUXWXIUNN5OUMynOHEtjgpGGqHqr3pKGGqw6vAAyREb5VsYnbE8dDt1grInsUB&#10;Sk+UgdX+OhZLb5jvx3Npa1SrZcDboqSu6eKczarApHpqGhKODg1nAHagkaUWDSVKIJsYjYWUwXrR&#10;99HpGO1sc0wNSP9xNBKj0xjH2ftznbLvru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7jEbLX&#10;AAAABQEAAA8AAAAAAAAAAQAgAAAAIgAAAGRycy9kb3ducmV2LnhtbFBLAQIUABQAAAAIAIdO4kAM&#10;2MvMIQIAAAIEAAAOAAAAAAAAAAEAIAAAACYBAABkcnMvZTJvRG9jLnhtbFBLBQYAAAAABgAGAFkB&#10;AAC5BQAAAAA=&#10;">
                        <v:fill on="f" focussize="0,0"/>
                        <v:stroke weight="0.5pt" color="#000000 [3200]" miterlimit="8" joinstyle="miter" endarrow="open"/>
                        <v:imagedata o:title=""/>
                        <o:lock v:ext="edit" aspectratio="f"/>
                      </v:shape>
                      <v:rect id="_x0000_s1026" o:spid="_x0000_s1026" o:spt="1" style="position:absolute;left:2008505;top:2313305;height:266700;width:619760;v-text-anchor:middle;" filled="f" stroked="f" coordsize="21600,21600" o:gfxdata="UEsDBAoAAAAAAIdO4kAAAAAAAAAAAAAAAAAEAAAAZHJzL1BLAwQUAAAACACHTuJADuocj9UAAAAF&#10;AQAADwAAAGRycy9kb3ducmV2LnhtbE2PQUvDQBCF74L/YRnBm93EaltiJgUFEelBrHrf7E6TYHY2&#10;7G6S9t+7erGXgcd7vPdNuT3aXkzkQ+cYIV9kIIi1Mx03CJ8fzzcbECEqNqp3TAgnCrCtLi9KVRg3&#10;8ztN+9iIVMKhUAhtjEMhZdAtWRUWbiBO3sF5q2KSvpHGqzmV217eZtlKWtVxWmjVQE8t6e/9aBG+&#10;3OFxtrrm1+n01o0vO6/1Zod4fZVnDyAiHeN/GH7xEzpUial2I5sgeoT0SPy7yVvf50sQNcLdcr0C&#10;WZXynL76AVBLAwQUAAAACACHTuJA0LJKtWoCAAC6BAAADgAAAGRycy9lMm9Eb2MueG1srVRLbtsw&#10;EN0X6B0I7hvJdmInRuTAiJGiQNAESIuuaYqyCPBXkracXqZAdz1EjlP0Gn2klMRIu8iiXkgznPGb&#10;mcc3Or/Ya0V2wgdpTUVHRyUlwnBbS7Op6OdPV+9OKQmRmZopa0RF70WgF4u3b847Nxdj21pVC08A&#10;YsK8cxVtY3Tzogi8FZqFI+uEQbCxXrMI12+K2rMO6FoV47KcFp31tfOWixBwuuqDdED0rwG0TSO5&#10;WFm+1cLEHtULxSJGCq10gS5yt00jeLxpmiAiURXFpDE/UQT2Oj2LxTmbbzxzreRDC+w1LbyYSTNp&#10;UPQJasUiI1sv/4LSknsbbBOPuNVFP0hmBFOMyhfc3LXMiTwLqA7uifTw/2D5x92tJ7Ku6GRGiWEa&#10;N/77+89fDz8IDsBO58IcSXfu1g9egJlG3TdepzeGIPuK4m5PT8oTSu5hT0aTCezMrthHwpEwHZ3N&#10;puCdp4TpdFZm9otnIOdDfC+sJsmoqMflZU7Z7jpEQCH1MSXVNfZKKpVLKEM6aHmcMAlnUGUDNcDU&#10;DpMFs6GEqQ3kzqPPkAf/TZArFlqyY9BIsErWfd9aRghdSV3R0zL90jF6UAavREtPRLLifr1HMJlr&#10;W9+DUW97qQXHryQqXLMQb5mHttAhti/e4NEoi7btYFHSWv/tX+cpH1eOKCUdtIo2v26ZF5SoDwZi&#10;OBsdHwM2Zuf4ZDaG4w8j68OI2epLi1FH2HPHs5nyo3o0G2/1FyzpMlVFiBmO2j15g3MZ+x3CmnOx&#10;XOY0CNqxeG3uHE/g/RUtt9E2Mt/eMzsDf5B0JnRYv7Qzh37Oev7kL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uocj9UAAAAFAQAADwAAAAAAAAABACAAAAAiAAAAZHJzL2Rvd25yZXYueG1sUEsB&#10;AhQAFAAAAAgAh07iQNCySrVqAgAAugQAAA4AAAAAAAAAAQAgAAAAJAEAAGRycy9lMm9Eb2MueG1s&#10;UEsFBgAAAAAGAAYAWQEAAAAGAAAAAA==&#10;">
                        <v:fill on="f" focussize="0,0"/>
                        <v:stroke on="f" weight="1pt" miterlimit="8" joinstyle="miter"/>
                        <v:imagedata o:title=""/>
                        <o:lock v:ext="edit" aspectratio="f"/>
                        <v:textbo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0.12</w:t>
                              </w:r>
                            </w:p>
                          </w:txbxContent>
                        </v:textbox>
                      </v:rect>
                      <v:rect id="_x0000_s1026" o:spid="_x0000_s1026" o:spt="1" style="position:absolute;left:2837180;top:1036955;height:266700;width:619760;v-text-anchor:middle;" filled="f" stroked="f" coordsize="21600,21600" o:gfxdata="UEsDBAoAAAAAAIdO4kAAAAAAAAAAAAAAAAAEAAAAZHJzL1BLAwQUAAAACACHTuJADuocj9UAAAAF&#10;AQAADwAAAGRycy9kb3ducmV2LnhtbE2PQUvDQBCF74L/YRnBm93EaltiJgUFEelBrHrf7E6TYHY2&#10;7G6S9t+7erGXgcd7vPdNuT3aXkzkQ+cYIV9kIIi1Mx03CJ8fzzcbECEqNqp3TAgnCrCtLi9KVRg3&#10;8ztN+9iIVMKhUAhtjEMhZdAtWRUWbiBO3sF5q2KSvpHGqzmV217eZtlKWtVxWmjVQE8t6e/9aBG+&#10;3OFxtrrm1+n01o0vO6/1Zod4fZVnDyAiHeN/GH7xEzpUial2I5sgeoT0SPy7yVvf50sQNcLdcr0C&#10;WZXynL76AVBLAwQUAAAACACHTuJA2+6+am0CAAC6BAAADgAAAGRycy9lMm9Eb2MueG1srVRLbtsw&#10;EN0X6B0I7hvJTmI7RuTAiJGiQNAESIuuaYqyCPBXkracXqZAdz1EjlP0Gn2klMRIu8iiXkhDzvjN&#10;zJs3Or/Ya0V2wgdpTUVHRyUlwnBbS7Op6OdPV+9mlITITM2UNaKi9yLQi8XbN+edm4uxba2qhScA&#10;MWHeuYq2Mbp5UQTeCs3CkXXCwNlYr1nE0W+K2rMO6FoV47KcFJ31tfOWixBwu+qddED0rwG0TSO5&#10;WFm+1cLEHtULxSJaCq10gS5ytU0jeLxpmiAiURVFpzE/kQT2Oj2LxTmbbzxzreRDCew1JbzoSTNp&#10;kPQJasUiI1sv/4LSknsbbBOPuNVF30hmBF2Myhfc3LXMidwLqA7uifTw/2D5x92tJ7Ku6DHmbpjG&#10;xH9///nr4QfBBdjpXJgj6M7d+uEUYKZW943X6Y0myL6i49nxdDQDr/dQVXk8OTs97dkV+0g4Aiaj&#10;s+kEfo6A8WQyLTP7xTOQ8yG+F1aTZFTUY3iZU7a7DhHJEfoYkvIaeyWVygNUhnTIOk6YhDOosoEa&#10;YGqHzoLZUMLUBnLn0WfIg/8myBULLdkxaCRYJeu+bi0jhK6kruisTL90jRqUwSvR0hORrLhf7wd2&#10;1ra+B6Pe9lILjl9JZLhmId4yD22hQmxfvMGjURZl28GipLX+27/uUzxGDi8lHbSKMr9umReUqA8G&#10;YjgbnZwANubDyel0jIM/9KwPPWarLy1aHWHPHc9mio/q0Wy81V+wpMuUFS5mOHL35A2Hy9jvENac&#10;i+Uyh0HQjsVrc+d4Au9HtNxG28g8vURUz87AHySdCR3WL+3M4TlHPX9yF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uocj9UAAAAFAQAADwAAAAAAAAABACAAAAAiAAAAZHJzL2Rvd25yZXYueG1s&#10;UEsBAhQAFAAAAAgAh07iQNvuvmptAgAAugQAAA4AAAAAAAAAAQAgAAAAJAEAAGRycy9lMm9Eb2Mu&#10;eG1sUEsFBgAAAAAGAAYAWQEAAAMGAAAAAA==&#10;">
                        <v:fill on="f" focussize="0,0"/>
                        <v:stroke on="f" weight="1pt" miterlimit="8" joinstyle="miter"/>
                        <v:imagedata o:title=""/>
                        <o:lock v:ext="edit" aspectratio="f"/>
                        <v:textbo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56.4</w:t>
                              </w:r>
                            </w:p>
                          </w:txbxContent>
                        </v:textbox>
                      </v:rect>
                      <v:rect id="_x0000_s1026" o:spid="_x0000_s1026" o:spt="1" style="position:absolute;left:84455;top:998855;height:266700;width:619760;v-text-anchor:middle;" filled="f" stroked="f" coordsize="21600,21600" o:gfxdata="UEsDBAoAAAAAAIdO4kAAAAAAAAAAAAAAAAAEAAAAZHJzL1BLAwQUAAAACACHTuJADuocj9UAAAAF&#10;AQAADwAAAGRycy9kb3ducmV2LnhtbE2PQUvDQBCF74L/YRnBm93EaltiJgUFEelBrHrf7E6TYHY2&#10;7G6S9t+7erGXgcd7vPdNuT3aXkzkQ+cYIV9kIIi1Mx03CJ8fzzcbECEqNqp3TAgnCrCtLi9KVRg3&#10;8ztN+9iIVMKhUAhtjEMhZdAtWRUWbiBO3sF5q2KSvpHGqzmV217eZtlKWtVxWmjVQE8t6e/9aBG+&#10;3OFxtrrm1+n01o0vO6/1Zod4fZVnDyAiHeN/GH7xEzpUial2I5sgeoT0SPy7yVvf50sQNcLdcr0C&#10;WZXynL76AVBLAwQUAAAACACHTuJA7RAOOmgCAAC3BAAADgAAAGRycy9lMm9Eb2MueG1srVRLbtsw&#10;EN0X6B0I7hvZruMfIgdGjBQFgsZAWnRNU5RFgL+StOX0MgW66yF6nKLX6COlJEbaRRb1QprhjN/M&#10;PL7RxeVRK3IQPkhrSjo8G1AiDLeVNLuSfvp4/WZGSYjMVExZI0p6LwK9XL5+ddG6hRjZxqpKeAIQ&#10;ExatK2kTo1sUReCN0CycWScMgrX1mkW4fldUnrVA16oYDQaTorW+ct5yEQJO112Q9oj+JYC2riUX&#10;a8v3WpjYoXqhWMRIoZEu0GXutq4Fj7d1HUQkqqSYNOYnisDepmexvGCLnWeukbxvgb2khWczaSYN&#10;ij5CrVlkZO/lX1Bacm+DreMZt7roBsmMYIrh4Bk3dw1zIs8CqoN7JD38P1j+4bDxRFYlfTunxDCN&#10;G//97cevn98JDsBO68ICSXdu43svwEyjHmuv0xtDkGNJZ+Px+Tkl9yWdz2czmJlacYyEIzoZzqcT&#10;kM4RH00m00GmvnhCcT7Ed8JqkoySetxcJpQdbkIEFFIfUlJRY6+lUrmEMqSFkEcJk3AGSdaQAkzt&#10;MFYwO0qY2kHrPPoMefLfBLlmoSEHBoEEq2TV9a1lhMqV1BhskH7pGD0og1fipGMhWfG4PSKYzK2t&#10;7kGnt53OguPXEhVuWIgb5iEsdIjVi7d41MqibdtblDTWf/3XecrHfSNKSQuhos0ve+YFJeq9gRLm&#10;w/EYsDE74/PpCI4/jWxPI2avryxGHWLJHc9myo/qway91Z+xoatUFSFmOGp35PXOVewWCDvOxWqV&#10;06Bmx+KNuXM8gXdXtNpHW8t8e0/s9PxBz5nQfvfSwpz6Oevpe7P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7qHI/VAAAABQEAAA8AAAAAAAAAAQAgAAAAIgAAAGRycy9kb3ducmV2LnhtbFBLAQIU&#10;ABQAAAAIAIdO4kDtEA46aAIAALcEAAAOAAAAAAAAAAEAIAAAACQBAABkcnMvZTJvRG9jLnhtbFBL&#10;BQYAAAAABgAGAFkBAAD+BQAAAAA=&#10;">
                        <v:fill on="f" focussize="0,0"/>
                        <v:stroke on="f" weight="1pt" miterlimit="8" joinstyle="miter"/>
                        <v:imagedata o:title=""/>
                        <o:lock v:ext="edit" aspectratio="f"/>
                        <v:textbox>
                          <w:txbxContent>
                            <w:p>
                              <w:pPr>
                                <w:jc w:val="center"/>
                                <w:rPr>
                                  <w14:textOutline w14:w="9525" w14:cap="flat" w14:cmpd="sng" w14:algn="ctr">
                                    <w14:solidFill>
                                      <w14:srgbClr w14:val="000000"/>
                                    </w14:solidFill>
                                    <w14:prstDash w14:val="solid"/>
                                    <w14:round/>
                                  </w14:textOutline>
                                </w:rPr>
                              </w:pPr>
                              <w:r>
                                <w:rPr>
                                  <w:rFonts w:hint="eastAsia"/>
                                  <w14:textOutline w14:w="9525" w14:cap="flat" w14:cmpd="sng" w14:algn="ctr">
                                    <w14:solidFill>
                                      <w14:srgbClr w14:val="000000"/>
                                    </w14:solidFill>
                                    <w14:prstDash w14:val="solid"/>
                                    <w14:round/>
                                  </w14:textOutline>
                                </w:rPr>
                                <w:t>70.5</w:t>
                              </w:r>
                            </w:p>
                          </w:txbxContent>
                        </v:textbox>
                      </v:rect>
                      <w10:wrap type="none"/>
                      <w10:anchorlock/>
                    </v:group>
                  </w:pict>
                </mc:Fallback>
              </mc:AlternateContent>
            </w:r>
          </w:p>
          <w:p>
            <w:pPr>
              <w:pStyle w:val="13"/>
              <w:spacing w:line="360" w:lineRule="auto"/>
              <w:ind w:left="0" w:leftChars="0"/>
              <w:jc w:val="center"/>
              <w:rPr>
                <w:b/>
                <w:bCs/>
                <w:sz w:val="21"/>
                <w:szCs w:val="21"/>
              </w:rPr>
            </w:pPr>
            <w:r>
              <w:rPr>
                <w:rFonts w:hint="eastAsia"/>
                <w:b/>
                <w:bCs/>
                <w:sz w:val="21"/>
                <w:szCs w:val="21"/>
              </w:rPr>
              <w:t>图2-1项目水平衡图</w:t>
            </w:r>
          </w:p>
          <w:p>
            <w:pPr>
              <w:pStyle w:val="13"/>
              <w:spacing w:line="360" w:lineRule="auto"/>
              <w:ind w:left="0" w:leftChars="0" w:firstLine="420" w:firstLineChars="200"/>
              <w:rPr>
                <w:rFonts w:hint="eastAsia" w:eastAsia="宋体"/>
                <w:sz w:val="21"/>
                <w:szCs w:val="21"/>
                <w:lang w:eastAsia="zh-CN"/>
              </w:rPr>
            </w:pPr>
            <w:r>
              <w:rPr>
                <w:rFonts w:hint="eastAsia"/>
                <w:sz w:val="21"/>
                <w:szCs w:val="21"/>
              </w:rPr>
              <w:t>（2）供电：项目建成后年耗电5.3万千瓦时折算标煤6.51吨</w:t>
            </w:r>
            <w:r>
              <w:rPr>
                <w:rFonts w:hint="eastAsia"/>
                <w:sz w:val="21"/>
                <w:szCs w:val="21"/>
                <w:lang w:eastAsia="zh-CN"/>
              </w:rPr>
              <w:t>。</w:t>
            </w:r>
          </w:p>
          <w:p>
            <w:pPr>
              <w:spacing w:line="360" w:lineRule="auto"/>
              <w:ind w:firstLine="420" w:firstLineChars="200"/>
              <w:rPr>
                <w:rFonts w:ascii="宋体" w:hAnsi="宋体" w:cs="宋体"/>
                <w:sz w:val="21"/>
                <w:szCs w:val="21"/>
              </w:rPr>
            </w:pPr>
            <w:r>
              <w:rPr>
                <w:rFonts w:hint="eastAsia"/>
                <w:sz w:val="21"/>
                <w:szCs w:val="21"/>
              </w:rPr>
              <w:t>（3）供暖：供暖项目供暖来源市政集中供暖管道。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6" w:hRule="atLeast"/>
          <w:jc w:val="center"/>
        </w:trPr>
        <w:tc>
          <w:tcPr>
            <w:tcW w:w="793" w:type="dxa"/>
            <w:vAlign w:val="center"/>
          </w:tcPr>
          <w:p>
            <w:pPr>
              <w:pStyle w:val="12"/>
              <w:spacing w:line="360" w:lineRule="auto"/>
              <w:ind w:left="0" w:firstLine="0" w:firstLineChars="0"/>
              <w:jc w:val="center"/>
              <w:rPr>
                <w:rFonts w:ascii="宋体" w:hAnsi="宋体" w:cs="宋体"/>
                <w:sz w:val="21"/>
                <w:szCs w:val="21"/>
              </w:rPr>
            </w:pPr>
            <w:r>
              <w:rPr>
                <w:rFonts w:hint="eastAsia" w:ascii="宋体" w:hAnsi="宋体" w:cs="宋体"/>
                <w:sz w:val="21"/>
                <w:szCs w:val="21"/>
              </w:rPr>
              <w:t>工艺流程和产排污环节</w:t>
            </w:r>
          </w:p>
        </w:tc>
        <w:tc>
          <w:tcPr>
            <w:tcW w:w="7729" w:type="dxa"/>
          </w:tcPr>
          <w:p>
            <w:pPr>
              <w:pStyle w:val="12"/>
              <w:numPr>
                <w:ilvl w:val="0"/>
                <w:numId w:val="5"/>
              </w:numPr>
              <w:spacing w:line="360" w:lineRule="auto"/>
              <w:ind w:left="480" w:hanging="480"/>
              <w:rPr>
                <w:rFonts w:ascii="宋体" w:hAnsi="宋体" w:cs="宋体"/>
                <w:sz w:val="21"/>
                <w:szCs w:val="21"/>
              </w:rPr>
            </w:pPr>
            <w:r>
              <w:rPr>
                <w:rFonts w:hint="eastAsia" w:ascii="宋体" w:hAnsi="宋体" w:cs="宋体"/>
                <w:sz w:val="21"/>
                <w:szCs w:val="21"/>
              </w:rPr>
              <w:t>施工期工艺流程及产排污环节简述</w:t>
            </w:r>
          </w:p>
          <w:p>
            <w:pPr>
              <w:pStyle w:val="12"/>
              <w:tabs>
                <w:tab w:val="left" w:pos="281"/>
              </w:tabs>
              <w:spacing w:line="360" w:lineRule="auto"/>
              <w:ind w:left="0" w:firstLine="0" w:firstLineChars="0"/>
              <w:rPr>
                <w:rFonts w:hint="eastAsia" w:ascii="宋体" w:hAnsi="宋体" w:cs="宋体"/>
                <w:sz w:val="21"/>
                <w:szCs w:val="21"/>
              </w:rPr>
            </w:pPr>
            <w:r>
              <w:rPr>
                <w:rFonts w:hint="eastAsia" w:ascii="宋体" w:hAnsi="宋体" w:cs="宋体"/>
                <w:sz w:val="21"/>
                <w:szCs w:val="21"/>
              </w:rPr>
              <w:tab/>
            </w:r>
            <w:r>
              <w:rPr>
                <w:rFonts w:hint="eastAsia"/>
              </w:rPr>
              <w:t>本项目施工主要将原有商业楼结构二次加固，室内外原有结构部分拆除及二次结构装修建设，土建、电气、水暖、弱电、消防、通风、新风、空调工程建设，电梯、空气能设备采购安装，新建医疗污水处理系统，新建DR机房，DR设备采购安装，办公及医疗家具采购安装，原有医疗设备拆除搬迁安装(见附表)，原有办公及医疗家具拆除搬迁安装。施工期对环境产生影响的污染因素主要是施工扬尘、施工废水、施工噪声、固体废物，施工期工艺流程及排污节点图，见下图。</w:t>
            </w:r>
          </w:p>
          <w:p>
            <w:pPr>
              <w:pStyle w:val="12"/>
              <w:tabs>
                <w:tab w:val="left" w:pos="281"/>
              </w:tabs>
              <w:spacing w:line="360" w:lineRule="auto"/>
              <w:ind w:left="0" w:firstLine="0" w:firstLineChars="0"/>
              <w:rPr>
                <w:rFonts w:hint="eastAsia" w:ascii="宋体" w:hAnsi="宋体" w:eastAsia="宋体" w:cs="宋体"/>
                <w:sz w:val="21"/>
                <w:szCs w:val="21"/>
                <w:lang w:eastAsia="zh-CN"/>
              </w:rPr>
            </w:pPr>
            <w:r>
              <w:rPr>
                <w:sz w:val="21"/>
                <w:szCs w:val="21"/>
              </w:rPr>
              <mc:AlternateContent>
                <mc:Choice Requires="wps">
                  <w:drawing>
                    <wp:anchor distT="0" distB="0" distL="114300" distR="114300" simplePos="0" relativeHeight="251664384" behindDoc="0" locked="0" layoutInCell="1" allowOverlap="1">
                      <wp:simplePos x="0" y="0"/>
                      <wp:positionH relativeFrom="column">
                        <wp:posOffset>1400175</wp:posOffset>
                      </wp:positionH>
                      <wp:positionV relativeFrom="paragraph">
                        <wp:posOffset>1880870</wp:posOffset>
                      </wp:positionV>
                      <wp:extent cx="1824990" cy="333375"/>
                      <wp:effectExtent l="4445" t="4445" r="18415" b="5080"/>
                      <wp:wrapNone/>
                      <wp:docPr id="63" name="文本框 63"/>
                      <wp:cNvGraphicFramePr/>
                      <a:graphic xmlns:a="http://schemas.openxmlformats.org/drawingml/2006/main">
                        <a:graphicData uri="http://schemas.microsoft.com/office/word/2010/wordprocessingShape">
                          <wps:wsp>
                            <wps:cNvSpPr txBox="1"/>
                            <wps:spPr>
                              <a:xfrm>
                                <a:off x="0" y="0"/>
                                <a:ext cx="1824990" cy="333375"/>
                              </a:xfrm>
                              <a:prstGeom prst="rect">
                                <a:avLst/>
                              </a:prstGeom>
                              <a:noFill/>
                              <a:ln w="0" cap="flat" cmpd="sng">
                                <a:solidFill>
                                  <a:srgbClr val="FFFFFF"/>
                                </a:solidFill>
                                <a:prstDash val="solid"/>
                                <a:miter/>
                                <a:headEnd type="none" w="med" len="med"/>
                                <a:tailEnd type="none" w="med" len="med"/>
                              </a:ln>
                            </wps:spPr>
                            <wps:txbx>
                              <w:txbxContent>
                                <w:p>
                                  <w:pPr>
                                    <w:tabs>
                                      <w:tab w:val="left" w:pos="1002"/>
                                    </w:tabs>
                                    <w:spacing w:before="76"/>
                                    <w:jc w:val="center"/>
                                    <w:rPr>
                                      <w:rFonts w:ascii="宋体" w:hAnsi="宋体" w:cs="宋体"/>
                                      <w:b/>
                                      <w:bCs/>
                                      <w:color w:val="000000"/>
                                      <w:kern w:val="21"/>
                                      <w:szCs w:val="21"/>
                                    </w:rPr>
                                  </w:pPr>
                                  <w:r>
                                    <w:rPr>
                                      <w:rFonts w:hint="eastAsia" w:ascii="宋体" w:hAnsi="宋体" w:cs="宋体"/>
                                      <w:b/>
                                      <w:bCs/>
                                      <w:color w:val="000000"/>
                                      <w:kern w:val="21"/>
                                      <w:szCs w:val="21"/>
                                    </w:rPr>
                                    <w:t>图</w:t>
                                  </w:r>
                                  <w:r>
                                    <w:rPr>
                                      <w:b/>
                                      <w:bCs/>
                                      <w:color w:val="000000"/>
                                      <w:kern w:val="21"/>
                                      <w:szCs w:val="21"/>
                                    </w:rPr>
                                    <w:t>2-</w:t>
                                  </w:r>
                                  <w:r>
                                    <w:rPr>
                                      <w:rFonts w:hint="eastAsia"/>
                                      <w:b/>
                                      <w:bCs/>
                                      <w:color w:val="000000"/>
                                      <w:kern w:val="21"/>
                                      <w:szCs w:val="21"/>
                                    </w:rPr>
                                    <w:t>2</w:t>
                                  </w:r>
                                  <w:r>
                                    <w:rPr>
                                      <w:rFonts w:hint="eastAsia" w:ascii="宋体" w:hAnsi="宋体" w:cs="宋体"/>
                                      <w:b/>
                                      <w:bCs/>
                                      <w:color w:val="000000"/>
                                      <w:kern w:val="21"/>
                                      <w:szCs w:val="21"/>
                                    </w:rPr>
                                    <w:t xml:space="preserve"> 施工期工艺流程图</w:t>
                                  </w:r>
                                </w:p>
                                <w:p/>
                              </w:txbxContent>
                            </wps:txbx>
                            <wps:bodyPr upright="1"/>
                          </wps:wsp>
                        </a:graphicData>
                      </a:graphic>
                    </wp:anchor>
                  </w:drawing>
                </mc:Choice>
                <mc:Fallback>
                  <w:pict>
                    <v:shape id="_x0000_s1026" o:spid="_x0000_s1026" o:spt="202" type="#_x0000_t202" style="position:absolute;left:0pt;margin-left:110.25pt;margin-top:148.1pt;height:26.25pt;width:143.7pt;z-index:251664384;mso-width-relative:page;mso-height-relative:page;" filled="f" stroked="t" coordsize="21600,21600" o:gfxdata="UEsDBAoAAAAAAIdO4kAAAAAAAAAAAAAAAAAEAAAAZHJzL1BLAwQUAAAACACHTuJAm6EfWdoAAAAL&#10;AQAADwAAAGRycy9kb3ducmV2LnhtbE2PwUrEMBCG74LvEEbw5iZN3e22Nl1QUFBProLXbDO2xSYp&#10;SbpbfXrHk95mmI9/vr/eLXZkRwxx8E5BthLA0LXeDK5T8PZ6f7UFFpN2Ro/eoYIvjLBrzs9qXRl/&#10;ci943KeOUYiLlVbQpzRVnMe2R6vjyk/o6Pbhg9WJ1tBxE/SJwu3IpRAbbvXg6EOvJ7zrsf3cz1aB&#10;nb+fS7mExy57eH/CPL8di2lR6vIiEzfAEi7pD4ZffVKHhpwOfnYmslGBlGJNKA3lRgIjYi2KEthB&#10;QX69LYA3Nf/fofkBUEsDBBQAAAAIAIdO4kCU2bnaAgIAAAwEAAAOAAAAZHJzL2Uyb0RvYy54bWyt&#10;U81uEzEQviPxDpbvZNMUShtlUwlCuCBAKjzAxPbuWvKfPE528wLwBpy4cOe58hwde9MUyiUH9uAd&#10;ez5/M/PNeHE7WMN2KqL2ruYXkylnygkvtWtr/vXL+sU1Z5jASTDeqZrvFfLb5fNniz7M1cx33kgV&#10;GZE4nPeh5l1KYV5VKDplASc+KEfOxkcLibaxrWSEntitqWbT6VXV+yhD9EIh0ulqdPIjYzyH0DeN&#10;FmrlxdYql0bWqAwkKgk7HZAvS7ZNo0T61DSoEjM1p0pTWSkI2Zu8VssFzNsIodPimAKck8KTmixo&#10;R0FPVCtIwLZR/0NltYgefZMmwttqLKQoQlVcTJ9oc9dBUKUWkhrDSXT8f7Ti4+5zZFrW/OqSMweW&#10;On748f3w8/fh1zdGZyRQH3BOuLtAyDS88QONzcM50mGue2iizX+qiJGf5N2f5FVDYiJfup69vLkh&#10;lyDfJX2vX2Wa6vF2iJjeK29ZNmoeqX1FVdh9wDRCHyA5mPNrbUxpoXGsL2EF0Ew2NAsUxgaqC11b&#10;ONAbLTM+38TYbt6ayHZAc7Eu3zGVv2A52AqwG3HFlWEwtzqpWKxOgXznJEv7QNI5ejI8Z2KV5Mwo&#10;emHZKsgE2pyDJD2MI1my7KO82UrDZiCabG683FMrtiHqtiOZSjMKnIak6Hkc6DyFf+4L6eMjXt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6EfWdoAAAALAQAADwAAAAAAAAABACAAAAAiAAAAZHJz&#10;L2Rvd25yZXYueG1sUEsBAhQAFAAAAAgAh07iQJTZudoCAgAADAQAAA4AAAAAAAAAAQAgAAAAKQEA&#10;AGRycy9lMm9Eb2MueG1sUEsFBgAAAAAGAAYAWQEAAJ0FAAAAAA==&#10;">
                      <v:fill on="f" focussize="0,0"/>
                      <v:stroke weight="0pt" color="#FFFFFF" joinstyle="miter"/>
                      <v:imagedata o:title=""/>
                      <o:lock v:ext="edit" aspectratio="f"/>
                      <v:textbox>
                        <w:txbxContent>
                          <w:p>
                            <w:pPr>
                              <w:tabs>
                                <w:tab w:val="left" w:pos="1002"/>
                              </w:tabs>
                              <w:spacing w:before="76"/>
                              <w:jc w:val="center"/>
                              <w:rPr>
                                <w:rFonts w:ascii="宋体" w:hAnsi="宋体" w:cs="宋体"/>
                                <w:b/>
                                <w:bCs/>
                                <w:color w:val="000000"/>
                                <w:kern w:val="21"/>
                                <w:szCs w:val="21"/>
                              </w:rPr>
                            </w:pPr>
                            <w:r>
                              <w:rPr>
                                <w:rFonts w:hint="eastAsia" w:ascii="宋体" w:hAnsi="宋体" w:cs="宋体"/>
                                <w:b/>
                                <w:bCs/>
                                <w:color w:val="000000"/>
                                <w:kern w:val="21"/>
                                <w:szCs w:val="21"/>
                              </w:rPr>
                              <w:t>图</w:t>
                            </w:r>
                            <w:r>
                              <w:rPr>
                                <w:b/>
                                <w:bCs/>
                                <w:color w:val="000000"/>
                                <w:kern w:val="21"/>
                                <w:szCs w:val="21"/>
                              </w:rPr>
                              <w:t>2-</w:t>
                            </w:r>
                            <w:r>
                              <w:rPr>
                                <w:rFonts w:hint="eastAsia"/>
                                <w:b/>
                                <w:bCs/>
                                <w:color w:val="000000"/>
                                <w:kern w:val="21"/>
                                <w:szCs w:val="21"/>
                              </w:rPr>
                              <w:t>2</w:t>
                            </w:r>
                            <w:r>
                              <w:rPr>
                                <w:rFonts w:hint="eastAsia" w:ascii="宋体" w:hAnsi="宋体" w:cs="宋体"/>
                                <w:b/>
                                <w:bCs/>
                                <w:color w:val="000000"/>
                                <w:kern w:val="21"/>
                                <w:szCs w:val="21"/>
                              </w:rPr>
                              <w:t xml:space="preserve"> 施工期工艺流程图</w:t>
                            </w:r>
                          </w:p>
                          <w:p/>
                        </w:txbxContent>
                      </v:textbox>
                    </v:shape>
                  </w:pict>
                </mc:Fallback>
              </mc:AlternateContent>
            </w:r>
            <w:r>
              <w:rPr>
                <w:rFonts w:hint="eastAsia" w:ascii="宋体" w:hAnsi="宋体" w:eastAsia="宋体" w:cs="宋体"/>
                <w:sz w:val="21"/>
                <w:szCs w:val="21"/>
                <w:lang w:eastAsia="zh-CN"/>
              </w:rPr>
              <w:drawing>
                <wp:inline distT="0" distB="0" distL="114300" distR="114300">
                  <wp:extent cx="4770755" cy="1800225"/>
                  <wp:effectExtent l="0" t="0" r="0" b="0"/>
                  <wp:docPr id="43" name="图片 43" descr="未命名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未命名文件(1)"/>
                          <pic:cNvPicPr>
                            <a:picLocks noChangeAspect="1"/>
                          </pic:cNvPicPr>
                        </pic:nvPicPr>
                        <pic:blipFill>
                          <a:blip r:embed="rId10"/>
                          <a:stretch>
                            <a:fillRect/>
                          </a:stretch>
                        </pic:blipFill>
                        <pic:spPr>
                          <a:xfrm>
                            <a:off x="0" y="0"/>
                            <a:ext cx="4770755" cy="1800225"/>
                          </a:xfrm>
                          <a:prstGeom prst="rect">
                            <a:avLst/>
                          </a:prstGeom>
                        </pic:spPr>
                      </pic:pic>
                    </a:graphicData>
                  </a:graphic>
                </wp:inline>
              </w:drawing>
            </w:r>
          </w:p>
          <w:p>
            <w:pPr>
              <w:pStyle w:val="12"/>
              <w:tabs>
                <w:tab w:val="left" w:pos="281"/>
              </w:tabs>
              <w:spacing w:line="360" w:lineRule="auto"/>
              <w:ind w:left="0" w:firstLine="0" w:firstLineChars="0"/>
              <w:rPr>
                <w:rFonts w:ascii="宋体" w:hAnsi="宋体" w:cs="宋体"/>
                <w:sz w:val="21"/>
                <w:szCs w:val="21"/>
              </w:rPr>
            </w:pPr>
          </w:p>
          <w:p>
            <w:pPr>
              <w:pStyle w:val="12"/>
              <w:tabs>
                <w:tab w:val="left" w:pos="281"/>
              </w:tabs>
              <w:spacing w:line="360" w:lineRule="auto"/>
              <w:ind w:left="0" w:firstLine="0" w:firstLineChars="0"/>
              <w:rPr>
                <w:rFonts w:ascii="宋体" w:hAnsi="宋体" w:cs="宋体"/>
                <w:sz w:val="21"/>
                <w:szCs w:val="21"/>
              </w:rPr>
            </w:pPr>
            <w:r>
              <w:rPr>
                <w:rFonts w:hint="eastAsia" w:ascii="宋体" w:hAnsi="宋体" w:cs="宋体"/>
                <w:sz w:val="21"/>
                <w:szCs w:val="21"/>
              </w:rPr>
              <w:t>二、运营期工艺流程及产排污环节简述：</w:t>
            </w:r>
          </w:p>
          <w:p>
            <w:pPr>
              <w:pStyle w:val="12"/>
              <w:spacing w:line="360" w:lineRule="auto"/>
              <w:ind w:left="0" w:firstLine="0" w:firstLineChars="0"/>
              <w:rPr>
                <w:rFonts w:ascii="宋体" w:hAnsi="宋体" w:cs="宋体"/>
                <w:sz w:val="21"/>
                <w:szCs w:val="21"/>
              </w:rPr>
            </w:pPr>
            <w:r>
              <w:rPr>
                <w:rFonts w:hint="eastAsia" w:ascii="宋体" w:hAnsi="宋体" w:cs="宋体"/>
                <w:sz w:val="21"/>
                <w:szCs w:val="21"/>
              </w:rPr>
              <w:t>①项目为医院，投入运营后，主要流程和排污节点见下图。</w:t>
            </w:r>
          </w:p>
          <w:p>
            <w:pPr>
              <w:pStyle w:val="12"/>
              <w:spacing w:line="360" w:lineRule="auto"/>
              <w:ind w:left="0" w:firstLine="0" w:firstLineChars="0"/>
              <w:rPr>
                <w:rFonts w:ascii="宋体" w:hAnsi="宋体" w:cs="宋体"/>
                <w:sz w:val="21"/>
                <w:szCs w:val="21"/>
              </w:rPr>
            </w:pPr>
            <w:r>
              <w:rPr>
                <w:rFonts w:eastAsia="黑体"/>
                <w:kern w:val="2"/>
                <w:sz w:val="21"/>
                <w:szCs w:val="21"/>
              </w:rPr>
              <w:drawing>
                <wp:anchor distT="0" distB="0" distL="114300" distR="114300" simplePos="0" relativeHeight="251661312" behindDoc="1" locked="0" layoutInCell="1" allowOverlap="1">
                  <wp:simplePos x="0" y="0"/>
                  <wp:positionH relativeFrom="column">
                    <wp:posOffset>130175</wp:posOffset>
                  </wp:positionH>
                  <wp:positionV relativeFrom="paragraph">
                    <wp:posOffset>133350</wp:posOffset>
                  </wp:positionV>
                  <wp:extent cx="4453890" cy="2926080"/>
                  <wp:effectExtent l="0" t="0" r="3810" b="7620"/>
                  <wp:wrapNone/>
                  <wp:docPr id="1" name="图片 2" descr="C:\Users\韩志浩\Desktop\工艺流程.png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韩志浩\Desktop\工艺流程.png工艺流程"/>
                          <pic:cNvPicPr>
                            <a:picLocks noChangeAspect="1"/>
                          </pic:cNvPicPr>
                        </pic:nvPicPr>
                        <pic:blipFill>
                          <a:blip r:embed="rId11"/>
                          <a:stretch>
                            <a:fillRect/>
                          </a:stretch>
                        </pic:blipFill>
                        <pic:spPr>
                          <a:xfrm>
                            <a:off x="0" y="0"/>
                            <a:ext cx="4453890" cy="2926080"/>
                          </a:xfrm>
                          <a:prstGeom prst="rect">
                            <a:avLst/>
                          </a:prstGeom>
                          <a:noFill/>
                          <a:ln>
                            <a:noFill/>
                          </a:ln>
                        </pic:spPr>
                      </pic:pic>
                    </a:graphicData>
                  </a:graphic>
                </wp:anchor>
              </w:drawing>
            </w:r>
          </w:p>
          <w:p>
            <w:pPr>
              <w:pStyle w:val="12"/>
              <w:spacing w:line="360" w:lineRule="auto"/>
              <w:ind w:left="0" w:firstLine="0" w:firstLineChars="0"/>
              <w:rPr>
                <w:rFonts w:ascii="宋体" w:hAnsi="宋体" w:cs="宋体"/>
                <w:sz w:val="21"/>
                <w:szCs w:val="21"/>
              </w:rPr>
            </w:pPr>
          </w:p>
          <w:p>
            <w:pPr>
              <w:pStyle w:val="12"/>
              <w:spacing w:line="360" w:lineRule="auto"/>
              <w:ind w:left="0" w:firstLine="0" w:firstLineChars="0"/>
              <w:rPr>
                <w:rFonts w:ascii="宋体" w:hAnsi="宋体" w:cs="宋体"/>
                <w:sz w:val="21"/>
                <w:szCs w:val="21"/>
              </w:rPr>
            </w:pPr>
          </w:p>
          <w:p>
            <w:pPr>
              <w:pStyle w:val="12"/>
              <w:spacing w:line="360" w:lineRule="auto"/>
              <w:ind w:left="0" w:firstLine="0" w:firstLineChars="0"/>
              <w:rPr>
                <w:rFonts w:ascii="宋体" w:hAnsi="宋体" w:cs="宋体"/>
                <w:sz w:val="21"/>
                <w:szCs w:val="21"/>
              </w:rPr>
            </w:pPr>
            <w:r>
              <w:rPr>
                <w:sz w:val="21"/>
                <w:szCs w:val="21"/>
              </w:rPr>
              <mc:AlternateContent>
                <mc:Choice Requires="wps">
                  <w:drawing>
                    <wp:anchor distT="0" distB="0" distL="114300" distR="114300" simplePos="0" relativeHeight="251660288" behindDoc="0" locked="0" layoutInCell="1" allowOverlap="1">
                      <wp:simplePos x="0" y="0"/>
                      <wp:positionH relativeFrom="column">
                        <wp:posOffset>2421890</wp:posOffset>
                      </wp:positionH>
                      <wp:positionV relativeFrom="paragraph">
                        <wp:posOffset>167640</wp:posOffset>
                      </wp:positionV>
                      <wp:extent cx="704850" cy="390525"/>
                      <wp:effectExtent l="0" t="0" r="0" b="0"/>
                      <wp:wrapNone/>
                      <wp:docPr id="7" name="矩形 7"/>
                      <wp:cNvGraphicFramePr/>
                      <a:graphic xmlns:a="http://schemas.openxmlformats.org/drawingml/2006/main">
                        <a:graphicData uri="http://schemas.microsoft.com/office/word/2010/wordprocessingShape">
                          <wps:wsp>
                            <wps:cNvSpPr/>
                            <wps:spPr>
                              <a:xfrm>
                                <a:off x="4309110" y="5788660"/>
                                <a:ext cx="704850" cy="3905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ascii="Malgun Gothic" w:hAnsi="Malgun Gothic" w:eastAsia="Malgun Gothic" w:cs="Malgun Gothic"/>
                                    </w:rPr>
                                  </w:pPr>
                                  <w:r>
                                    <w:rPr>
                                      <w:rFonts w:hint="eastAsia" w:ascii="Malgun Gothic" w:hAnsi="Malgun Gothic" w:eastAsia="Malgun Gothic" w:cs="Malgun Gothic"/>
                                    </w:rPr>
                                    <w:t>、G2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7pt;margin-top:13.2pt;height:30.75pt;width:55.5pt;z-index:251660288;v-text-anchor:middle;mso-width-relative:page;mso-height-relative:page;" filled="f" stroked="f" coordsize="21600,21600" o:gfxdata="UEsDBAoAAAAAAIdO4kAAAAAAAAAAAAAAAAAEAAAAZHJzL1BLAwQUAAAACACHTuJAJ0+GltcAAAAJ&#10;AQAADwAAAGRycy9kb3ducmV2LnhtbE2PwU7DMAyG70i8Q2QkbixtmUZX6k4CCSG0A9qAe5pkbUXj&#10;VE3abm+POcHJtvzp9+dyd3a9mO0YOk8I6SoBYUl701GD8PnxcpeDCFGRUb0ni3CxAXbV9VWpCuMX&#10;Otj5GBvBIRQKhdDGOBRSBt1ap8LKD5Z4d/KjU5HHsZFmVAuHu15mSbKRTnXEF1o12OfW6u/j5BC+&#10;/Olpcbqmt/ny3k2v+1HrfI94e5MmjyCiPcc/GH71WR0qdqr9RCaIHuE+T9eMImQbrgystxk3NUL+&#10;sAVZlfL/B9UPUEsDBBQAAAAIAIdO4kDvPcEIawIAALgEAAAOAAAAZHJzL2Uyb0RvYy54bWytVM1u&#10;EzEQviPxDpbvdDdp0qRRN1XUqAipgkoFcXa8dtaS/7CdbMrLIHHjIXgcxGvweXfbRoVDD+TgzHgm&#10;38x8/iYXlwejyV6EqJyt6OikpERY7mpltxX99PH6zZySmJitmXZWVPReRHq5fP3qovULMXaN07UI&#10;BCA2Llpf0SYlvyiKyBthWDxxXlgEpQuGJbhhW9SBtUA3uhiX5VnRulD74LiIEbfrPkgHxPASQCel&#10;4mLt+M4Im3rUIDRLGCk2yke67LqVUvD0QcooEtEVxaSpO1EE9iafxfKCLbaB+UbxoQX2khaezWSY&#10;sij6CLVmiZFdUH9BGcWDi06mE+5M0Q/SMYIpRuUzbu4a5kU3C6iO/pH0+P9g+fv9bSCqruiMEssM&#10;Hvz3tx+/fn4ns8xN6+MCKXf+NgxehJkHPchg8jdGIIeKTk7L89EIrN5XdDqbz8/OBm7FIRGOhFk5&#10;mU8R50g4PS+n42nGL56AfIjprXCGZKOiAU/XMcr2NzH1qQ8pua5110pr3LOFtqSFksezMuMzaFJC&#10;CzCNx1zRbilhegux8xQ6yKPfZsg1iw3ZMygkOq3qXhNGJchcK1PReZk/Q7vaoutMS09EttJhcxjY&#10;2bj6HnwG1wsten6tUOGGxXTLApSFDrF76QMOqR3adoNFSePC13/d53w8OKKUtFAq2vyyY0FQot9Z&#10;SOF8NJkANnXOZDobwwnHkc1xxO7MlcOoI2y5552Z85N+MGVw5jNWdJWrIsQsR+2evMG5Sv0GYcm5&#10;WK26NMjZs3Rj7zzP4P0TrXbJSdW9XiaqZ2fgD4Lu3n9Yvrwxx36X9fSHs/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J0+GltcAAAAJAQAADwAAAAAAAAABACAAAAAiAAAAZHJzL2Rvd25yZXYueG1s&#10;UEsBAhQAFAAAAAgAh07iQO89wQhrAgAAuAQAAA4AAAAAAAAAAQAgAAAAJgEAAGRycy9lMm9Eb2Mu&#10;eG1sUEsFBgAAAAAGAAYAWQEAAAMGAAAAAA==&#10;">
                      <v:fill on="f" focussize="0,0"/>
                      <v:stroke on="f" weight="1pt" miterlimit="8" joinstyle="miter"/>
                      <v:imagedata o:title=""/>
                      <o:lock v:ext="edit" aspectratio="f"/>
                      <v:textbox>
                        <w:txbxContent>
                          <w:p>
                            <w:pPr>
                              <w:jc w:val="center"/>
                              <w:rPr>
                                <w:rFonts w:ascii="Malgun Gothic" w:hAnsi="Malgun Gothic" w:eastAsia="Malgun Gothic" w:cs="Malgun Gothic"/>
                              </w:rPr>
                            </w:pPr>
                            <w:r>
                              <w:rPr>
                                <w:rFonts w:hint="eastAsia" w:ascii="Malgun Gothic" w:hAnsi="Malgun Gothic" w:eastAsia="Malgun Gothic" w:cs="Malgun Gothic"/>
                              </w:rPr>
                              <w:t>、G2</w:t>
                            </w:r>
                          </w:p>
                        </w:txbxContent>
                      </v:textbox>
                    </v:rect>
                  </w:pict>
                </mc:Fallback>
              </mc:AlternateContent>
            </w:r>
          </w:p>
          <w:p>
            <w:pPr>
              <w:pStyle w:val="12"/>
              <w:spacing w:line="360" w:lineRule="auto"/>
              <w:ind w:left="0" w:firstLine="0" w:firstLineChars="0"/>
              <w:rPr>
                <w:rFonts w:ascii="宋体" w:hAnsi="宋体" w:cs="宋体"/>
                <w:sz w:val="21"/>
                <w:szCs w:val="21"/>
              </w:rPr>
            </w:pPr>
          </w:p>
          <w:p>
            <w:pPr>
              <w:pStyle w:val="12"/>
              <w:spacing w:line="360" w:lineRule="auto"/>
              <w:ind w:left="0" w:firstLine="0" w:firstLineChars="0"/>
              <w:rPr>
                <w:rFonts w:ascii="宋体" w:hAnsi="宋体" w:cs="宋体"/>
                <w:sz w:val="21"/>
                <w:szCs w:val="21"/>
              </w:rPr>
            </w:pPr>
          </w:p>
          <w:p>
            <w:pPr>
              <w:pStyle w:val="12"/>
              <w:spacing w:line="360" w:lineRule="auto"/>
              <w:ind w:left="0" w:firstLine="0" w:firstLineChars="0"/>
              <w:rPr>
                <w:rFonts w:ascii="宋体" w:hAnsi="宋体" w:cs="宋体"/>
                <w:sz w:val="21"/>
                <w:szCs w:val="21"/>
              </w:rPr>
            </w:pPr>
          </w:p>
          <w:p>
            <w:pPr>
              <w:pStyle w:val="12"/>
              <w:spacing w:line="360" w:lineRule="auto"/>
              <w:ind w:left="0" w:firstLine="0" w:firstLineChars="0"/>
              <w:rPr>
                <w:rFonts w:ascii="宋体" w:hAnsi="宋体" w:cs="宋体"/>
                <w:sz w:val="21"/>
                <w:szCs w:val="21"/>
              </w:rPr>
            </w:pPr>
          </w:p>
          <w:p>
            <w:pPr>
              <w:pStyle w:val="12"/>
              <w:spacing w:line="360" w:lineRule="auto"/>
              <w:ind w:left="0" w:firstLine="0" w:firstLineChars="0"/>
              <w:rPr>
                <w:rFonts w:ascii="宋体" w:hAnsi="宋体" w:cs="宋体"/>
                <w:sz w:val="21"/>
                <w:szCs w:val="21"/>
              </w:rPr>
            </w:pPr>
          </w:p>
          <w:p>
            <w:pPr>
              <w:pStyle w:val="12"/>
              <w:spacing w:line="360" w:lineRule="auto"/>
              <w:ind w:left="0" w:firstLine="0" w:firstLineChars="0"/>
              <w:rPr>
                <w:rFonts w:ascii="宋体" w:hAnsi="宋体" w:cs="宋体"/>
                <w:sz w:val="21"/>
                <w:szCs w:val="21"/>
              </w:rPr>
            </w:pPr>
          </w:p>
          <w:p>
            <w:pPr>
              <w:pStyle w:val="12"/>
              <w:spacing w:line="360" w:lineRule="auto"/>
              <w:ind w:left="0" w:firstLine="0" w:firstLineChars="0"/>
              <w:jc w:val="center"/>
              <w:rPr>
                <w:b/>
                <w:bCs/>
                <w:sz w:val="21"/>
                <w:szCs w:val="21"/>
              </w:rPr>
            </w:pPr>
            <w:r>
              <w:rPr>
                <w:b/>
                <w:bCs/>
                <w:sz w:val="21"/>
                <w:szCs w:val="21"/>
              </w:rPr>
              <w:t>图2-</w:t>
            </w:r>
            <w:r>
              <w:rPr>
                <w:rFonts w:hint="eastAsia"/>
                <w:b/>
                <w:bCs/>
                <w:sz w:val="21"/>
                <w:szCs w:val="21"/>
              </w:rPr>
              <w:t>3</w:t>
            </w:r>
            <w:r>
              <w:rPr>
                <w:b/>
                <w:bCs/>
                <w:sz w:val="21"/>
                <w:szCs w:val="21"/>
              </w:rPr>
              <w:t>医院运营流程及排污节点图</w:t>
            </w:r>
          </w:p>
          <w:p>
            <w:pPr>
              <w:pStyle w:val="12"/>
              <w:spacing w:line="360" w:lineRule="auto"/>
              <w:ind w:left="0" w:leftChars="0" w:firstLine="420" w:firstLineChars="200"/>
              <w:rPr>
                <w:rFonts w:ascii="宋体" w:hAnsi="宋体" w:cs="宋体"/>
                <w:sz w:val="21"/>
                <w:szCs w:val="21"/>
              </w:rPr>
            </w:pPr>
            <w:r>
              <w:rPr>
                <w:rFonts w:ascii="宋体" w:hAnsi="宋体" w:cs="宋体"/>
                <w:sz w:val="21"/>
                <w:szCs w:val="21"/>
              </w:rPr>
              <w:t>医院投入运营后主要产污情况为：</w:t>
            </w:r>
          </w:p>
          <w:p>
            <w:pPr>
              <w:pStyle w:val="12"/>
              <w:spacing w:line="360" w:lineRule="auto"/>
              <w:ind w:left="0" w:firstLine="420" w:firstLineChars="200"/>
              <w:rPr>
                <w:rFonts w:ascii="宋体" w:hAnsi="宋体" w:cs="宋体"/>
                <w:sz w:val="21"/>
                <w:szCs w:val="21"/>
              </w:rPr>
            </w:pPr>
            <w:r>
              <w:rPr>
                <w:rFonts w:ascii="宋体" w:hAnsi="宋体" w:cs="宋体"/>
                <w:sz w:val="21"/>
                <w:szCs w:val="21"/>
              </w:rPr>
              <w:t>a.废气：污水处理站无组织恶臭；</w:t>
            </w:r>
            <w:r>
              <w:rPr>
                <w:rFonts w:hint="eastAsia" w:ascii="宋体" w:hAnsi="宋体" w:cs="宋体"/>
                <w:sz w:val="21"/>
                <w:szCs w:val="21"/>
              </w:rPr>
              <w:t>食堂油烟；</w:t>
            </w:r>
          </w:p>
          <w:p>
            <w:pPr>
              <w:pStyle w:val="12"/>
              <w:spacing w:line="360" w:lineRule="auto"/>
              <w:ind w:left="0" w:firstLine="420" w:firstLineChars="200"/>
              <w:rPr>
                <w:rFonts w:ascii="宋体" w:hAnsi="宋体" w:cs="宋体"/>
                <w:sz w:val="21"/>
                <w:szCs w:val="21"/>
              </w:rPr>
            </w:pPr>
            <w:r>
              <w:rPr>
                <w:rFonts w:ascii="宋体" w:hAnsi="宋体" w:cs="宋体"/>
                <w:sz w:val="21"/>
                <w:szCs w:val="21"/>
              </w:rPr>
              <w:t>b.废水：医院诊断治疗产生污水、医务人员及就诊人员生活污水；</w:t>
            </w:r>
          </w:p>
          <w:p>
            <w:pPr>
              <w:pStyle w:val="12"/>
              <w:spacing w:line="360" w:lineRule="auto"/>
              <w:ind w:left="0" w:firstLine="420" w:firstLineChars="200"/>
              <w:rPr>
                <w:rFonts w:ascii="宋体" w:hAnsi="宋体" w:cs="宋体"/>
                <w:sz w:val="21"/>
                <w:szCs w:val="21"/>
              </w:rPr>
            </w:pPr>
            <w:r>
              <w:rPr>
                <w:rFonts w:ascii="宋体" w:hAnsi="宋体" w:cs="宋体"/>
                <w:sz w:val="21"/>
                <w:szCs w:val="21"/>
              </w:rPr>
              <w:t>c.噪声：污水处理站设备运行噪声；</w:t>
            </w:r>
          </w:p>
          <w:p>
            <w:pPr>
              <w:pStyle w:val="12"/>
              <w:spacing w:line="360" w:lineRule="auto"/>
              <w:ind w:left="0" w:firstLine="420" w:firstLineChars="200"/>
              <w:rPr>
                <w:rFonts w:ascii="宋体" w:hAnsi="宋体" w:cs="宋体"/>
                <w:sz w:val="21"/>
                <w:szCs w:val="21"/>
              </w:rPr>
            </w:pPr>
            <w:r>
              <w:rPr>
                <w:rFonts w:ascii="宋体" w:hAnsi="宋体" w:cs="宋体"/>
                <w:sz w:val="21"/>
                <w:szCs w:val="21"/>
              </w:rPr>
              <w:t>d.固废：生活垃圾、医疗废物、危险废物、污水处理站栅渣和污泥。</w:t>
            </w:r>
          </w:p>
          <w:p>
            <w:pPr>
              <w:pStyle w:val="12"/>
              <w:spacing w:line="360" w:lineRule="auto"/>
              <w:ind w:left="0" w:firstLine="420" w:firstLineChars="200"/>
              <w:rPr>
                <w:rFonts w:ascii="宋体" w:hAnsi="宋体" w:cs="宋体"/>
                <w:sz w:val="21"/>
                <w:szCs w:val="21"/>
              </w:rPr>
            </w:pPr>
            <w:r>
              <w:rPr>
                <w:rFonts w:ascii="宋体" w:hAnsi="宋体" w:cs="宋体"/>
                <w:sz w:val="21"/>
                <w:szCs w:val="21"/>
              </w:rPr>
              <w:t>②项目污水处理站工艺流程：</w:t>
            </w:r>
          </w:p>
          <w:p>
            <w:pPr>
              <w:pStyle w:val="12"/>
              <w:spacing w:line="360" w:lineRule="auto"/>
              <w:ind w:left="0" w:firstLine="420" w:firstLineChars="200"/>
              <w:rPr>
                <w:rFonts w:ascii="宋体" w:hAnsi="宋体" w:cs="宋体"/>
                <w:sz w:val="21"/>
                <w:szCs w:val="21"/>
              </w:rPr>
            </w:pPr>
            <w:r>
              <w:rPr>
                <w:rFonts w:ascii="宋体" w:hAnsi="宋体" w:cs="宋体"/>
                <w:sz w:val="21"/>
                <w:szCs w:val="21"/>
              </w:rPr>
              <w:t>本工程处理的污水为典型的综合生活污水，</w:t>
            </w:r>
            <w:r>
              <w:rPr>
                <w:sz w:val="21"/>
                <w:szCs w:val="21"/>
              </w:rPr>
              <w:t>BOD/COD值在0.5以上，属可生化性较好，因此拟采用A/O生物接触</w:t>
            </w:r>
            <w:r>
              <w:rPr>
                <w:rFonts w:ascii="宋体" w:hAnsi="宋体" w:cs="宋体"/>
                <w:sz w:val="21"/>
                <w:szCs w:val="21"/>
              </w:rPr>
              <w:t>氧化工艺+消毒工艺，该工艺操作简单，运转费用低，处理效果好，运行稳定。是目前较为成熟的生活污水处理工艺，能有效地确保污水达标回用或排放。</w:t>
            </w:r>
          </w:p>
          <w:p>
            <w:pPr>
              <w:pStyle w:val="12"/>
              <w:spacing w:line="360" w:lineRule="auto"/>
              <w:ind w:left="0" w:firstLine="420" w:firstLineChars="200"/>
              <w:rPr>
                <w:rFonts w:ascii="宋体" w:hAnsi="宋体" w:cs="宋体"/>
                <w:sz w:val="21"/>
                <w:szCs w:val="21"/>
              </w:rPr>
            </w:pPr>
            <w:r>
              <w:rPr>
                <w:rFonts w:ascii="宋体" w:hAnsi="宋体" w:cs="宋体"/>
                <w:sz w:val="21"/>
                <w:szCs w:val="21"/>
              </w:rPr>
              <w:t>污水由排水系统收集后，进入污水处理站的格栅井，去除颗粒杂物后，进入调节池，进行均质均量，调节池中设置液位控制器，再经液位控制仪传递信号，由提升泵送至A级生物接触氧化池，进行酸化水解和硝化反硝化，降低有机物浓度，去除部分氨氮，然后流</w:t>
            </w:r>
            <w:r>
              <w:rPr>
                <w:sz w:val="21"/>
                <w:szCs w:val="21"/>
              </w:rPr>
              <w:t>入O</w:t>
            </w:r>
            <w:r>
              <w:rPr>
                <w:rFonts w:ascii="宋体" w:hAnsi="宋体" w:cs="宋体"/>
                <w:sz w:val="21"/>
                <w:szCs w:val="21"/>
              </w:rPr>
              <w:t>级生物接触氧化池进行好氧生化反应，在此绝大部分有机污染物通过生物氧化、吸附得以降解，</w:t>
            </w:r>
            <w:r>
              <w:rPr>
                <w:sz w:val="21"/>
                <w:szCs w:val="21"/>
              </w:rPr>
              <w:t>从O级</w:t>
            </w:r>
            <w:r>
              <w:rPr>
                <w:rFonts w:ascii="宋体" w:hAnsi="宋体" w:cs="宋体"/>
                <w:sz w:val="21"/>
                <w:szCs w:val="21"/>
              </w:rPr>
              <w:t>生物接触氧化池自流入二沉池，进行泥水分离，在该池内，脱落的生物膜以及其他悬浮物沉降到池底，上部清澈的水经多介质过滤器过滤后流入清水池，清水池内的清水经二氧化氯发生器消毒后回用或排放。</w:t>
            </w:r>
          </w:p>
          <w:p>
            <w:pPr>
              <w:pStyle w:val="12"/>
              <w:spacing w:line="360" w:lineRule="auto"/>
              <w:ind w:left="0" w:firstLine="420" w:firstLineChars="200"/>
              <w:rPr>
                <w:rFonts w:ascii="宋体" w:hAnsi="宋体" w:cs="宋体"/>
                <w:sz w:val="21"/>
                <w:szCs w:val="21"/>
              </w:rPr>
            </w:pPr>
            <w:r>
              <w:rPr>
                <w:rFonts w:ascii="宋体" w:hAnsi="宋体" w:cs="宋体"/>
                <w:sz w:val="21"/>
                <w:szCs w:val="21"/>
              </w:rPr>
              <w:t>由格栅截留下的杂物定期装入小车倾倒至垃圾场，二沉池中的污泥部分回流至A级生物处理池，另一部分污泥至污泥池进行污泥消化后定期抽吸外运，污泥池上清液回流至调节池再处理。</w:t>
            </w:r>
          </w:p>
          <w:p>
            <w:pPr>
              <w:pStyle w:val="12"/>
              <w:spacing w:line="360" w:lineRule="auto"/>
              <w:ind w:left="0" w:firstLine="0" w:firstLineChars="0"/>
              <w:rPr>
                <w:rFonts w:ascii="宋体" w:hAnsi="宋体" w:cs="宋体"/>
                <w:sz w:val="21"/>
                <w:szCs w:val="21"/>
              </w:rPr>
            </w:pPr>
            <w:r>
              <w:rPr>
                <w:rFonts w:ascii="宋体" w:hAnsi="宋体" w:cs="宋体"/>
                <w:sz w:val="21"/>
                <w:szCs w:val="21"/>
              </w:rPr>
              <w:drawing>
                <wp:inline distT="0" distB="0" distL="114300" distR="114300">
                  <wp:extent cx="4585970" cy="2914650"/>
                  <wp:effectExtent l="9525" t="9525" r="14605" b="9525"/>
                  <wp:docPr id="2" name="图片 2" descr="eccddcb5ffff99a0e3f78cd8afaa4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ccddcb5ffff99a0e3f78cd8afaa4ba"/>
                          <pic:cNvPicPr>
                            <a:picLocks noChangeAspect="1"/>
                          </pic:cNvPicPr>
                        </pic:nvPicPr>
                        <pic:blipFill>
                          <a:blip r:embed="rId12"/>
                          <a:stretch>
                            <a:fillRect/>
                          </a:stretch>
                        </pic:blipFill>
                        <pic:spPr>
                          <a:xfrm>
                            <a:off x="0" y="0"/>
                            <a:ext cx="4585970" cy="2914650"/>
                          </a:xfrm>
                          <a:prstGeom prst="rect">
                            <a:avLst/>
                          </a:prstGeom>
                          <a:ln>
                            <a:solidFill>
                              <a:schemeClr val="tx1"/>
                            </a:solidFill>
                          </a:ln>
                        </pic:spPr>
                      </pic:pic>
                    </a:graphicData>
                  </a:graphic>
                </wp:inline>
              </w:drawing>
            </w:r>
          </w:p>
          <w:p>
            <w:pPr>
              <w:pStyle w:val="12"/>
              <w:spacing w:line="360" w:lineRule="auto"/>
              <w:ind w:left="0" w:firstLine="0" w:firstLineChars="0"/>
              <w:jc w:val="center"/>
              <w:rPr>
                <w:rFonts w:ascii="宋体" w:hAnsi="宋体" w:cs="宋体"/>
                <w:sz w:val="21"/>
                <w:szCs w:val="21"/>
              </w:rPr>
            </w:pPr>
            <w:r>
              <w:rPr>
                <w:b/>
                <w:bCs/>
                <w:sz w:val="21"/>
                <w:szCs w:val="21"/>
              </w:rPr>
              <w:t>图2-</w:t>
            </w:r>
            <w:r>
              <w:rPr>
                <w:rFonts w:hint="eastAsia"/>
                <w:b/>
                <w:bCs/>
                <w:sz w:val="21"/>
                <w:szCs w:val="21"/>
              </w:rPr>
              <w:t>4</w:t>
            </w:r>
            <w:r>
              <w:rPr>
                <w:b/>
                <w:bCs/>
                <w:sz w:val="21"/>
                <w:szCs w:val="21"/>
              </w:rPr>
              <w:t>污水处理站工艺流程及排污节点图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793" w:type="dxa"/>
            <w:vAlign w:val="center"/>
          </w:tcPr>
          <w:p>
            <w:pPr>
              <w:pStyle w:val="12"/>
              <w:spacing w:line="360" w:lineRule="auto"/>
              <w:ind w:left="0" w:firstLine="0" w:firstLineChars="0"/>
              <w:jc w:val="center"/>
              <w:rPr>
                <w:rFonts w:ascii="宋体" w:hAnsi="宋体" w:cs="宋体"/>
                <w:sz w:val="21"/>
                <w:szCs w:val="21"/>
              </w:rPr>
            </w:pPr>
            <w:r>
              <w:rPr>
                <w:rFonts w:hint="eastAsia" w:ascii="宋体" w:hAnsi="宋体" w:cs="宋体"/>
                <w:sz w:val="21"/>
                <w:szCs w:val="21"/>
              </w:rPr>
              <w:t>与项目有关的原有环境污染问题</w:t>
            </w:r>
          </w:p>
        </w:tc>
        <w:tc>
          <w:tcPr>
            <w:tcW w:w="7729" w:type="dxa"/>
          </w:tcPr>
          <w:p>
            <w:pPr>
              <w:pStyle w:val="12"/>
              <w:spacing w:line="360" w:lineRule="auto"/>
              <w:ind w:left="0" w:firstLine="420" w:firstLineChars="200"/>
              <w:rPr>
                <w:rFonts w:hint="default" w:ascii="宋体" w:hAnsi="宋体" w:cs="宋体"/>
                <w:sz w:val="21"/>
                <w:szCs w:val="21"/>
                <w:lang w:val="en-US" w:eastAsia="zh-CN"/>
              </w:rPr>
            </w:pPr>
            <w:r>
              <w:rPr>
                <w:rFonts w:hint="eastAsia" w:ascii="宋体" w:hAnsi="宋体" w:cs="宋体"/>
                <w:sz w:val="21"/>
                <w:szCs w:val="21"/>
              </w:rPr>
              <w:t>本项目为新建项目，占地为政府划拨的双滦区华府南街滦河镇政府东侧酒店村回</w:t>
            </w:r>
            <w:r>
              <w:rPr>
                <w:rFonts w:hint="default" w:ascii="Times New Roman" w:hAnsi="Times New Roman" w:cs="Times New Roman"/>
                <w:sz w:val="21"/>
                <w:szCs w:val="21"/>
              </w:rPr>
              <w:t>迁楼2-3#商</w:t>
            </w:r>
            <w:r>
              <w:rPr>
                <w:rFonts w:hint="eastAsia" w:ascii="宋体" w:hAnsi="宋体" w:cs="宋体"/>
                <w:sz w:val="21"/>
                <w:szCs w:val="21"/>
              </w:rPr>
              <w:t>业楼，无原有环境问题。</w:t>
            </w:r>
            <w:r>
              <w:rPr>
                <w:rFonts w:hint="eastAsia" w:ascii="宋体" w:hAnsi="宋体" w:cs="宋体"/>
                <w:sz w:val="21"/>
                <w:szCs w:val="21"/>
                <w:lang w:val="en-US" w:eastAsia="zh-CN"/>
              </w:rPr>
              <w:t>本次项目环评不包含放射源诊疗技术和医用辐射机构许可，企业需另行办理。现场踏勘图如下：</w:t>
            </w:r>
          </w:p>
          <w:p>
            <w:pPr>
              <w:pStyle w:val="12"/>
              <w:spacing w:line="360"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drawing>
                <wp:inline distT="0" distB="0" distL="114300" distR="114300">
                  <wp:extent cx="4414520" cy="3314700"/>
                  <wp:effectExtent l="9525" t="9525" r="14605" b="9525"/>
                  <wp:docPr id="42" name="图片 42" descr="38bfb87e0cf97fb537c7f4739a85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8bfb87e0cf97fb537c7f4739a85a5b"/>
                          <pic:cNvPicPr>
                            <a:picLocks noChangeAspect="1"/>
                          </pic:cNvPicPr>
                        </pic:nvPicPr>
                        <pic:blipFill>
                          <a:blip r:embed="rId13"/>
                          <a:stretch>
                            <a:fillRect/>
                          </a:stretch>
                        </pic:blipFill>
                        <pic:spPr>
                          <a:xfrm>
                            <a:off x="0" y="0"/>
                            <a:ext cx="4414520" cy="3314700"/>
                          </a:xfrm>
                          <a:prstGeom prst="rect">
                            <a:avLst/>
                          </a:prstGeom>
                          <a:ln>
                            <a:solidFill>
                              <a:schemeClr val="tx1"/>
                            </a:solidFill>
                          </a:ln>
                        </pic:spPr>
                      </pic:pic>
                    </a:graphicData>
                  </a:graphic>
                </wp:inline>
              </w:drawing>
            </w:r>
          </w:p>
          <w:p>
            <w:pPr>
              <w:pStyle w:val="12"/>
              <w:spacing w:line="360" w:lineRule="auto"/>
              <w:jc w:val="center"/>
              <w:rPr>
                <w:rFonts w:hint="default" w:ascii="宋体" w:hAnsi="宋体" w:cs="宋体"/>
                <w:sz w:val="21"/>
                <w:szCs w:val="21"/>
                <w:lang w:val="en-US" w:eastAsia="zh-CN"/>
              </w:rPr>
            </w:pPr>
            <w:r>
              <w:rPr>
                <w:rFonts w:hint="default" w:ascii="Times New Roman" w:hAnsi="Times New Roman" w:cs="Times New Roman"/>
                <w:b/>
                <w:bCs/>
                <w:sz w:val="21"/>
                <w:szCs w:val="21"/>
                <w:lang w:val="en-US" w:eastAsia="zh-CN"/>
              </w:rPr>
              <w:t>图2-5现场踏勘图</w:t>
            </w:r>
          </w:p>
        </w:tc>
      </w:tr>
    </w:tbl>
    <w:p>
      <w:pPr>
        <w:pStyle w:val="12"/>
        <w:spacing w:line="360" w:lineRule="auto"/>
        <w:ind w:left="643" w:firstLine="0" w:firstLineChars="0"/>
        <w:outlineLvl w:val="0"/>
        <w:rPr>
          <w:rFonts w:ascii="宋体" w:hAnsi="宋体" w:cs="宋体"/>
          <w:b/>
          <w:bCs/>
          <w:sz w:val="32"/>
          <w:szCs w:val="32"/>
        </w:rPr>
      </w:pPr>
      <w:r>
        <w:rPr>
          <w:rFonts w:hint="eastAsia" w:ascii="宋体" w:hAnsi="宋体" w:cs="宋体"/>
          <w:b/>
          <w:bCs/>
          <w:sz w:val="32"/>
          <w:szCs w:val="32"/>
        </w:rPr>
        <w:t>三、区域环境现状、环境保护目标及评价标准</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0" w:type="dxa"/>
            <w:vAlign w:val="center"/>
          </w:tcPr>
          <w:p>
            <w:pPr>
              <w:adjustRightInd w:val="0"/>
              <w:snapToGrid w:val="0"/>
              <w:jc w:val="center"/>
              <w:rPr>
                <w:rFonts w:ascii="宋体" w:hAnsi="宋体" w:cs="宋体"/>
                <w:kern w:val="0"/>
                <w:sz w:val="21"/>
                <w:szCs w:val="21"/>
              </w:rPr>
            </w:pPr>
            <w:r>
              <w:rPr>
                <w:rFonts w:hint="eastAsia" w:ascii="宋体" w:hAnsi="宋体" w:cs="宋体"/>
                <w:kern w:val="0"/>
                <w:sz w:val="21"/>
                <w:szCs w:val="21"/>
              </w:rPr>
              <w:t>区域</w:t>
            </w:r>
          </w:p>
          <w:p>
            <w:pPr>
              <w:adjustRightInd w:val="0"/>
              <w:snapToGrid w:val="0"/>
              <w:jc w:val="center"/>
              <w:rPr>
                <w:rFonts w:ascii="宋体" w:hAnsi="宋体" w:cs="宋体"/>
                <w:kern w:val="0"/>
                <w:sz w:val="21"/>
                <w:szCs w:val="21"/>
              </w:rPr>
            </w:pPr>
            <w:r>
              <w:rPr>
                <w:rFonts w:hint="eastAsia" w:ascii="宋体" w:hAnsi="宋体" w:cs="宋体"/>
                <w:kern w:val="0"/>
                <w:sz w:val="21"/>
                <w:szCs w:val="21"/>
              </w:rPr>
              <w:t>环境</w:t>
            </w:r>
          </w:p>
          <w:p>
            <w:pPr>
              <w:adjustRightInd w:val="0"/>
              <w:snapToGrid w:val="0"/>
              <w:jc w:val="center"/>
              <w:rPr>
                <w:rFonts w:ascii="宋体" w:hAnsi="宋体" w:cs="宋体"/>
                <w:kern w:val="0"/>
                <w:sz w:val="21"/>
                <w:szCs w:val="21"/>
              </w:rPr>
            </w:pPr>
            <w:r>
              <w:rPr>
                <w:rFonts w:hint="eastAsia" w:ascii="宋体" w:hAnsi="宋体" w:cs="宋体"/>
                <w:kern w:val="0"/>
                <w:sz w:val="21"/>
                <w:szCs w:val="21"/>
              </w:rPr>
              <w:t>质量</w:t>
            </w:r>
          </w:p>
          <w:p>
            <w:pPr>
              <w:adjustRightInd w:val="0"/>
              <w:snapToGrid w:val="0"/>
              <w:jc w:val="center"/>
              <w:rPr>
                <w:rFonts w:ascii="宋体" w:hAnsi="宋体" w:cs="宋体"/>
                <w:kern w:val="0"/>
                <w:sz w:val="21"/>
                <w:szCs w:val="21"/>
              </w:rPr>
            </w:pPr>
            <w:r>
              <w:rPr>
                <w:rFonts w:hint="eastAsia" w:ascii="宋体" w:hAnsi="宋体" w:cs="宋体"/>
                <w:kern w:val="0"/>
                <w:sz w:val="21"/>
                <w:szCs w:val="21"/>
              </w:rPr>
              <w:t>现状</w:t>
            </w:r>
          </w:p>
        </w:tc>
        <w:tc>
          <w:tcPr>
            <w:tcW w:w="8190"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1、大气环境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t>根据《2021年承德市生态环境质量公报》，双滦区环境空气质量监测结果见</w:t>
            </w:r>
            <w:r>
              <w:rPr>
                <w:rFonts w:hint="eastAsia"/>
              </w:rPr>
              <w:t>下</w:t>
            </w:r>
            <w:r>
              <w:t>表</w:t>
            </w:r>
            <w:r>
              <w:rPr>
                <w:rFonts w:hint="eastAsia"/>
              </w:rPr>
              <w:t>。</w:t>
            </w:r>
          </w:p>
          <w:p>
            <w:pPr>
              <w:pStyle w:val="13"/>
              <w:spacing w:line="360" w:lineRule="auto"/>
              <w:ind w:left="0" w:leftChars="0" w:firstLine="0" w:firstLineChars="0"/>
              <w:jc w:val="center"/>
              <w:rPr>
                <w:b/>
                <w:bCs/>
                <w:sz w:val="21"/>
                <w:szCs w:val="21"/>
              </w:rPr>
            </w:pPr>
            <w:r>
              <w:rPr>
                <w:b/>
                <w:bCs/>
                <w:sz w:val="21"/>
                <w:szCs w:val="21"/>
              </w:rPr>
              <w:t>表3-1 双滦环境空气质量统计结果一览表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786"/>
              <w:gridCol w:w="749"/>
              <w:gridCol w:w="623"/>
              <w:gridCol w:w="660"/>
              <w:gridCol w:w="585"/>
              <w:gridCol w:w="585"/>
              <w:gridCol w:w="2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81" w:type="pct"/>
                  <w:vAlign w:val="center"/>
                </w:tcPr>
                <w:p>
                  <w:pPr>
                    <w:pStyle w:val="13"/>
                    <w:spacing w:line="320" w:lineRule="exact"/>
                    <w:ind w:left="0" w:leftChars="0"/>
                    <w:jc w:val="center"/>
                    <w:rPr>
                      <w:b/>
                      <w:bCs/>
                      <w:sz w:val="21"/>
                      <w:szCs w:val="21"/>
                    </w:rPr>
                  </w:pPr>
                  <w:r>
                    <w:rPr>
                      <w:b/>
                      <w:bCs/>
                      <w:sz w:val="21"/>
                      <w:szCs w:val="21"/>
                    </w:rPr>
                    <w:t>污染物名称</w:t>
                  </w:r>
                </w:p>
              </w:tc>
              <w:tc>
                <w:tcPr>
                  <w:tcW w:w="494" w:type="pct"/>
                  <w:vAlign w:val="center"/>
                </w:tcPr>
                <w:p>
                  <w:pPr>
                    <w:pStyle w:val="13"/>
                    <w:spacing w:line="320" w:lineRule="exact"/>
                    <w:ind w:left="0" w:leftChars="0"/>
                    <w:jc w:val="center"/>
                    <w:rPr>
                      <w:b/>
                      <w:bCs/>
                      <w:sz w:val="21"/>
                      <w:szCs w:val="21"/>
                    </w:rPr>
                  </w:pPr>
                  <w:r>
                    <w:rPr>
                      <w:b/>
                      <w:bCs/>
                      <w:sz w:val="21"/>
                      <w:szCs w:val="21"/>
                    </w:rPr>
                    <w:t>PM</w:t>
                  </w:r>
                  <w:r>
                    <w:rPr>
                      <w:b/>
                      <w:bCs/>
                      <w:sz w:val="21"/>
                      <w:szCs w:val="21"/>
                      <w:vertAlign w:val="subscript"/>
                    </w:rPr>
                    <w:t>2.5</w:t>
                  </w:r>
                </w:p>
              </w:tc>
              <w:tc>
                <w:tcPr>
                  <w:tcW w:w="470" w:type="pct"/>
                  <w:vAlign w:val="center"/>
                </w:tcPr>
                <w:p>
                  <w:pPr>
                    <w:pStyle w:val="13"/>
                    <w:spacing w:line="320" w:lineRule="exact"/>
                    <w:ind w:left="0" w:leftChars="0"/>
                    <w:jc w:val="center"/>
                    <w:rPr>
                      <w:b/>
                      <w:bCs/>
                      <w:sz w:val="21"/>
                      <w:szCs w:val="21"/>
                    </w:rPr>
                  </w:pPr>
                  <w:r>
                    <w:rPr>
                      <w:b/>
                      <w:bCs/>
                      <w:sz w:val="21"/>
                      <w:szCs w:val="21"/>
                    </w:rPr>
                    <w:t>PM</w:t>
                  </w:r>
                  <w:r>
                    <w:rPr>
                      <w:b/>
                      <w:bCs/>
                      <w:sz w:val="21"/>
                      <w:szCs w:val="21"/>
                      <w:vertAlign w:val="subscript"/>
                    </w:rPr>
                    <w:t>10</w:t>
                  </w:r>
                </w:p>
              </w:tc>
              <w:tc>
                <w:tcPr>
                  <w:tcW w:w="391" w:type="pct"/>
                  <w:vAlign w:val="center"/>
                </w:tcPr>
                <w:p>
                  <w:pPr>
                    <w:pStyle w:val="13"/>
                    <w:spacing w:line="320" w:lineRule="exact"/>
                    <w:ind w:left="0" w:leftChars="0"/>
                    <w:jc w:val="center"/>
                    <w:rPr>
                      <w:b/>
                      <w:bCs/>
                      <w:sz w:val="21"/>
                      <w:szCs w:val="21"/>
                    </w:rPr>
                  </w:pPr>
                  <w:r>
                    <w:rPr>
                      <w:b/>
                      <w:bCs/>
                      <w:sz w:val="21"/>
                      <w:szCs w:val="21"/>
                    </w:rPr>
                    <w:t>SO</w:t>
                  </w:r>
                  <w:r>
                    <w:rPr>
                      <w:b/>
                      <w:bCs/>
                      <w:sz w:val="21"/>
                      <w:szCs w:val="21"/>
                      <w:vertAlign w:val="subscript"/>
                    </w:rPr>
                    <w:t>2</w:t>
                  </w:r>
                </w:p>
              </w:tc>
              <w:tc>
                <w:tcPr>
                  <w:tcW w:w="414" w:type="pct"/>
                  <w:vAlign w:val="center"/>
                </w:tcPr>
                <w:p>
                  <w:pPr>
                    <w:pStyle w:val="13"/>
                    <w:spacing w:line="320" w:lineRule="exact"/>
                    <w:ind w:left="0" w:leftChars="0"/>
                    <w:jc w:val="center"/>
                    <w:rPr>
                      <w:b/>
                      <w:bCs/>
                      <w:sz w:val="21"/>
                      <w:szCs w:val="21"/>
                    </w:rPr>
                  </w:pPr>
                  <w:r>
                    <w:rPr>
                      <w:b/>
                      <w:bCs/>
                      <w:sz w:val="21"/>
                      <w:szCs w:val="21"/>
                    </w:rPr>
                    <w:t>NO</w:t>
                  </w:r>
                  <w:r>
                    <w:rPr>
                      <w:b/>
                      <w:bCs/>
                      <w:sz w:val="21"/>
                      <w:szCs w:val="21"/>
                      <w:vertAlign w:val="subscript"/>
                    </w:rPr>
                    <w:t>2</w:t>
                  </w:r>
                </w:p>
              </w:tc>
              <w:tc>
                <w:tcPr>
                  <w:tcW w:w="367" w:type="pct"/>
                  <w:vAlign w:val="center"/>
                </w:tcPr>
                <w:p>
                  <w:pPr>
                    <w:pStyle w:val="13"/>
                    <w:spacing w:line="320" w:lineRule="exact"/>
                    <w:ind w:left="0" w:leftChars="0"/>
                    <w:jc w:val="center"/>
                    <w:rPr>
                      <w:b/>
                      <w:bCs/>
                      <w:sz w:val="21"/>
                      <w:szCs w:val="21"/>
                    </w:rPr>
                  </w:pPr>
                  <w:r>
                    <w:rPr>
                      <w:b/>
                      <w:bCs/>
                      <w:sz w:val="21"/>
                      <w:szCs w:val="21"/>
                    </w:rPr>
                    <w:t>CO</w:t>
                  </w:r>
                </w:p>
              </w:tc>
              <w:tc>
                <w:tcPr>
                  <w:tcW w:w="367" w:type="pct"/>
                  <w:vAlign w:val="center"/>
                </w:tcPr>
                <w:p>
                  <w:pPr>
                    <w:pStyle w:val="13"/>
                    <w:spacing w:line="320" w:lineRule="exact"/>
                    <w:ind w:left="0" w:leftChars="0"/>
                    <w:jc w:val="center"/>
                    <w:rPr>
                      <w:b/>
                      <w:bCs/>
                      <w:sz w:val="21"/>
                      <w:szCs w:val="21"/>
                    </w:rPr>
                  </w:pPr>
                  <w:r>
                    <w:rPr>
                      <w:b/>
                      <w:bCs/>
                      <w:sz w:val="21"/>
                      <w:szCs w:val="21"/>
                    </w:rPr>
                    <w:t>O</w:t>
                  </w:r>
                  <w:r>
                    <w:rPr>
                      <w:b/>
                      <w:bCs/>
                      <w:sz w:val="21"/>
                      <w:szCs w:val="21"/>
                      <w:vertAlign w:val="subscript"/>
                    </w:rPr>
                    <w:t>3</w:t>
                  </w:r>
                </w:p>
              </w:tc>
              <w:tc>
                <w:tcPr>
                  <w:tcW w:w="1613" w:type="pct"/>
                  <w:vAlign w:val="center"/>
                </w:tcPr>
                <w:p>
                  <w:pPr>
                    <w:pStyle w:val="13"/>
                    <w:spacing w:line="320" w:lineRule="exact"/>
                    <w:ind w:left="0" w:leftChars="0"/>
                    <w:jc w:val="center"/>
                    <w:rPr>
                      <w:b/>
                      <w:bCs/>
                      <w:sz w:val="21"/>
                      <w:szCs w:val="21"/>
                    </w:rPr>
                  </w:pPr>
                  <w:r>
                    <w:rPr>
                      <w:b/>
                      <w:bCs/>
                      <w:sz w:val="21"/>
                      <w:szCs w:val="21"/>
                    </w:rPr>
                    <w:t>环境空气质量综合指数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81" w:type="pct"/>
                  <w:vAlign w:val="center"/>
                </w:tcPr>
                <w:p>
                  <w:pPr>
                    <w:pStyle w:val="13"/>
                    <w:spacing w:line="320" w:lineRule="exact"/>
                    <w:ind w:left="0" w:leftChars="0"/>
                    <w:jc w:val="center"/>
                    <w:rPr>
                      <w:sz w:val="21"/>
                      <w:szCs w:val="21"/>
                    </w:rPr>
                  </w:pPr>
                  <w:r>
                    <w:rPr>
                      <w:sz w:val="21"/>
                      <w:szCs w:val="21"/>
                    </w:rPr>
                    <w:t>年均值</w:t>
                  </w:r>
                </w:p>
              </w:tc>
              <w:tc>
                <w:tcPr>
                  <w:tcW w:w="494" w:type="pct"/>
                  <w:vAlign w:val="center"/>
                </w:tcPr>
                <w:p>
                  <w:pPr>
                    <w:pStyle w:val="13"/>
                    <w:spacing w:line="320" w:lineRule="exact"/>
                    <w:ind w:left="0" w:leftChars="0"/>
                    <w:jc w:val="center"/>
                    <w:rPr>
                      <w:sz w:val="21"/>
                      <w:szCs w:val="21"/>
                    </w:rPr>
                  </w:pPr>
                  <w:r>
                    <w:rPr>
                      <w:sz w:val="21"/>
                      <w:szCs w:val="21"/>
                    </w:rPr>
                    <w:t>25</w:t>
                  </w:r>
                </w:p>
              </w:tc>
              <w:tc>
                <w:tcPr>
                  <w:tcW w:w="470" w:type="pct"/>
                  <w:vAlign w:val="center"/>
                </w:tcPr>
                <w:p>
                  <w:pPr>
                    <w:pStyle w:val="13"/>
                    <w:spacing w:line="320" w:lineRule="exact"/>
                    <w:ind w:left="0" w:leftChars="0"/>
                    <w:jc w:val="center"/>
                    <w:rPr>
                      <w:sz w:val="21"/>
                      <w:szCs w:val="21"/>
                    </w:rPr>
                  </w:pPr>
                  <w:r>
                    <w:rPr>
                      <w:sz w:val="21"/>
                      <w:szCs w:val="21"/>
                    </w:rPr>
                    <w:t>52</w:t>
                  </w:r>
                </w:p>
              </w:tc>
              <w:tc>
                <w:tcPr>
                  <w:tcW w:w="391" w:type="pct"/>
                  <w:vAlign w:val="center"/>
                </w:tcPr>
                <w:p>
                  <w:pPr>
                    <w:pStyle w:val="13"/>
                    <w:spacing w:line="320" w:lineRule="exact"/>
                    <w:ind w:left="0" w:leftChars="0"/>
                    <w:jc w:val="center"/>
                    <w:rPr>
                      <w:sz w:val="21"/>
                      <w:szCs w:val="21"/>
                    </w:rPr>
                  </w:pPr>
                  <w:r>
                    <w:rPr>
                      <w:sz w:val="21"/>
                      <w:szCs w:val="21"/>
                    </w:rPr>
                    <w:t>15</w:t>
                  </w:r>
                </w:p>
              </w:tc>
              <w:tc>
                <w:tcPr>
                  <w:tcW w:w="414" w:type="pct"/>
                  <w:vAlign w:val="center"/>
                </w:tcPr>
                <w:p>
                  <w:pPr>
                    <w:pStyle w:val="13"/>
                    <w:spacing w:line="320" w:lineRule="exact"/>
                    <w:ind w:left="0" w:leftChars="0"/>
                    <w:jc w:val="center"/>
                    <w:rPr>
                      <w:sz w:val="21"/>
                      <w:szCs w:val="21"/>
                    </w:rPr>
                  </w:pPr>
                  <w:r>
                    <w:rPr>
                      <w:sz w:val="21"/>
                      <w:szCs w:val="21"/>
                    </w:rPr>
                    <w:t>28</w:t>
                  </w:r>
                </w:p>
              </w:tc>
              <w:tc>
                <w:tcPr>
                  <w:tcW w:w="367" w:type="pct"/>
                  <w:vAlign w:val="center"/>
                </w:tcPr>
                <w:p>
                  <w:pPr>
                    <w:pStyle w:val="13"/>
                    <w:spacing w:line="320" w:lineRule="exact"/>
                    <w:ind w:left="0" w:leftChars="0"/>
                    <w:jc w:val="center"/>
                    <w:rPr>
                      <w:sz w:val="21"/>
                      <w:szCs w:val="21"/>
                    </w:rPr>
                  </w:pPr>
                  <w:r>
                    <w:rPr>
                      <w:sz w:val="21"/>
                      <w:szCs w:val="21"/>
                    </w:rPr>
                    <w:t>1.7</w:t>
                  </w:r>
                </w:p>
              </w:tc>
              <w:tc>
                <w:tcPr>
                  <w:tcW w:w="367" w:type="pct"/>
                  <w:vAlign w:val="center"/>
                </w:tcPr>
                <w:p>
                  <w:pPr>
                    <w:pStyle w:val="13"/>
                    <w:spacing w:line="320" w:lineRule="exact"/>
                    <w:ind w:left="0" w:leftChars="0"/>
                    <w:jc w:val="center"/>
                    <w:rPr>
                      <w:sz w:val="21"/>
                      <w:szCs w:val="21"/>
                    </w:rPr>
                  </w:pPr>
                  <w:r>
                    <w:rPr>
                      <w:sz w:val="21"/>
                      <w:szCs w:val="21"/>
                    </w:rPr>
                    <w:t>127</w:t>
                  </w:r>
                </w:p>
              </w:tc>
              <w:tc>
                <w:tcPr>
                  <w:tcW w:w="1613" w:type="pct"/>
                  <w:vAlign w:val="center"/>
                </w:tcPr>
                <w:p>
                  <w:pPr>
                    <w:pStyle w:val="13"/>
                    <w:spacing w:line="320" w:lineRule="exact"/>
                    <w:ind w:left="0" w:leftChars="0"/>
                    <w:jc w:val="center"/>
                    <w:rPr>
                      <w:sz w:val="21"/>
                      <w:szCs w:val="21"/>
                    </w:rPr>
                  </w:pPr>
                  <w:r>
                    <w:rPr>
                      <w:sz w:val="21"/>
                      <w:szCs w:val="21"/>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81" w:type="pct"/>
                  <w:vAlign w:val="center"/>
                </w:tcPr>
                <w:p>
                  <w:pPr>
                    <w:pStyle w:val="13"/>
                    <w:spacing w:line="320" w:lineRule="exact"/>
                    <w:ind w:left="0" w:leftChars="0"/>
                    <w:jc w:val="center"/>
                    <w:rPr>
                      <w:sz w:val="21"/>
                      <w:szCs w:val="21"/>
                    </w:rPr>
                  </w:pPr>
                  <w:r>
                    <w:rPr>
                      <w:sz w:val="21"/>
                      <w:szCs w:val="21"/>
                    </w:rPr>
                    <w:t>标准值</w:t>
                  </w:r>
                </w:p>
              </w:tc>
              <w:tc>
                <w:tcPr>
                  <w:tcW w:w="494" w:type="pct"/>
                  <w:vAlign w:val="center"/>
                </w:tcPr>
                <w:p>
                  <w:pPr>
                    <w:pStyle w:val="13"/>
                    <w:spacing w:line="320" w:lineRule="exact"/>
                    <w:ind w:left="0" w:leftChars="0"/>
                    <w:jc w:val="center"/>
                    <w:rPr>
                      <w:sz w:val="21"/>
                      <w:szCs w:val="21"/>
                    </w:rPr>
                  </w:pPr>
                  <w:r>
                    <w:rPr>
                      <w:sz w:val="21"/>
                      <w:szCs w:val="21"/>
                    </w:rPr>
                    <w:t>35</w:t>
                  </w:r>
                </w:p>
              </w:tc>
              <w:tc>
                <w:tcPr>
                  <w:tcW w:w="470" w:type="pct"/>
                  <w:vAlign w:val="center"/>
                </w:tcPr>
                <w:p>
                  <w:pPr>
                    <w:pStyle w:val="13"/>
                    <w:spacing w:line="320" w:lineRule="exact"/>
                    <w:ind w:left="0" w:leftChars="0"/>
                    <w:jc w:val="center"/>
                    <w:rPr>
                      <w:sz w:val="21"/>
                      <w:szCs w:val="21"/>
                    </w:rPr>
                  </w:pPr>
                  <w:r>
                    <w:rPr>
                      <w:sz w:val="21"/>
                      <w:szCs w:val="21"/>
                    </w:rPr>
                    <w:t>70</w:t>
                  </w:r>
                </w:p>
              </w:tc>
              <w:tc>
                <w:tcPr>
                  <w:tcW w:w="391" w:type="pct"/>
                  <w:vAlign w:val="center"/>
                </w:tcPr>
                <w:p>
                  <w:pPr>
                    <w:pStyle w:val="13"/>
                    <w:spacing w:line="320" w:lineRule="exact"/>
                    <w:ind w:left="0" w:leftChars="0"/>
                    <w:jc w:val="center"/>
                    <w:rPr>
                      <w:sz w:val="21"/>
                      <w:szCs w:val="21"/>
                    </w:rPr>
                  </w:pPr>
                  <w:r>
                    <w:rPr>
                      <w:sz w:val="21"/>
                      <w:szCs w:val="21"/>
                    </w:rPr>
                    <w:t>60</w:t>
                  </w:r>
                </w:p>
              </w:tc>
              <w:tc>
                <w:tcPr>
                  <w:tcW w:w="414" w:type="pct"/>
                  <w:vAlign w:val="center"/>
                </w:tcPr>
                <w:p>
                  <w:pPr>
                    <w:pStyle w:val="13"/>
                    <w:spacing w:line="320" w:lineRule="exact"/>
                    <w:ind w:left="0" w:leftChars="0"/>
                    <w:jc w:val="center"/>
                    <w:rPr>
                      <w:sz w:val="21"/>
                      <w:szCs w:val="21"/>
                    </w:rPr>
                  </w:pPr>
                  <w:r>
                    <w:rPr>
                      <w:sz w:val="21"/>
                      <w:szCs w:val="21"/>
                    </w:rPr>
                    <w:t>40</w:t>
                  </w:r>
                </w:p>
              </w:tc>
              <w:tc>
                <w:tcPr>
                  <w:tcW w:w="367" w:type="pct"/>
                  <w:vAlign w:val="center"/>
                </w:tcPr>
                <w:p>
                  <w:pPr>
                    <w:pStyle w:val="13"/>
                    <w:spacing w:line="320" w:lineRule="exact"/>
                    <w:ind w:left="0" w:leftChars="0"/>
                    <w:jc w:val="center"/>
                    <w:rPr>
                      <w:sz w:val="21"/>
                      <w:szCs w:val="21"/>
                    </w:rPr>
                  </w:pPr>
                  <w:r>
                    <w:rPr>
                      <w:sz w:val="21"/>
                      <w:szCs w:val="21"/>
                    </w:rPr>
                    <w:t>4.0</w:t>
                  </w:r>
                </w:p>
              </w:tc>
              <w:tc>
                <w:tcPr>
                  <w:tcW w:w="367" w:type="pct"/>
                  <w:vAlign w:val="center"/>
                </w:tcPr>
                <w:p>
                  <w:pPr>
                    <w:pStyle w:val="13"/>
                    <w:spacing w:line="320" w:lineRule="exact"/>
                    <w:ind w:left="0" w:leftChars="0"/>
                    <w:jc w:val="center"/>
                    <w:rPr>
                      <w:sz w:val="21"/>
                      <w:szCs w:val="21"/>
                    </w:rPr>
                  </w:pPr>
                  <w:r>
                    <w:rPr>
                      <w:sz w:val="21"/>
                      <w:szCs w:val="21"/>
                    </w:rPr>
                    <w:t>160</w:t>
                  </w:r>
                </w:p>
              </w:tc>
              <w:tc>
                <w:tcPr>
                  <w:tcW w:w="1613" w:type="pct"/>
                  <w:vAlign w:val="center"/>
                </w:tcPr>
                <w:p>
                  <w:pPr>
                    <w:pStyle w:val="13"/>
                    <w:spacing w:line="320" w:lineRule="exact"/>
                    <w:ind w:left="0" w:leftChars="0"/>
                    <w:jc w:val="center"/>
                    <w:rPr>
                      <w:sz w:val="21"/>
                      <w:szCs w:val="21"/>
                    </w:rPr>
                  </w:pPr>
                  <w:r>
                    <w:rPr>
                      <w:sz w:val="21"/>
                      <w:szCs w:val="21"/>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项目所在双滦区环境空气中，常规污染物PM</w:t>
            </w:r>
            <w:r>
              <w:rPr>
                <w:vertAlign w:val="subscript"/>
              </w:rPr>
              <w:t>10</w:t>
            </w:r>
            <w:r>
              <w:t>、PM</w:t>
            </w:r>
            <w:r>
              <w:rPr>
                <w:vertAlign w:val="subscript"/>
              </w:rPr>
              <w:t>2.5</w:t>
            </w:r>
            <w:r>
              <w:t>、SO</w:t>
            </w:r>
            <w:r>
              <w:rPr>
                <w:vertAlign w:val="subscript"/>
              </w:rPr>
              <w:t>2</w:t>
            </w:r>
            <w:r>
              <w:t>、NO</w:t>
            </w:r>
            <w:r>
              <w:rPr>
                <w:vertAlign w:val="subscript"/>
              </w:rPr>
              <w:t>2</w:t>
            </w:r>
            <w:r>
              <w:t>、CO和O</w:t>
            </w:r>
            <w:r>
              <w:rPr>
                <w:vertAlign w:val="subscript"/>
              </w:rPr>
              <w:t>3</w:t>
            </w:r>
            <w:r>
              <w:t>均满足《环境空气质量标准》（GB3095-2012）二级标准要求，项目所在区域为环境空气质量的达标区。</w:t>
            </w:r>
          </w:p>
          <w:p>
            <w:pPr>
              <w:numPr>
                <w:ilvl w:val="0"/>
                <w:numId w:val="6"/>
              </w:numPr>
              <w:spacing w:line="360" w:lineRule="auto"/>
              <w:rPr>
                <w:sz w:val="21"/>
                <w:szCs w:val="21"/>
              </w:rPr>
            </w:pPr>
            <w:r>
              <w:rPr>
                <w:rFonts w:hint="eastAsia"/>
                <w:sz w:val="21"/>
                <w:szCs w:val="21"/>
              </w:rPr>
              <w:t>地表水环境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rPr>
              <w:t>项目北侧180m为滦河，滦河发源于河北省丰宁满族自治县西北的巴彦古尔图山北麓，流入内蒙古自治区称闪电河，在多伦县附近，有上都河注入称大滦河，经两度曲折，转回河北省，在隆化县郭家屯附近汇小滦河后称滦河。在承德地区先后汇兴洲河、伊逊河、武烈河、鹦鹉河(热河)、柳河、瀑河等支流，下游汇青龙河，最后经乐亭县、昌黎县注入渤海湾。深河全长885公里，干流呈东南向，横穿燕山和冀东平原，流域面积4.49万平方公里，我市境内干流长486公里，流域面积2.86万平方公里。根据《2021年承德市环境质量报告》，共布设地表水常规监测断面6个，</w:t>
            </w:r>
            <w:r>
              <w:rPr>
                <w:rFonts w:hint="eastAsia"/>
                <w:lang w:val="en-US" w:eastAsia="zh-CN"/>
              </w:rPr>
              <w:t>本次项目位于偏桥子大桥与兴隆庄断面之间，</w:t>
            </w:r>
            <w:r>
              <w:rPr>
                <w:rFonts w:hint="eastAsia"/>
              </w:rPr>
              <w:t>监测结果如下表。</w:t>
            </w:r>
          </w:p>
          <w:p>
            <w:pPr>
              <w:jc w:val="center"/>
              <w:rPr>
                <w:b/>
                <w:bCs/>
                <w:sz w:val="21"/>
                <w:szCs w:val="21"/>
              </w:rPr>
            </w:pPr>
            <w:r>
              <w:rPr>
                <w:b/>
                <w:bCs/>
                <w:sz w:val="21"/>
                <w:szCs w:val="21"/>
              </w:rPr>
              <w:t>表3-</w:t>
            </w:r>
            <w:r>
              <w:rPr>
                <w:rFonts w:hint="eastAsia"/>
                <w:b/>
                <w:bCs/>
                <w:sz w:val="21"/>
                <w:szCs w:val="21"/>
              </w:rPr>
              <w:t xml:space="preserve">2 </w:t>
            </w:r>
            <w:r>
              <w:rPr>
                <w:b/>
                <w:bCs/>
                <w:sz w:val="21"/>
                <w:szCs w:val="21"/>
              </w:rPr>
              <w:t>2021年滦河地表水监测断面水质评价结果</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330"/>
              <w:gridCol w:w="765"/>
              <w:gridCol w:w="1020"/>
              <w:gridCol w:w="977"/>
              <w:gridCol w:w="1577"/>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0" w:type="pct"/>
                  <w:vAlign w:val="center"/>
                </w:tcPr>
                <w:p>
                  <w:pPr>
                    <w:spacing w:line="320" w:lineRule="exact"/>
                    <w:jc w:val="center"/>
                    <w:rPr>
                      <w:b/>
                      <w:bCs/>
                      <w:sz w:val="21"/>
                      <w:szCs w:val="21"/>
                    </w:rPr>
                  </w:pPr>
                  <w:r>
                    <w:rPr>
                      <w:b/>
                      <w:bCs/>
                      <w:sz w:val="21"/>
                      <w:szCs w:val="21"/>
                    </w:rPr>
                    <w:t>河流名称</w:t>
                  </w:r>
                </w:p>
              </w:tc>
              <w:tc>
                <w:tcPr>
                  <w:tcW w:w="835" w:type="pct"/>
                  <w:vAlign w:val="center"/>
                </w:tcPr>
                <w:p>
                  <w:pPr>
                    <w:spacing w:line="320" w:lineRule="exact"/>
                    <w:jc w:val="center"/>
                    <w:rPr>
                      <w:b/>
                      <w:bCs/>
                      <w:sz w:val="21"/>
                      <w:szCs w:val="21"/>
                    </w:rPr>
                  </w:pPr>
                  <w:r>
                    <w:rPr>
                      <w:b/>
                      <w:bCs/>
                      <w:sz w:val="21"/>
                      <w:szCs w:val="21"/>
                    </w:rPr>
                    <w:t>断面名称</w:t>
                  </w:r>
                </w:p>
              </w:tc>
              <w:tc>
                <w:tcPr>
                  <w:tcW w:w="480" w:type="pct"/>
                  <w:vAlign w:val="center"/>
                </w:tcPr>
                <w:p>
                  <w:pPr>
                    <w:spacing w:line="320" w:lineRule="exact"/>
                    <w:jc w:val="center"/>
                    <w:rPr>
                      <w:b/>
                      <w:bCs/>
                      <w:sz w:val="21"/>
                      <w:szCs w:val="21"/>
                    </w:rPr>
                  </w:pPr>
                  <w:r>
                    <w:rPr>
                      <w:b/>
                      <w:bCs/>
                      <w:sz w:val="21"/>
                      <w:szCs w:val="21"/>
                    </w:rPr>
                    <w:t>水质情况</w:t>
                  </w:r>
                </w:p>
              </w:tc>
              <w:tc>
                <w:tcPr>
                  <w:tcW w:w="640" w:type="pct"/>
                  <w:vAlign w:val="center"/>
                </w:tcPr>
                <w:p>
                  <w:pPr>
                    <w:spacing w:line="320" w:lineRule="exact"/>
                    <w:jc w:val="center"/>
                    <w:rPr>
                      <w:b/>
                      <w:bCs/>
                      <w:sz w:val="21"/>
                      <w:szCs w:val="21"/>
                    </w:rPr>
                  </w:pPr>
                  <w:r>
                    <w:rPr>
                      <w:b/>
                      <w:bCs/>
                      <w:sz w:val="21"/>
                      <w:szCs w:val="21"/>
                    </w:rPr>
                    <w:t>水质达标情况</w:t>
                  </w:r>
                </w:p>
              </w:tc>
              <w:tc>
                <w:tcPr>
                  <w:tcW w:w="613" w:type="pct"/>
                  <w:vAlign w:val="center"/>
                </w:tcPr>
                <w:p>
                  <w:pPr>
                    <w:spacing w:line="320" w:lineRule="exact"/>
                    <w:jc w:val="center"/>
                    <w:rPr>
                      <w:b/>
                      <w:bCs/>
                      <w:sz w:val="21"/>
                      <w:szCs w:val="21"/>
                    </w:rPr>
                  </w:pPr>
                  <w:r>
                    <w:rPr>
                      <w:b/>
                      <w:bCs/>
                      <w:sz w:val="21"/>
                      <w:szCs w:val="21"/>
                    </w:rPr>
                    <w:t>主要污染物</w:t>
                  </w:r>
                </w:p>
              </w:tc>
              <w:tc>
                <w:tcPr>
                  <w:tcW w:w="990" w:type="pct"/>
                  <w:vAlign w:val="center"/>
                </w:tcPr>
                <w:p>
                  <w:pPr>
                    <w:spacing w:line="320" w:lineRule="exact"/>
                    <w:jc w:val="center"/>
                    <w:rPr>
                      <w:b/>
                      <w:bCs/>
                      <w:sz w:val="21"/>
                      <w:szCs w:val="21"/>
                    </w:rPr>
                  </w:pPr>
                  <w:r>
                    <w:rPr>
                      <w:b/>
                      <w:bCs/>
                      <w:sz w:val="21"/>
                      <w:szCs w:val="21"/>
                    </w:rPr>
                    <w:t>2020年河流水质情况</w:t>
                  </w:r>
                </w:p>
              </w:tc>
              <w:tc>
                <w:tcPr>
                  <w:tcW w:w="990" w:type="pct"/>
                  <w:vAlign w:val="center"/>
                </w:tcPr>
                <w:p>
                  <w:pPr>
                    <w:spacing w:line="320" w:lineRule="exact"/>
                    <w:jc w:val="center"/>
                    <w:rPr>
                      <w:b/>
                      <w:bCs/>
                      <w:sz w:val="21"/>
                      <w:szCs w:val="21"/>
                    </w:rPr>
                  </w:pPr>
                  <w:r>
                    <w:rPr>
                      <w:b/>
                      <w:bCs/>
                      <w:sz w:val="21"/>
                      <w:szCs w:val="21"/>
                    </w:rPr>
                    <w:t>2021年河流水质情况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0" w:type="pct"/>
                  <w:vMerge w:val="restart"/>
                  <w:vAlign w:val="center"/>
                </w:tcPr>
                <w:p>
                  <w:pPr>
                    <w:spacing w:line="320" w:lineRule="exact"/>
                    <w:jc w:val="center"/>
                    <w:rPr>
                      <w:sz w:val="21"/>
                      <w:szCs w:val="21"/>
                    </w:rPr>
                  </w:pPr>
                  <w:r>
                    <w:rPr>
                      <w:rFonts w:hint="eastAsia"/>
                      <w:sz w:val="21"/>
                      <w:szCs w:val="21"/>
                    </w:rPr>
                    <w:t>滦</w:t>
                  </w:r>
                  <w:r>
                    <w:rPr>
                      <w:sz w:val="21"/>
                      <w:szCs w:val="21"/>
                    </w:rPr>
                    <w:t>河</w:t>
                  </w:r>
                </w:p>
              </w:tc>
              <w:tc>
                <w:tcPr>
                  <w:tcW w:w="835" w:type="pct"/>
                  <w:vAlign w:val="center"/>
                </w:tcPr>
                <w:p>
                  <w:pPr>
                    <w:spacing w:line="320" w:lineRule="exact"/>
                    <w:jc w:val="center"/>
                    <w:rPr>
                      <w:sz w:val="21"/>
                      <w:szCs w:val="21"/>
                    </w:rPr>
                  </w:pPr>
                  <w:r>
                    <w:rPr>
                      <w:sz w:val="21"/>
                      <w:szCs w:val="21"/>
                    </w:rPr>
                    <w:t>郭家屯</w:t>
                  </w:r>
                </w:p>
              </w:tc>
              <w:tc>
                <w:tcPr>
                  <w:tcW w:w="480" w:type="pct"/>
                  <w:vAlign w:val="center"/>
                </w:tcPr>
                <w:p>
                  <w:pPr>
                    <w:spacing w:line="320" w:lineRule="exact"/>
                    <w:jc w:val="center"/>
                    <w:rPr>
                      <w:sz w:val="21"/>
                      <w:szCs w:val="21"/>
                    </w:rPr>
                  </w:pPr>
                  <w:r>
                    <w:rPr>
                      <w:sz w:val="21"/>
                      <w:szCs w:val="21"/>
                    </w:rPr>
                    <w:t>Ⅲ</w:t>
                  </w:r>
                </w:p>
              </w:tc>
              <w:tc>
                <w:tcPr>
                  <w:tcW w:w="640" w:type="pct"/>
                  <w:vAlign w:val="center"/>
                </w:tcPr>
                <w:p>
                  <w:pPr>
                    <w:spacing w:line="320" w:lineRule="exact"/>
                    <w:jc w:val="center"/>
                    <w:rPr>
                      <w:sz w:val="21"/>
                      <w:szCs w:val="21"/>
                    </w:rPr>
                  </w:pPr>
                  <w:r>
                    <w:rPr>
                      <w:sz w:val="21"/>
                      <w:szCs w:val="21"/>
                    </w:rPr>
                    <w:t>达标</w:t>
                  </w:r>
                </w:p>
              </w:tc>
              <w:tc>
                <w:tcPr>
                  <w:tcW w:w="613" w:type="pct"/>
                  <w:vAlign w:val="center"/>
                </w:tcPr>
                <w:p>
                  <w:pPr>
                    <w:spacing w:line="320" w:lineRule="exact"/>
                    <w:jc w:val="center"/>
                    <w:rPr>
                      <w:sz w:val="21"/>
                      <w:szCs w:val="21"/>
                    </w:rPr>
                  </w:pPr>
                  <w:r>
                    <w:rPr>
                      <w:sz w:val="21"/>
                      <w:szCs w:val="21"/>
                    </w:rPr>
                    <w:t>/</w:t>
                  </w:r>
                </w:p>
              </w:tc>
              <w:tc>
                <w:tcPr>
                  <w:tcW w:w="990" w:type="pct"/>
                  <w:vMerge w:val="restart"/>
                  <w:vAlign w:val="center"/>
                </w:tcPr>
                <w:p>
                  <w:pPr>
                    <w:spacing w:line="320" w:lineRule="exact"/>
                    <w:jc w:val="center"/>
                    <w:rPr>
                      <w:sz w:val="21"/>
                      <w:szCs w:val="21"/>
                    </w:rPr>
                  </w:pPr>
                  <w:r>
                    <w:rPr>
                      <w:rFonts w:hint="eastAsia"/>
                      <w:sz w:val="21"/>
                      <w:szCs w:val="21"/>
                    </w:rPr>
                    <w:t>良好</w:t>
                  </w:r>
                </w:p>
              </w:tc>
              <w:tc>
                <w:tcPr>
                  <w:tcW w:w="990" w:type="pct"/>
                  <w:vMerge w:val="restart"/>
                  <w:vAlign w:val="center"/>
                </w:tcPr>
                <w:p>
                  <w:pPr>
                    <w:spacing w:line="320" w:lineRule="exact"/>
                    <w:jc w:val="center"/>
                    <w:rPr>
                      <w:sz w:val="21"/>
                      <w:szCs w:val="21"/>
                    </w:rPr>
                  </w:pPr>
                  <w:r>
                    <w:rPr>
                      <w:rFonts w:hint="eastAsia"/>
                      <w:sz w:val="21"/>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0" w:type="pct"/>
                  <w:vMerge w:val="continue"/>
                  <w:vAlign w:val="center"/>
                </w:tcPr>
                <w:p>
                  <w:pPr>
                    <w:spacing w:line="320" w:lineRule="exact"/>
                    <w:jc w:val="center"/>
                    <w:rPr>
                      <w:sz w:val="21"/>
                      <w:szCs w:val="21"/>
                    </w:rPr>
                  </w:pPr>
                </w:p>
              </w:tc>
              <w:tc>
                <w:tcPr>
                  <w:tcW w:w="835" w:type="pct"/>
                  <w:vAlign w:val="center"/>
                </w:tcPr>
                <w:p>
                  <w:pPr>
                    <w:spacing w:line="320" w:lineRule="exact"/>
                    <w:jc w:val="center"/>
                    <w:rPr>
                      <w:sz w:val="21"/>
                      <w:szCs w:val="21"/>
                    </w:rPr>
                  </w:pPr>
                  <w:r>
                    <w:rPr>
                      <w:sz w:val="21"/>
                      <w:szCs w:val="21"/>
                    </w:rPr>
                    <w:t>大杖子(一)</w:t>
                  </w:r>
                </w:p>
              </w:tc>
              <w:tc>
                <w:tcPr>
                  <w:tcW w:w="480" w:type="pct"/>
                  <w:vAlign w:val="center"/>
                </w:tcPr>
                <w:p>
                  <w:pPr>
                    <w:spacing w:line="320" w:lineRule="exact"/>
                    <w:jc w:val="center"/>
                    <w:rPr>
                      <w:sz w:val="21"/>
                      <w:szCs w:val="21"/>
                    </w:rPr>
                  </w:pPr>
                  <w:r>
                    <w:rPr>
                      <w:sz w:val="21"/>
                      <w:szCs w:val="21"/>
                    </w:rPr>
                    <w:t>Ⅱ</w:t>
                  </w:r>
                </w:p>
              </w:tc>
              <w:tc>
                <w:tcPr>
                  <w:tcW w:w="640" w:type="pct"/>
                  <w:vAlign w:val="center"/>
                </w:tcPr>
                <w:p>
                  <w:pPr>
                    <w:spacing w:line="320" w:lineRule="exact"/>
                    <w:jc w:val="center"/>
                    <w:rPr>
                      <w:sz w:val="21"/>
                      <w:szCs w:val="21"/>
                    </w:rPr>
                  </w:pPr>
                  <w:r>
                    <w:rPr>
                      <w:sz w:val="21"/>
                      <w:szCs w:val="21"/>
                    </w:rPr>
                    <w:t>达标</w:t>
                  </w:r>
                </w:p>
              </w:tc>
              <w:tc>
                <w:tcPr>
                  <w:tcW w:w="613" w:type="pct"/>
                  <w:vAlign w:val="center"/>
                </w:tcPr>
                <w:p>
                  <w:pPr>
                    <w:spacing w:line="320" w:lineRule="exact"/>
                    <w:jc w:val="center"/>
                    <w:rPr>
                      <w:sz w:val="21"/>
                      <w:szCs w:val="21"/>
                    </w:rPr>
                  </w:pPr>
                  <w:r>
                    <w:rPr>
                      <w:sz w:val="21"/>
                      <w:szCs w:val="21"/>
                    </w:rPr>
                    <w:t>/</w:t>
                  </w:r>
                </w:p>
              </w:tc>
              <w:tc>
                <w:tcPr>
                  <w:tcW w:w="990" w:type="pct"/>
                  <w:vMerge w:val="continue"/>
                  <w:vAlign w:val="center"/>
                </w:tcPr>
                <w:p>
                  <w:pPr>
                    <w:spacing w:line="320" w:lineRule="exact"/>
                    <w:jc w:val="center"/>
                    <w:rPr>
                      <w:sz w:val="21"/>
                      <w:szCs w:val="21"/>
                    </w:rPr>
                  </w:pPr>
                </w:p>
              </w:tc>
              <w:tc>
                <w:tcPr>
                  <w:tcW w:w="990" w:type="pct"/>
                  <w:vMerge w:val="continue"/>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0" w:type="pct"/>
                  <w:vMerge w:val="continue"/>
                  <w:vAlign w:val="center"/>
                </w:tcPr>
                <w:p>
                  <w:pPr>
                    <w:spacing w:line="320" w:lineRule="exact"/>
                    <w:jc w:val="center"/>
                    <w:rPr>
                      <w:sz w:val="21"/>
                      <w:szCs w:val="21"/>
                    </w:rPr>
                  </w:pPr>
                </w:p>
              </w:tc>
              <w:tc>
                <w:tcPr>
                  <w:tcW w:w="835" w:type="pct"/>
                  <w:vAlign w:val="center"/>
                </w:tcPr>
                <w:p>
                  <w:pPr>
                    <w:spacing w:line="320" w:lineRule="exact"/>
                    <w:jc w:val="center"/>
                    <w:rPr>
                      <w:sz w:val="21"/>
                      <w:szCs w:val="21"/>
                    </w:rPr>
                  </w:pPr>
                  <w:r>
                    <w:rPr>
                      <w:sz w:val="21"/>
                      <w:szCs w:val="21"/>
                    </w:rPr>
                    <w:t>潘家口水库</w:t>
                  </w:r>
                </w:p>
              </w:tc>
              <w:tc>
                <w:tcPr>
                  <w:tcW w:w="480" w:type="pct"/>
                  <w:vAlign w:val="center"/>
                </w:tcPr>
                <w:p>
                  <w:pPr>
                    <w:spacing w:line="320" w:lineRule="exact"/>
                    <w:jc w:val="center"/>
                    <w:rPr>
                      <w:sz w:val="21"/>
                      <w:szCs w:val="21"/>
                    </w:rPr>
                  </w:pPr>
                  <w:r>
                    <w:rPr>
                      <w:sz w:val="21"/>
                      <w:szCs w:val="21"/>
                    </w:rPr>
                    <w:t>Ⅱ</w:t>
                  </w:r>
                </w:p>
              </w:tc>
              <w:tc>
                <w:tcPr>
                  <w:tcW w:w="640" w:type="pct"/>
                  <w:vAlign w:val="center"/>
                </w:tcPr>
                <w:p>
                  <w:pPr>
                    <w:spacing w:line="320" w:lineRule="exact"/>
                    <w:jc w:val="center"/>
                    <w:rPr>
                      <w:sz w:val="21"/>
                      <w:szCs w:val="21"/>
                    </w:rPr>
                  </w:pPr>
                  <w:r>
                    <w:rPr>
                      <w:rFonts w:hint="eastAsia"/>
                      <w:sz w:val="21"/>
                      <w:szCs w:val="21"/>
                    </w:rPr>
                    <w:t>达标</w:t>
                  </w:r>
                </w:p>
              </w:tc>
              <w:tc>
                <w:tcPr>
                  <w:tcW w:w="613" w:type="pct"/>
                  <w:vAlign w:val="center"/>
                </w:tcPr>
                <w:p>
                  <w:pPr>
                    <w:spacing w:line="320" w:lineRule="exact"/>
                    <w:jc w:val="center"/>
                    <w:rPr>
                      <w:sz w:val="21"/>
                      <w:szCs w:val="21"/>
                    </w:rPr>
                  </w:pPr>
                  <w:r>
                    <w:rPr>
                      <w:rFonts w:hint="eastAsia"/>
                      <w:sz w:val="21"/>
                      <w:szCs w:val="21"/>
                    </w:rPr>
                    <w:t>/</w:t>
                  </w:r>
                </w:p>
              </w:tc>
              <w:tc>
                <w:tcPr>
                  <w:tcW w:w="990" w:type="pct"/>
                  <w:vMerge w:val="continue"/>
                  <w:vAlign w:val="center"/>
                </w:tcPr>
                <w:p>
                  <w:pPr>
                    <w:spacing w:line="320" w:lineRule="exact"/>
                    <w:jc w:val="center"/>
                    <w:rPr>
                      <w:sz w:val="21"/>
                      <w:szCs w:val="21"/>
                    </w:rPr>
                  </w:pPr>
                </w:p>
              </w:tc>
              <w:tc>
                <w:tcPr>
                  <w:tcW w:w="990" w:type="pct"/>
                  <w:vMerge w:val="continue"/>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0" w:type="pct"/>
                  <w:vMerge w:val="continue"/>
                  <w:vAlign w:val="center"/>
                </w:tcPr>
                <w:p>
                  <w:pPr>
                    <w:spacing w:line="320" w:lineRule="exact"/>
                    <w:jc w:val="center"/>
                    <w:rPr>
                      <w:sz w:val="21"/>
                      <w:szCs w:val="21"/>
                    </w:rPr>
                  </w:pPr>
                </w:p>
              </w:tc>
              <w:tc>
                <w:tcPr>
                  <w:tcW w:w="835" w:type="pct"/>
                  <w:vAlign w:val="center"/>
                </w:tcPr>
                <w:p>
                  <w:pPr>
                    <w:spacing w:line="320" w:lineRule="exact"/>
                    <w:jc w:val="center"/>
                    <w:rPr>
                      <w:sz w:val="21"/>
                      <w:szCs w:val="21"/>
                    </w:rPr>
                  </w:pPr>
                  <w:r>
                    <w:rPr>
                      <w:sz w:val="21"/>
                      <w:szCs w:val="21"/>
                    </w:rPr>
                    <w:t>偏桥子大桥</w:t>
                  </w:r>
                </w:p>
              </w:tc>
              <w:tc>
                <w:tcPr>
                  <w:tcW w:w="480" w:type="pct"/>
                  <w:vAlign w:val="center"/>
                </w:tcPr>
                <w:p>
                  <w:pPr>
                    <w:spacing w:line="320" w:lineRule="exact"/>
                    <w:jc w:val="center"/>
                    <w:rPr>
                      <w:sz w:val="21"/>
                      <w:szCs w:val="21"/>
                    </w:rPr>
                  </w:pPr>
                  <w:r>
                    <w:rPr>
                      <w:sz w:val="21"/>
                      <w:szCs w:val="21"/>
                    </w:rPr>
                    <w:t>Ⅲ</w:t>
                  </w:r>
                </w:p>
              </w:tc>
              <w:tc>
                <w:tcPr>
                  <w:tcW w:w="640" w:type="pct"/>
                  <w:vAlign w:val="center"/>
                </w:tcPr>
                <w:p>
                  <w:pPr>
                    <w:spacing w:line="320" w:lineRule="exact"/>
                    <w:jc w:val="center"/>
                    <w:rPr>
                      <w:sz w:val="21"/>
                      <w:szCs w:val="21"/>
                    </w:rPr>
                  </w:pPr>
                  <w:r>
                    <w:rPr>
                      <w:rFonts w:hint="eastAsia"/>
                      <w:sz w:val="21"/>
                      <w:szCs w:val="21"/>
                    </w:rPr>
                    <w:t>达标</w:t>
                  </w:r>
                </w:p>
              </w:tc>
              <w:tc>
                <w:tcPr>
                  <w:tcW w:w="613" w:type="pct"/>
                  <w:vAlign w:val="center"/>
                </w:tcPr>
                <w:p>
                  <w:pPr>
                    <w:spacing w:line="320" w:lineRule="exact"/>
                    <w:jc w:val="center"/>
                    <w:rPr>
                      <w:sz w:val="21"/>
                      <w:szCs w:val="21"/>
                    </w:rPr>
                  </w:pPr>
                  <w:r>
                    <w:rPr>
                      <w:rFonts w:hint="eastAsia"/>
                      <w:sz w:val="21"/>
                      <w:szCs w:val="21"/>
                    </w:rPr>
                    <w:t>/</w:t>
                  </w:r>
                </w:p>
              </w:tc>
              <w:tc>
                <w:tcPr>
                  <w:tcW w:w="990" w:type="pct"/>
                  <w:vMerge w:val="continue"/>
                  <w:vAlign w:val="center"/>
                </w:tcPr>
                <w:p>
                  <w:pPr>
                    <w:spacing w:line="320" w:lineRule="exact"/>
                    <w:jc w:val="center"/>
                    <w:rPr>
                      <w:sz w:val="21"/>
                      <w:szCs w:val="21"/>
                    </w:rPr>
                  </w:pPr>
                </w:p>
              </w:tc>
              <w:tc>
                <w:tcPr>
                  <w:tcW w:w="990" w:type="pct"/>
                  <w:vMerge w:val="continue"/>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0" w:type="pct"/>
                  <w:vMerge w:val="continue"/>
                  <w:vAlign w:val="center"/>
                </w:tcPr>
                <w:p>
                  <w:pPr>
                    <w:spacing w:line="320" w:lineRule="exact"/>
                    <w:jc w:val="center"/>
                    <w:rPr>
                      <w:sz w:val="21"/>
                      <w:szCs w:val="21"/>
                    </w:rPr>
                  </w:pPr>
                </w:p>
              </w:tc>
              <w:tc>
                <w:tcPr>
                  <w:tcW w:w="835" w:type="pct"/>
                  <w:vAlign w:val="center"/>
                </w:tcPr>
                <w:p>
                  <w:pPr>
                    <w:spacing w:line="320" w:lineRule="exact"/>
                    <w:jc w:val="center"/>
                    <w:rPr>
                      <w:sz w:val="21"/>
                      <w:szCs w:val="21"/>
                    </w:rPr>
                  </w:pPr>
                  <w:r>
                    <w:rPr>
                      <w:rFonts w:hint="eastAsia"/>
                      <w:sz w:val="21"/>
                      <w:szCs w:val="21"/>
                    </w:rPr>
                    <w:t>兴隆庄</w:t>
                  </w:r>
                </w:p>
              </w:tc>
              <w:tc>
                <w:tcPr>
                  <w:tcW w:w="480" w:type="pct"/>
                  <w:vAlign w:val="center"/>
                </w:tcPr>
                <w:p>
                  <w:pPr>
                    <w:spacing w:line="320" w:lineRule="exact"/>
                    <w:jc w:val="center"/>
                    <w:rPr>
                      <w:sz w:val="21"/>
                      <w:szCs w:val="21"/>
                    </w:rPr>
                  </w:pPr>
                  <w:r>
                    <w:rPr>
                      <w:sz w:val="21"/>
                      <w:szCs w:val="21"/>
                    </w:rPr>
                    <w:t>Ⅲ</w:t>
                  </w:r>
                </w:p>
              </w:tc>
              <w:tc>
                <w:tcPr>
                  <w:tcW w:w="640" w:type="pct"/>
                  <w:vAlign w:val="center"/>
                </w:tcPr>
                <w:p>
                  <w:pPr>
                    <w:spacing w:line="320" w:lineRule="exact"/>
                    <w:jc w:val="center"/>
                    <w:rPr>
                      <w:sz w:val="21"/>
                      <w:szCs w:val="21"/>
                    </w:rPr>
                  </w:pPr>
                  <w:r>
                    <w:rPr>
                      <w:rFonts w:hint="eastAsia"/>
                      <w:sz w:val="21"/>
                      <w:szCs w:val="21"/>
                    </w:rPr>
                    <w:t>达标</w:t>
                  </w:r>
                </w:p>
              </w:tc>
              <w:tc>
                <w:tcPr>
                  <w:tcW w:w="613" w:type="pct"/>
                  <w:vAlign w:val="center"/>
                </w:tcPr>
                <w:p>
                  <w:pPr>
                    <w:spacing w:line="320" w:lineRule="exact"/>
                    <w:jc w:val="center"/>
                    <w:rPr>
                      <w:sz w:val="21"/>
                      <w:szCs w:val="21"/>
                    </w:rPr>
                  </w:pPr>
                  <w:r>
                    <w:rPr>
                      <w:rFonts w:hint="eastAsia"/>
                      <w:sz w:val="21"/>
                      <w:szCs w:val="21"/>
                    </w:rPr>
                    <w:t>/</w:t>
                  </w:r>
                </w:p>
              </w:tc>
              <w:tc>
                <w:tcPr>
                  <w:tcW w:w="990" w:type="pct"/>
                  <w:vMerge w:val="continue"/>
                  <w:vAlign w:val="center"/>
                </w:tcPr>
                <w:p>
                  <w:pPr>
                    <w:spacing w:line="320" w:lineRule="exact"/>
                    <w:jc w:val="center"/>
                    <w:rPr>
                      <w:sz w:val="21"/>
                      <w:szCs w:val="21"/>
                    </w:rPr>
                  </w:pPr>
                </w:p>
              </w:tc>
              <w:tc>
                <w:tcPr>
                  <w:tcW w:w="990" w:type="pct"/>
                  <w:vMerge w:val="continue"/>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0" w:type="pct"/>
                  <w:vMerge w:val="continue"/>
                  <w:vAlign w:val="center"/>
                </w:tcPr>
                <w:p>
                  <w:pPr>
                    <w:spacing w:line="320" w:lineRule="exact"/>
                    <w:jc w:val="center"/>
                    <w:rPr>
                      <w:sz w:val="21"/>
                      <w:szCs w:val="21"/>
                    </w:rPr>
                  </w:pPr>
                </w:p>
              </w:tc>
              <w:tc>
                <w:tcPr>
                  <w:tcW w:w="835" w:type="pct"/>
                  <w:vAlign w:val="center"/>
                </w:tcPr>
                <w:p>
                  <w:pPr>
                    <w:spacing w:line="320" w:lineRule="exact"/>
                    <w:jc w:val="center"/>
                    <w:rPr>
                      <w:sz w:val="21"/>
                      <w:szCs w:val="21"/>
                    </w:rPr>
                  </w:pPr>
                  <w:r>
                    <w:rPr>
                      <w:sz w:val="21"/>
                      <w:szCs w:val="21"/>
                    </w:rPr>
                    <w:t>上板城大桥</w:t>
                  </w:r>
                </w:p>
              </w:tc>
              <w:tc>
                <w:tcPr>
                  <w:tcW w:w="480" w:type="pct"/>
                  <w:vAlign w:val="center"/>
                </w:tcPr>
                <w:p>
                  <w:pPr>
                    <w:spacing w:line="320" w:lineRule="exact"/>
                    <w:jc w:val="center"/>
                    <w:rPr>
                      <w:sz w:val="21"/>
                      <w:szCs w:val="21"/>
                    </w:rPr>
                  </w:pPr>
                  <w:r>
                    <w:rPr>
                      <w:sz w:val="21"/>
                      <w:szCs w:val="21"/>
                    </w:rPr>
                    <w:t>Ⅲ</w:t>
                  </w:r>
                </w:p>
              </w:tc>
              <w:tc>
                <w:tcPr>
                  <w:tcW w:w="640" w:type="pct"/>
                  <w:vAlign w:val="center"/>
                </w:tcPr>
                <w:p>
                  <w:pPr>
                    <w:spacing w:line="320" w:lineRule="exact"/>
                    <w:jc w:val="center"/>
                    <w:rPr>
                      <w:sz w:val="21"/>
                      <w:szCs w:val="21"/>
                    </w:rPr>
                  </w:pPr>
                  <w:r>
                    <w:rPr>
                      <w:rFonts w:hint="eastAsia"/>
                      <w:sz w:val="21"/>
                      <w:szCs w:val="21"/>
                    </w:rPr>
                    <w:t>达标</w:t>
                  </w:r>
                </w:p>
              </w:tc>
              <w:tc>
                <w:tcPr>
                  <w:tcW w:w="613" w:type="pct"/>
                  <w:vAlign w:val="center"/>
                </w:tcPr>
                <w:p>
                  <w:pPr>
                    <w:spacing w:line="320" w:lineRule="exact"/>
                    <w:jc w:val="center"/>
                    <w:rPr>
                      <w:sz w:val="21"/>
                      <w:szCs w:val="21"/>
                    </w:rPr>
                  </w:pPr>
                  <w:r>
                    <w:rPr>
                      <w:rFonts w:hint="eastAsia"/>
                      <w:sz w:val="21"/>
                      <w:szCs w:val="21"/>
                    </w:rPr>
                    <w:t>/</w:t>
                  </w:r>
                </w:p>
              </w:tc>
              <w:tc>
                <w:tcPr>
                  <w:tcW w:w="990" w:type="pct"/>
                  <w:vMerge w:val="continue"/>
                  <w:vAlign w:val="center"/>
                </w:tcPr>
                <w:p>
                  <w:pPr>
                    <w:spacing w:line="320" w:lineRule="exact"/>
                    <w:jc w:val="center"/>
                    <w:rPr>
                      <w:sz w:val="21"/>
                      <w:szCs w:val="21"/>
                    </w:rPr>
                  </w:pPr>
                </w:p>
              </w:tc>
              <w:tc>
                <w:tcPr>
                  <w:tcW w:w="990" w:type="pct"/>
                  <w:vMerge w:val="continue"/>
                  <w:vAlign w:val="center"/>
                </w:tcPr>
                <w:p>
                  <w:pPr>
                    <w:spacing w:line="320" w:lineRule="exact"/>
                    <w:jc w:val="center"/>
                    <w:rPr>
                      <w:sz w:val="21"/>
                      <w:szCs w:val="21"/>
                    </w:rPr>
                  </w:pPr>
                </w:p>
              </w:tc>
            </w:tr>
          </w:tbl>
          <w:p>
            <w:pPr>
              <w:pStyle w:val="13"/>
              <w:numPr>
                <w:ilvl w:val="0"/>
                <w:numId w:val="6"/>
              </w:numPr>
              <w:spacing w:line="360" w:lineRule="auto"/>
              <w:ind w:left="0" w:leftChars="0"/>
              <w:rPr>
                <w:sz w:val="21"/>
                <w:szCs w:val="21"/>
              </w:rPr>
            </w:pPr>
            <w:r>
              <w:rPr>
                <w:rFonts w:hint="eastAsia"/>
                <w:sz w:val="21"/>
                <w:szCs w:val="21"/>
              </w:rPr>
              <w:t>声环境质量现状</w:t>
            </w:r>
          </w:p>
          <w:p>
            <w:pPr>
              <w:spacing w:line="360" w:lineRule="auto"/>
              <w:ind w:firstLine="420" w:firstLineChars="200"/>
              <w:rPr>
                <w:sz w:val="21"/>
                <w:szCs w:val="21"/>
              </w:rPr>
            </w:pPr>
            <w:r>
              <w:rPr>
                <w:sz w:val="21"/>
                <w:szCs w:val="21"/>
              </w:rPr>
              <w:t>本项目位于</w:t>
            </w:r>
            <w:r>
              <w:rPr>
                <w:rFonts w:hint="eastAsia"/>
                <w:lang w:val="en-US" w:eastAsia="zh-CN"/>
              </w:rPr>
              <w:t>承德市</w:t>
            </w:r>
            <w:r>
              <w:rPr>
                <w:rFonts w:hint="eastAsia"/>
                <w:sz w:val="21"/>
                <w:szCs w:val="21"/>
              </w:rPr>
              <w:t>双滦</w:t>
            </w:r>
            <w:r>
              <w:rPr>
                <w:sz w:val="21"/>
                <w:szCs w:val="21"/>
              </w:rPr>
              <w:t>区华府南街</w:t>
            </w:r>
            <w:r>
              <w:rPr>
                <w:rFonts w:hint="eastAsia"/>
                <w:sz w:val="21"/>
                <w:szCs w:val="21"/>
                <w:lang w:eastAsia="zh-CN"/>
              </w:rPr>
              <w:t>滦河镇政府东侧酒店村回迁楼2</w:t>
            </w:r>
            <w:r>
              <w:rPr>
                <w:rFonts w:hint="eastAsia"/>
                <w:sz w:val="21"/>
                <w:szCs w:val="21"/>
                <w:lang w:val="en-US" w:eastAsia="zh-CN"/>
              </w:rPr>
              <w:t>-3</w:t>
            </w:r>
            <w:r>
              <w:rPr>
                <w:rFonts w:hint="eastAsia"/>
                <w:sz w:val="21"/>
                <w:szCs w:val="21"/>
                <w:lang w:eastAsia="zh-CN"/>
              </w:rPr>
              <w:t>#商业楼</w:t>
            </w:r>
            <w:r>
              <w:rPr>
                <w:sz w:val="21"/>
                <w:szCs w:val="21"/>
              </w:rPr>
              <w:t>，院界周边声环境保护目标为西</w:t>
            </w:r>
            <w:r>
              <w:rPr>
                <w:rFonts w:hint="eastAsia"/>
                <w:sz w:val="21"/>
                <w:szCs w:val="21"/>
              </w:rPr>
              <w:t>南</w:t>
            </w:r>
            <w:r>
              <w:rPr>
                <w:sz w:val="21"/>
                <w:szCs w:val="21"/>
              </w:rPr>
              <w:t>侧的</w:t>
            </w:r>
            <w:r>
              <w:rPr>
                <w:rFonts w:hint="eastAsia"/>
                <w:sz w:val="21"/>
                <w:szCs w:val="21"/>
              </w:rPr>
              <w:t>滦河新区B区</w:t>
            </w:r>
            <w:r>
              <w:rPr>
                <w:sz w:val="21"/>
                <w:szCs w:val="21"/>
              </w:rPr>
              <w:t>居民</w:t>
            </w:r>
            <w:r>
              <w:rPr>
                <w:rFonts w:hint="eastAsia"/>
                <w:sz w:val="21"/>
                <w:szCs w:val="21"/>
              </w:rPr>
              <w:t>。按照《承德市中心城区声环境功能区划技术报告》（承德市生态环境局-2019.9），项目所在地为西区组团2 类标准适用区域第九个片区位于滦河镇，片区边界为滦河大街-滦河新街-铁路-东园路-钢城路，因此本项目区域执行《声环境质量标准》（GB3096-2008）中2类和4a类区标准要求。</w:t>
            </w:r>
          </w:p>
          <w:p>
            <w:pPr>
              <w:spacing w:line="360" w:lineRule="auto"/>
              <w:ind w:firstLine="420" w:firstLineChars="200"/>
              <w:rPr>
                <w:sz w:val="21"/>
                <w:szCs w:val="21"/>
              </w:rPr>
            </w:pPr>
            <w:r>
              <w:rPr>
                <w:sz w:val="21"/>
                <w:szCs w:val="21"/>
              </w:rPr>
              <w:t>厂界外周边50m范围内存在声环境保护目标滦河新区B区</w:t>
            </w:r>
            <w:r>
              <w:rPr>
                <w:rFonts w:hint="eastAsia"/>
                <w:sz w:val="21"/>
                <w:szCs w:val="21"/>
              </w:rPr>
              <w:t>，</w:t>
            </w:r>
            <w:r>
              <w:rPr>
                <w:sz w:val="21"/>
                <w:szCs w:val="21"/>
              </w:rPr>
              <w:t xml:space="preserve">本次评价对区域敏感点的声环境质量进行了现状调查与监测，简述如下： </w:t>
            </w:r>
          </w:p>
          <w:p>
            <w:pPr>
              <w:spacing w:line="360" w:lineRule="auto"/>
              <w:ind w:firstLine="420" w:firstLineChars="200"/>
              <w:rPr>
                <w:sz w:val="21"/>
                <w:szCs w:val="21"/>
              </w:rPr>
            </w:pPr>
            <w:r>
              <w:rPr>
                <w:sz w:val="21"/>
                <w:szCs w:val="21"/>
              </w:rPr>
              <w:t>（1）监测布点</w:t>
            </w:r>
          </w:p>
          <w:p>
            <w:pPr>
              <w:spacing w:line="360" w:lineRule="auto"/>
              <w:ind w:firstLine="420" w:firstLineChars="200"/>
              <w:rPr>
                <w:sz w:val="21"/>
                <w:szCs w:val="21"/>
              </w:rPr>
            </w:pPr>
            <w:r>
              <w:rPr>
                <w:sz w:val="21"/>
                <w:szCs w:val="21"/>
              </w:rPr>
              <w:t>N1——项目场地</w:t>
            </w:r>
            <w:r>
              <w:rPr>
                <w:rFonts w:hint="eastAsia"/>
                <w:sz w:val="21"/>
                <w:szCs w:val="21"/>
              </w:rPr>
              <w:t>西</w:t>
            </w:r>
            <w:r>
              <w:rPr>
                <w:sz w:val="21"/>
                <w:szCs w:val="21"/>
              </w:rPr>
              <w:t>南侧居民楼</w:t>
            </w:r>
            <w:r>
              <w:rPr>
                <w:rFonts w:hint="eastAsia"/>
                <w:sz w:val="21"/>
                <w:szCs w:val="21"/>
              </w:rPr>
              <w:t>滨河新区B区</w:t>
            </w:r>
            <w:r>
              <w:rPr>
                <w:sz w:val="21"/>
                <w:szCs w:val="21"/>
              </w:rPr>
              <w:t xml:space="preserve">；  </w:t>
            </w:r>
          </w:p>
          <w:p>
            <w:pPr>
              <w:spacing w:line="360" w:lineRule="auto"/>
              <w:ind w:firstLine="420" w:firstLineChars="200"/>
              <w:rPr>
                <w:sz w:val="21"/>
                <w:szCs w:val="21"/>
              </w:rPr>
            </w:pPr>
            <w:r>
              <w:rPr>
                <w:sz w:val="21"/>
                <w:szCs w:val="21"/>
              </w:rPr>
              <w:t xml:space="preserve">（2）监测因子：Leq； </w:t>
            </w:r>
          </w:p>
          <w:p>
            <w:pPr>
              <w:spacing w:line="360" w:lineRule="auto"/>
              <w:ind w:firstLine="420" w:firstLineChars="200"/>
              <w:rPr>
                <w:sz w:val="21"/>
                <w:szCs w:val="21"/>
              </w:rPr>
            </w:pPr>
            <w:r>
              <w:rPr>
                <w:sz w:val="21"/>
                <w:szCs w:val="21"/>
              </w:rPr>
              <w:t xml:space="preserve">（3）采样频率及监测结果 </w:t>
            </w:r>
          </w:p>
          <w:p>
            <w:pPr>
              <w:spacing w:line="360" w:lineRule="auto"/>
              <w:ind w:firstLine="420" w:firstLineChars="200"/>
              <w:rPr>
                <w:sz w:val="21"/>
                <w:szCs w:val="21"/>
              </w:rPr>
            </w:pPr>
            <w:r>
              <w:rPr>
                <w:sz w:val="21"/>
                <w:szCs w:val="21"/>
              </w:rPr>
              <w:t xml:space="preserve">2022 年 </w:t>
            </w:r>
            <w:r>
              <w:rPr>
                <w:rFonts w:hint="eastAsia"/>
                <w:sz w:val="21"/>
                <w:szCs w:val="21"/>
              </w:rPr>
              <w:t>9</w:t>
            </w:r>
            <w:r>
              <w:rPr>
                <w:sz w:val="21"/>
                <w:szCs w:val="21"/>
              </w:rPr>
              <w:t xml:space="preserve">月 </w:t>
            </w:r>
            <w:r>
              <w:rPr>
                <w:rFonts w:hint="eastAsia"/>
                <w:sz w:val="21"/>
                <w:szCs w:val="21"/>
              </w:rPr>
              <w:t>5</w:t>
            </w:r>
            <w:r>
              <w:rPr>
                <w:sz w:val="21"/>
                <w:szCs w:val="21"/>
              </w:rPr>
              <w:t xml:space="preserve"> 日-2022 年</w:t>
            </w:r>
            <w:r>
              <w:rPr>
                <w:rFonts w:hint="eastAsia"/>
                <w:sz w:val="21"/>
                <w:szCs w:val="21"/>
              </w:rPr>
              <w:t>9</w:t>
            </w:r>
            <w:r>
              <w:rPr>
                <w:sz w:val="21"/>
                <w:szCs w:val="21"/>
              </w:rPr>
              <w:t xml:space="preserve"> 月 </w:t>
            </w:r>
            <w:r>
              <w:rPr>
                <w:rFonts w:hint="eastAsia"/>
                <w:sz w:val="21"/>
                <w:szCs w:val="21"/>
              </w:rPr>
              <w:t>6</w:t>
            </w:r>
            <w:r>
              <w:rPr>
                <w:sz w:val="21"/>
                <w:szCs w:val="21"/>
              </w:rPr>
              <w:t xml:space="preserve"> 日，监测 </w:t>
            </w:r>
            <w:r>
              <w:rPr>
                <w:rFonts w:hint="eastAsia"/>
                <w:sz w:val="21"/>
                <w:szCs w:val="21"/>
              </w:rPr>
              <w:t>1</w:t>
            </w:r>
            <w:r>
              <w:rPr>
                <w:sz w:val="21"/>
                <w:szCs w:val="21"/>
              </w:rPr>
              <w:t xml:space="preserve">天，昼、夜各一次。 </w:t>
            </w:r>
          </w:p>
          <w:p>
            <w:pPr>
              <w:spacing w:line="360" w:lineRule="auto"/>
              <w:ind w:firstLine="420" w:firstLineChars="200"/>
              <w:rPr>
                <w:sz w:val="21"/>
                <w:szCs w:val="21"/>
              </w:rPr>
            </w:pPr>
            <w:r>
              <w:rPr>
                <w:sz w:val="21"/>
                <w:szCs w:val="21"/>
              </w:rPr>
              <w:t xml:space="preserve">（4）监测结果汇总与统计 </w:t>
            </w:r>
          </w:p>
          <w:p>
            <w:pPr>
              <w:spacing w:line="360" w:lineRule="auto"/>
              <w:ind w:firstLine="420" w:firstLineChars="200"/>
              <w:rPr>
                <w:sz w:val="21"/>
                <w:szCs w:val="21"/>
              </w:rPr>
            </w:pPr>
            <w:r>
              <w:rPr>
                <w:sz w:val="21"/>
                <w:szCs w:val="21"/>
              </w:rPr>
              <w:t>声质量现状评价结果见下表。</w:t>
            </w:r>
          </w:p>
          <w:p>
            <w:pPr>
              <w:jc w:val="center"/>
              <w:rPr>
                <w:b/>
                <w:bCs/>
                <w:sz w:val="21"/>
                <w:szCs w:val="21"/>
              </w:rPr>
            </w:pPr>
            <w:r>
              <w:rPr>
                <w:rFonts w:hint="eastAsia"/>
                <w:b/>
                <w:bCs/>
                <w:sz w:val="21"/>
                <w:szCs w:val="21"/>
              </w:rPr>
              <w:t xml:space="preserve">表3-3 </w:t>
            </w:r>
            <w:r>
              <w:rPr>
                <w:b/>
                <w:bCs/>
                <w:sz w:val="21"/>
                <w:szCs w:val="21"/>
              </w:rPr>
              <w:t>项目</w:t>
            </w:r>
            <w:r>
              <w:rPr>
                <w:rFonts w:hint="eastAsia"/>
                <w:b/>
                <w:bCs/>
                <w:sz w:val="21"/>
                <w:szCs w:val="21"/>
              </w:rPr>
              <w:t>环境噪声</w:t>
            </w:r>
            <w:r>
              <w:rPr>
                <w:b/>
                <w:bCs/>
                <w:sz w:val="21"/>
                <w:szCs w:val="21"/>
              </w:rPr>
              <w:t>监测结果及达标分析</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2676"/>
              <w:gridCol w:w="1242"/>
              <w:gridCol w:w="1247"/>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pct"/>
                  <w:tcBorders>
                    <w:tl2br w:val="nil"/>
                    <w:tr2bl w:val="nil"/>
                  </w:tcBorders>
                  <w:vAlign w:val="center"/>
                </w:tcPr>
                <w:p>
                  <w:pPr>
                    <w:jc w:val="center"/>
                    <w:rPr>
                      <w:b/>
                      <w:bCs/>
                      <w:sz w:val="21"/>
                      <w:szCs w:val="21"/>
                    </w:rPr>
                  </w:pPr>
                  <w:r>
                    <w:rPr>
                      <w:b/>
                      <w:bCs/>
                      <w:sz w:val="21"/>
                      <w:szCs w:val="21"/>
                    </w:rPr>
                    <w:t>气象条件描述</w:t>
                  </w:r>
                </w:p>
              </w:tc>
              <w:tc>
                <w:tcPr>
                  <w:tcW w:w="3243" w:type="pct"/>
                  <w:gridSpan w:val="3"/>
                  <w:tcBorders>
                    <w:tl2br w:val="nil"/>
                    <w:tr2bl w:val="nil"/>
                  </w:tcBorders>
                  <w:vAlign w:val="center"/>
                </w:tcPr>
                <w:p>
                  <w:pPr>
                    <w:jc w:val="center"/>
                    <w:rPr>
                      <w:b/>
                      <w:bCs/>
                      <w:sz w:val="21"/>
                      <w:szCs w:val="21"/>
                    </w:rPr>
                  </w:pPr>
                  <w:r>
                    <w:rPr>
                      <w:b/>
                      <w:bCs/>
                      <w:sz w:val="21"/>
                      <w:szCs w:val="21"/>
                    </w:rPr>
                    <w:t>无雨雪、无雷电、风速＜5m/s</w:t>
                  </w:r>
                </w:p>
              </w:tc>
              <w:tc>
                <w:tcPr>
                  <w:tcW w:w="737" w:type="pct"/>
                  <w:vMerge w:val="restart"/>
                  <w:tcBorders>
                    <w:tl2br w:val="nil"/>
                    <w:tr2bl w:val="nil"/>
                  </w:tcBorders>
                  <w:vAlign w:val="center"/>
                </w:tcPr>
                <w:p>
                  <w:pPr>
                    <w:jc w:val="center"/>
                    <w:rPr>
                      <w:b/>
                      <w:bCs/>
                      <w:sz w:val="21"/>
                      <w:szCs w:val="21"/>
                    </w:rPr>
                  </w:pPr>
                  <w:r>
                    <w:rPr>
                      <w:b/>
                      <w:bCs/>
                      <w:sz w:val="21"/>
                      <w:szCs w:val="21"/>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pct"/>
                  <w:vMerge w:val="restart"/>
                  <w:tcBorders>
                    <w:tl2br w:val="nil"/>
                    <w:tr2bl w:val="nil"/>
                  </w:tcBorders>
                  <w:vAlign w:val="center"/>
                </w:tcPr>
                <w:p>
                  <w:pPr>
                    <w:jc w:val="center"/>
                    <w:rPr>
                      <w:b/>
                      <w:bCs/>
                      <w:sz w:val="21"/>
                      <w:szCs w:val="21"/>
                    </w:rPr>
                  </w:pPr>
                  <w:r>
                    <w:rPr>
                      <w:b/>
                      <w:bCs/>
                      <w:sz w:val="21"/>
                      <w:szCs w:val="21"/>
                    </w:rPr>
                    <w:t>检测日期</w:t>
                  </w:r>
                </w:p>
              </w:tc>
              <w:tc>
                <w:tcPr>
                  <w:tcW w:w="1680" w:type="pct"/>
                  <w:vMerge w:val="restart"/>
                  <w:tcBorders>
                    <w:tl2br w:val="nil"/>
                    <w:tr2bl w:val="nil"/>
                  </w:tcBorders>
                  <w:vAlign w:val="center"/>
                </w:tcPr>
                <w:p>
                  <w:pPr>
                    <w:jc w:val="center"/>
                    <w:rPr>
                      <w:b/>
                      <w:bCs/>
                      <w:sz w:val="21"/>
                      <w:szCs w:val="21"/>
                    </w:rPr>
                  </w:pPr>
                  <w:r>
                    <w:rPr>
                      <w:b/>
                      <w:bCs/>
                      <w:sz w:val="21"/>
                      <w:szCs w:val="21"/>
                    </w:rPr>
                    <w:t>检测点名称</w:t>
                  </w:r>
                </w:p>
              </w:tc>
              <w:tc>
                <w:tcPr>
                  <w:tcW w:w="1563" w:type="pct"/>
                  <w:gridSpan w:val="2"/>
                  <w:tcBorders>
                    <w:tl2br w:val="nil"/>
                    <w:tr2bl w:val="nil"/>
                  </w:tcBorders>
                  <w:vAlign w:val="center"/>
                </w:tcPr>
                <w:p>
                  <w:pPr>
                    <w:jc w:val="center"/>
                    <w:rPr>
                      <w:b/>
                      <w:bCs/>
                      <w:sz w:val="21"/>
                      <w:szCs w:val="21"/>
                    </w:rPr>
                  </w:pPr>
                  <w:r>
                    <w:rPr>
                      <w:b/>
                      <w:bCs/>
                      <w:sz w:val="21"/>
                      <w:szCs w:val="21"/>
                    </w:rPr>
                    <w:t>检测结果dB（A）</w:t>
                  </w:r>
                </w:p>
              </w:tc>
              <w:tc>
                <w:tcPr>
                  <w:tcW w:w="737" w:type="pct"/>
                  <w:vMerge w:val="continue"/>
                  <w:tcBorders>
                    <w:tl2br w:val="nil"/>
                    <w:tr2bl w:val="nil"/>
                  </w:tcBorders>
                  <w:vAlign w:val="center"/>
                </w:tcPr>
                <w:p>
                  <w:pPr>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pct"/>
                  <w:vMerge w:val="continue"/>
                  <w:tcBorders>
                    <w:tl2br w:val="nil"/>
                    <w:tr2bl w:val="nil"/>
                  </w:tcBorders>
                  <w:vAlign w:val="center"/>
                </w:tcPr>
                <w:p>
                  <w:pPr>
                    <w:jc w:val="center"/>
                    <w:rPr>
                      <w:b/>
                      <w:bCs/>
                      <w:sz w:val="21"/>
                      <w:szCs w:val="21"/>
                    </w:rPr>
                  </w:pPr>
                </w:p>
              </w:tc>
              <w:tc>
                <w:tcPr>
                  <w:tcW w:w="1680" w:type="pct"/>
                  <w:vMerge w:val="continue"/>
                  <w:tcBorders>
                    <w:tl2br w:val="nil"/>
                    <w:tr2bl w:val="nil"/>
                  </w:tcBorders>
                  <w:vAlign w:val="center"/>
                </w:tcPr>
                <w:p>
                  <w:pPr>
                    <w:jc w:val="center"/>
                    <w:rPr>
                      <w:b/>
                      <w:bCs/>
                      <w:sz w:val="21"/>
                      <w:szCs w:val="21"/>
                    </w:rPr>
                  </w:pPr>
                </w:p>
              </w:tc>
              <w:tc>
                <w:tcPr>
                  <w:tcW w:w="780" w:type="pct"/>
                  <w:tcBorders>
                    <w:tl2br w:val="nil"/>
                    <w:tr2bl w:val="nil"/>
                  </w:tcBorders>
                  <w:vAlign w:val="center"/>
                </w:tcPr>
                <w:p>
                  <w:pPr>
                    <w:jc w:val="center"/>
                    <w:rPr>
                      <w:b/>
                      <w:bCs/>
                      <w:sz w:val="21"/>
                      <w:szCs w:val="21"/>
                    </w:rPr>
                  </w:pPr>
                  <w:r>
                    <w:rPr>
                      <w:b/>
                      <w:bCs/>
                      <w:sz w:val="21"/>
                      <w:szCs w:val="21"/>
                    </w:rPr>
                    <w:t>昼间</w:t>
                  </w:r>
                </w:p>
              </w:tc>
              <w:tc>
                <w:tcPr>
                  <w:tcW w:w="782" w:type="pct"/>
                  <w:tcBorders>
                    <w:tl2br w:val="nil"/>
                    <w:tr2bl w:val="nil"/>
                  </w:tcBorders>
                  <w:vAlign w:val="center"/>
                </w:tcPr>
                <w:p>
                  <w:pPr>
                    <w:jc w:val="center"/>
                    <w:rPr>
                      <w:b/>
                      <w:bCs/>
                      <w:sz w:val="21"/>
                      <w:szCs w:val="21"/>
                    </w:rPr>
                  </w:pPr>
                  <w:r>
                    <w:rPr>
                      <w:b/>
                      <w:bCs/>
                      <w:sz w:val="21"/>
                      <w:szCs w:val="21"/>
                    </w:rPr>
                    <w:t>夜间</w:t>
                  </w:r>
                </w:p>
              </w:tc>
              <w:tc>
                <w:tcPr>
                  <w:tcW w:w="737" w:type="pct"/>
                  <w:tcBorders>
                    <w:tl2br w:val="nil"/>
                    <w:tr2bl w:val="nil"/>
                  </w:tcBorders>
                  <w:vAlign w:val="center"/>
                </w:tcPr>
                <w:p>
                  <w:pPr>
                    <w:jc w:val="center"/>
                    <w:rPr>
                      <w:b/>
                      <w:bCs/>
                      <w:sz w:val="21"/>
                      <w:szCs w:val="21"/>
                    </w:rPr>
                  </w:pPr>
                  <w:r>
                    <w:rPr>
                      <w:b/>
                      <w:bCs/>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pct"/>
                  <w:vMerge w:val="restart"/>
                  <w:tcBorders>
                    <w:tl2br w:val="nil"/>
                    <w:tr2bl w:val="nil"/>
                  </w:tcBorders>
                  <w:vAlign w:val="center"/>
                </w:tcPr>
                <w:p>
                  <w:pPr>
                    <w:jc w:val="center"/>
                    <w:rPr>
                      <w:sz w:val="21"/>
                      <w:szCs w:val="21"/>
                    </w:rPr>
                  </w:pPr>
                  <w:r>
                    <w:rPr>
                      <w:sz w:val="21"/>
                      <w:szCs w:val="21"/>
                    </w:rPr>
                    <w:t>2022.</w:t>
                  </w:r>
                  <w:r>
                    <w:rPr>
                      <w:rFonts w:hint="eastAsia"/>
                      <w:sz w:val="21"/>
                      <w:szCs w:val="21"/>
                    </w:rPr>
                    <w:t>9.5-2022.9.6</w:t>
                  </w:r>
                </w:p>
              </w:tc>
              <w:tc>
                <w:tcPr>
                  <w:tcW w:w="1680" w:type="pct"/>
                  <w:tcBorders>
                    <w:tl2br w:val="nil"/>
                    <w:tr2bl w:val="nil"/>
                  </w:tcBorders>
                  <w:vAlign w:val="center"/>
                </w:tcPr>
                <w:p>
                  <w:pPr>
                    <w:jc w:val="center"/>
                    <w:rPr>
                      <w:sz w:val="21"/>
                      <w:szCs w:val="21"/>
                    </w:rPr>
                  </w:pPr>
                  <w:r>
                    <w:rPr>
                      <w:sz w:val="21"/>
                      <w:szCs w:val="21"/>
                    </w:rPr>
                    <w:t>厂界</w:t>
                  </w:r>
                  <w:r>
                    <w:rPr>
                      <w:rFonts w:hint="eastAsia"/>
                      <w:sz w:val="21"/>
                      <w:szCs w:val="21"/>
                    </w:rPr>
                    <w:t>东</w:t>
                  </w:r>
                  <w:r>
                    <w:rPr>
                      <w:sz w:val="21"/>
                      <w:szCs w:val="21"/>
                    </w:rPr>
                    <w:t>1#</w:t>
                  </w:r>
                </w:p>
              </w:tc>
              <w:tc>
                <w:tcPr>
                  <w:tcW w:w="780" w:type="pct"/>
                  <w:tcBorders>
                    <w:tl2br w:val="nil"/>
                    <w:tr2bl w:val="nil"/>
                  </w:tcBorders>
                  <w:vAlign w:val="center"/>
                </w:tcPr>
                <w:p>
                  <w:pPr>
                    <w:jc w:val="center"/>
                    <w:rPr>
                      <w:sz w:val="21"/>
                      <w:szCs w:val="21"/>
                    </w:rPr>
                  </w:pPr>
                  <w:r>
                    <w:rPr>
                      <w:rFonts w:hint="eastAsia"/>
                      <w:sz w:val="21"/>
                      <w:szCs w:val="21"/>
                    </w:rPr>
                    <w:t>56</w:t>
                  </w:r>
                </w:p>
              </w:tc>
              <w:tc>
                <w:tcPr>
                  <w:tcW w:w="782" w:type="pct"/>
                  <w:tcBorders>
                    <w:tl2br w:val="nil"/>
                    <w:tr2bl w:val="nil"/>
                  </w:tcBorders>
                  <w:vAlign w:val="center"/>
                </w:tcPr>
                <w:p>
                  <w:pPr>
                    <w:jc w:val="center"/>
                    <w:rPr>
                      <w:sz w:val="21"/>
                      <w:szCs w:val="21"/>
                    </w:rPr>
                  </w:pPr>
                  <w:r>
                    <w:rPr>
                      <w:rFonts w:hint="eastAsia"/>
                      <w:sz w:val="21"/>
                      <w:szCs w:val="21"/>
                    </w:rPr>
                    <w:t>43</w:t>
                  </w:r>
                </w:p>
              </w:tc>
              <w:tc>
                <w:tcPr>
                  <w:tcW w:w="737" w:type="pct"/>
                  <w:tcBorders>
                    <w:tl2br w:val="nil"/>
                    <w:tr2bl w:val="nil"/>
                  </w:tcBorders>
                  <w:vAlign w:val="center"/>
                </w:tcPr>
                <w:p>
                  <w:pPr>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pct"/>
                  <w:vMerge w:val="continue"/>
                  <w:tcBorders>
                    <w:tl2br w:val="nil"/>
                    <w:tr2bl w:val="nil"/>
                  </w:tcBorders>
                  <w:vAlign w:val="center"/>
                </w:tcPr>
                <w:p>
                  <w:pPr>
                    <w:jc w:val="center"/>
                    <w:rPr>
                      <w:sz w:val="21"/>
                      <w:szCs w:val="21"/>
                    </w:rPr>
                  </w:pPr>
                </w:p>
              </w:tc>
              <w:tc>
                <w:tcPr>
                  <w:tcW w:w="1680" w:type="pct"/>
                  <w:tcBorders>
                    <w:tl2br w:val="nil"/>
                    <w:tr2bl w:val="nil"/>
                  </w:tcBorders>
                  <w:vAlign w:val="center"/>
                </w:tcPr>
                <w:p>
                  <w:pPr>
                    <w:jc w:val="center"/>
                    <w:rPr>
                      <w:sz w:val="21"/>
                      <w:szCs w:val="21"/>
                    </w:rPr>
                  </w:pPr>
                  <w:r>
                    <w:rPr>
                      <w:sz w:val="21"/>
                      <w:szCs w:val="21"/>
                    </w:rPr>
                    <w:t>厂界</w:t>
                  </w:r>
                  <w:r>
                    <w:rPr>
                      <w:rFonts w:hint="eastAsia"/>
                      <w:sz w:val="21"/>
                      <w:szCs w:val="21"/>
                    </w:rPr>
                    <w:t>南</w:t>
                  </w:r>
                  <w:r>
                    <w:rPr>
                      <w:sz w:val="21"/>
                      <w:szCs w:val="21"/>
                    </w:rPr>
                    <w:t>2#</w:t>
                  </w:r>
                </w:p>
              </w:tc>
              <w:tc>
                <w:tcPr>
                  <w:tcW w:w="780" w:type="pct"/>
                  <w:tcBorders>
                    <w:tl2br w:val="nil"/>
                    <w:tr2bl w:val="nil"/>
                  </w:tcBorders>
                  <w:vAlign w:val="center"/>
                </w:tcPr>
                <w:p>
                  <w:pPr>
                    <w:jc w:val="center"/>
                    <w:rPr>
                      <w:sz w:val="21"/>
                      <w:szCs w:val="21"/>
                    </w:rPr>
                  </w:pPr>
                  <w:r>
                    <w:rPr>
                      <w:rFonts w:hint="eastAsia"/>
                      <w:sz w:val="21"/>
                      <w:szCs w:val="21"/>
                    </w:rPr>
                    <w:t>52</w:t>
                  </w:r>
                </w:p>
              </w:tc>
              <w:tc>
                <w:tcPr>
                  <w:tcW w:w="782" w:type="pct"/>
                  <w:tcBorders>
                    <w:tl2br w:val="nil"/>
                    <w:tr2bl w:val="nil"/>
                  </w:tcBorders>
                  <w:vAlign w:val="center"/>
                </w:tcPr>
                <w:p>
                  <w:pPr>
                    <w:jc w:val="center"/>
                    <w:rPr>
                      <w:sz w:val="21"/>
                      <w:szCs w:val="21"/>
                    </w:rPr>
                  </w:pPr>
                  <w:r>
                    <w:rPr>
                      <w:rFonts w:hint="eastAsia"/>
                      <w:sz w:val="21"/>
                      <w:szCs w:val="21"/>
                    </w:rPr>
                    <w:t>43</w:t>
                  </w:r>
                </w:p>
              </w:tc>
              <w:tc>
                <w:tcPr>
                  <w:tcW w:w="737" w:type="pct"/>
                  <w:tcBorders>
                    <w:tl2br w:val="nil"/>
                    <w:tr2bl w:val="nil"/>
                  </w:tcBorders>
                  <w:vAlign w:val="center"/>
                </w:tcPr>
                <w:p>
                  <w:pPr>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pct"/>
                  <w:vMerge w:val="continue"/>
                  <w:tcBorders>
                    <w:tl2br w:val="nil"/>
                    <w:tr2bl w:val="nil"/>
                  </w:tcBorders>
                  <w:vAlign w:val="center"/>
                </w:tcPr>
                <w:p>
                  <w:pPr>
                    <w:jc w:val="center"/>
                    <w:rPr>
                      <w:sz w:val="21"/>
                      <w:szCs w:val="21"/>
                    </w:rPr>
                  </w:pPr>
                </w:p>
              </w:tc>
              <w:tc>
                <w:tcPr>
                  <w:tcW w:w="1680" w:type="pct"/>
                  <w:tcBorders>
                    <w:tl2br w:val="nil"/>
                    <w:tr2bl w:val="nil"/>
                  </w:tcBorders>
                  <w:vAlign w:val="center"/>
                </w:tcPr>
                <w:p>
                  <w:pPr>
                    <w:jc w:val="center"/>
                    <w:rPr>
                      <w:sz w:val="21"/>
                      <w:szCs w:val="21"/>
                    </w:rPr>
                  </w:pPr>
                  <w:r>
                    <w:rPr>
                      <w:sz w:val="21"/>
                      <w:szCs w:val="21"/>
                    </w:rPr>
                    <w:t>厂界</w:t>
                  </w:r>
                  <w:r>
                    <w:rPr>
                      <w:rFonts w:hint="eastAsia"/>
                      <w:sz w:val="21"/>
                      <w:szCs w:val="21"/>
                    </w:rPr>
                    <w:t>西</w:t>
                  </w:r>
                  <w:r>
                    <w:rPr>
                      <w:sz w:val="21"/>
                      <w:szCs w:val="21"/>
                    </w:rPr>
                    <w:t>3#</w:t>
                  </w:r>
                </w:p>
              </w:tc>
              <w:tc>
                <w:tcPr>
                  <w:tcW w:w="780" w:type="pct"/>
                  <w:tcBorders>
                    <w:tl2br w:val="nil"/>
                    <w:tr2bl w:val="nil"/>
                  </w:tcBorders>
                  <w:vAlign w:val="center"/>
                </w:tcPr>
                <w:p>
                  <w:pPr>
                    <w:jc w:val="center"/>
                    <w:rPr>
                      <w:sz w:val="21"/>
                      <w:szCs w:val="21"/>
                    </w:rPr>
                  </w:pPr>
                  <w:r>
                    <w:rPr>
                      <w:rFonts w:hint="eastAsia"/>
                      <w:sz w:val="21"/>
                      <w:szCs w:val="21"/>
                    </w:rPr>
                    <w:t>52</w:t>
                  </w:r>
                </w:p>
              </w:tc>
              <w:tc>
                <w:tcPr>
                  <w:tcW w:w="782" w:type="pct"/>
                  <w:tcBorders>
                    <w:tl2br w:val="nil"/>
                    <w:tr2bl w:val="nil"/>
                  </w:tcBorders>
                  <w:vAlign w:val="center"/>
                </w:tcPr>
                <w:p>
                  <w:pPr>
                    <w:jc w:val="center"/>
                    <w:rPr>
                      <w:sz w:val="21"/>
                      <w:szCs w:val="21"/>
                    </w:rPr>
                  </w:pPr>
                  <w:r>
                    <w:rPr>
                      <w:rFonts w:hint="eastAsia"/>
                      <w:sz w:val="21"/>
                      <w:szCs w:val="21"/>
                    </w:rPr>
                    <w:t>43</w:t>
                  </w:r>
                </w:p>
              </w:tc>
              <w:tc>
                <w:tcPr>
                  <w:tcW w:w="737" w:type="pct"/>
                  <w:tcBorders>
                    <w:tl2br w:val="nil"/>
                    <w:tr2bl w:val="nil"/>
                  </w:tcBorders>
                  <w:vAlign w:val="center"/>
                </w:tcPr>
                <w:p>
                  <w:pPr>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pct"/>
                  <w:vMerge w:val="continue"/>
                  <w:tcBorders>
                    <w:tl2br w:val="nil"/>
                    <w:tr2bl w:val="nil"/>
                  </w:tcBorders>
                  <w:vAlign w:val="center"/>
                </w:tcPr>
                <w:p>
                  <w:pPr>
                    <w:jc w:val="center"/>
                    <w:rPr>
                      <w:sz w:val="21"/>
                      <w:szCs w:val="21"/>
                    </w:rPr>
                  </w:pPr>
                </w:p>
              </w:tc>
              <w:tc>
                <w:tcPr>
                  <w:tcW w:w="1680" w:type="pct"/>
                  <w:tcBorders>
                    <w:tl2br w:val="nil"/>
                    <w:tr2bl w:val="nil"/>
                  </w:tcBorders>
                  <w:vAlign w:val="center"/>
                </w:tcPr>
                <w:p>
                  <w:pPr>
                    <w:jc w:val="center"/>
                    <w:rPr>
                      <w:sz w:val="21"/>
                      <w:szCs w:val="21"/>
                    </w:rPr>
                  </w:pPr>
                  <w:r>
                    <w:rPr>
                      <w:sz w:val="21"/>
                      <w:szCs w:val="21"/>
                    </w:rPr>
                    <w:t>厂界</w:t>
                  </w:r>
                  <w:r>
                    <w:rPr>
                      <w:rFonts w:hint="eastAsia"/>
                      <w:sz w:val="21"/>
                      <w:szCs w:val="21"/>
                    </w:rPr>
                    <w:t>北</w:t>
                  </w:r>
                  <w:r>
                    <w:rPr>
                      <w:sz w:val="21"/>
                      <w:szCs w:val="21"/>
                    </w:rPr>
                    <w:t>4#</w:t>
                  </w:r>
                </w:p>
              </w:tc>
              <w:tc>
                <w:tcPr>
                  <w:tcW w:w="780" w:type="pct"/>
                  <w:tcBorders>
                    <w:tl2br w:val="nil"/>
                    <w:tr2bl w:val="nil"/>
                  </w:tcBorders>
                  <w:vAlign w:val="center"/>
                </w:tcPr>
                <w:p>
                  <w:pPr>
                    <w:jc w:val="center"/>
                    <w:rPr>
                      <w:sz w:val="21"/>
                      <w:szCs w:val="21"/>
                    </w:rPr>
                  </w:pPr>
                  <w:r>
                    <w:rPr>
                      <w:rFonts w:hint="eastAsia"/>
                      <w:sz w:val="21"/>
                      <w:szCs w:val="21"/>
                    </w:rPr>
                    <w:t>58</w:t>
                  </w:r>
                </w:p>
              </w:tc>
              <w:tc>
                <w:tcPr>
                  <w:tcW w:w="782" w:type="pct"/>
                  <w:tcBorders>
                    <w:tl2br w:val="nil"/>
                    <w:tr2bl w:val="nil"/>
                  </w:tcBorders>
                  <w:vAlign w:val="center"/>
                </w:tcPr>
                <w:p>
                  <w:pPr>
                    <w:jc w:val="center"/>
                    <w:rPr>
                      <w:sz w:val="21"/>
                      <w:szCs w:val="21"/>
                    </w:rPr>
                  </w:pPr>
                  <w:r>
                    <w:rPr>
                      <w:rFonts w:hint="eastAsia"/>
                      <w:sz w:val="21"/>
                      <w:szCs w:val="21"/>
                    </w:rPr>
                    <w:t>47</w:t>
                  </w:r>
                </w:p>
              </w:tc>
              <w:tc>
                <w:tcPr>
                  <w:tcW w:w="737" w:type="pct"/>
                  <w:tcBorders>
                    <w:tl2br w:val="nil"/>
                    <w:tr2bl w:val="nil"/>
                  </w:tcBorders>
                  <w:vAlign w:val="center"/>
                </w:tcPr>
                <w:p>
                  <w:pPr>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pct"/>
                  <w:vMerge w:val="continue"/>
                  <w:tcBorders>
                    <w:tl2br w:val="nil"/>
                    <w:tr2bl w:val="nil"/>
                  </w:tcBorders>
                  <w:vAlign w:val="center"/>
                </w:tcPr>
                <w:p>
                  <w:pPr>
                    <w:jc w:val="center"/>
                    <w:rPr>
                      <w:sz w:val="21"/>
                      <w:szCs w:val="21"/>
                    </w:rPr>
                  </w:pPr>
                </w:p>
              </w:tc>
              <w:tc>
                <w:tcPr>
                  <w:tcW w:w="1680" w:type="pct"/>
                  <w:tcBorders>
                    <w:tl2br w:val="nil"/>
                    <w:tr2bl w:val="nil"/>
                  </w:tcBorders>
                  <w:vAlign w:val="center"/>
                </w:tcPr>
                <w:p>
                  <w:pPr>
                    <w:jc w:val="center"/>
                    <w:rPr>
                      <w:sz w:val="21"/>
                      <w:szCs w:val="21"/>
                    </w:rPr>
                  </w:pPr>
                  <w:r>
                    <w:rPr>
                      <w:rFonts w:hint="eastAsia"/>
                      <w:sz w:val="21"/>
                      <w:szCs w:val="21"/>
                    </w:rPr>
                    <w:t>滦河新区B区民居5#</w:t>
                  </w:r>
                </w:p>
              </w:tc>
              <w:tc>
                <w:tcPr>
                  <w:tcW w:w="780" w:type="pct"/>
                  <w:tcBorders>
                    <w:tl2br w:val="nil"/>
                    <w:tr2bl w:val="nil"/>
                  </w:tcBorders>
                  <w:vAlign w:val="center"/>
                </w:tcPr>
                <w:p>
                  <w:pPr>
                    <w:jc w:val="center"/>
                    <w:rPr>
                      <w:sz w:val="21"/>
                      <w:szCs w:val="21"/>
                    </w:rPr>
                  </w:pPr>
                  <w:r>
                    <w:rPr>
                      <w:rFonts w:hint="eastAsia"/>
                      <w:sz w:val="21"/>
                      <w:szCs w:val="21"/>
                    </w:rPr>
                    <w:t>52</w:t>
                  </w:r>
                </w:p>
              </w:tc>
              <w:tc>
                <w:tcPr>
                  <w:tcW w:w="782" w:type="pct"/>
                  <w:tcBorders>
                    <w:tl2br w:val="nil"/>
                    <w:tr2bl w:val="nil"/>
                  </w:tcBorders>
                  <w:vAlign w:val="center"/>
                </w:tcPr>
                <w:p>
                  <w:pPr>
                    <w:jc w:val="center"/>
                    <w:rPr>
                      <w:sz w:val="21"/>
                      <w:szCs w:val="21"/>
                    </w:rPr>
                  </w:pPr>
                  <w:r>
                    <w:rPr>
                      <w:rFonts w:hint="eastAsia"/>
                      <w:sz w:val="21"/>
                      <w:szCs w:val="21"/>
                    </w:rPr>
                    <w:t>40</w:t>
                  </w:r>
                </w:p>
              </w:tc>
              <w:tc>
                <w:tcPr>
                  <w:tcW w:w="737" w:type="pct"/>
                  <w:tcBorders>
                    <w:tl2br w:val="nil"/>
                    <w:tr2bl w:val="nil"/>
                  </w:tcBorders>
                  <w:vAlign w:val="center"/>
                </w:tcPr>
                <w:p>
                  <w:pPr>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pct"/>
                  <w:tcBorders>
                    <w:tl2br w:val="nil"/>
                    <w:tr2bl w:val="nil"/>
                  </w:tcBorders>
                  <w:vAlign w:val="center"/>
                </w:tcPr>
                <w:p>
                  <w:pPr>
                    <w:widowControl/>
                    <w:jc w:val="center"/>
                    <w:rPr>
                      <w:sz w:val="21"/>
                      <w:szCs w:val="21"/>
                    </w:rPr>
                  </w:pPr>
                  <w:r>
                    <w:rPr>
                      <w:sz w:val="21"/>
                      <w:szCs w:val="21"/>
                    </w:rPr>
                    <w:t>执行标准</w:t>
                  </w:r>
                </w:p>
              </w:tc>
              <w:tc>
                <w:tcPr>
                  <w:tcW w:w="3980" w:type="pct"/>
                  <w:gridSpan w:val="4"/>
                  <w:tcBorders>
                    <w:tl2br w:val="nil"/>
                    <w:tr2bl w:val="nil"/>
                  </w:tcBorders>
                  <w:vAlign w:val="center"/>
                </w:tcPr>
                <w:p>
                  <w:pPr>
                    <w:jc w:val="center"/>
                    <w:rPr>
                      <w:sz w:val="21"/>
                      <w:szCs w:val="21"/>
                    </w:rPr>
                  </w:pPr>
                  <w:r>
                    <w:rPr>
                      <w:sz w:val="21"/>
                      <w:szCs w:val="21"/>
                    </w:rPr>
                    <w:t>厂界</w:t>
                  </w:r>
                  <w:r>
                    <w:rPr>
                      <w:rFonts w:hint="eastAsia"/>
                      <w:sz w:val="21"/>
                      <w:szCs w:val="21"/>
                    </w:rPr>
                    <w:t>东</w:t>
                  </w:r>
                  <w:r>
                    <w:rPr>
                      <w:sz w:val="21"/>
                      <w:szCs w:val="21"/>
                    </w:rPr>
                    <w:t>1#</w:t>
                  </w:r>
                  <w:r>
                    <w:rPr>
                      <w:rFonts w:hint="eastAsia"/>
                      <w:sz w:val="21"/>
                      <w:szCs w:val="21"/>
                    </w:rPr>
                    <w:t>、</w:t>
                  </w:r>
                  <w:r>
                    <w:rPr>
                      <w:sz w:val="21"/>
                      <w:szCs w:val="21"/>
                    </w:rPr>
                    <w:t>厂界</w:t>
                  </w:r>
                  <w:r>
                    <w:rPr>
                      <w:rFonts w:hint="eastAsia"/>
                      <w:sz w:val="21"/>
                      <w:szCs w:val="21"/>
                    </w:rPr>
                    <w:t>南</w:t>
                  </w:r>
                  <w:r>
                    <w:rPr>
                      <w:sz w:val="21"/>
                      <w:szCs w:val="21"/>
                    </w:rPr>
                    <w:t>2#</w:t>
                  </w:r>
                  <w:r>
                    <w:rPr>
                      <w:rFonts w:hint="eastAsia"/>
                      <w:sz w:val="21"/>
                      <w:szCs w:val="21"/>
                    </w:rPr>
                    <w:t>、</w:t>
                  </w:r>
                  <w:r>
                    <w:rPr>
                      <w:sz w:val="21"/>
                      <w:szCs w:val="21"/>
                    </w:rPr>
                    <w:t>厂界</w:t>
                  </w:r>
                  <w:r>
                    <w:rPr>
                      <w:rFonts w:hint="eastAsia"/>
                      <w:sz w:val="21"/>
                      <w:szCs w:val="21"/>
                    </w:rPr>
                    <w:t>西</w:t>
                  </w:r>
                  <w:r>
                    <w:rPr>
                      <w:sz w:val="21"/>
                      <w:szCs w:val="21"/>
                    </w:rPr>
                    <w:t>3#</w:t>
                  </w:r>
                  <w:r>
                    <w:rPr>
                      <w:rFonts w:hint="eastAsia"/>
                      <w:sz w:val="21"/>
                      <w:szCs w:val="21"/>
                    </w:rPr>
                    <w:t>、滦河新区B区民居5#执行</w:t>
                  </w:r>
                  <w:r>
                    <w:rPr>
                      <w:sz w:val="21"/>
                      <w:szCs w:val="21"/>
                    </w:rPr>
                    <w:t>《声环境质量标准》（GB 3096-2008）</w:t>
                  </w:r>
                  <w:r>
                    <w:rPr>
                      <w:rFonts w:hint="eastAsia"/>
                      <w:sz w:val="21"/>
                      <w:szCs w:val="21"/>
                    </w:rPr>
                    <w:t>2类标准；</w:t>
                  </w:r>
                  <w:r>
                    <w:rPr>
                      <w:sz w:val="21"/>
                      <w:szCs w:val="21"/>
                    </w:rPr>
                    <w:t>厂界</w:t>
                  </w:r>
                  <w:r>
                    <w:rPr>
                      <w:rFonts w:hint="eastAsia"/>
                      <w:sz w:val="21"/>
                      <w:szCs w:val="21"/>
                    </w:rPr>
                    <w:t>北</w:t>
                  </w:r>
                  <w:r>
                    <w:rPr>
                      <w:sz w:val="21"/>
                      <w:szCs w:val="21"/>
                    </w:rPr>
                    <w:t>4</w:t>
                  </w:r>
                  <w:r>
                    <w:rPr>
                      <w:rFonts w:hint="eastAsia"/>
                      <w:sz w:val="21"/>
                      <w:szCs w:val="21"/>
                    </w:rPr>
                    <w:t>#执行《声环境质量标准》（GB3096-2008）4a类功能区限值；</w:t>
                  </w:r>
                </w:p>
              </w:tc>
            </w:tr>
          </w:tbl>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20" w:firstLineChars="200"/>
              <w:textAlignment w:val="auto"/>
            </w:pPr>
            <w:r>
              <w:t xml:space="preserve">结果分析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pPr>
            <w:r>
              <w:t>根据区域声环境质量监测结果可知，项目区域敏感点声环境监测结果满足《声环境质量标准》（GB3096-2008）中的 2 类标准</w:t>
            </w:r>
            <w:r>
              <w:rPr>
                <w:rFonts w:hint="eastAsia"/>
              </w:rPr>
              <w:t>；项目西、南、东厂界满足</w:t>
            </w:r>
            <w:r>
              <w:t>《声环境质量标准》（GB3096-2008）中的 2 类标准</w:t>
            </w:r>
            <w:r>
              <w:rPr>
                <w:rFonts w:hint="eastAsia"/>
              </w:rPr>
              <w:t>，北厂家满足</w:t>
            </w:r>
            <w:r>
              <w:t xml:space="preserve">《声环境质量标准》（GB3096-2008）中的 </w:t>
            </w:r>
            <w:r>
              <w:rPr>
                <w:rFonts w:hint="eastAsia"/>
              </w:rPr>
              <w:t>4a</w:t>
            </w:r>
            <w:r>
              <w:t>类标准</w:t>
            </w:r>
            <w:r>
              <w:rPr>
                <w:rFonts w:hint="eastAsi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t>4、生态环境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pPr>
            <w:r>
              <w:t>项目位于</w:t>
            </w:r>
            <w:r>
              <w:rPr>
                <w:rFonts w:hint="eastAsia"/>
                <w:lang w:val="en-US" w:eastAsia="zh-CN"/>
              </w:rPr>
              <w:t>承德市</w:t>
            </w:r>
            <w:r>
              <w:rPr>
                <w:rFonts w:hint="eastAsia"/>
                <w:sz w:val="21"/>
                <w:szCs w:val="21"/>
              </w:rPr>
              <w:t>双滦</w:t>
            </w:r>
            <w:r>
              <w:rPr>
                <w:sz w:val="21"/>
                <w:szCs w:val="21"/>
              </w:rPr>
              <w:t>区华府南街</w:t>
            </w:r>
            <w:r>
              <w:rPr>
                <w:rFonts w:hint="eastAsia"/>
                <w:sz w:val="21"/>
                <w:szCs w:val="21"/>
                <w:lang w:eastAsia="zh-CN"/>
              </w:rPr>
              <w:t>滦河镇政府东侧酒店村回迁楼2</w:t>
            </w:r>
            <w:r>
              <w:rPr>
                <w:rFonts w:hint="eastAsia"/>
                <w:sz w:val="21"/>
                <w:szCs w:val="21"/>
                <w:lang w:val="en-US" w:eastAsia="zh-CN"/>
              </w:rPr>
              <w:t>-3</w:t>
            </w:r>
            <w:r>
              <w:rPr>
                <w:rFonts w:hint="eastAsia"/>
                <w:sz w:val="21"/>
                <w:szCs w:val="21"/>
                <w:lang w:eastAsia="zh-CN"/>
              </w:rPr>
              <w:t>#商业楼</w:t>
            </w:r>
            <w:r>
              <w:t>，为城市建成区，区域生态环境质量一般。</w:t>
            </w:r>
          </w:p>
          <w:p>
            <w:pPr>
              <w:pStyle w:val="2"/>
              <w:numPr>
                <w:ilvl w:val="0"/>
                <w:numId w:val="0"/>
              </w:numPr>
              <w:ind w:leftChars="0"/>
              <w:rPr>
                <w:rFonts w:hint="eastAsia"/>
                <w:lang w:val="en-US" w:eastAsia="zh-CN"/>
              </w:rPr>
            </w:pPr>
            <w:r>
              <w:rPr>
                <w:rFonts w:hint="eastAsia"/>
                <w:lang w:val="en-US" w:eastAsia="zh-CN"/>
              </w:rPr>
              <w:t>5、电磁辐射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lang w:val="en-US" w:eastAsia="zh-CN"/>
              </w:rPr>
            </w:pPr>
            <w:r>
              <w:rPr>
                <w:rFonts w:hint="eastAsia"/>
                <w:lang w:val="en-US" w:eastAsia="zh-CN"/>
              </w:rPr>
              <w:t>本项目放射性项目产生的辐射环境影响不在本次评价范围内，企业需另做环评进行分析。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rPr>
                <w:rFonts w:hint="eastAsia"/>
                <w:lang w:val="en-US" w:eastAsia="zh-CN"/>
              </w:rPr>
              <w:t>6</w:t>
            </w:r>
            <w:r>
              <w:t>、地下水、土壤环境现状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本项目不存在地下水环境和土壤环境污染途径。本次评价不对土壤环境质量和地下水环境质量进行分析评价。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800" w:type="dxa"/>
            <w:vAlign w:val="center"/>
          </w:tcPr>
          <w:p>
            <w:pPr>
              <w:adjustRightInd w:val="0"/>
              <w:snapToGrid w:val="0"/>
              <w:jc w:val="center"/>
              <w:rPr>
                <w:rFonts w:ascii="宋体" w:hAnsi="宋体" w:cs="宋体"/>
                <w:kern w:val="0"/>
                <w:sz w:val="21"/>
                <w:szCs w:val="21"/>
              </w:rPr>
            </w:pPr>
            <w:r>
              <w:rPr>
                <w:rFonts w:hint="eastAsia" w:ascii="宋体" w:hAnsi="宋体" w:cs="宋体"/>
                <w:kern w:val="0"/>
                <w:sz w:val="21"/>
                <w:szCs w:val="21"/>
              </w:rPr>
              <w:t>环境</w:t>
            </w:r>
          </w:p>
          <w:p>
            <w:pPr>
              <w:adjustRightInd w:val="0"/>
              <w:snapToGrid w:val="0"/>
              <w:jc w:val="center"/>
              <w:rPr>
                <w:rFonts w:ascii="宋体" w:hAnsi="宋体" w:cs="宋体"/>
                <w:kern w:val="0"/>
                <w:sz w:val="21"/>
                <w:szCs w:val="21"/>
              </w:rPr>
            </w:pPr>
            <w:r>
              <w:rPr>
                <w:rFonts w:hint="eastAsia" w:ascii="宋体" w:hAnsi="宋体" w:cs="宋体"/>
                <w:kern w:val="0"/>
                <w:sz w:val="21"/>
                <w:szCs w:val="21"/>
              </w:rPr>
              <w:t>保护</w:t>
            </w:r>
          </w:p>
          <w:p>
            <w:pPr>
              <w:adjustRightInd w:val="0"/>
              <w:snapToGrid w:val="0"/>
              <w:jc w:val="center"/>
              <w:rPr>
                <w:rFonts w:ascii="宋体" w:hAnsi="宋体" w:cs="宋体"/>
                <w:kern w:val="0"/>
                <w:sz w:val="21"/>
                <w:szCs w:val="21"/>
              </w:rPr>
            </w:pPr>
            <w:r>
              <w:rPr>
                <w:rFonts w:hint="eastAsia" w:ascii="宋体" w:hAnsi="宋体" w:cs="宋体"/>
                <w:kern w:val="0"/>
                <w:sz w:val="21"/>
                <w:szCs w:val="21"/>
              </w:rPr>
              <w:t>目标</w:t>
            </w:r>
          </w:p>
        </w:tc>
        <w:tc>
          <w:tcPr>
            <w:tcW w:w="8190" w:type="dxa"/>
            <w:vAlign w:val="center"/>
          </w:tcPr>
          <w:p>
            <w:pPr>
              <w:spacing w:line="360" w:lineRule="auto"/>
              <w:ind w:firstLine="420" w:firstLineChars="200"/>
              <w:rPr>
                <w:sz w:val="21"/>
                <w:szCs w:val="21"/>
              </w:rPr>
            </w:pPr>
            <w:r>
              <w:rPr>
                <w:sz w:val="21"/>
                <w:szCs w:val="21"/>
              </w:rPr>
              <w:t>本项目评价区域内无自然保护区、生态功能保护区、饮用水水源保护区、珍稀动植物等环境敏感保护对象。根据项目性质及周围环境特征，本项目位于</w:t>
            </w:r>
            <w:r>
              <w:rPr>
                <w:rFonts w:hint="eastAsia"/>
                <w:sz w:val="21"/>
                <w:szCs w:val="21"/>
              </w:rPr>
              <w:t>承德市双滦区华府南街滦河镇政府东侧酒店村回迁楼2-3#商业楼</w:t>
            </w:r>
            <w:r>
              <w:rPr>
                <w:sz w:val="21"/>
                <w:szCs w:val="21"/>
              </w:rPr>
              <w:t>。本项目大气环境保护目标及保护级别见</w:t>
            </w:r>
            <w:r>
              <w:rPr>
                <w:rFonts w:hint="eastAsia"/>
                <w:sz w:val="21"/>
                <w:szCs w:val="21"/>
              </w:rPr>
              <w:t>下表</w:t>
            </w:r>
            <w:r>
              <w:rPr>
                <w:sz w:val="21"/>
                <w:szCs w:val="21"/>
              </w:rPr>
              <w:t>。</w:t>
            </w:r>
          </w:p>
          <w:p>
            <w:pPr>
              <w:pStyle w:val="13"/>
              <w:jc w:val="center"/>
              <w:rPr>
                <w:b/>
                <w:bCs/>
                <w:sz w:val="21"/>
                <w:szCs w:val="21"/>
              </w:rPr>
            </w:pPr>
            <w:r>
              <w:rPr>
                <w:rFonts w:hint="eastAsia"/>
                <w:b/>
                <w:bCs/>
                <w:sz w:val="21"/>
                <w:szCs w:val="21"/>
              </w:rPr>
              <w:t>表3-</w:t>
            </w:r>
            <w:r>
              <w:rPr>
                <w:rFonts w:hint="eastAsia"/>
                <w:b/>
                <w:bCs/>
                <w:sz w:val="21"/>
                <w:szCs w:val="21"/>
                <w:lang w:val="en-US" w:eastAsia="zh-CN"/>
              </w:rPr>
              <w:t>4</w:t>
            </w:r>
            <w:r>
              <w:rPr>
                <w:rFonts w:hint="eastAsia"/>
                <w:b/>
                <w:bCs/>
                <w:sz w:val="21"/>
                <w:szCs w:val="21"/>
              </w:rPr>
              <w:t>环境保护目标一览表</w:t>
            </w:r>
          </w:p>
          <w:tbl>
            <w:tblPr>
              <w:tblStyle w:val="1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1243"/>
              <w:gridCol w:w="1105"/>
              <w:gridCol w:w="1155"/>
              <w:gridCol w:w="570"/>
              <w:gridCol w:w="2016"/>
              <w:gridCol w:w="586"/>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77" w:type="pct"/>
                  <w:vMerge w:val="restar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val="en-US" w:eastAsia="zh-CN"/>
                    </w:rPr>
                    <w:t>名称</w:t>
                  </w:r>
                </w:p>
              </w:tc>
              <w:tc>
                <w:tcPr>
                  <w:tcW w:w="1475" w:type="pct"/>
                  <w:gridSpan w:val="2"/>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color w:val="auto"/>
                      <w:sz w:val="21"/>
                      <w:szCs w:val="21"/>
                    </w:rPr>
                    <w:t>中心坐标</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lang w:eastAsia="zh-CN"/>
                    </w:rPr>
                    <w:t>（度°分′秒″）</w:t>
                  </w:r>
                </w:p>
              </w:tc>
              <w:tc>
                <w:tcPr>
                  <w:tcW w:w="725" w:type="pct"/>
                  <w:vMerge w:val="restar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保护对象</w:t>
                  </w:r>
                </w:p>
              </w:tc>
              <w:tc>
                <w:tcPr>
                  <w:tcW w:w="358" w:type="pct"/>
                  <w:vMerge w:val="restar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保护内容</w:t>
                  </w:r>
                </w:p>
              </w:tc>
              <w:tc>
                <w:tcPr>
                  <w:tcW w:w="1266" w:type="pct"/>
                  <w:vMerge w:val="restar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环境功能区</w:t>
                  </w:r>
                </w:p>
              </w:tc>
              <w:tc>
                <w:tcPr>
                  <w:tcW w:w="368" w:type="pct"/>
                  <w:vMerge w:val="restar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相对厂址</w:t>
                  </w:r>
                  <w:r>
                    <w:rPr>
                      <w:rFonts w:hint="default" w:ascii="Times New Roman" w:hAnsi="Times New Roman" w:eastAsia="宋体" w:cs="Times New Roman"/>
                      <w:b/>
                      <w:bCs/>
                      <w:sz w:val="21"/>
                      <w:szCs w:val="21"/>
                    </w:rPr>
                    <w:t>方位</w:t>
                  </w:r>
                </w:p>
              </w:tc>
              <w:tc>
                <w:tcPr>
                  <w:tcW w:w="529" w:type="pct"/>
                  <w:vMerge w:val="restar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相对厂界</w:t>
                  </w:r>
                  <w:r>
                    <w:rPr>
                      <w:rFonts w:hint="default" w:ascii="Times New Roman" w:hAnsi="Times New Roman" w:eastAsia="宋体" w:cs="Times New Roman"/>
                      <w:b/>
                      <w:bCs/>
                      <w:sz w:val="21"/>
                      <w:szCs w:val="21"/>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77"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b/>
                      <w:bCs/>
                      <w:sz w:val="21"/>
                      <w:szCs w:val="21"/>
                    </w:rPr>
                  </w:pPr>
                </w:p>
              </w:tc>
              <w:tc>
                <w:tcPr>
                  <w:tcW w:w="780" w:type="pct"/>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color w:val="auto"/>
                      <w:sz w:val="21"/>
                      <w:szCs w:val="21"/>
                    </w:rPr>
                    <w:t>E</w:t>
                  </w:r>
                </w:p>
              </w:tc>
              <w:tc>
                <w:tcPr>
                  <w:tcW w:w="694" w:type="pct"/>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color w:val="auto"/>
                      <w:sz w:val="21"/>
                      <w:szCs w:val="21"/>
                    </w:rPr>
                    <w:t>N</w:t>
                  </w:r>
                </w:p>
              </w:tc>
              <w:tc>
                <w:tcPr>
                  <w:tcW w:w="725"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b/>
                      <w:bCs/>
                      <w:sz w:val="21"/>
                      <w:szCs w:val="21"/>
                    </w:rPr>
                  </w:pPr>
                </w:p>
              </w:tc>
              <w:tc>
                <w:tcPr>
                  <w:tcW w:w="358"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b/>
                      <w:bCs/>
                      <w:sz w:val="21"/>
                      <w:szCs w:val="21"/>
                      <w:lang w:val="en-US" w:eastAsia="zh-CN"/>
                    </w:rPr>
                  </w:pPr>
                </w:p>
              </w:tc>
              <w:tc>
                <w:tcPr>
                  <w:tcW w:w="1266"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b/>
                      <w:bCs/>
                      <w:sz w:val="21"/>
                      <w:szCs w:val="21"/>
                      <w:lang w:val="en-US" w:eastAsia="zh-CN"/>
                    </w:rPr>
                  </w:pPr>
                </w:p>
              </w:tc>
              <w:tc>
                <w:tcPr>
                  <w:tcW w:w="368"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b/>
                      <w:bCs/>
                      <w:sz w:val="21"/>
                      <w:szCs w:val="21"/>
                      <w:lang w:val="en-US" w:eastAsia="zh-CN"/>
                    </w:rPr>
                  </w:pPr>
                </w:p>
              </w:tc>
              <w:tc>
                <w:tcPr>
                  <w:tcW w:w="529"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b/>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77" w:type="pct"/>
                  <w:vMerge w:val="restar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w:t>
                  </w:r>
                </w:p>
              </w:tc>
              <w:tc>
                <w:tcPr>
                  <w:tcW w:w="780"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117°44′51.523″</w:t>
                  </w:r>
                </w:p>
              </w:tc>
              <w:tc>
                <w:tcPr>
                  <w:tcW w:w="694"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40°57′0.593″</w:t>
                  </w:r>
                </w:p>
              </w:tc>
              <w:tc>
                <w:tcPr>
                  <w:tcW w:w="725"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酒店村</w:t>
                  </w:r>
                </w:p>
              </w:tc>
              <w:tc>
                <w:tcPr>
                  <w:tcW w:w="358" w:type="pct"/>
                  <w:vMerge w:val="restar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居民</w:t>
                  </w:r>
                </w:p>
              </w:tc>
              <w:tc>
                <w:tcPr>
                  <w:tcW w:w="1266" w:type="pct"/>
                  <w:vMerge w:val="restar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《环境空气质量标准》（GB3095-2012）二级标准</w:t>
                  </w:r>
                </w:p>
              </w:tc>
              <w:tc>
                <w:tcPr>
                  <w:tcW w:w="368"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E</w:t>
                  </w:r>
                </w:p>
              </w:tc>
              <w:tc>
                <w:tcPr>
                  <w:tcW w:w="529"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77"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p>
              </w:tc>
              <w:tc>
                <w:tcPr>
                  <w:tcW w:w="780"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117°44′42.099″</w:t>
                  </w:r>
                </w:p>
              </w:tc>
              <w:tc>
                <w:tcPr>
                  <w:tcW w:w="694"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40°56′59.666″</w:t>
                  </w:r>
                </w:p>
              </w:tc>
              <w:tc>
                <w:tcPr>
                  <w:tcW w:w="725"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滦河新区B区</w:t>
                  </w:r>
                </w:p>
              </w:tc>
              <w:tc>
                <w:tcPr>
                  <w:tcW w:w="358"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p>
              </w:tc>
              <w:tc>
                <w:tcPr>
                  <w:tcW w:w="1266"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p>
              </w:tc>
              <w:tc>
                <w:tcPr>
                  <w:tcW w:w="368"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ES</w:t>
                  </w:r>
                </w:p>
              </w:tc>
              <w:tc>
                <w:tcPr>
                  <w:tcW w:w="529"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紧邻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77"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p>
              </w:tc>
              <w:tc>
                <w:tcPr>
                  <w:tcW w:w="780"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117°44′46.386″</w:t>
                  </w:r>
                </w:p>
              </w:tc>
              <w:tc>
                <w:tcPr>
                  <w:tcW w:w="694"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40°56′43.058″</w:t>
                  </w:r>
                </w:p>
              </w:tc>
              <w:tc>
                <w:tcPr>
                  <w:tcW w:w="725"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东园子村</w:t>
                  </w:r>
                </w:p>
              </w:tc>
              <w:tc>
                <w:tcPr>
                  <w:tcW w:w="358"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p>
              </w:tc>
              <w:tc>
                <w:tcPr>
                  <w:tcW w:w="1266"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p>
              </w:tc>
              <w:tc>
                <w:tcPr>
                  <w:tcW w:w="368"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WS</w:t>
                  </w:r>
                </w:p>
              </w:tc>
              <w:tc>
                <w:tcPr>
                  <w:tcW w:w="529"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77"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p>
              </w:tc>
              <w:tc>
                <w:tcPr>
                  <w:tcW w:w="780"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117°44′35.417″</w:t>
                  </w:r>
                </w:p>
              </w:tc>
              <w:tc>
                <w:tcPr>
                  <w:tcW w:w="694"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40°57′5.769″</w:t>
                  </w:r>
                </w:p>
              </w:tc>
              <w:tc>
                <w:tcPr>
                  <w:tcW w:w="725"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滨区新区A区</w:t>
                  </w:r>
                </w:p>
              </w:tc>
              <w:tc>
                <w:tcPr>
                  <w:tcW w:w="358"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p>
              </w:tc>
              <w:tc>
                <w:tcPr>
                  <w:tcW w:w="1266"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p>
              </w:tc>
              <w:tc>
                <w:tcPr>
                  <w:tcW w:w="368"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w:t>
                  </w:r>
                </w:p>
              </w:tc>
              <w:tc>
                <w:tcPr>
                  <w:tcW w:w="529"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77"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p>
              </w:tc>
              <w:tc>
                <w:tcPr>
                  <w:tcW w:w="780"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117°44′26.765″</w:t>
                  </w:r>
                </w:p>
              </w:tc>
              <w:tc>
                <w:tcPr>
                  <w:tcW w:w="694"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40°57′4.64</w:t>
                  </w: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rPr>
                    <w:t>″</w:t>
                  </w:r>
                </w:p>
              </w:tc>
              <w:tc>
                <w:tcPr>
                  <w:tcW w:w="725"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西地满族乡</w:t>
                  </w:r>
                </w:p>
              </w:tc>
              <w:tc>
                <w:tcPr>
                  <w:tcW w:w="358"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p>
              </w:tc>
              <w:tc>
                <w:tcPr>
                  <w:tcW w:w="1266"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p>
              </w:tc>
              <w:tc>
                <w:tcPr>
                  <w:tcW w:w="368"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w:t>
                  </w:r>
                </w:p>
              </w:tc>
              <w:tc>
                <w:tcPr>
                  <w:tcW w:w="529"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77"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p>
              </w:tc>
              <w:tc>
                <w:tcPr>
                  <w:tcW w:w="780"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117°44′28.117″</w:t>
                  </w:r>
                </w:p>
              </w:tc>
              <w:tc>
                <w:tcPr>
                  <w:tcW w:w="694"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40°56′51.246″</w:t>
                  </w:r>
                </w:p>
              </w:tc>
              <w:tc>
                <w:tcPr>
                  <w:tcW w:w="725"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酒店村</w:t>
                  </w:r>
                </w:p>
              </w:tc>
              <w:tc>
                <w:tcPr>
                  <w:tcW w:w="358"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p>
              </w:tc>
              <w:tc>
                <w:tcPr>
                  <w:tcW w:w="1266"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p>
              </w:tc>
              <w:tc>
                <w:tcPr>
                  <w:tcW w:w="368"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WS</w:t>
                  </w:r>
                </w:p>
              </w:tc>
              <w:tc>
                <w:tcPr>
                  <w:tcW w:w="529"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p>
              </w:tc>
              <w:tc>
                <w:tcPr>
                  <w:tcW w:w="780"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117°44′56.429″</w:t>
                  </w:r>
                </w:p>
              </w:tc>
              <w:tc>
                <w:tcPr>
                  <w:tcW w:w="694"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40°57′19.364″</w:t>
                  </w:r>
                </w:p>
              </w:tc>
              <w:tc>
                <w:tcPr>
                  <w:tcW w:w="725"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正新农村</w:t>
                  </w:r>
                </w:p>
              </w:tc>
              <w:tc>
                <w:tcPr>
                  <w:tcW w:w="358"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p>
              </w:tc>
              <w:tc>
                <w:tcPr>
                  <w:tcW w:w="1266"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p>
              </w:tc>
              <w:tc>
                <w:tcPr>
                  <w:tcW w:w="368"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w:t>
                  </w:r>
                </w:p>
              </w:tc>
              <w:tc>
                <w:tcPr>
                  <w:tcW w:w="529"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p>
              </w:tc>
              <w:tc>
                <w:tcPr>
                  <w:tcW w:w="780"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117°44′29.662″</w:t>
                  </w:r>
                </w:p>
              </w:tc>
              <w:tc>
                <w:tcPr>
                  <w:tcW w:w="694"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40°57′11.022″</w:t>
                  </w:r>
                </w:p>
              </w:tc>
              <w:tc>
                <w:tcPr>
                  <w:tcW w:w="725"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广通小区</w:t>
                  </w:r>
                </w:p>
              </w:tc>
              <w:tc>
                <w:tcPr>
                  <w:tcW w:w="358"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p>
              </w:tc>
              <w:tc>
                <w:tcPr>
                  <w:tcW w:w="1266" w:type="pct"/>
                  <w:vMerge w:val="continue"/>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p>
              </w:tc>
              <w:tc>
                <w:tcPr>
                  <w:tcW w:w="368"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w:t>
                  </w:r>
                </w:p>
              </w:tc>
              <w:tc>
                <w:tcPr>
                  <w:tcW w:w="529"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780"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right="0" w:righ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117°44′42.099″</w:t>
                  </w:r>
                </w:p>
              </w:tc>
              <w:tc>
                <w:tcPr>
                  <w:tcW w:w="694"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40°56′59.666″</w:t>
                  </w:r>
                </w:p>
              </w:tc>
              <w:tc>
                <w:tcPr>
                  <w:tcW w:w="725"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滦河新区B区</w:t>
                  </w:r>
                </w:p>
              </w:tc>
              <w:tc>
                <w:tcPr>
                  <w:tcW w:w="358"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居民</w:t>
                  </w:r>
                </w:p>
              </w:tc>
              <w:tc>
                <w:tcPr>
                  <w:tcW w:w="1266"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《声环境质量标准》（GB3096-2008）2类</w:t>
                  </w:r>
                </w:p>
              </w:tc>
              <w:tc>
                <w:tcPr>
                  <w:tcW w:w="368"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ES</w:t>
                  </w:r>
                </w:p>
              </w:tc>
              <w:tc>
                <w:tcPr>
                  <w:tcW w:w="529"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紧邻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277" w:type="pct"/>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地表水环境</w:t>
                  </w:r>
                </w:p>
              </w:tc>
              <w:tc>
                <w:tcPr>
                  <w:tcW w:w="2559" w:type="pct"/>
                  <w:gridSpan w:val="4"/>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滦河</w:t>
                  </w:r>
                </w:p>
              </w:tc>
              <w:tc>
                <w:tcPr>
                  <w:tcW w:w="1266" w:type="pct"/>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《地表水环境质量标准》（GB3838-2002）Ⅲ类标准</w:t>
                  </w:r>
                </w:p>
              </w:tc>
              <w:tc>
                <w:tcPr>
                  <w:tcW w:w="368" w:type="pct"/>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w:t>
                  </w:r>
                </w:p>
              </w:tc>
              <w:tc>
                <w:tcPr>
                  <w:tcW w:w="529" w:type="pct"/>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36" w:type="pct"/>
                  <w:gridSpan w:val="5"/>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生态保护红线</w:t>
                  </w:r>
                </w:p>
              </w:tc>
              <w:tc>
                <w:tcPr>
                  <w:tcW w:w="1266"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68"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NW</w:t>
                  </w:r>
                </w:p>
              </w:tc>
              <w:tc>
                <w:tcPr>
                  <w:tcW w:w="529" w:type="pct"/>
                  <w:vAlign w:val="center"/>
                </w:tcPr>
                <w:p>
                  <w:pPr>
                    <w:pStyle w:val="16"/>
                    <w:keepNext w:val="0"/>
                    <w:keepLines w:val="0"/>
                    <w:pageBreakBefore w:val="0"/>
                    <w:widowControl w:val="0"/>
                    <w:kinsoku/>
                    <w:wordWrap/>
                    <w:overflowPunct/>
                    <w:topLinePunct w:val="0"/>
                    <w:autoSpaceDE/>
                    <w:autoSpaceDN/>
                    <w:bidi w:val="0"/>
                    <w:adjustRightInd/>
                    <w:spacing w:after="0" w:line="3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1331</w:t>
                  </w:r>
                </w:p>
              </w:tc>
            </w:tr>
          </w:tbl>
          <w:p>
            <w:pPr>
              <w:adjustRightInd w:val="0"/>
              <w:snapToGrid w:val="0"/>
              <w:jc w:val="center"/>
              <w:rPr>
                <w:rFonts w:ascii="宋体" w:hAnsi="宋体" w:cs="宋体"/>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8" w:hRule="atLeast"/>
          <w:jc w:val="center"/>
        </w:trPr>
        <w:tc>
          <w:tcPr>
            <w:tcW w:w="800" w:type="dxa"/>
            <w:tcMar>
              <w:left w:w="28" w:type="dxa"/>
              <w:right w:w="28" w:type="dxa"/>
            </w:tcMar>
            <w:vAlign w:val="center"/>
          </w:tcPr>
          <w:p>
            <w:pPr>
              <w:adjustRightInd w:val="0"/>
              <w:snapToGrid w:val="0"/>
              <w:jc w:val="center"/>
              <w:rPr>
                <w:rFonts w:ascii="宋体" w:hAnsi="宋体" w:cs="宋体"/>
                <w:kern w:val="0"/>
                <w:sz w:val="21"/>
                <w:szCs w:val="21"/>
              </w:rPr>
            </w:pPr>
            <w:r>
              <w:rPr>
                <w:rFonts w:hint="eastAsia" w:ascii="宋体" w:hAnsi="宋体" w:cs="宋体"/>
                <w:kern w:val="0"/>
                <w:sz w:val="21"/>
                <w:szCs w:val="21"/>
              </w:rPr>
              <w:t>污染</w:t>
            </w:r>
          </w:p>
          <w:p>
            <w:pPr>
              <w:adjustRightInd w:val="0"/>
              <w:snapToGrid w:val="0"/>
              <w:jc w:val="center"/>
              <w:rPr>
                <w:rFonts w:ascii="宋体" w:hAnsi="宋体" w:cs="宋体"/>
                <w:kern w:val="0"/>
                <w:sz w:val="21"/>
                <w:szCs w:val="21"/>
              </w:rPr>
            </w:pPr>
            <w:r>
              <w:rPr>
                <w:rFonts w:hint="eastAsia" w:ascii="宋体" w:hAnsi="宋体" w:cs="宋体"/>
                <w:kern w:val="0"/>
                <w:sz w:val="21"/>
                <w:szCs w:val="21"/>
              </w:rPr>
              <w:t>物排</w:t>
            </w:r>
          </w:p>
          <w:p>
            <w:pPr>
              <w:adjustRightInd w:val="0"/>
              <w:snapToGrid w:val="0"/>
              <w:jc w:val="center"/>
              <w:rPr>
                <w:rFonts w:ascii="宋体" w:hAnsi="宋体" w:cs="宋体"/>
                <w:kern w:val="0"/>
                <w:sz w:val="21"/>
                <w:szCs w:val="21"/>
              </w:rPr>
            </w:pPr>
            <w:r>
              <w:rPr>
                <w:rFonts w:hint="eastAsia" w:ascii="宋体" w:hAnsi="宋体" w:cs="宋体"/>
                <w:kern w:val="0"/>
                <w:sz w:val="21"/>
                <w:szCs w:val="21"/>
              </w:rPr>
              <w:t>放控</w:t>
            </w:r>
          </w:p>
          <w:p>
            <w:pPr>
              <w:adjustRightInd w:val="0"/>
              <w:snapToGrid w:val="0"/>
              <w:jc w:val="center"/>
              <w:rPr>
                <w:rFonts w:ascii="宋体" w:hAnsi="宋体" w:cs="宋体"/>
                <w:kern w:val="0"/>
                <w:sz w:val="21"/>
                <w:szCs w:val="21"/>
              </w:rPr>
            </w:pPr>
            <w:r>
              <w:rPr>
                <w:rFonts w:hint="eastAsia" w:ascii="宋体" w:hAnsi="宋体" w:cs="宋体"/>
                <w:kern w:val="0"/>
                <w:sz w:val="21"/>
                <w:szCs w:val="21"/>
              </w:rPr>
              <w:t>制标</w:t>
            </w:r>
          </w:p>
          <w:p>
            <w:pPr>
              <w:adjustRightInd w:val="0"/>
              <w:snapToGrid w:val="0"/>
              <w:jc w:val="center"/>
              <w:rPr>
                <w:rFonts w:ascii="宋体" w:hAnsi="宋体" w:cs="宋体"/>
                <w:kern w:val="0"/>
                <w:sz w:val="21"/>
                <w:szCs w:val="21"/>
              </w:rPr>
            </w:pPr>
            <w:r>
              <w:rPr>
                <w:rFonts w:hint="eastAsia" w:ascii="宋体" w:hAnsi="宋体" w:cs="宋体"/>
                <w:kern w:val="0"/>
                <w:sz w:val="21"/>
                <w:szCs w:val="21"/>
              </w:rPr>
              <w:t>准</w:t>
            </w:r>
          </w:p>
        </w:tc>
        <w:tc>
          <w:tcPr>
            <w:tcW w:w="8190" w:type="dxa"/>
            <w:vAlign w:val="center"/>
          </w:tcPr>
          <w:p>
            <w:pPr>
              <w:snapToGrid w:val="0"/>
              <w:spacing w:line="360" w:lineRule="auto"/>
              <w:ind w:firstLine="420" w:firstLineChars="200"/>
              <w:rPr>
                <w:sz w:val="21"/>
                <w:szCs w:val="21"/>
              </w:rPr>
            </w:pPr>
            <w:r>
              <w:rPr>
                <w:sz w:val="21"/>
                <w:szCs w:val="21"/>
              </w:rPr>
              <w:t>废气：施工扬尘执行河北省《施工场地扬尘排放标准》DB13/2934-2019中限值要求；运营期污水处理站无组织废气排放执行《医疗机构水污染物排放标准》（GB 18466-2005）表3中污水预处理站周边大气污染物最高允许浓度。</w:t>
            </w:r>
          </w:p>
          <w:p>
            <w:pPr>
              <w:snapToGrid w:val="0"/>
              <w:spacing w:line="360" w:lineRule="auto"/>
              <w:ind w:firstLine="420" w:firstLineChars="200"/>
              <w:rPr>
                <w:sz w:val="21"/>
                <w:szCs w:val="21"/>
              </w:rPr>
            </w:pPr>
            <w:r>
              <w:rPr>
                <w:sz w:val="21"/>
                <w:szCs w:val="21"/>
              </w:rPr>
              <w:t>废水：运营期污水排放执行《医疗机构水污染物排放标准》（GB18466-2005）表2中预处理标准及</w:t>
            </w:r>
            <w:r>
              <w:rPr>
                <w:rFonts w:hint="eastAsia"/>
                <w:sz w:val="21"/>
                <w:szCs w:val="21"/>
              </w:rPr>
              <w:t>双滦区城市</w:t>
            </w:r>
            <w:r>
              <w:rPr>
                <w:sz w:val="21"/>
                <w:szCs w:val="21"/>
              </w:rPr>
              <w:t>污水厂进水水质要求。</w:t>
            </w:r>
          </w:p>
          <w:p>
            <w:pPr>
              <w:snapToGrid w:val="0"/>
              <w:spacing w:line="360" w:lineRule="auto"/>
              <w:ind w:firstLine="420" w:firstLineChars="200"/>
              <w:rPr>
                <w:sz w:val="21"/>
                <w:szCs w:val="21"/>
              </w:rPr>
            </w:pPr>
            <w:r>
              <w:rPr>
                <w:sz w:val="21"/>
                <w:szCs w:val="21"/>
              </w:rPr>
              <w:t>噪声：建筑施工噪声执行《建筑施工场界环境噪声排放标准》（GB12523-2011）标准，营运期院界噪声执行《工业企业</w:t>
            </w:r>
            <w:r>
              <w:rPr>
                <w:rFonts w:hint="eastAsia"/>
                <w:sz w:val="21"/>
                <w:szCs w:val="21"/>
              </w:rPr>
              <w:t>厂界</w:t>
            </w:r>
            <w:r>
              <w:rPr>
                <w:sz w:val="21"/>
                <w:szCs w:val="21"/>
              </w:rPr>
              <w:t>环境噪声排放标准》（GB12348-2008）中2类标准和4a类标准。</w:t>
            </w:r>
          </w:p>
          <w:p>
            <w:pPr>
              <w:snapToGrid w:val="0"/>
              <w:spacing w:line="360" w:lineRule="auto"/>
              <w:ind w:firstLine="420" w:firstLineChars="200"/>
              <w:rPr>
                <w:sz w:val="21"/>
                <w:szCs w:val="21"/>
              </w:rPr>
            </w:pPr>
            <w:r>
              <w:rPr>
                <w:sz w:val="21"/>
                <w:szCs w:val="21"/>
              </w:rPr>
              <w:t>固废：</w:t>
            </w:r>
            <w:r>
              <w:rPr>
                <w:rFonts w:hint="eastAsia"/>
                <w:sz w:val="21"/>
                <w:szCs w:val="21"/>
                <w:lang w:val="en-US" w:eastAsia="zh-CN"/>
              </w:rPr>
              <w:t>生活垃圾</w:t>
            </w:r>
            <w:r>
              <w:rPr>
                <w:rFonts w:hint="eastAsia"/>
                <w:sz w:val="21"/>
                <w:szCs w:val="21"/>
              </w:rPr>
              <w:t>集中收集交由环卫部门清运处理</w:t>
            </w:r>
            <w:r>
              <w:rPr>
                <w:sz w:val="21"/>
                <w:szCs w:val="21"/>
              </w:rPr>
              <w:t>；医疗废物执行</w:t>
            </w:r>
            <w:r>
              <w:rPr>
                <w:rFonts w:hint="eastAsia"/>
                <w:color w:val="000000"/>
                <w:sz w:val="21"/>
                <w:szCs w:val="21"/>
              </w:rPr>
              <w:t>《危险废物贮存污染控制标准》（GB18597-2001）及其2013年修改单；化粪池底泥、污水处理站栅渣和污泥执行《医疗机构水污染物排放标准》（GB18466-2005）中表4标准。</w:t>
            </w:r>
          </w:p>
          <w:p>
            <w:pPr>
              <w:jc w:val="center"/>
              <w:rPr>
                <w:b/>
                <w:bCs/>
                <w:sz w:val="21"/>
                <w:szCs w:val="21"/>
              </w:rPr>
            </w:pPr>
            <w:r>
              <w:rPr>
                <w:rFonts w:hint="eastAsia"/>
                <w:b/>
                <w:bCs/>
                <w:sz w:val="21"/>
                <w:szCs w:val="21"/>
              </w:rPr>
              <w:t>表3-5 运营期废气污染物排放标准</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5"/>
              <w:gridCol w:w="801"/>
              <w:gridCol w:w="1066"/>
              <w:gridCol w:w="420"/>
              <w:gridCol w:w="3058"/>
              <w:gridCol w:w="2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36" w:type="pct"/>
                  <w:vAlign w:val="center"/>
                </w:tcPr>
                <w:p>
                  <w:pPr>
                    <w:jc w:val="center"/>
                    <w:rPr>
                      <w:b/>
                      <w:bCs/>
                      <w:sz w:val="21"/>
                      <w:szCs w:val="21"/>
                    </w:rPr>
                  </w:pPr>
                  <w:r>
                    <w:rPr>
                      <w:b/>
                      <w:bCs/>
                      <w:sz w:val="21"/>
                      <w:szCs w:val="21"/>
                    </w:rPr>
                    <w:t>项目</w:t>
                  </w:r>
                </w:p>
              </w:tc>
              <w:tc>
                <w:tcPr>
                  <w:tcW w:w="1436" w:type="pct"/>
                  <w:gridSpan w:val="3"/>
                  <w:vAlign w:val="center"/>
                </w:tcPr>
                <w:p>
                  <w:pPr>
                    <w:jc w:val="center"/>
                    <w:rPr>
                      <w:b/>
                      <w:bCs/>
                      <w:sz w:val="21"/>
                      <w:szCs w:val="21"/>
                    </w:rPr>
                  </w:pPr>
                  <w:r>
                    <w:rPr>
                      <w:b/>
                      <w:bCs/>
                      <w:sz w:val="21"/>
                      <w:szCs w:val="21"/>
                    </w:rPr>
                    <w:t>污染物</w:t>
                  </w:r>
                </w:p>
              </w:tc>
              <w:tc>
                <w:tcPr>
                  <w:tcW w:w="1920" w:type="pct"/>
                  <w:tcBorders>
                    <w:bottom w:val="single" w:color="auto" w:sz="4" w:space="0"/>
                  </w:tcBorders>
                  <w:vAlign w:val="center"/>
                </w:tcPr>
                <w:p>
                  <w:pPr>
                    <w:jc w:val="center"/>
                    <w:rPr>
                      <w:b/>
                      <w:bCs/>
                      <w:sz w:val="21"/>
                      <w:szCs w:val="21"/>
                    </w:rPr>
                  </w:pPr>
                  <w:r>
                    <w:rPr>
                      <w:b/>
                      <w:bCs/>
                      <w:sz w:val="21"/>
                      <w:szCs w:val="21"/>
                    </w:rPr>
                    <w:t>标准数值</w:t>
                  </w:r>
                </w:p>
              </w:tc>
              <w:tc>
                <w:tcPr>
                  <w:tcW w:w="1306" w:type="pct"/>
                  <w:tcBorders>
                    <w:bottom w:val="single" w:color="auto" w:sz="4" w:space="0"/>
                  </w:tcBorders>
                  <w:vAlign w:val="center"/>
                </w:tcPr>
                <w:p>
                  <w:pPr>
                    <w:jc w:val="center"/>
                    <w:rPr>
                      <w:b/>
                      <w:bCs/>
                      <w:sz w:val="21"/>
                      <w:szCs w:val="21"/>
                    </w:rPr>
                  </w:pPr>
                  <w:r>
                    <w:rPr>
                      <w:b/>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336" w:type="pct"/>
                  <w:vMerge w:val="restart"/>
                  <w:vAlign w:val="center"/>
                </w:tcPr>
                <w:p>
                  <w:pPr>
                    <w:jc w:val="center"/>
                    <w:rPr>
                      <w:sz w:val="21"/>
                      <w:szCs w:val="21"/>
                    </w:rPr>
                  </w:pPr>
                  <w:r>
                    <w:rPr>
                      <w:sz w:val="21"/>
                      <w:szCs w:val="21"/>
                    </w:rPr>
                    <w:t>废气</w:t>
                  </w:r>
                </w:p>
              </w:tc>
              <w:tc>
                <w:tcPr>
                  <w:tcW w:w="503" w:type="pct"/>
                  <w:vMerge w:val="restart"/>
                  <w:vAlign w:val="center"/>
                </w:tcPr>
                <w:p>
                  <w:pPr>
                    <w:jc w:val="center"/>
                    <w:rPr>
                      <w:sz w:val="21"/>
                      <w:szCs w:val="21"/>
                    </w:rPr>
                  </w:pPr>
                  <w:r>
                    <w:rPr>
                      <w:sz w:val="21"/>
                      <w:szCs w:val="21"/>
                    </w:rPr>
                    <w:t>污水处理站废气</w:t>
                  </w:r>
                </w:p>
              </w:tc>
              <w:tc>
                <w:tcPr>
                  <w:tcW w:w="669" w:type="pct"/>
                  <w:vAlign w:val="center"/>
                </w:tcPr>
                <w:p>
                  <w:pPr>
                    <w:pStyle w:val="23"/>
                    <w:jc w:val="center"/>
                    <w:rPr>
                      <w:rFonts w:ascii="Times New Roman" w:cs="Times New Roman"/>
                      <w:color w:val="auto"/>
                      <w:sz w:val="21"/>
                      <w:szCs w:val="21"/>
                    </w:rPr>
                  </w:pPr>
                  <w:r>
                    <w:rPr>
                      <w:rFonts w:ascii="Times New Roman" w:cs="Times New Roman"/>
                      <w:sz w:val="21"/>
                      <w:szCs w:val="21"/>
                    </w:rPr>
                    <w:t>氨</w:t>
                  </w:r>
                </w:p>
              </w:tc>
              <w:tc>
                <w:tcPr>
                  <w:tcW w:w="263" w:type="pct"/>
                  <w:vMerge w:val="restart"/>
                  <w:vAlign w:val="center"/>
                </w:tcPr>
                <w:p>
                  <w:pPr>
                    <w:jc w:val="center"/>
                    <w:rPr>
                      <w:sz w:val="21"/>
                      <w:szCs w:val="21"/>
                    </w:rPr>
                  </w:pPr>
                  <w:r>
                    <w:rPr>
                      <w:sz w:val="21"/>
                      <w:szCs w:val="21"/>
                    </w:rPr>
                    <w:t>无组织</w:t>
                  </w:r>
                </w:p>
              </w:tc>
              <w:tc>
                <w:tcPr>
                  <w:tcW w:w="1920" w:type="pct"/>
                  <w:vAlign w:val="center"/>
                </w:tcPr>
                <w:p>
                  <w:pPr>
                    <w:pStyle w:val="23"/>
                    <w:jc w:val="center"/>
                    <w:rPr>
                      <w:rFonts w:ascii="Times New Roman" w:cs="Times New Roman"/>
                      <w:color w:val="auto"/>
                      <w:sz w:val="21"/>
                      <w:szCs w:val="21"/>
                    </w:rPr>
                  </w:pPr>
                  <w:r>
                    <w:rPr>
                      <w:rFonts w:ascii="Times New Roman" w:cs="Times New Roman"/>
                      <w:sz w:val="21"/>
                      <w:szCs w:val="21"/>
                    </w:rPr>
                    <w:t>1.0mg/m</w:t>
                  </w:r>
                  <w:r>
                    <w:rPr>
                      <w:rFonts w:ascii="Times New Roman" w:cs="Times New Roman"/>
                      <w:sz w:val="21"/>
                      <w:szCs w:val="21"/>
                      <w:vertAlign w:val="superscript"/>
                    </w:rPr>
                    <w:t>3</w:t>
                  </w:r>
                </w:p>
              </w:tc>
              <w:tc>
                <w:tcPr>
                  <w:tcW w:w="1306" w:type="pct"/>
                  <w:vMerge w:val="restart"/>
                  <w:vAlign w:val="center"/>
                </w:tcPr>
                <w:p>
                  <w:pPr>
                    <w:jc w:val="center"/>
                    <w:rPr>
                      <w:sz w:val="21"/>
                      <w:szCs w:val="21"/>
                    </w:rPr>
                  </w:pPr>
                  <w:r>
                    <w:rPr>
                      <w:sz w:val="21"/>
                      <w:szCs w:val="21"/>
                    </w:rPr>
                    <w:t>《医疗机构水污染物排放标准》（GB 18466-2005）表3中污水预处理站周边大气污染物最高允许浓度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36" w:type="pct"/>
                  <w:vMerge w:val="continue"/>
                  <w:vAlign w:val="center"/>
                </w:tcPr>
                <w:p>
                  <w:pPr>
                    <w:jc w:val="center"/>
                    <w:rPr>
                      <w:sz w:val="21"/>
                      <w:szCs w:val="21"/>
                    </w:rPr>
                  </w:pPr>
                </w:p>
              </w:tc>
              <w:tc>
                <w:tcPr>
                  <w:tcW w:w="503" w:type="pct"/>
                  <w:vMerge w:val="continue"/>
                  <w:vAlign w:val="center"/>
                </w:tcPr>
                <w:p>
                  <w:pPr>
                    <w:jc w:val="center"/>
                    <w:rPr>
                      <w:sz w:val="21"/>
                      <w:szCs w:val="21"/>
                    </w:rPr>
                  </w:pPr>
                </w:p>
              </w:tc>
              <w:tc>
                <w:tcPr>
                  <w:tcW w:w="669" w:type="pct"/>
                  <w:vAlign w:val="center"/>
                </w:tcPr>
                <w:p>
                  <w:pPr>
                    <w:pStyle w:val="23"/>
                    <w:jc w:val="center"/>
                    <w:rPr>
                      <w:rFonts w:ascii="Times New Roman" w:cs="Times New Roman"/>
                      <w:color w:val="auto"/>
                      <w:sz w:val="21"/>
                      <w:szCs w:val="21"/>
                    </w:rPr>
                  </w:pPr>
                  <w:r>
                    <w:rPr>
                      <w:rFonts w:ascii="Times New Roman" w:cs="Times New Roman"/>
                      <w:sz w:val="21"/>
                      <w:szCs w:val="21"/>
                    </w:rPr>
                    <w:t>硫化氢</w:t>
                  </w:r>
                </w:p>
              </w:tc>
              <w:tc>
                <w:tcPr>
                  <w:tcW w:w="263" w:type="pct"/>
                  <w:vMerge w:val="continue"/>
                  <w:vAlign w:val="center"/>
                </w:tcPr>
                <w:p>
                  <w:pPr>
                    <w:jc w:val="center"/>
                    <w:rPr>
                      <w:sz w:val="21"/>
                      <w:szCs w:val="21"/>
                    </w:rPr>
                  </w:pPr>
                </w:p>
              </w:tc>
              <w:tc>
                <w:tcPr>
                  <w:tcW w:w="1920" w:type="pct"/>
                  <w:vAlign w:val="center"/>
                </w:tcPr>
                <w:p>
                  <w:pPr>
                    <w:pStyle w:val="23"/>
                    <w:jc w:val="center"/>
                    <w:rPr>
                      <w:rFonts w:ascii="Times New Roman" w:cs="Times New Roman"/>
                      <w:color w:val="auto"/>
                      <w:sz w:val="21"/>
                      <w:szCs w:val="21"/>
                    </w:rPr>
                  </w:pPr>
                  <w:r>
                    <w:rPr>
                      <w:rFonts w:ascii="Times New Roman" w:cs="Times New Roman"/>
                      <w:sz w:val="21"/>
                      <w:szCs w:val="21"/>
                    </w:rPr>
                    <w:t>0.03mg/m</w:t>
                  </w:r>
                  <w:r>
                    <w:rPr>
                      <w:rFonts w:ascii="Times New Roman" w:cs="Times New Roman"/>
                      <w:sz w:val="21"/>
                      <w:szCs w:val="21"/>
                      <w:vertAlign w:val="superscript"/>
                    </w:rPr>
                    <w:t>3</w:t>
                  </w:r>
                </w:p>
              </w:tc>
              <w:tc>
                <w:tcPr>
                  <w:tcW w:w="1306" w:type="pct"/>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36" w:type="pct"/>
                  <w:vMerge w:val="continue"/>
                  <w:vAlign w:val="center"/>
                </w:tcPr>
                <w:p>
                  <w:pPr>
                    <w:jc w:val="center"/>
                    <w:rPr>
                      <w:sz w:val="21"/>
                      <w:szCs w:val="21"/>
                    </w:rPr>
                  </w:pPr>
                </w:p>
              </w:tc>
              <w:tc>
                <w:tcPr>
                  <w:tcW w:w="503" w:type="pct"/>
                  <w:vMerge w:val="continue"/>
                  <w:vAlign w:val="center"/>
                </w:tcPr>
                <w:p>
                  <w:pPr>
                    <w:jc w:val="center"/>
                    <w:rPr>
                      <w:sz w:val="21"/>
                      <w:szCs w:val="21"/>
                    </w:rPr>
                  </w:pPr>
                </w:p>
              </w:tc>
              <w:tc>
                <w:tcPr>
                  <w:tcW w:w="669" w:type="pct"/>
                  <w:vAlign w:val="center"/>
                </w:tcPr>
                <w:p>
                  <w:pPr>
                    <w:pStyle w:val="23"/>
                    <w:jc w:val="center"/>
                    <w:rPr>
                      <w:rFonts w:ascii="Times New Roman" w:cs="Times New Roman"/>
                      <w:color w:val="auto"/>
                      <w:sz w:val="21"/>
                      <w:szCs w:val="21"/>
                    </w:rPr>
                  </w:pPr>
                  <w:r>
                    <w:rPr>
                      <w:rFonts w:ascii="Times New Roman" w:cs="Times New Roman"/>
                      <w:sz w:val="21"/>
                      <w:szCs w:val="21"/>
                    </w:rPr>
                    <w:t>臭气浓度</w:t>
                  </w:r>
                </w:p>
              </w:tc>
              <w:tc>
                <w:tcPr>
                  <w:tcW w:w="263" w:type="pct"/>
                  <w:vMerge w:val="continue"/>
                  <w:vAlign w:val="center"/>
                </w:tcPr>
                <w:p>
                  <w:pPr>
                    <w:jc w:val="center"/>
                    <w:rPr>
                      <w:sz w:val="21"/>
                      <w:szCs w:val="21"/>
                    </w:rPr>
                  </w:pPr>
                </w:p>
              </w:tc>
              <w:tc>
                <w:tcPr>
                  <w:tcW w:w="1920" w:type="pct"/>
                  <w:vAlign w:val="center"/>
                </w:tcPr>
                <w:p>
                  <w:pPr>
                    <w:pStyle w:val="23"/>
                    <w:jc w:val="center"/>
                    <w:rPr>
                      <w:rFonts w:ascii="Times New Roman" w:cs="Times New Roman"/>
                      <w:color w:val="auto"/>
                      <w:sz w:val="21"/>
                      <w:szCs w:val="21"/>
                    </w:rPr>
                  </w:pPr>
                  <w:r>
                    <w:rPr>
                      <w:rFonts w:ascii="Times New Roman" w:cs="Times New Roman"/>
                      <w:sz w:val="21"/>
                      <w:szCs w:val="21"/>
                    </w:rPr>
                    <w:t>10（无量纲）</w:t>
                  </w:r>
                </w:p>
              </w:tc>
              <w:tc>
                <w:tcPr>
                  <w:tcW w:w="1306" w:type="pct"/>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36" w:type="pct"/>
                  <w:vMerge w:val="continue"/>
                  <w:vAlign w:val="center"/>
                </w:tcPr>
                <w:p>
                  <w:pPr>
                    <w:jc w:val="center"/>
                    <w:rPr>
                      <w:sz w:val="21"/>
                      <w:szCs w:val="21"/>
                    </w:rPr>
                  </w:pPr>
                </w:p>
              </w:tc>
              <w:tc>
                <w:tcPr>
                  <w:tcW w:w="503" w:type="pct"/>
                  <w:vMerge w:val="continue"/>
                  <w:vAlign w:val="center"/>
                </w:tcPr>
                <w:p>
                  <w:pPr>
                    <w:jc w:val="center"/>
                    <w:rPr>
                      <w:sz w:val="21"/>
                      <w:szCs w:val="21"/>
                    </w:rPr>
                  </w:pPr>
                </w:p>
              </w:tc>
              <w:tc>
                <w:tcPr>
                  <w:tcW w:w="669" w:type="pct"/>
                  <w:vAlign w:val="center"/>
                </w:tcPr>
                <w:p>
                  <w:pPr>
                    <w:pStyle w:val="23"/>
                    <w:jc w:val="center"/>
                    <w:rPr>
                      <w:rFonts w:ascii="Times New Roman" w:cs="Times New Roman"/>
                      <w:sz w:val="21"/>
                      <w:szCs w:val="21"/>
                    </w:rPr>
                  </w:pPr>
                  <w:r>
                    <w:rPr>
                      <w:rFonts w:hint="eastAsia" w:ascii="Times New Roman" w:cs="Times New Roman"/>
                      <w:sz w:val="21"/>
                      <w:szCs w:val="21"/>
                    </w:rPr>
                    <w:t>氯气</w:t>
                  </w:r>
                </w:p>
              </w:tc>
              <w:tc>
                <w:tcPr>
                  <w:tcW w:w="263" w:type="pct"/>
                  <w:vMerge w:val="continue"/>
                  <w:vAlign w:val="center"/>
                </w:tcPr>
                <w:p>
                  <w:pPr>
                    <w:jc w:val="center"/>
                    <w:rPr>
                      <w:sz w:val="21"/>
                      <w:szCs w:val="21"/>
                    </w:rPr>
                  </w:pPr>
                </w:p>
              </w:tc>
              <w:tc>
                <w:tcPr>
                  <w:tcW w:w="1920" w:type="pct"/>
                  <w:vAlign w:val="center"/>
                </w:tcPr>
                <w:p>
                  <w:pPr>
                    <w:pStyle w:val="23"/>
                    <w:jc w:val="center"/>
                    <w:rPr>
                      <w:rFonts w:ascii="Times New Roman" w:cs="Times New Roman"/>
                      <w:sz w:val="21"/>
                      <w:szCs w:val="21"/>
                    </w:rPr>
                  </w:pPr>
                  <w:r>
                    <w:rPr>
                      <w:rFonts w:hint="eastAsia" w:ascii="Times New Roman" w:cs="Times New Roman"/>
                      <w:sz w:val="21"/>
                      <w:szCs w:val="21"/>
                    </w:rPr>
                    <w:t>0.1</w:t>
                  </w:r>
                  <w:r>
                    <w:rPr>
                      <w:rFonts w:ascii="Times New Roman" w:cs="Times New Roman"/>
                      <w:sz w:val="21"/>
                      <w:szCs w:val="21"/>
                    </w:rPr>
                    <w:t>mg/m</w:t>
                  </w:r>
                  <w:r>
                    <w:rPr>
                      <w:rFonts w:ascii="Times New Roman" w:cs="Times New Roman"/>
                      <w:sz w:val="21"/>
                      <w:szCs w:val="21"/>
                      <w:vertAlign w:val="superscript"/>
                    </w:rPr>
                    <w:t>3</w:t>
                  </w:r>
                </w:p>
              </w:tc>
              <w:tc>
                <w:tcPr>
                  <w:tcW w:w="1306" w:type="pct"/>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336" w:type="pct"/>
                  <w:vMerge w:val="continue"/>
                  <w:vAlign w:val="center"/>
                </w:tcPr>
                <w:p>
                  <w:pPr>
                    <w:jc w:val="center"/>
                    <w:rPr>
                      <w:sz w:val="21"/>
                      <w:szCs w:val="21"/>
                    </w:rPr>
                  </w:pPr>
                </w:p>
              </w:tc>
              <w:tc>
                <w:tcPr>
                  <w:tcW w:w="503" w:type="pct"/>
                  <w:vMerge w:val="continue"/>
                  <w:vAlign w:val="center"/>
                </w:tcPr>
                <w:p>
                  <w:pPr>
                    <w:jc w:val="center"/>
                    <w:rPr>
                      <w:sz w:val="21"/>
                      <w:szCs w:val="21"/>
                    </w:rPr>
                  </w:pPr>
                </w:p>
              </w:tc>
              <w:tc>
                <w:tcPr>
                  <w:tcW w:w="669" w:type="pct"/>
                  <w:vAlign w:val="center"/>
                </w:tcPr>
                <w:p>
                  <w:pPr>
                    <w:pStyle w:val="23"/>
                    <w:jc w:val="center"/>
                    <w:rPr>
                      <w:rFonts w:ascii="Times New Roman" w:cs="Times New Roman"/>
                      <w:color w:val="auto"/>
                      <w:sz w:val="21"/>
                      <w:szCs w:val="21"/>
                    </w:rPr>
                  </w:pPr>
                  <w:r>
                    <w:rPr>
                      <w:rFonts w:ascii="Times New Roman" w:cs="Times New Roman"/>
                      <w:sz w:val="21"/>
                      <w:szCs w:val="21"/>
                    </w:rPr>
                    <w:t>甲烷</w:t>
                  </w:r>
                </w:p>
              </w:tc>
              <w:tc>
                <w:tcPr>
                  <w:tcW w:w="263" w:type="pct"/>
                  <w:vMerge w:val="continue"/>
                  <w:vAlign w:val="center"/>
                </w:tcPr>
                <w:p>
                  <w:pPr>
                    <w:jc w:val="center"/>
                    <w:rPr>
                      <w:sz w:val="21"/>
                      <w:szCs w:val="21"/>
                    </w:rPr>
                  </w:pPr>
                </w:p>
              </w:tc>
              <w:tc>
                <w:tcPr>
                  <w:tcW w:w="1920" w:type="pct"/>
                  <w:vAlign w:val="center"/>
                </w:tcPr>
                <w:p>
                  <w:pPr>
                    <w:pStyle w:val="23"/>
                    <w:jc w:val="center"/>
                    <w:rPr>
                      <w:rFonts w:ascii="Times New Roman" w:cs="Times New Roman"/>
                      <w:color w:val="auto"/>
                      <w:sz w:val="21"/>
                      <w:szCs w:val="21"/>
                    </w:rPr>
                  </w:pPr>
                  <w:r>
                    <w:rPr>
                      <w:rFonts w:ascii="Times New Roman" w:cs="Times New Roman"/>
                      <w:sz w:val="21"/>
                      <w:szCs w:val="21"/>
                    </w:rPr>
                    <w:t>1（指处理站内最高体积百分数%）</w:t>
                  </w:r>
                </w:p>
              </w:tc>
              <w:tc>
                <w:tcPr>
                  <w:tcW w:w="1306" w:type="pct"/>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36" w:type="pct"/>
                  <w:vMerge w:val="continue"/>
                  <w:vAlign w:val="center"/>
                </w:tcPr>
                <w:p>
                  <w:pPr>
                    <w:jc w:val="center"/>
                    <w:rPr>
                      <w:sz w:val="21"/>
                      <w:szCs w:val="21"/>
                    </w:rPr>
                  </w:pPr>
                </w:p>
              </w:tc>
              <w:tc>
                <w:tcPr>
                  <w:tcW w:w="503" w:type="pct"/>
                  <w:vAlign w:val="center"/>
                </w:tcPr>
                <w:p>
                  <w:pPr>
                    <w:jc w:val="center"/>
                    <w:rPr>
                      <w:sz w:val="21"/>
                      <w:szCs w:val="21"/>
                    </w:rPr>
                  </w:pPr>
                  <w:r>
                    <w:rPr>
                      <w:rFonts w:hint="eastAsia"/>
                      <w:sz w:val="21"/>
                      <w:szCs w:val="21"/>
                    </w:rPr>
                    <w:t>食堂</w:t>
                  </w:r>
                </w:p>
              </w:tc>
              <w:tc>
                <w:tcPr>
                  <w:tcW w:w="933" w:type="pct"/>
                  <w:gridSpan w:val="2"/>
                  <w:vAlign w:val="center"/>
                </w:tcPr>
                <w:p>
                  <w:pPr>
                    <w:pStyle w:val="23"/>
                    <w:jc w:val="center"/>
                    <w:rPr>
                      <w:rFonts w:ascii="Times New Roman" w:cs="Times New Roman"/>
                      <w:sz w:val="21"/>
                      <w:szCs w:val="21"/>
                    </w:rPr>
                  </w:pPr>
                  <w:r>
                    <w:rPr>
                      <w:rFonts w:hint="eastAsia" w:ascii="Times New Roman" w:cs="Times New Roman"/>
                      <w:sz w:val="21"/>
                      <w:szCs w:val="21"/>
                    </w:rPr>
                    <w:t>油烟</w:t>
                  </w:r>
                </w:p>
                <w:p>
                  <w:pPr>
                    <w:jc w:val="center"/>
                    <w:rPr>
                      <w:sz w:val="21"/>
                      <w:szCs w:val="21"/>
                    </w:rPr>
                  </w:pPr>
                </w:p>
              </w:tc>
              <w:tc>
                <w:tcPr>
                  <w:tcW w:w="1920" w:type="pct"/>
                  <w:vAlign w:val="center"/>
                </w:tcPr>
                <w:p>
                  <w:pPr>
                    <w:pStyle w:val="23"/>
                    <w:jc w:val="center"/>
                    <w:rPr>
                      <w:rFonts w:ascii="Times New Roman" w:cs="Times New Roman"/>
                      <w:sz w:val="21"/>
                      <w:szCs w:val="21"/>
                    </w:rPr>
                  </w:pPr>
                  <w:r>
                    <w:rPr>
                      <w:rFonts w:hint="eastAsia" w:ascii="Times New Roman" w:cs="Times New Roman"/>
                      <w:sz w:val="21"/>
                      <w:szCs w:val="21"/>
                    </w:rPr>
                    <w:t>小</w:t>
                  </w:r>
                  <w:r>
                    <w:rPr>
                      <w:rFonts w:ascii="Times New Roman" w:cs="Times New Roman"/>
                      <w:sz w:val="21"/>
                      <w:szCs w:val="21"/>
                    </w:rPr>
                    <w:t>型：最高允许排放浓度 2.0mg/m</w:t>
                  </w:r>
                  <w:r>
                    <w:rPr>
                      <w:rFonts w:ascii="Times New Roman" w:cs="Times New Roman"/>
                      <w:sz w:val="21"/>
                      <w:szCs w:val="21"/>
                      <w:vertAlign w:val="superscript"/>
                    </w:rPr>
                    <w:t>3</w:t>
                  </w:r>
                  <w:r>
                    <w:rPr>
                      <w:rFonts w:ascii="Times New Roman" w:cs="Times New Roman"/>
                      <w:sz w:val="21"/>
                      <w:szCs w:val="21"/>
                    </w:rPr>
                    <w:t>；净化设施最低去除效率：</w:t>
                  </w:r>
                  <w:r>
                    <w:rPr>
                      <w:rFonts w:hint="eastAsia" w:ascii="Times New Roman" w:cs="Times New Roman"/>
                      <w:sz w:val="21"/>
                      <w:szCs w:val="21"/>
                    </w:rPr>
                    <w:t>60</w:t>
                  </w:r>
                  <w:r>
                    <w:rPr>
                      <w:rFonts w:ascii="Times New Roman" w:cs="Times New Roman"/>
                      <w:sz w:val="21"/>
                      <w:szCs w:val="21"/>
                    </w:rPr>
                    <w:t>%</w:t>
                  </w:r>
                </w:p>
              </w:tc>
              <w:tc>
                <w:tcPr>
                  <w:tcW w:w="1306" w:type="pct"/>
                  <w:vAlign w:val="center"/>
                </w:tcPr>
                <w:p>
                  <w:pPr>
                    <w:jc w:val="center"/>
                    <w:rPr>
                      <w:sz w:val="21"/>
                      <w:szCs w:val="21"/>
                    </w:rPr>
                  </w:pPr>
                  <w:r>
                    <w:rPr>
                      <w:sz w:val="21"/>
                      <w:szCs w:val="21"/>
                    </w:rPr>
                    <w:t>《饮食业油烟排放标准（试行）》 （GB18483-2001）表 2 大型饮食业单位的油烟最高允许排放浓度和油烟净化设施最低去除效率</w:t>
                  </w:r>
                </w:p>
              </w:tc>
            </w:tr>
          </w:tbl>
          <w:p>
            <w:pPr>
              <w:adjustRightInd w:val="0"/>
              <w:snapToGrid w:val="0"/>
              <w:spacing w:before="156" w:beforeLines="50" w:line="360" w:lineRule="auto"/>
              <w:jc w:val="center"/>
              <w:rPr>
                <w:b/>
                <w:bCs/>
                <w:sz w:val="21"/>
                <w:szCs w:val="21"/>
              </w:rPr>
            </w:pPr>
            <w:r>
              <w:rPr>
                <w:b/>
                <w:bCs/>
                <w:sz w:val="21"/>
                <w:szCs w:val="21"/>
              </w:rPr>
              <w:t>表3-6 运营期废水污染物排放标准</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2"/>
              <w:gridCol w:w="1744"/>
              <w:gridCol w:w="1847"/>
              <w:gridCol w:w="1847"/>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Align w:val="center"/>
                </w:tcPr>
                <w:p>
                  <w:pPr>
                    <w:jc w:val="center"/>
                    <w:rPr>
                      <w:b/>
                      <w:bCs/>
                      <w:sz w:val="21"/>
                      <w:szCs w:val="21"/>
                    </w:rPr>
                  </w:pPr>
                  <w:r>
                    <w:rPr>
                      <w:b/>
                      <w:bCs/>
                      <w:sz w:val="21"/>
                      <w:szCs w:val="21"/>
                    </w:rPr>
                    <w:t>项目</w:t>
                  </w:r>
                </w:p>
              </w:tc>
              <w:tc>
                <w:tcPr>
                  <w:tcW w:w="1095" w:type="pct"/>
                  <w:vAlign w:val="center"/>
                </w:tcPr>
                <w:p>
                  <w:pPr>
                    <w:jc w:val="center"/>
                    <w:rPr>
                      <w:b/>
                      <w:bCs/>
                      <w:sz w:val="21"/>
                      <w:szCs w:val="21"/>
                    </w:rPr>
                  </w:pPr>
                  <w:r>
                    <w:rPr>
                      <w:b/>
                      <w:bCs/>
                      <w:sz w:val="21"/>
                      <w:szCs w:val="21"/>
                    </w:rPr>
                    <w:t>污染物</w:t>
                  </w:r>
                </w:p>
              </w:tc>
              <w:tc>
                <w:tcPr>
                  <w:tcW w:w="1160" w:type="pct"/>
                  <w:tcBorders>
                    <w:bottom w:val="single" w:color="auto" w:sz="4" w:space="0"/>
                  </w:tcBorders>
                  <w:vAlign w:val="center"/>
                </w:tcPr>
                <w:p>
                  <w:pPr>
                    <w:pStyle w:val="23"/>
                    <w:jc w:val="center"/>
                    <w:rPr>
                      <w:rFonts w:ascii="Times New Roman" w:cs="Times New Roman"/>
                      <w:b/>
                      <w:bCs/>
                      <w:color w:val="auto"/>
                      <w:sz w:val="21"/>
                      <w:szCs w:val="21"/>
                    </w:rPr>
                  </w:pPr>
                  <w:r>
                    <w:rPr>
                      <w:rFonts w:ascii="Times New Roman" w:cs="Times New Roman"/>
                      <w:b/>
                      <w:bCs/>
                      <w:sz w:val="21"/>
                      <w:szCs w:val="21"/>
                    </w:rPr>
                    <w:t>《医疗机构水污染物排放标准》</w:t>
                  </w:r>
                </w:p>
              </w:tc>
              <w:tc>
                <w:tcPr>
                  <w:tcW w:w="1160" w:type="pct"/>
                  <w:tcBorders>
                    <w:bottom w:val="single" w:color="auto" w:sz="4" w:space="0"/>
                  </w:tcBorders>
                  <w:vAlign w:val="center"/>
                </w:tcPr>
                <w:p>
                  <w:pPr>
                    <w:pStyle w:val="23"/>
                    <w:jc w:val="center"/>
                    <w:rPr>
                      <w:rFonts w:ascii="Times New Roman" w:cs="Times New Roman"/>
                      <w:b/>
                      <w:bCs/>
                      <w:color w:val="auto"/>
                      <w:sz w:val="21"/>
                      <w:szCs w:val="21"/>
                    </w:rPr>
                  </w:pPr>
                  <w:r>
                    <w:rPr>
                      <w:rFonts w:ascii="Times New Roman" w:cs="Times New Roman"/>
                      <w:b/>
                      <w:bCs/>
                      <w:sz w:val="21"/>
                      <w:szCs w:val="21"/>
                    </w:rPr>
                    <w:t>承德市双滦区城市污水厂指标要求</w:t>
                  </w:r>
                </w:p>
              </w:tc>
              <w:tc>
                <w:tcPr>
                  <w:tcW w:w="1275" w:type="pct"/>
                  <w:tcBorders>
                    <w:bottom w:val="single" w:color="auto" w:sz="4" w:space="0"/>
                  </w:tcBorders>
                  <w:vAlign w:val="center"/>
                </w:tcPr>
                <w:p>
                  <w:pPr>
                    <w:jc w:val="center"/>
                    <w:rPr>
                      <w:b/>
                      <w:bCs/>
                      <w:sz w:val="21"/>
                      <w:szCs w:val="21"/>
                    </w:rPr>
                  </w:pPr>
                  <w:r>
                    <w:rPr>
                      <w:b/>
                      <w:bCs/>
                      <w:sz w:val="21"/>
                      <w:szCs w:val="21"/>
                    </w:rPr>
                    <w:t>最终执行标准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Merge w:val="restart"/>
                  <w:vAlign w:val="center"/>
                </w:tcPr>
                <w:p>
                  <w:pPr>
                    <w:jc w:val="center"/>
                    <w:rPr>
                      <w:sz w:val="21"/>
                      <w:szCs w:val="21"/>
                    </w:rPr>
                  </w:pPr>
                  <w:r>
                    <w:rPr>
                      <w:sz w:val="21"/>
                      <w:szCs w:val="21"/>
                    </w:rPr>
                    <w:t>污水处理站出水</w:t>
                  </w:r>
                </w:p>
              </w:tc>
              <w:tc>
                <w:tcPr>
                  <w:tcW w:w="1095" w:type="pct"/>
                  <w:vAlign w:val="center"/>
                </w:tcPr>
                <w:p>
                  <w:pPr>
                    <w:pStyle w:val="23"/>
                    <w:jc w:val="center"/>
                    <w:rPr>
                      <w:rFonts w:ascii="Times New Roman" w:cs="Times New Roman"/>
                      <w:color w:val="auto"/>
                      <w:sz w:val="21"/>
                      <w:szCs w:val="21"/>
                    </w:rPr>
                  </w:pPr>
                  <w:r>
                    <w:rPr>
                      <w:rFonts w:ascii="Times New Roman" w:cs="Times New Roman"/>
                      <w:sz w:val="21"/>
                      <w:szCs w:val="21"/>
                    </w:rPr>
                    <w:t>粪大肠菌群数（MPN/L）</w:t>
                  </w:r>
                </w:p>
              </w:tc>
              <w:tc>
                <w:tcPr>
                  <w:tcW w:w="1160" w:type="pct"/>
                  <w:vAlign w:val="center"/>
                </w:tcPr>
                <w:p>
                  <w:pPr>
                    <w:pStyle w:val="23"/>
                    <w:jc w:val="center"/>
                    <w:rPr>
                      <w:rFonts w:ascii="Times New Roman" w:cs="Times New Roman"/>
                      <w:color w:val="auto"/>
                      <w:sz w:val="21"/>
                      <w:szCs w:val="21"/>
                    </w:rPr>
                  </w:pPr>
                  <w:r>
                    <w:rPr>
                      <w:rFonts w:ascii="Times New Roman" w:cs="Times New Roman"/>
                      <w:sz w:val="21"/>
                      <w:szCs w:val="21"/>
                    </w:rPr>
                    <w:t>5000</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w:t>
                  </w:r>
                </w:p>
              </w:tc>
              <w:tc>
                <w:tcPr>
                  <w:tcW w:w="1275" w:type="pct"/>
                  <w:vAlign w:val="center"/>
                </w:tcPr>
                <w:p>
                  <w:pPr>
                    <w:pStyle w:val="23"/>
                    <w:jc w:val="center"/>
                    <w:rPr>
                      <w:rFonts w:ascii="Times New Roman" w:cs="Times New Roman"/>
                      <w:color w:val="auto"/>
                      <w:sz w:val="21"/>
                      <w:szCs w:val="21"/>
                    </w:rPr>
                  </w:pPr>
                  <w:r>
                    <w:rPr>
                      <w:rFonts w:ascii="Times New Roman" w:cs="Times New Roman"/>
                      <w:sz w:val="21"/>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color w:val="auto"/>
                      <w:sz w:val="21"/>
                      <w:szCs w:val="21"/>
                    </w:rPr>
                  </w:pPr>
                  <w:r>
                    <w:rPr>
                      <w:rFonts w:ascii="Times New Roman" w:cs="Times New Roman"/>
                      <w:sz w:val="21"/>
                      <w:szCs w:val="21"/>
                    </w:rPr>
                    <w:t>肠道致病菌</w:t>
                  </w:r>
                </w:p>
              </w:tc>
              <w:tc>
                <w:tcPr>
                  <w:tcW w:w="1160" w:type="pct"/>
                  <w:vAlign w:val="center"/>
                </w:tcPr>
                <w:p>
                  <w:pPr>
                    <w:pStyle w:val="23"/>
                    <w:jc w:val="center"/>
                    <w:rPr>
                      <w:rFonts w:ascii="Times New Roman" w:cs="Times New Roman"/>
                      <w:color w:val="auto"/>
                      <w:sz w:val="21"/>
                      <w:szCs w:val="21"/>
                    </w:rPr>
                  </w:pPr>
                  <w:r>
                    <w:rPr>
                      <w:rFonts w:ascii="Times New Roman" w:cs="Times New Roman"/>
                      <w:sz w:val="21"/>
                      <w:szCs w:val="21"/>
                    </w:rPr>
                    <w:t>——</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w:t>
                  </w:r>
                </w:p>
              </w:tc>
              <w:tc>
                <w:tcPr>
                  <w:tcW w:w="1275" w:type="pct"/>
                  <w:vAlign w:val="center"/>
                </w:tcPr>
                <w:p>
                  <w:pPr>
                    <w:pStyle w:val="23"/>
                    <w:jc w:val="center"/>
                    <w:rPr>
                      <w:rFonts w:ascii="Times New Roman" w:cs="Times New Roman"/>
                      <w:color w:val="auto"/>
                      <w:sz w:val="21"/>
                      <w:szCs w:val="21"/>
                    </w:rPr>
                  </w:pPr>
                  <w:r>
                    <w:rPr>
                      <w:rFonts w:asci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color w:val="auto"/>
                      <w:sz w:val="21"/>
                      <w:szCs w:val="21"/>
                    </w:rPr>
                  </w:pPr>
                  <w:r>
                    <w:rPr>
                      <w:rFonts w:ascii="Times New Roman" w:cs="Times New Roman"/>
                      <w:sz w:val="21"/>
                      <w:szCs w:val="21"/>
                    </w:rPr>
                    <w:t>肠道病毒</w:t>
                  </w:r>
                </w:p>
              </w:tc>
              <w:tc>
                <w:tcPr>
                  <w:tcW w:w="1160" w:type="pct"/>
                  <w:vAlign w:val="center"/>
                </w:tcPr>
                <w:p>
                  <w:pPr>
                    <w:pStyle w:val="23"/>
                    <w:jc w:val="center"/>
                    <w:rPr>
                      <w:rFonts w:ascii="Times New Roman" w:cs="Times New Roman"/>
                      <w:color w:val="auto"/>
                      <w:sz w:val="21"/>
                      <w:szCs w:val="21"/>
                    </w:rPr>
                  </w:pPr>
                  <w:r>
                    <w:rPr>
                      <w:rFonts w:ascii="Times New Roman" w:cs="Times New Roman"/>
                      <w:sz w:val="21"/>
                      <w:szCs w:val="21"/>
                    </w:rPr>
                    <w:t>——</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w:t>
                  </w:r>
                </w:p>
              </w:tc>
              <w:tc>
                <w:tcPr>
                  <w:tcW w:w="1275" w:type="pct"/>
                  <w:vAlign w:val="center"/>
                </w:tcPr>
                <w:p>
                  <w:pPr>
                    <w:pStyle w:val="23"/>
                    <w:jc w:val="center"/>
                    <w:rPr>
                      <w:rFonts w:ascii="Times New Roman" w:cs="Times New Roman"/>
                      <w:color w:val="auto"/>
                      <w:sz w:val="21"/>
                      <w:szCs w:val="21"/>
                    </w:rPr>
                  </w:pPr>
                  <w:r>
                    <w:rPr>
                      <w:rFonts w:asci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color w:val="auto"/>
                      <w:sz w:val="21"/>
                      <w:szCs w:val="21"/>
                    </w:rPr>
                  </w:pPr>
                  <w:r>
                    <w:rPr>
                      <w:rFonts w:ascii="Times New Roman" w:cs="Times New Roman"/>
                      <w:sz w:val="21"/>
                      <w:szCs w:val="21"/>
                    </w:rPr>
                    <w:t>pH</w:t>
                  </w:r>
                </w:p>
              </w:tc>
              <w:tc>
                <w:tcPr>
                  <w:tcW w:w="1160" w:type="pct"/>
                  <w:vAlign w:val="center"/>
                </w:tcPr>
                <w:p>
                  <w:pPr>
                    <w:pStyle w:val="23"/>
                    <w:jc w:val="center"/>
                    <w:rPr>
                      <w:rFonts w:ascii="Times New Roman" w:cs="Times New Roman"/>
                      <w:color w:val="auto"/>
                      <w:sz w:val="21"/>
                      <w:szCs w:val="21"/>
                    </w:rPr>
                  </w:pPr>
                  <w:r>
                    <w:rPr>
                      <w:rFonts w:ascii="Times New Roman" w:cs="Times New Roman"/>
                      <w:sz w:val="21"/>
                      <w:szCs w:val="21"/>
                    </w:rPr>
                    <w:t>6~9</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6~9</w:t>
                  </w:r>
                </w:p>
              </w:tc>
              <w:tc>
                <w:tcPr>
                  <w:tcW w:w="1275" w:type="pct"/>
                  <w:vAlign w:val="center"/>
                </w:tcPr>
                <w:p>
                  <w:pPr>
                    <w:pStyle w:val="23"/>
                    <w:jc w:val="center"/>
                    <w:rPr>
                      <w:rFonts w:ascii="Times New Roman" w:cs="Times New Roman"/>
                      <w:color w:val="auto"/>
                      <w:sz w:val="21"/>
                      <w:szCs w:val="21"/>
                    </w:rPr>
                  </w:pPr>
                  <w:r>
                    <w:rPr>
                      <w:rFonts w:ascii="Times New Roman" w:cs="Times New Roman"/>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color w:val="auto"/>
                      <w:sz w:val="21"/>
                      <w:szCs w:val="21"/>
                    </w:rPr>
                  </w:pPr>
                  <w:r>
                    <w:rPr>
                      <w:rFonts w:ascii="Times New Roman" w:cs="Times New Roman"/>
                      <w:sz w:val="21"/>
                      <w:szCs w:val="21"/>
                    </w:rPr>
                    <w:t>化学需氧量（COD）（mg/L）</w:t>
                  </w:r>
                </w:p>
              </w:tc>
              <w:tc>
                <w:tcPr>
                  <w:tcW w:w="1160" w:type="pct"/>
                  <w:vAlign w:val="center"/>
                </w:tcPr>
                <w:p>
                  <w:pPr>
                    <w:pStyle w:val="23"/>
                    <w:jc w:val="center"/>
                    <w:rPr>
                      <w:rFonts w:ascii="Times New Roman" w:cs="Times New Roman"/>
                      <w:color w:val="auto"/>
                      <w:sz w:val="21"/>
                      <w:szCs w:val="21"/>
                    </w:rPr>
                  </w:pPr>
                  <w:r>
                    <w:rPr>
                      <w:rFonts w:ascii="Times New Roman" w:cs="Times New Roman"/>
                      <w:sz w:val="21"/>
                      <w:szCs w:val="21"/>
                    </w:rPr>
                    <w:t>250</w:t>
                  </w:r>
                </w:p>
              </w:tc>
              <w:tc>
                <w:tcPr>
                  <w:tcW w:w="1160" w:type="pct"/>
                  <w:vAlign w:val="center"/>
                </w:tcPr>
                <w:p>
                  <w:pPr>
                    <w:pStyle w:val="23"/>
                    <w:jc w:val="center"/>
                    <w:rPr>
                      <w:rFonts w:ascii="Times New Roman" w:cs="Times New Roman"/>
                      <w:sz w:val="21"/>
                      <w:szCs w:val="21"/>
                    </w:rPr>
                  </w:pPr>
                  <w:r>
                    <w:rPr>
                      <w:rFonts w:hint="eastAsia" w:ascii="Times New Roman" w:cs="Times New Roman"/>
                      <w:sz w:val="21"/>
                      <w:szCs w:val="21"/>
                    </w:rPr>
                    <w:t>350</w:t>
                  </w:r>
                </w:p>
              </w:tc>
              <w:tc>
                <w:tcPr>
                  <w:tcW w:w="1275" w:type="pct"/>
                  <w:vAlign w:val="center"/>
                </w:tcPr>
                <w:p>
                  <w:pPr>
                    <w:pStyle w:val="23"/>
                    <w:jc w:val="center"/>
                    <w:rPr>
                      <w:rFonts w:ascii="Times New Roman" w:cs="Times New Roman"/>
                      <w:color w:val="auto"/>
                      <w:sz w:val="21"/>
                      <w:szCs w:val="21"/>
                    </w:rPr>
                  </w:pPr>
                  <w:r>
                    <w:rPr>
                      <w:rFonts w:ascii="Times New Roman" w:cs="Times New Roman"/>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ascii="Times New Roman" w:cs="Times New Roman"/>
                      <w:sz w:val="21"/>
                      <w:szCs w:val="21"/>
                    </w:rPr>
                    <w:t>生化需氧量（BOD</w:t>
                  </w:r>
                  <w:r>
                    <w:rPr>
                      <w:rFonts w:ascii="Times New Roman" w:cs="Times New Roman"/>
                      <w:sz w:val="21"/>
                      <w:szCs w:val="21"/>
                      <w:vertAlign w:val="subscript"/>
                    </w:rPr>
                    <w:t>5</w:t>
                  </w:r>
                  <w:r>
                    <w:rPr>
                      <w:rFonts w:ascii="Times New Roman" w:cs="Times New Roman"/>
                      <w:sz w:val="21"/>
                      <w:szCs w:val="21"/>
                    </w:rPr>
                    <w:t>）（mg/L）</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100</w:t>
                  </w:r>
                </w:p>
              </w:tc>
              <w:tc>
                <w:tcPr>
                  <w:tcW w:w="1160" w:type="pct"/>
                  <w:vAlign w:val="center"/>
                </w:tcPr>
                <w:p>
                  <w:pPr>
                    <w:pStyle w:val="23"/>
                    <w:jc w:val="center"/>
                    <w:rPr>
                      <w:rFonts w:ascii="Times New Roman" w:cs="Times New Roman"/>
                      <w:sz w:val="21"/>
                      <w:szCs w:val="21"/>
                    </w:rPr>
                  </w:pPr>
                  <w:r>
                    <w:rPr>
                      <w:rFonts w:hint="eastAsia" w:ascii="Times New Roman" w:cs="Times New Roman"/>
                      <w:sz w:val="21"/>
                      <w:szCs w:val="21"/>
                    </w:rPr>
                    <w:t>200</w:t>
                  </w:r>
                </w:p>
              </w:tc>
              <w:tc>
                <w:tcPr>
                  <w:tcW w:w="1275" w:type="pct"/>
                  <w:vAlign w:val="center"/>
                </w:tcPr>
                <w:p>
                  <w:pPr>
                    <w:pStyle w:val="23"/>
                    <w:jc w:val="center"/>
                    <w:rPr>
                      <w:rFonts w:ascii="Times New Roman" w:cs="Times New Roman"/>
                      <w:color w:val="auto"/>
                      <w:sz w:val="21"/>
                      <w:szCs w:val="21"/>
                    </w:rPr>
                  </w:pPr>
                  <w:r>
                    <w:rPr>
                      <w:rFonts w:ascii="Times New Roman"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ascii="Times New Roman" w:cs="Times New Roman"/>
                      <w:sz w:val="21"/>
                      <w:szCs w:val="21"/>
                    </w:rPr>
                    <w:t>悬浮物（SS）（mg/L）</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60</w:t>
                  </w:r>
                </w:p>
              </w:tc>
              <w:tc>
                <w:tcPr>
                  <w:tcW w:w="1160" w:type="pct"/>
                  <w:vAlign w:val="center"/>
                </w:tcPr>
                <w:p>
                  <w:pPr>
                    <w:pStyle w:val="23"/>
                    <w:jc w:val="center"/>
                    <w:rPr>
                      <w:rFonts w:ascii="Times New Roman" w:cs="Times New Roman"/>
                      <w:sz w:val="21"/>
                      <w:szCs w:val="21"/>
                    </w:rPr>
                  </w:pPr>
                  <w:r>
                    <w:rPr>
                      <w:rFonts w:hint="eastAsia" w:ascii="Times New Roman" w:cs="Times New Roman"/>
                      <w:sz w:val="21"/>
                      <w:szCs w:val="21"/>
                    </w:rPr>
                    <w:t>250</w:t>
                  </w:r>
                </w:p>
              </w:tc>
              <w:tc>
                <w:tcPr>
                  <w:tcW w:w="1275" w:type="pct"/>
                  <w:vAlign w:val="center"/>
                </w:tcPr>
                <w:p>
                  <w:pPr>
                    <w:pStyle w:val="23"/>
                    <w:jc w:val="center"/>
                    <w:rPr>
                      <w:rFonts w:ascii="Times New Roman" w:cs="Times New Roman"/>
                      <w:color w:val="auto"/>
                      <w:sz w:val="21"/>
                      <w:szCs w:val="21"/>
                    </w:rPr>
                  </w:pPr>
                  <w:r>
                    <w:rPr>
                      <w:rFonts w:ascii="Times New Roman" w:cs="Times New Roman"/>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ascii="Times New Roman" w:cs="Times New Roman"/>
                      <w:sz w:val="21"/>
                      <w:szCs w:val="21"/>
                    </w:rPr>
                    <w:t>氨氮（mg/L）</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w:t>
                  </w:r>
                </w:p>
              </w:tc>
              <w:tc>
                <w:tcPr>
                  <w:tcW w:w="1160" w:type="pct"/>
                  <w:vAlign w:val="center"/>
                </w:tcPr>
                <w:p>
                  <w:pPr>
                    <w:pStyle w:val="23"/>
                    <w:jc w:val="center"/>
                    <w:rPr>
                      <w:rFonts w:ascii="Times New Roman" w:cs="Times New Roman"/>
                      <w:sz w:val="21"/>
                      <w:szCs w:val="21"/>
                    </w:rPr>
                  </w:pPr>
                  <w:r>
                    <w:rPr>
                      <w:rFonts w:hint="eastAsia" w:ascii="Times New Roman" w:cs="Times New Roman"/>
                      <w:sz w:val="21"/>
                      <w:szCs w:val="21"/>
                    </w:rPr>
                    <w:t>35</w:t>
                  </w:r>
                </w:p>
              </w:tc>
              <w:tc>
                <w:tcPr>
                  <w:tcW w:w="1275" w:type="pct"/>
                  <w:vAlign w:val="center"/>
                </w:tcPr>
                <w:p>
                  <w:pPr>
                    <w:pStyle w:val="23"/>
                    <w:jc w:val="center"/>
                    <w:rPr>
                      <w:rFonts w:ascii="Times New Roman" w:cs="Times New Roman"/>
                      <w:color w:val="auto"/>
                      <w:sz w:val="21"/>
                      <w:szCs w:val="21"/>
                    </w:rPr>
                  </w:pPr>
                  <w:r>
                    <w:rPr>
                      <w:rFonts w:hint="eastAsia" w:ascii="Times New Roman" w:cs="Times New Roman"/>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hint="eastAsia" w:ascii="Times New Roman" w:cs="Times New Roman"/>
                      <w:sz w:val="21"/>
                      <w:szCs w:val="21"/>
                    </w:rPr>
                    <w:t>总磷</w:t>
                  </w:r>
                  <w:r>
                    <w:rPr>
                      <w:rFonts w:ascii="Times New Roman" w:cs="Times New Roman"/>
                      <w:sz w:val="21"/>
                      <w:szCs w:val="21"/>
                    </w:rPr>
                    <w:t>（mg/L）</w:t>
                  </w:r>
                </w:p>
              </w:tc>
              <w:tc>
                <w:tcPr>
                  <w:tcW w:w="1160" w:type="pct"/>
                  <w:vAlign w:val="center"/>
                </w:tcPr>
                <w:p>
                  <w:pPr>
                    <w:pStyle w:val="23"/>
                    <w:jc w:val="center"/>
                    <w:rPr>
                      <w:rFonts w:ascii="Times New Roman" w:cs="Times New Roman"/>
                      <w:sz w:val="21"/>
                      <w:szCs w:val="21"/>
                    </w:rPr>
                  </w:pPr>
                </w:p>
              </w:tc>
              <w:tc>
                <w:tcPr>
                  <w:tcW w:w="1160" w:type="pct"/>
                  <w:vAlign w:val="center"/>
                </w:tcPr>
                <w:p>
                  <w:pPr>
                    <w:pStyle w:val="23"/>
                    <w:jc w:val="center"/>
                    <w:rPr>
                      <w:rFonts w:ascii="Times New Roman" w:cs="Times New Roman"/>
                      <w:sz w:val="21"/>
                      <w:szCs w:val="21"/>
                    </w:rPr>
                  </w:pPr>
                  <w:r>
                    <w:rPr>
                      <w:rFonts w:hint="eastAsia" w:ascii="Times New Roman" w:cs="Times New Roman"/>
                      <w:sz w:val="21"/>
                      <w:szCs w:val="21"/>
                    </w:rPr>
                    <w:t>4</w:t>
                  </w:r>
                </w:p>
              </w:tc>
              <w:tc>
                <w:tcPr>
                  <w:tcW w:w="1275" w:type="pct"/>
                  <w:vAlign w:val="center"/>
                </w:tcPr>
                <w:p>
                  <w:pPr>
                    <w:pStyle w:val="23"/>
                    <w:jc w:val="center"/>
                    <w:rPr>
                      <w:rFonts w:ascii="Times New Roman" w:cs="Times New Roman"/>
                      <w:sz w:val="21"/>
                      <w:szCs w:val="21"/>
                    </w:rPr>
                  </w:pPr>
                  <w:r>
                    <w:rPr>
                      <w:rFonts w:hint="eastAsia" w:ascii="Times New Roman" w:cs="Times New Roman"/>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hint="eastAsia" w:ascii="Times New Roman" w:cs="Times New Roman"/>
                      <w:sz w:val="21"/>
                      <w:szCs w:val="21"/>
                    </w:rPr>
                    <w:t>总氮</w:t>
                  </w:r>
                  <w:r>
                    <w:rPr>
                      <w:rFonts w:ascii="Times New Roman" w:cs="Times New Roman"/>
                      <w:sz w:val="21"/>
                      <w:szCs w:val="21"/>
                    </w:rPr>
                    <w:t>（mg/L）</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w:t>
                  </w:r>
                </w:p>
              </w:tc>
              <w:tc>
                <w:tcPr>
                  <w:tcW w:w="1160" w:type="pct"/>
                  <w:vAlign w:val="center"/>
                </w:tcPr>
                <w:p>
                  <w:pPr>
                    <w:pStyle w:val="23"/>
                    <w:jc w:val="center"/>
                    <w:rPr>
                      <w:rFonts w:ascii="Times New Roman" w:cs="Times New Roman"/>
                      <w:sz w:val="21"/>
                      <w:szCs w:val="21"/>
                    </w:rPr>
                  </w:pPr>
                  <w:r>
                    <w:rPr>
                      <w:rFonts w:hint="eastAsia" w:ascii="Times New Roman" w:cs="Times New Roman"/>
                      <w:sz w:val="21"/>
                      <w:szCs w:val="21"/>
                    </w:rPr>
                    <w:t>45</w:t>
                  </w:r>
                </w:p>
              </w:tc>
              <w:tc>
                <w:tcPr>
                  <w:tcW w:w="1275" w:type="pct"/>
                  <w:vAlign w:val="center"/>
                </w:tcPr>
                <w:p>
                  <w:pPr>
                    <w:pStyle w:val="23"/>
                    <w:jc w:val="center"/>
                    <w:rPr>
                      <w:rFonts w:ascii="Times New Roman" w:cs="Times New Roman"/>
                      <w:color w:val="auto"/>
                      <w:sz w:val="21"/>
                      <w:szCs w:val="21"/>
                    </w:rPr>
                  </w:pPr>
                  <w:r>
                    <w:rPr>
                      <w:rFonts w:hint="eastAsia" w:ascii="Times New Roman" w:cs="Times New Roman"/>
                      <w:color w:val="auto"/>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ascii="Times New Roman" w:cs="Times New Roman"/>
                      <w:sz w:val="21"/>
                      <w:szCs w:val="21"/>
                    </w:rPr>
                    <w:t>动植物油（mg/L）</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20</w:t>
                  </w:r>
                </w:p>
              </w:tc>
              <w:tc>
                <w:tcPr>
                  <w:tcW w:w="1160" w:type="pct"/>
                  <w:vAlign w:val="center"/>
                </w:tcPr>
                <w:p>
                  <w:pPr>
                    <w:pStyle w:val="23"/>
                    <w:jc w:val="center"/>
                    <w:rPr>
                      <w:rFonts w:ascii="Times New Roman" w:cs="Times New Roman"/>
                      <w:sz w:val="21"/>
                      <w:szCs w:val="21"/>
                    </w:rPr>
                  </w:pPr>
                  <w:r>
                    <w:rPr>
                      <w:rFonts w:hint="eastAsia" w:ascii="Times New Roman" w:cs="Times New Roman"/>
                      <w:sz w:val="21"/>
                      <w:szCs w:val="21"/>
                    </w:rPr>
                    <w:t>100</w:t>
                  </w:r>
                </w:p>
              </w:tc>
              <w:tc>
                <w:tcPr>
                  <w:tcW w:w="1275" w:type="pct"/>
                  <w:vAlign w:val="center"/>
                </w:tcPr>
                <w:p>
                  <w:pPr>
                    <w:pStyle w:val="23"/>
                    <w:jc w:val="center"/>
                    <w:rPr>
                      <w:rFonts w:ascii="Times New Roman" w:cs="Times New Roman"/>
                      <w:color w:val="auto"/>
                      <w:sz w:val="21"/>
                      <w:szCs w:val="21"/>
                    </w:rPr>
                  </w:pPr>
                  <w:r>
                    <w:rPr>
                      <w:rFonts w:ascii="Times New Roman"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ascii="Times New Roman" w:cs="Times New Roman"/>
                      <w:sz w:val="21"/>
                      <w:szCs w:val="21"/>
                    </w:rPr>
                    <w:t>石油类（mg/L）</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20</w:t>
                  </w:r>
                </w:p>
              </w:tc>
              <w:tc>
                <w:tcPr>
                  <w:tcW w:w="1160" w:type="pct"/>
                  <w:vAlign w:val="center"/>
                </w:tcPr>
                <w:p>
                  <w:pPr>
                    <w:pStyle w:val="23"/>
                    <w:jc w:val="center"/>
                    <w:rPr>
                      <w:rFonts w:ascii="Times New Roman" w:cs="Times New Roman"/>
                      <w:sz w:val="21"/>
                      <w:szCs w:val="21"/>
                    </w:rPr>
                  </w:pPr>
                  <w:r>
                    <w:rPr>
                      <w:rFonts w:hint="eastAsia" w:ascii="Times New Roman" w:cs="Times New Roman"/>
                      <w:sz w:val="21"/>
                      <w:szCs w:val="21"/>
                    </w:rPr>
                    <w:t>15</w:t>
                  </w:r>
                </w:p>
              </w:tc>
              <w:tc>
                <w:tcPr>
                  <w:tcW w:w="1275" w:type="pct"/>
                  <w:vAlign w:val="center"/>
                </w:tcPr>
                <w:p>
                  <w:pPr>
                    <w:pStyle w:val="23"/>
                    <w:jc w:val="center"/>
                    <w:rPr>
                      <w:rFonts w:ascii="Times New Roman" w:cs="Times New Roman"/>
                      <w:color w:val="auto"/>
                      <w:sz w:val="21"/>
                      <w:szCs w:val="21"/>
                    </w:rPr>
                  </w:pPr>
                  <w:r>
                    <w:rPr>
                      <w:rFonts w:ascii="Times New Roman"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ascii="Times New Roman" w:cs="Times New Roman"/>
                      <w:sz w:val="21"/>
                      <w:szCs w:val="21"/>
                    </w:rPr>
                    <w:t>阴离子表面活性剂（mg/L）</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10</w:t>
                  </w:r>
                </w:p>
              </w:tc>
              <w:tc>
                <w:tcPr>
                  <w:tcW w:w="1160" w:type="pct"/>
                  <w:vAlign w:val="center"/>
                </w:tcPr>
                <w:p>
                  <w:pPr>
                    <w:pStyle w:val="23"/>
                    <w:jc w:val="center"/>
                    <w:rPr>
                      <w:rFonts w:ascii="Times New Roman" w:cs="Times New Roman"/>
                      <w:sz w:val="21"/>
                      <w:szCs w:val="21"/>
                    </w:rPr>
                  </w:pPr>
                  <w:r>
                    <w:rPr>
                      <w:rFonts w:hint="eastAsia" w:ascii="Times New Roman" w:cs="Times New Roman"/>
                      <w:sz w:val="21"/>
                      <w:szCs w:val="21"/>
                    </w:rPr>
                    <w:t>20</w:t>
                  </w:r>
                </w:p>
              </w:tc>
              <w:tc>
                <w:tcPr>
                  <w:tcW w:w="1275" w:type="pct"/>
                  <w:vAlign w:val="center"/>
                </w:tcPr>
                <w:p>
                  <w:pPr>
                    <w:pStyle w:val="23"/>
                    <w:jc w:val="center"/>
                    <w:rPr>
                      <w:rFonts w:ascii="Times New Roman" w:cs="Times New Roman"/>
                      <w:color w:val="auto"/>
                      <w:sz w:val="21"/>
                      <w:szCs w:val="21"/>
                    </w:rPr>
                  </w:pPr>
                  <w:r>
                    <w:rPr>
                      <w:rFonts w:ascii="Times New Roman"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ascii="Times New Roman" w:cs="Times New Roman"/>
                      <w:sz w:val="21"/>
                      <w:szCs w:val="21"/>
                    </w:rPr>
                    <w:t>色度（稀释倍数）</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w:t>
                  </w:r>
                </w:p>
              </w:tc>
              <w:tc>
                <w:tcPr>
                  <w:tcW w:w="1160" w:type="pct"/>
                  <w:vAlign w:val="center"/>
                </w:tcPr>
                <w:p>
                  <w:pPr>
                    <w:pStyle w:val="23"/>
                    <w:jc w:val="center"/>
                    <w:rPr>
                      <w:rFonts w:ascii="Times New Roman" w:cs="Times New Roman"/>
                      <w:sz w:val="21"/>
                      <w:szCs w:val="21"/>
                    </w:rPr>
                  </w:pPr>
                  <w:r>
                    <w:rPr>
                      <w:rFonts w:hint="eastAsia" w:ascii="Times New Roman" w:cs="Times New Roman"/>
                      <w:sz w:val="21"/>
                      <w:szCs w:val="21"/>
                    </w:rPr>
                    <w:t>64</w:t>
                  </w:r>
                </w:p>
              </w:tc>
              <w:tc>
                <w:tcPr>
                  <w:tcW w:w="1275" w:type="pct"/>
                  <w:vAlign w:val="center"/>
                </w:tcPr>
                <w:p>
                  <w:pPr>
                    <w:pStyle w:val="23"/>
                    <w:jc w:val="center"/>
                    <w:rPr>
                      <w:rFonts w:ascii="Times New Roman" w:cs="Times New Roman"/>
                      <w:color w:val="auto"/>
                      <w:sz w:val="21"/>
                      <w:szCs w:val="21"/>
                    </w:rPr>
                  </w:pPr>
                  <w:r>
                    <w:rPr>
                      <w:rFonts w:hint="eastAsia" w:ascii="Times New Roman" w:cs="Times New Roman"/>
                      <w:sz w:val="21"/>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ascii="Times New Roman" w:cs="Times New Roman"/>
                      <w:sz w:val="21"/>
                      <w:szCs w:val="21"/>
                    </w:rPr>
                    <w:t>挥发酚（mg/L）</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1.0</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w:t>
                  </w:r>
                </w:p>
              </w:tc>
              <w:tc>
                <w:tcPr>
                  <w:tcW w:w="1275" w:type="pct"/>
                  <w:vAlign w:val="center"/>
                </w:tcPr>
                <w:p>
                  <w:pPr>
                    <w:pStyle w:val="23"/>
                    <w:jc w:val="center"/>
                    <w:rPr>
                      <w:rFonts w:ascii="Times New Roman" w:cs="Times New Roman"/>
                      <w:color w:val="auto"/>
                      <w:sz w:val="21"/>
                      <w:szCs w:val="21"/>
                    </w:rPr>
                  </w:pPr>
                  <w:r>
                    <w:rPr>
                      <w:rFonts w:ascii="Times New Roman"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ascii="Times New Roman" w:cs="Times New Roman"/>
                      <w:sz w:val="21"/>
                      <w:szCs w:val="21"/>
                    </w:rPr>
                    <w:t>总氰化物（mg/L）</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0.5</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w:t>
                  </w:r>
                </w:p>
              </w:tc>
              <w:tc>
                <w:tcPr>
                  <w:tcW w:w="1275" w:type="pct"/>
                  <w:vAlign w:val="center"/>
                </w:tcPr>
                <w:p>
                  <w:pPr>
                    <w:pStyle w:val="23"/>
                    <w:jc w:val="center"/>
                    <w:rPr>
                      <w:rFonts w:ascii="Times New Roman" w:cs="Times New Roman"/>
                      <w:color w:val="auto"/>
                      <w:sz w:val="21"/>
                      <w:szCs w:val="21"/>
                    </w:rPr>
                  </w:pPr>
                  <w:r>
                    <w:rPr>
                      <w:rFonts w:ascii="Times New Roman" w:cs="Times New Roman"/>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ascii="Times New Roman" w:cs="Times New Roman"/>
                      <w:sz w:val="21"/>
                      <w:szCs w:val="21"/>
                    </w:rPr>
                    <w:t>总汞（mg/L）</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0.05</w:t>
                  </w:r>
                </w:p>
              </w:tc>
              <w:tc>
                <w:tcPr>
                  <w:tcW w:w="1160" w:type="pct"/>
                  <w:vAlign w:val="center"/>
                </w:tcPr>
                <w:p>
                  <w:pPr>
                    <w:pStyle w:val="23"/>
                    <w:jc w:val="center"/>
                    <w:rPr>
                      <w:rFonts w:ascii="Times New Roman" w:cs="Times New Roman"/>
                      <w:sz w:val="21"/>
                      <w:szCs w:val="21"/>
                    </w:rPr>
                  </w:pPr>
                  <w:r>
                    <w:rPr>
                      <w:rFonts w:hint="eastAsia" w:ascii="Times New Roman" w:cs="Times New Roman"/>
                      <w:sz w:val="21"/>
                      <w:szCs w:val="21"/>
                    </w:rPr>
                    <w:t>0.005</w:t>
                  </w:r>
                </w:p>
              </w:tc>
              <w:tc>
                <w:tcPr>
                  <w:tcW w:w="1275" w:type="pct"/>
                  <w:vAlign w:val="center"/>
                </w:tcPr>
                <w:p>
                  <w:pPr>
                    <w:pStyle w:val="23"/>
                    <w:jc w:val="center"/>
                    <w:rPr>
                      <w:rFonts w:ascii="Times New Roman" w:cs="Times New Roman"/>
                      <w:color w:val="auto"/>
                      <w:sz w:val="21"/>
                      <w:szCs w:val="21"/>
                    </w:rPr>
                  </w:pPr>
                  <w:r>
                    <w:rPr>
                      <w:rFonts w:hint="eastAsia" w:ascii="Times New Roman" w:cs="Times New Roman"/>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ascii="Times New Roman" w:cs="Times New Roman"/>
                      <w:sz w:val="21"/>
                      <w:szCs w:val="21"/>
                    </w:rPr>
                    <w:t>总镉（mg/L）</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0.1</w:t>
                  </w:r>
                </w:p>
              </w:tc>
              <w:tc>
                <w:tcPr>
                  <w:tcW w:w="1160" w:type="pct"/>
                  <w:vAlign w:val="center"/>
                </w:tcPr>
                <w:p>
                  <w:pPr>
                    <w:pStyle w:val="23"/>
                    <w:jc w:val="center"/>
                    <w:rPr>
                      <w:rFonts w:ascii="Times New Roman" w:cs="Times New Roman"/>
                      <w:sz w:val="21"/>
                      <w:szCs w:val="21"/>
                    </w:rPr>
                  </w:pPr>
                  <w:r>
                    <w:rPr>
                      <w:rFonts w:hint="eastAsia" w:ascii="Times New Roman" w:cs="Times New Roman"/>
                      <w:sz w:val="21"/>
                      <w:szCs w:val="21"/>
                    </w:rPr>
                    <w:t>0.05</w:t>
                  </w:r>
                </w:p>
              </w:tc>
              <w:tc>
                <w:tcPr>
                  <w:tcW w:w="1275" w:type="pct"/>
                  <w:vAlign w:val="center"/>
                </w:tcPr>
                <w:p>
                  <w:pPr>
                    <w:pStyle w:val="23"/>
                    <w:jc w:val="center"/>
                    <w:rPr>
                      <w:rFonts w:ascii="Times New Roman" w:cs="Times New Roman"/>
                      <w:color w:val="auto"/>
                      <w:sz w:val="21"/>
                      <w:szCs w:val="21"/>
                    </w:rPr>
                  </w:pPr>
                  <w:r>
                    <w:rPr>
                      <w:rFonts w:ascii="Times New Roman" w:cs="Times New Roman"/>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ascii="Times New Roman" w:cs="Times New Roman"/>
                      <w:sz w:val="21"/>
                      <w:szCs w:val="21"/>
                    </w:rPr>
                    <w:t>总铬（mg/L）</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1.5</w:t>
                  </w:r>
                </w:p>
              </w:tc>
              <w:tc>
                <w:tcPr>
                  <w:tcW w:w="1160" w:type="pct"/>
                  <w:vAlign w:val="center"/>
                </w:tcPr>
                <w:p>
                  <w:pPr>
                    <w:pStyle w:val="23"/>
                    <w:jc w:val="center"/>
                    <w:rPr>
                      <w:rFonts w:ascii="Times New Roman" w:cs="Times New Roman"/>
                      <w:sz w:val="21"/>
                      <w:szCs w:val="21"/>
                    </w:rPr>
                  </w:pPr>
                  <w:r>
                    <w:rPr>
                      <w:rFonts w:hint="eastAsia" w:ascii="Times New Roman" w:cs="Times New Roman"/>
                      <w:sz w:val="21"/>
                      <w:szCs w:val="21"/>
                    </w:rPr>
                    <w:t>1.5</w:t>
                  </w:r>
                </w:p>
              </w:tc>
              <w:tc>
                <w:tcPr>
                  <w:tcW w:w="1275" w:type="pct"/>
                  <w:vAlign w:val="center"/>
                </w:tcPr>
                <w:p>
                  <w:pPr>
                    <w:pStyle w:val="23"/>
                    <w:jc w:val="center"/>
                    <w:rPr>
                      <w:rFonts w:ascii="Times New Roman" w:cs="Times New Roman"/>
                      <w:color w:val="auto"/>
                      <w:sz w:val="21"/>
                      <w:szCs w:val="21"/>
                    </w:rPr>
                  </w:pPr>
                  <w:r>
                    <w:rPr>
                      <w:rFonts w:ascii="Times New Roman"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ascii="Times New Roman" w:cs="Times New Roman"/>
                      <w:sz w:val="21"/>
                      <w:szCs w:val="21"/>
                    </w:rPr>
                    <w:t>六价铬（mg/L）</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0.5</w:t>
                  </w:r>
                </w:p>
              </w:tc>
              <w:tc>
                <w:tcPr>
                  <w:tcW w:w="1160" w:type="pct"/>
                  <w:vAlign w:val="center"/>
                </w:tcPr>
                <w:p>
                  <w:pPr>
                    <w:pStyle w:val="23"/>
                    <w:jc w:val="center"/>
                    <w:rPr>
                      <w:rFonts w:ascii="Times New Roman" w:cs="Times New Roman"/>
                      <w:sz w:val="21"/>
                      <w:szCs w:val="21"/>
                    </w:rPr>
                  </w:pPr>
                  <w:r>
                    <w:rPr>
                      <w:rFonts w:hint="eastAsia" w:ascii="Times New Roman" w:cs="Times New Roman"/>
                      <w:sz w:val="21"/>
                      <w:szCs w:val="21"/>
                    </w:rPr>
                    <w:t>0.5</w:t>
                  </w:r>
                </w:p>
              </w:tc>
              <w:tc>
                <w:tcPr>
                  <w:tcW w:w="1275" w:type="pct"/>
                  <w:vAlign w:val="center"/>
                </w:tcPr>
                <w:p>
                  <w:pPr>
                    <w:pStyle w:val="23"/>
                    <w:jc w:val="center"/>
                    <w:rPr>
                      <w:rFonts w:ascii="Times New Roman" w:cs="Times New Roman"/>
                      <w:color w:val="auto"/>
                      <w:sz w:val="21"/>
                      <w:szCs w:val="21"/>
                    </w:rPr>
                  </w:pPr>
                  <w:r>
                    <w:rPr>
                      <w:rFonts w:ascii="Times New Roman" w:cs="Times New Roman"/>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7"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ascii="Times New Roman" w:cs="Times New Roman"/>
                      <w:sz w:val="21"/>
                      <w:szCs w:val="21"/>
                    </w:rPr>
                    <w:t>总砷（mg/L）</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0.5</w:t>
                  </w:r>
                </w:p>
              </w:tc>
              <w:tc>
                <w:tcPr>
                  <w:tcW w:w="1160" w:type="pct"/>
                  <w:vAlign w:val="center"/>
                </w:tcPr>
                <w:p>
                  <w:pPr>
                    <w:pStyle w:val="23"/>
                    <w:jc w:val="center"/>
                    <w:rPr>
                      <w:rFonts w:ascii="Times New Roman" w:cs="Times New Roman"/>
                      <w:sz w:val="21"/>
                      <w:szCs w:val="21"/>
                    </w:rPr>
                  </w:pPr>
                  <w:r>
                    <w:rPr>
                      <w:rFonts w:hint="eastAsia" w:ascii="Times New Roman" w:cs="Times New Roman"/>
                      <w:sz w:val="21"/>
                      <w:szCs w:val="21"/>
                    </w:rPr>
                    <w:t>0.3</w:t>
                  </w:r>
                </w:p>
              </w:tc>
              <w:tc>
                <w:tcPr>
                  <w:tcW w:w="1275" w:type="pct"/>
                  <w:vAlign w:val="center"/>
                </w:tcPr>
                <w:p>
                  <w:pPr>
                    <w:pStyle w:val="23"/>
                    <w:jc w:val="center"/>
                    <w:rPr>
                      <w:rFonts w:ascii="Times New Roman" w:cs="Times New Roman"/>
                      <w:color w:val="auto"/>
                      <w:sz w:val="21"/>
                      <w:szCs w:val="21"/>
                    </w:rPr>
                  </w:pPr>
                  <w:r>
                    <w:rPr>
                      <w:rFonts w:ascii="Times New Roman" w:cs="Times New Roman"/>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ascii="Times New Roman" w:cs="Times New Roman"/>
                      <w:sz w:val="21"/>
                      <w:szCs w:val="21"/>
                    </w:rPr>
                    <w:t>总铅（mg/L）</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1.0</w:t>
                  </w:r>
                </w:p>
              </w:tc>
              <w:tc>
                <w:tcPr>
                  <w:tcW w:w="1160" w:type="pct"/>
                  <w:vAlign w:val="center"/>
                </w:tcPr>
                <w:p>
                  <w:pPr>
                    <w:pStyle w:val="23"/>
                    <w:jc w:val="center"/>
                    <w:rPr>
                      <w:rFonts w:ascii="Times New Roman" w:cs="Times New Roman"/>
                      <w:sz w:val="21"/>
                      <w:szCs w:val="21"/>
                    </w:rPr>
                  </w:pPr>
                  <w:r>
                    <w:rPr>
                      <w:rFonts w:hint="eastAsia" w:ascii="Times New Roman" w:cs="Times New Roman"/>
                      <w:sz w:val="21"/>
                      <w:szCs w:val="21"/>
                    </w:rPr>
                    <w:t>0.5</w:t>
                  </w:r>
                </w:p>
              </w:tc>
              <w:tc>
                <w:tcPr>
                  <w:tcW w:w="1275" w:type="pct"/>
                  <w:vAlign w:val="center"/>
                </w:tcPr>
                <w:p>
                  <w:pPr>
                    <w:pStyle w:val="23"/>
                    <w:jc w:val="center"/>
                    <w:rPr>
                      <w:rFonts w:ascii="Times New Roman" w:cs="Times New Roman"/>
                      <w:color w:val="auto"/>
                      <w:sz w:val="21"/>
                      <w:szCs w:val="21"/>
                    </w:rPr>
                  </w:pPr>
                  <w:r>
                    <w:rPr>
                      <w:rFonts w:ascii="Times New Roman"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ascii="Times New Roman" w:cs="Times New Roman"/>
                      <w:sz w:val="21"/>
                      <w:szCs w:val="21"/>
                    </w:rPr>
                    <w:t>总银（mg/L）</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0.5</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w:t>
                  </w:r>
                </w:p>
              </w:tc>
              <w:tc>
                <w:tcPr>
                  <w:tcW w:w="1275" w:type="pct"/>
                  <w:vAlign w:val="center"/>
                </w:tcPr>
                <w:p>
                  <w:pPr>
                    <w:pStyle w:val="23"/>
                    <w:jc w:val="center"/>
                    <w:rPr>
                      <w:rFonts w:ascii="Times New Roman" w:cs="Times New Roman"/>
                      <w:color w:val="auto"/>
                      <w:sz w:val="21"/>
                      <w:szCs w:val="21"/>
                    </w:rPr>
                  </w:pPr>
                  <w:r>
                    <w:rPr>
                      <w:rFonts w:ascii="Times New Roman" w:cs="Times New Roman"/>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ascii="Times New Roman" w:cs="Times New Roman"/>
                      <w:sz w:val="21"/>
                      <w:szCs w:val="21"/>
                    </w:rPr>
                    <w:t>总α（Bq/L）</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1</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w:t>
                  </w:r>
                </w:p>
              </w:tc>
              <w:tc>
                <w:tcPr>
                  <w:tcW w:w="1275" w:type="pct"/>
                  <w:vAlign w:val="center"/>
                </w:tcPr>
                <w:p>
                  <w:pPr>
                    <w:pStyle w:val="23"/>
                    <w:jc w:val="center"/>
                    <w:rPr>
                      <w:rFonts w:ascii="Times New Roman" w:cs="Times New Roman"/>
                      <w:color w:val="auto"/>
                      <w:sz w:val="21"/>
                      <w:szCs w:val="21"/>
                    </w:rPr>
                  </w:pPr>
                  <w:r>
                    <w:rPr>
                      <w:rFonts w:ascii="Times New Roman"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ascii="Times New Roman" w:cs="Times New Roman"/>
                      <w:sz w:val="21"/>
                      <w:szCs w:val="21"/>
                    </w:rPr>
                    <w:t>总β（Bq/L）</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10</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w:t>
                  </w:r>
                </w:p>
              </w:tc>
              <w:tc>
                <w:tcPr>
                  <w:tcW w:w="1275" w:type="pct"/>
                  <w:vAlign w:val="center"/>
                </w:tcPr>
                <w:p>
                  <w:pPr>
                    <w:pStyle w:val="23"/>
                    <w:jc w:val="center"/>
                    <w:rPr>
                      <w:rFonts w:ascii="Times New Roman" w:cs="Times New Roman"/>
                      <w:color w:val="auto"/>
                      <w:sz w:val="21"/>
                      <w:szCs w:val="21"/>
                    </w:rPr>
                  </w:pPr>
                  <w:r>
                    <w:rPr>
                      <w:rFonts w:ascii="Times New Roman"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309" w:type="pct"/>
                  <w:vMerge w:val="continue"/>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ascii="Times New Roman" w:cs="Times New Roman"/>
                      <w:sz w:val="21"/>
                      <w:szCs w:val="21"/>
                    </w:rPr>
                    <w:t>总余氯（mg/L）</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8（二氧化氯消毒）</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w:t>
                  </w:r>
                </w:p>
              </w:tc>
              <w:tc>
                <w:tcPr>
                  <w:tcW w:w="1275" w:type="pct"/>
                  <w:vAlign w:val="center"/>
                </w:tcPr>
                <w:p>
                  <w:pPr>
                    <w:pStyle w:val="23"/>
                    <w:jc w:val="center"/>
                    <w:rPr>
                      <w:rFonts w:ascii="Times New Roman" w:cs="Times New Roman"/>
                      <w:color w:val="auto"/>
                      <w:sz w:val="21"/>
                      <w:szCs w:val="21"/>
                    </w:rPr>
                  </w:pPr>
                  <w:r>
                    <w:rPr>
                      <w:rFonts w:ascii="Times New Roman" w:cs="Times New Roman"/>
                      <w:sz w:val="21"/>
                      <w:szCs w:val="21"/>
                    </w:rPr>
                    <w:t>8（二氧化氯消毒）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hint="eastAsia" w:ascii="Times New Roman" w:cs="Times New Roman"/>
                      <w:sz w:val="21"/>
                      <w:szCs w:val="21"/>
                    </w:rPr>
                    <w:t>电导率（us/cm）</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w:t>
                  </w:r>
                </w:p>
              </w:tc>
              <w:tc>
                <w:tcPr>
                  <w:tcW w:w="1160" w:type="pct"/>
                  <w:vAlign w:val="center"/>
                </w:tcPr>
                <w:p>
                  <w:pPr>
                    <w:pStyle w:val="23"/>
                    <w:jc w:val="center"/>
                    <w:rPr>
                      <w:rFonts w:ascii="Times New Roman" w:cs="Times New Roman"/>
                      <w:sz w:val="21"/>
                      <w:szCs w:val="21"/>
                    </w:rPr>
                  </w:pPr>
                  <w:r>
                    <w:rPr>
                      <w:rFonts w:hint="eastAsia" w:ascii="Times New Roman" w:cs="Times New Roman"/>
                      <w:sz w:val="21"/>
                      <w:szCs w:val="21"/>
                    </w:rPr>
                    <w:t>1300</w:t>
                  </w:r>
                </w:p>
              </w:tc>
              <w:tc>
                <w:tcPr>
                  <w:tcW w:w="1275" w:type="pct"/>
                  <w:vAlign w:val="center"/>
                </w:tcPr>
                <w:p>
                  <w:pPr>
                    <w:pStyle w:val="23"/>
                    <w:jc w:val="center"/>
                    <w:rPr>
                      <w:rFonts w:ascii="Times New Roman" w:cs="Times New Roman"/>
                      <w:sz w:val="21"/>
                      <w:szCs w:val="21"/>
                    </w:rPr>
                  </w:pPr>
                  <w:r>
                    <w:rPr>
                      <w:rFonts w:hint="eastAsia" w:ascii="Times New Roman" w:cs="Times New Roman"/>
                      <w:sz w:val="21"/>
                      <w:szCs w:val="21"/>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309" w:type="pct"/>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hint="eastAsia" w:ascii="Times New Roman" w:cs="Times New Roman"/>
                      <w:sz w:val="21"/>
                      <w:szCs w:val="21"/>
                    </w:rPr>
                    <w:t>硬度</w:t>
                  </w:r>
                  <w:r>
                    <w:rPr>
                      <w:rFonts w:ascii="Times New Roman" w:cs="Times New Roman"/>
                      <w:sz w:val="21"/>
                      <w:szCs w:val="21"/>
                    </w:rPr>
                    <w:t>（mg/L）</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w:t>
                  </w:r>
                </w:p>
              </w:tc>
              <w:tc>
                <w:tcPr>
                  <w:tcW w:w="1160" w:type="pct"/>
                  <w:vAlign w:val="center"/>
                </w:tcPr>
                <w:p>
                  <w:pPr>
                    <w:pStyle w:val="23"/>
                    <w:jc w:val="center"/>
                    <w:rPr>
                      <w:rFonts w:ascii="Times New Roman" w:cs="Times New Roman"/>
                      <w:sz w:val="21"/>
                      <w:szCs w:val="21"/>
                    </w:rPr>
                  </w:pPr>
                  <w:r>
                    <w:rPr>
                      <w:rFonts w:hint="eastAsia" w:ascii="Times New Roman" w:cs="Times New Roman"/>
                      <w:sz w:val="21"/>
                      <w:szCs w:val="21"/>
                    </w:rPr>
                    <w:t>500</w:t>
                  </w:r>
                </w:p>
              </w:tc>
              <w:tc>
                <w:tcPr>
                  <w:tcW w:w="1275" w:type="pct"/>
                  <w:vAlign w:val="center"/>
                </w:tcPr>
                <w:p>
                  <w:pPr>
                    <w:pStyle w:val="23"/>
                    <w:jc w:val="center"/>
                    <w:rPr>
                      <w:rFonts w:ascii="Times New Roman" w:cs="Times New Roman"/>
                      <w:sz w:val="21"/>
                      <w:szCs w:val="21"/>
                    </w:rPr>
                  </w:pPr>
                  <w:r>
                    <w:rPr>
                      <w:rFonts w:hint="eastAsia" w:ascii="Times New Roman" w:cs="Times New Roman"/>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09" w:type="pct"/>
                  <w:vAlign w:val="center"/>
                </w:tcPr>
                <w:p>
                  <w:pPr>
                    <w:jc w:val="center"/>
                    <w:rPr>
                      <w:sz w:val="21"/>
                      <w:szCs w:val="21"/>
                    </w:rPr>
                  </w:pPr>
                </w:p>
              </w:tc>
              <w:tc>
                <w:tcPr>
                  <w:tcW w:w="1095" w:type="pct"/>
                  <w:vAlign w:val="center"/>
                </w:tcPr>
                <w:p>
                  <w:pPr>
                    <w:pStyle w:val="23"/>
                    <w:jc w:val="center"/>
                    <w:rPr>
                      <w:rFonts w:ascii="Times New Roman" w:cs="Times New Roman"/>
                      <w:sz w:val="21"/>
                      <w:szCs w:val="21"/>
                    </w:rPr>
                  </w:pPr>
                  <w:r>
                    <w:rPr>
                      <w:rFonts w:hint="eastAsia" w:ascii="Times New Roman" w:cs="Times New Roman"/>
                      <w:sz w:val="21"/>
                      <w:szCs w:val="21"/>
                    </w:rPr>
                    <w:t>硫化物</w:t>
                  </w:r>
                  <w:r>
                    <w:rPr>
                      <w:rFonts w:ascii="Times New Roman" w:cs="Times New Roman"/>
                      <w:sz w:val="21"/>
                      <w:szCs w:val="21"/>
                    </w:rPr>
                    <w:t>（mg/L）</w:t>
                  </w:r>
                </w:p>
              </w:tc>
              <w:tc>
                <w:tcPr>
                  <w:tcW w:w="1160" w:type="pct"/>
                  <w:vAlign w:val="center"/>
                </w:tcPr>
                <w:p>
                  <w:pPr>
                    <w:pStyle w:val="23"/>
                    <w:jc w:val="center"/>
                    <w:rPr>
                      <w:rFonts w:ascii="Times New Roman" w:cs="Times New Roman"/>
                      <w:sz w:val="21"/>
                      <w:szCs w:val="21"/>
                    </w:rPr>
                  </w:pPr>
                  <w:r>
                    <w:rPr>
                      <w:rFonts w:ascii="Times New Roman" w:cs="Times New Roman"/>
                      <w:sz w:val="21"/>
                      <w:szCs w:val="21"/>
                    </w:rPr>
                    <w:t>——</w:t>
                  </w:r>
                </w:p>
              </w:tc>
              <w:tc>
                <w:tcPr>
                  <w:tcW w:w="1160" w:type="pct"/>
                  <w:vAlign w:val="center"/>
                </w:tcPr>
                <w:p>
                  <w:pPr>
                    <w:pStyle w:val="23"/>
                    <w:jc w:val="center"/>
                    <w:rPr>
                      <w:rFonts w:ascii="Times New Roman" w:cs="Times New Roman"/>
                      <w:sz w:val="21"/>
                      <w:szCs w:val="21"/>
                    </w:rPr>
                  </w:pPr>
                  <w:r>
                    <w:rPr>
                      <w:rFonts w:hint="eastAsia" w:ascii="Times New Roman" w:cs="Times New Roman"/>
                      <w:sz w:val="21"/>
                      <w:szCs w:val="21"/>
                    </w:rPr>
                    <w:t>1</w:t>
                  </w:r>
                </w:p>
              </w:tc>
              <w:tc>
                <w:tcPr>
                  <w:tcW w:w="1275" w:type="pct"/>
                  <w:vAlign w:val="center"/>
                </w:tcPr>
                <w:p>
                  <w:pPr>
                    <w:pStyle w:val="23"/>
                    <w:jc w:val="center"/>
                    <w:rPr>
                      <w:rFonts w:ascii="Times New Roman" w:cs="Times New Roman"/>
                      <w:sz w:val="21"/>
                      <w:szCs w:val="21"/>
                    </w:rPr>
                  </w:pPr>
                  <w:r>
                    <w:rPr>
                      <w:rFonts w:hint="eastAsia" w:ascii="Times New Roman" w:cs="Times New Roman"/>
                      <w:sz w:val="21"/>
                      <w:szCs w:val="21"/>
                    </w:rPr>
                    <w:t>1</w:t>
                  </w:r>
                </w:p>
              </w:tc>
            </w:tr>
          </w:tbl>
          <w:p>
            <w:pPr>
              <w:adjustRightInd w:val="0"/>
              <w:snapToGrid w:val="0"/>
              <w:spacing w:before="156" w:beforeLines="50" w:line="360" w:lineRule="auto"/>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sz w:val="21"/>
                <w:szCs w:val="21"/>
              </w:rPr>
              <w:t>表3-7运营期噪声污染物排放标准</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317"/>
              <w:gridCol w:w="1494"/>
              <w:gridCol w:w="1801"/>
              <w:gridCol w:w="2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2" w:type="pct"/>
                  <w:vAlign w:val="center"/>
                </w:tcPr>
                <w:p>
                  <w:pPr>
                    <w:snapToGrid w:val="0"/>
                    <w:jc w:val="center"/>
                    <w:rPr>
                      <w:b/>
                      <w:bCs/>
                      <w:sz w:val="21"/>
                      <w:szCs w:val="21"/>
                    </w:rPr>
                  </w:pPr>
                  <w:r>
                    <w:rPr>
                      <w:b/>
                      <w:bCs/>
                      <w:sz w:val="21"/>
                      <w:szCs w:val="21"/>
                    </w:rPr>
                    <w:t>项目</w:t>
                  </w:r>
                </w:p>
              </w:tc>
              <w:tc>
                <w:tcPr>
                  <w:tcW w:w="1765" w:type="pct"/>
                  <w:gridSpan w:val="2"/>
                  <w:vAlign w:val="center"/>
                </w:tcPr>
                <w:p>
                  <w:pPr>
                    <w:snapToGrid w:val="0"/>
                    <w:jc w:val="center"/>
                    <w:rPr>
                      <w:b/>
                      <w:bCs/>
                      <w:sz w:val="21"/>
                      <w:szCs w:val="21"/>
                    </w:rPr>
                  </w:pPr>
                  <w:r>
                    <w:rPr>
                      <w:b/>
                      <w:bCs/>
                      <w:sz w:val="21"/>
                      <w:szCs w:val="21"/>
                    </w:rPr>
                    <w:t>污染物</w:t>
                  </w:r>
                </w:p>
              </w:tc>
              <w:tc>
                <w:tcPr>
                  <w:tcW w:w="1131" w:type="pct"/>
                  <w:vAlign w:val="center"/>
                </w:tcPr>
                <w:p>
                  <w:pPr>
                    <w:snapToGrid w:val="0"/>
                    <w:jc w:val="center"/>
                    <w:rPr>
                      <w:b/>
                      <w:bCs/>
                      <w:sz w:val="21"/>
                      <w:szCs w:val="21"/>
                    </w:rPr>
                  </w:pPr>
                  <w:r>
                    <w:rPr>
                      <w:b/>
                      <w:bCs/>
                      <w:sz w:val="21"/>
                      <w:szCs w:val="21"/>
                    </w:rPr>
                    <w:t>标准值</w:t>
                  </w:r>
                </w:p>
              </w:tc>
              <w:tc>
                <w:tcPr>
                  <w:tcW w:w="1681" w:type="pct"/>
                  <w:vAlign w:val="center"/>
                </w:tcPr>
                <w:p>
                  <w:pPr>
                    <w:snapToGrid w:val="0"/>
                    <w:jc w:val="center"/>
                    <w:rPr>
                      <w:b/>
                      <w:bCs/>
                      <w:sz w:val="21"/>
                      <w:szCs w:val="21"/>
                    </w:rPr>
                  </w:pPr>
                  <w:r>
                    <w:rPr>
                      <w:b/>
                      <w:bCs/>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2" w:type="pct"/>
                  <w:vMerge w:val="restart"/>
                  <w:vAlign w:val="center"/>
                </w:tcPr>
                <w:p>
                  <w:pPr>
                    <w:snapToGrid w:val="0"/>
                    <w:jc w:val="center"/>
                    <w:rPr>
                      <w:sz w:val="21"/>
                      <w:szCs w:val="21"/>
                    </w:rPr>
                  </w:pPr>
                  <w:r>
                    <w:rPr>
                      <w:sz w:val="21"/>
                      <w:szCs w:val="21"/>
                    </w:rPr>
                    <w:t>声环境</w:t>
                  </w:r>
                </w:p>
              </w:tc>
              <w:tc>
                <w:tcPr>
                  <w:tcW w:w="827" w:type="pct"/>
                  <w:vMerge w:val="restart"/>
                  <w:vAlign w:val="center"/>
                </w:tcPr>
                <w:p>
                  <w:pPr>
                    <w:snapToGrid w:val="0"/>
                    <w:jc w:val="center"/>
                    <w:rPr>
                      <w:sz w:val="21"/>
                      <w:szCs w:val="21"/>
                    </w:rPr>
                  </w:pPr>
                  <w:r>
                    <w:rPr>
                      <w:sz w:val="21"/>
                      <w:szCs w:val="21"/>
                    </w:rPr>
                    <w:t>等效连续A声级</w:t>
                  </w:r>
                </w:p>
              </w:tc>
              <w:tc>
                <w:tcPr>
                  <w:tcW w:w="938" w:type="pct"/>
                  <w:vAlign w:val="center"/>
                </w:tcPr>
                <w:p>
                  <w:pPr>
                    <w:snapToGrid w:val="0"/>
                    <w:jc w:val="center"/>
                    <w:rPr>
                      <w:sz w:val="21"/>
                      <w:szCs w:val="21"/>
                    </w:rPr>
                  </w:pPr>
                  <w:r>
                    <w:rPr>
                      <w:sz w:val="21"/>
                      <w:szCs w:val="21"/>
                    </w:rPr>
                    <w:t>南、西、</w:t>
                  </w:r>
                  <w:r>
                    <w:rPr>
                      <w:rFonts w:hint="eastAsia"/>
                      <w:sz w:val="21"/>
                      <w:szCs w:val="21"/>
                    </w:rPr>
                    <w:t>东</w:t>
                  </w:r>
                  <w:r>
                    <w:rPr>
                      <w:sz w:val="21"/>
                      <w:szCs w:val="21"/>
                    </w:rPr>
                    <w:t>院界</w:t>
                  </w:r>
                </w:p>
              </w:tc>
              <w:tc>
                <w:tcPr>
                  <w:tcW w:w="1131" w:type="pct"/>
                  <w:vAlign w:val="center"/>
                </w:tcPr>
                <w:p>
                  <w:pPr>
                    <w:snapToGrid w:val="0"/>
                    <w:jc w:val="center"/>
                    <w:rPr>
                      <w:sz w:val="21"/>
                      <w:szCs w:val="21"/>
                    </w:rPr>
                  </w:pPr>
                  <w:r>
                    <w:rPr>
                      <w:sz w:val="21"/>
                      <w:szCs w:val="21"/>
                    </w:rPr>
                    <w:t>昼间≤60dB（A）</w:t>
                  </w:r>
                </w:p>
                <w:p>
                  <w:pPr>
                    <w:snapToGrid w:val="0"/>
                    <w:jc w:val="center"/>
                    <w:rPr>
                      <w:sz w:val="21"/>
                      <w:szCs w:val="21"/>
                    </w:rPr>
                  </w:pPr>
                  <w:r>
                    <w:rPr>
                      <w:sz w:val="21"/>
                      <w:szCs w:val="21"/>
                    </w:rPr>
                    <w:t>夜间≤50dB（A）</w:t>
                  </w:r>
                </w:p>
              </w:tc>
              <w:tc>
                <w:tcPr>
                  <w:tcW w:w="1681" w:type="pct"/>
                  <w:vAlign w:val="center"/>
                </w:tcPr>
                <w:p>
                  <w:pPr>
                    <w:wordWrap w:val="0"/>
                    <w:snapToGrid w:val="0"/>
                    <w:jc w:val="center"/>
                    <w:rPr>
                      <w:sz w:val="21"/>
                      <w:szCs w:val="21"/>
                    </w:rPr>
                  </w:pPr>
                  <w:r>
                    <w:rPr>
                      <w:sz w:val="21"/>
                      <w:szCs w:val="21"/>
                    </w:rPr>
                    <w:t>《工业企业</w:t>
                  </w:r>
                  <w:r>
                    <w:rPr>
                      <w:rFonts w:hint="eastAsia"/>
                      <w:sz w:val="21"/>
                      <w:szCs w:val="21"/>
                    </w:rPr>
                    <w:t>厂界</w:t>
                  </w:r>
                  <w:r>
                    <w:rPr>
                      <w:sz w:val="21"/>
                      <w:szCs w:val="21"/>
                    </w:rPr>
                    <w:t>环境噪声排放标准》（GB12348-2008）中2类标准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2" w:type="pct"/>
                  <w:vMerge w:val="continue"/>
                  <w:vAlign w:val="center"/>
                </w:tcPr>
                <w:p>
                  <w:pPr>
                    <w:snapToGrid w:val="0"/>
                    <w:jc w:val="center"/>
                    <w:rPr>
                      <w:sz w:val="21"/>
                      <w:szCs w:val="21"/>
                    </w:rPr>
                  </w:pPr>
                </w:p>
              </w:tc>
              <w:tc>
                <w:tcPr>
                  <w:tcW w:w="827" w:type="pct"/>
                  <w:vMerge w:val="continue"/>
                  <w:vAlign w:val="center"/>
                </w:tcPr>
                <w:p>
                  <w:pPr>
                    <w:snapToGrid w:val="0"/>
                    <w:jc w:val="center"/>
                    <w:rPr>
                      <w:sz w:val="21"/>
                      <w:szCs w:val="21"/>
                    </w:rPr>
                  </w:pPr>
                </w:p>
              </w:tc>
              <w:tc>
                <w:tcPr>
                  <w:tcW w:w="938" w:type="pct"/>
                  <w:vAlign w:val="center"/>
                </w:tcPr>
                <w:p>
                  <w:pPr>
                    <w:snapToGrid w:val="0"/>
                    <w:jc w:val="center"/>
                    <w:rPr>
                      <w:sz w:val="21"/>
                      <w:szCs w:val="21"/>
                    </w:rPr>
                  </w:pPr>
                  <w:r>
                    <w:rPr>
                      <w:rFonts w:hint="eastAsia"/>
                      <w:sz w:val="21"/>
                      <w:szCs w:val="21"/>
                    </w:rPr>
                    <w:t>北</w:t>
                  </w:r>
                  <w:r>
                    <w:rPr>
                      <w:sz w:val="21"/>
                      <w:szCs w:val="21"/>
                    </w:rPr>
                    <w:t>院界</w:t>
                  </w:r>
                </w:p>
              </w:tc>
              <w:tc>
                <w:tcPr>
                  <w:tcW w:w="1131" w:type="pct"/>
                  <w:vAlign w:val="center"/>
                </w:tcPr>
                <w:p>
                  <w:pPr>
                    <w:snapToGrid w:val="0"/>
                    <w:jc w:val="center"/>
                    <w:rPr>
                      <w:sz w:val="21"/>
                      <w:szCs w:val="21"/>
                    </w:rPr>
                  </w:pPr>
                  <w:r>
                    <w:rPr>
                      <w:sz w:val="21"/>
                      <w:szCs w:val="21"/>
                    </w:rPr>
                    <w:t>昼间≤70dB（A）</w:t>
                  </w:r>
                </w:p>
                <w:p>
                  <w:pPr>
                    <w:snapToGrid w:val="0"/>
                    <w:jc w:val="center"/>
                    <w:rPr>
                      <w:sz w:val="21"/>
                      <w:szCs w:val="21"/>
                    </w:rPr>
                  </w:pPr>
                  <w:r>
                    <w:rPr>
                      <w:sz w:val="21"/>
                      <w:szCs w:val="21"/>
                    </w:rPr>
                    <w:t>夜间≤55dB（A）</w:t>
                  </w:r>
                </w:p>
              </w:tc>
              <w:tc>
                <w:tcPr>
                  <w:tcW w:w="1681" w:type="pct"/>
                  <w:vAlign w:val="center"/>
                </w:tcPr>
                <w:p>
                  <w:pPr>
                    <w:wordWrap w:val="0"/>
                    <w:snapToGrid w:val="0"/>
                    <w:jc w:val="center"/>
                    <w:rPr>
                      <w:sz w:val="21"/>
                      <w:szCs w:val="21"/>
                    </w:rPr>
                  </w:pPr>
                  <w:r>
                    <w:rPr>
                      <w:sz w:val="21"/>
                      <w:szCs w:val="21"/>
                    </w:rPr>
                    <w:t>《工业企业</w:t>
                  </w:r>
                  <w:r>
                    <w:rPr>
                      <w:rFonts w:hint="eastAsia"/>
                      <w:sz w:val="21"/>
                      <w:szCs w:val="21"/>
                    </w:rPr>
                    <w:t>厂界</w:t>
                  </w:r>
                  <w:r>
                    <w:rPr>
                      <w:sz w:val="21"/>
                      <w:szCs w:val="21"/>
                    </w:rPr>
                    <w:t>环境噪声排放标准》（GB12348-2008）中4a类标准</w:t>
                  </w:r>
                </w:p>
              </w:tc>
            </w:tr>
          </w:tbl>
          <w:p>
            <w:pPr>
              <w:adjustRightInd w:val="0"/>
              <w:snapToGrid w:val="0"/>
              <w:spacing w:before="156" w:beforeLines="50" w:line="360" w:lineRule="auto"/>
              <w:jc w:val="center"/>
              <w:rPr>
                <w:rFonts w:hint="default" w:ascii="Times New Roman" w:hAnsi="Times New Roman" w:eastAsia="宋体" w:cs="Times New Roman"/>
                <w:b/>
                <w:bCs/>
                <w:sz w:val="21"/>
                <w:szCs w:val="21"/>
              </w:rPr>
            </w:pPr>
          </w:p>
          <w:p>
            <w:pPr>
              <w:adjustRightInd w:val="0"/>
              <w:snapToGrid w:val="0"/>
              <w:spacing w:before="156" w:beforeLines="50" w:line="360" w:lineRule="auto"/>
              <w:jc w:val="center"/>
              <w:rPr>
                <w:rFonts w:hint="default" w:ascii="Times New Roman" w:hAnsi="Times New Roman" w:eastAsia="宋体" w:cs="Times New Roman"/>
                <w:b/>
                <w:bCs/>
                <w:sz w:val="21"/>
                <w:szCs w:val="21"/>
              </w:rPr>
            </w:pPr>
          </w:p>
          <w:p>
            <w:pPr>
              <w:adjustRightInd w:val="0"/>
              <w:snapToGrid w:val="0"/>
              <w:spacing w:before="156" w:beforeLines="50" w:line="360" w:lineRule="auto"/>
              <w:jc w:val="center"/>
              <w:rPr>
                <w:rFonts w:hint="default" w:ascii="Times New Roman" w:hAnsi="Times New Roman" w:eastAsia="宋体" w:cs="Times New Roman"/>
                <w:b/>
                <w:bCs/>
                <w:sz w:val="21"/>
                <w:szCs w:val="21"/>
              </w:rPr>
            </w:pPr>
          </w:p>
          <w:p>
            <w:pPr>
              <w:adjustRightInd w:val="0"/>
              <w:snapToGrid w:val="0"/>
              <w:spacing w:before="156" w:beforeLines="50" w:line="360" w:lineRule="auto"/>
              <w:jc w:val="center"/>
              <w:rPr>
                <w:rFonts w:hint="default" w:ascii="Times New Roman" w:hAnsi="Times New Roman" w:eastAsia="宋体" w:cs="Times New Roman"/>
                <w:b/>
                <w:bCs/>
                <w:sz w:val="21"/>
                <w:szCs w:val="21"/>
              </w:rPr>
            </w:pPr>
          </w:p>
          <w:p>
            <w:pPr>
              <w:adjustRightInd w:val="0"/>
              <w:snapToGrid w:val="0"/>
              <w:spacing w:before="156" w:beforeLines="50" w:line="360" w:lineRule="auto"/>
              <w:jc w:val="center"/>
              <w:rPr>
                <w:rFonts w:hint="default" w:ascii="Times New Roman" w:hAnsi="Times New Roman" w:eastAsia="宋体" w:cs="Times New Roman"/>
                <w:b/>
                <w:bCs/>
                <w:sz w:val="21"/>
                <w:szCs w:val="21"/>
              </w:rPr>
            </w:pPr>
          </w:p>
          <w:p>
            <w:pPr>
              <w:adjustRightInd w:val="0"/>
              <w:snapToGrid w:val="0"/>
              <w:spacing w:before="156" w:beforeLines="50" w:line="360" w:lineRule="auto"/>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sz w:val="21"/>
                <w:szCs w:val="21"/>
              </w:rPr>
              <w:t>表3-8 运营期固体废物排放标准</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937"/>
              <w:gridCol w:w="1678"/>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47" w:type="pct"/>
                  <w:vAlign w:val="center"/>
                </w:tcPr>
                <w:p>
                  <w:pPr>
                    <w:snapToGrid w:val="0"/>
                    <w:jc w:val="center"/>
                    <w:rPr>
                      <w:b/>
                      <w:bCs/>
                      <w:sz w:val="21"/>
                      <w:szCs w:val="21"/>
                    </w:rPr>
                  </w:pPr>
                  <w:r>
                    <w:rPr>
                      <w:b/>
                      <w:bCs/>
                      <w:sz w:val="21"/>
                      <w:szCs w:val="21"/>
                    </w:rPr>
                    <w:t>项目</w:t>
                  </w:r>
                </w:p>
              </w:tc>
              <w:tc>
                <w:tcPr>
                  <w:tcW w:w="1216" w:type="pct"/>
                  <w:vAlign w:val="center"/>
                </w:tcPr>
                <w:p>
                  <w:pPr>
                    <w:snapToGrid w:val="0"/>
                    <w:jc w:val="center"/>
                    <w:rPr>
                      <w:b/>
                      <w:bCs/>
                      <w:sz w:val="21"/>
                      <w:szCs w:val="21"/>
                    </w:rPr>
                  </w:pPr>
                  <w:r>
                    <w:rPr>
                      <w:b/>
                      <w:bCs/>
                      <w:sz w:val="21"/>
                      <w:szCs w:val="21"/>
                    </w:rPr>
                    <w:t>污染物</w:t>
                  </w:r>
                </w:p>
              </w:tc>
              <w:tc>
                <w:tcPr>
                  <w:tcW w:w="3236" w:type="pct"/>
                  <w:gridSpan w:val="2"/>
                  <w:vAlign w:val="center"/>
                </w:tcPr>
                <w:p>
                  <w:pPr>
                    <w:snapToGrid w:val="0"/>
                    <w:jc w:val="center"/>
                    <w:rPr>
                      <w:b/>
                      <w:bCs/>
                      <w:sz w:val="21"/>
                      <w:szCs w:val="21"/>
                    </w:rPr>
                  </w:pPr>
                  <w:r>
                    <w:rPr>
                      <w:b/>
                      <w:bCs/>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47" w:type="pct"/>
                  <w:vAlign w:val="center"/>
                </w:tcPr>
                <w:p>
                  <w:pPr>
                    <w:snapToGrid w:val="0"/>
                    <w:jc w:val="center"/>
                    <w:rPr>
                      <w:sz w:val="21"/>
                      <w:szCs w:val="21"/>
                    </w:rPr>
                  </w:pPr>
                  <w:r>
                    <w:rPr>
                      <w:sz w:val="21"/>
                      <w:szCs w:val="21"/>
                    </w:rPr>
                    <w:t>一般固体废物</w:t>
                  </w:r>
                </w:p>
              </w:tc>
              <w:tc>
                <w:tcPr>
                  <w:tcW w:w="1216" w:type="pct"/>
                  <w:vAlign w:val="center"/>
                </w:tcPr>
                <w:p>
                  <w:pPr>
                    <w:snapToGrid w:val="0"/>
                    <w:jc w:val="center"/>
                    <w:rPr>
                      <w:sz w:val="21"/>
                      <w:szCs w:val="21"/>
                    </w:rPr>
                  </w:pPr>
                  <w:r>
                    <w:rPr>
                      <w:sz w:val="21"/>
                      <w:szCs w:val="21"/>
                    </w:rPr>
                    <w:t>生活垃圾</w:t>
                  </w:r>
                </w:p>
              </w:tc>
              <w:tc>
                <w:tcPr>
                  <w:tcW w:w="3236" w:type="pct"/>
                  <w:gridSpan w:val="2"/>
                  <w:vAlign w:val="center"/>
                </w:tcPr>
                <w:p>
                  <w:pPr>
                    <w:snapToGrid w:val="0"/>
                    <w:jc w:val="center"/>
                    <w:rPr>
                      <w:sz w:val="21"/>
                      <w:szCs w:val="21"/>
                    </w:rPr>
                  </w:pPr>
                  <w:r>
                    <w:rPr>
                      <w:rFonts w:hint="default" w:ascii="Times New Roman" w:hAnsi="Times New Roman" w:eastAsia="宋体" w:cs="Times New Roman"/>
                      <w:sz w:val="21"/>
                      <w:szCs w:val="21"/>
                      <w:lang w:val="en-US" w:eastAsia="zh-CN"/>
                    </w:rPr>
                    <w:t>集中收集交由环卫部门清运处理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47" w:type="pct"/>
                  <w:vMerge w:val="restart"/>
                  <w:vAlign w:val="center"/>
                </w:tcPr>
                <w:p>
                  <w:pPr>
                    <w:snapToGrid w:val="0"/>
                    <w:jc w:val="center"/>
                    <w:rPr>
                      <w:sz w:val="21"/>
                      <w:szCs w:val="21"/>
                    </w:rPr>
                  </w:pPr>
                  <w:r>
                    <w:rPr>
                      <w:sz w:val="21"/>
                      <w:szCs w:val="21"/>
                    </w:rPr>
                    <w:t>危险废物</w:t>
                  </w:r>
                </w:p>
              </w:tc>
              <w:tc>
                <w:tcPr>
                  <w:tcW w:w="1216" w:type="pct"/>
                  <w:vAlign w:val="center"/>
                </w:tcPr>
                <w:p>
                  <w:pPr>
                    <w:snapToGrid w:val="0"/>
                    <w:jc w:val="center"/>
                    <w:rPr>
                      <w:sz w:val="21"/>
                      <w:szCs w:val="21"/>
                    </w:rPr>
                  </w:pPr>
                  <w:r>
                    <w:rPr>
                      <w:sz w:val="21"/>
                      <w:szCs w:val="21"/>
                    </w:rPr>
                    <w:t>医疗废物</w:t>
                  </w:r>
                </w:p>
              </w:tc>
              <w:tc>
                <w:tcPr>
                  <w:tcW w:w="3236" w:type="pct"/>
                  <w:gridSpan w:val="2"/>
                  <w:vAlign w:val="center"/>
                </w:tcPr>
                <w:p>
                  <w:pPr>
                    <w:snapToGrid w:val="0"/>
                    <w:jc w:val="center"/>
                    <w:rPr>
                      <w:sz w:val="21"/>
                      <w:szCs w:val="21"/>
                    </w:rPr>
                  </w:pPr>
                  <w:r>
                    <w:rPr>
                      <w:rFonts w:hint="eastAsia"/>
                      <w:color w:val="000000"/>
                      <w:sz w:val="21"/>
                      <w:szCs w:val="21"/>
                    </w:rPr>
                    <w:t>《危险废物贮存污染控制标准》（GB18597-2001）及其2013年修改单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547" w:type="pct"/>
                  <w:vMerge w:val="continue"/>
                  <w:vAlign w:val="center"/>
                </w:tcPr>
                <w:p>
                  <w:pPr>
                    <w:snapToGrid w:val="0"/>
                    <w:jc w:val="center"/>
                    <w:rPr>
                      <w:sz w:val="21"/>
                      <w:szCs w:val="21"/>
                    </w:rPr>
                  </w:pPr>
                </w:p>
              </w:tc>
              <w:tc>
                <w:tcPr>
                  <w:tcW w:w="1216" w:type="pct"/>
                  <w:vMerge w:val="restart"/>
                  <w:vAlign w:val="center"/>
                </w:tcPr>
                <w:p>
                  <w:pPr>
                    <w:snapToGrid w:val="0"/>
                    <w:jc w:val="center"/>
                    <w:rPr>
                      <w:sz w:val="21"/>
                      <w:szCs w:val="21"/>
                    </w:rPr>
                  </w:pPr>
                  <w:r>
                    <w:rPr>
                      <w:rFonts w:hint="eastAsia"/>
                      <w:sz w:val="21"/>
                      <w:szCs w:val="21"/>
                    </w:rPr>
                    <w:t>化粪池底泥、污水处理站栅渣和污泥</w:t>
                  </w:r>
                </w:p>
              </w:tc>
              <w:tc>
                <w:tcPr>
                  <w:tcW w:w="1053" w:type="pct"/>
                  <w:vAlign w:val="center"/>
                </w:tcPr>
                <w:p>
                  <w:pPr>
                    <w:snapToGrid w:val="0"/>
                    <w:jc w:val="center"/>
                    <w:rPr>
                      <w:rFonts w:hint="default" w:ascii="Times New Roman" w:hAnsi="Times New Roman" w:eastAsia="宋体" w:cs="Times New Roman"/>
                      <w:color w:val="000000"/>
                      <w:sz w:val="21"/>
                      <w:szCs w:val="21"/>
                      <w:lang w:eastAsia="zh-CN"/>
                    </w:rPr>
                  </w:pPr>
                  <w:r>
                    <w:rPr>
                      <w:rFonts w:hint="eastAsia" w:eastAsia="宋体"/>
                      <w:color w:val="000000"/>
                      <w:sz w:val="21"/>
                      <w:szCs w:val="21"/>
                      <w:lang w:val="en-US" w:eastAsia="zh-CN"/>
                    </w:rPr>
                    <w:t>粪大肠菌群数</w:t>
                  </w:r>
                </w:p>
                <w:p>
                  <w:pPr>
                    <w:snapToGrid w:val="0"/>
                    <w:jc w:val="center"/>
                    <w:rPr>
                      <w:rFonts w:hint="eastAsia" w:eastAsia="宋体"/>
                      <w:color w:val="000000"/>
                      <w:sz w:val="21"/>
                      <w:szCs w:val="21"/>
                      <w:lang w:eastAsia="zh-CN"/>
                    </w:rPr>
                  </w:pPr>
                  <w:r>
                    <w:rPr>
                      <w:rFonts w:hint="default" w:ascii="Times New Roman" w:hAnsi="Times New Roman" w:eastAsia="宋体" w:cs="Times New Roman"/>
                      <w:color w:val="000000"/>
                      <w:sz w:val="21"/>
                      <w:szCs w:val="21"/>
                      <w:lang w:val="en-US" w:eastAsia="zh-CN"/>
                    </w:rPr>
                    <w:t>（</w:t>
                  </w:r>
                  <w:r>
                    <w:rPr>
                      <w:rFonts w:hint="eastAsia" w:cs="Times New Roman"/>
                      <w:color w:val="000000"/>
                      <w:sz w:val="21"/>
                      <w:szCs w:val="21"/>
                      <w:lang w:val="en-US" w:eastAsia="zh-CN"/>
                    </w:rPr>
                    <w:t>MPN/g</w:t>
                  </w:r>
                  <w:r>
                    <w:rPr>
                      <w:rFonts w:hint="default" w:ascii="Times New Roman" w:hAnsi="Times New Roman" w:eastAsia="宋体" w:cs="Times New Roman"/>
                      <w:color w:val="000000"/>
                      <w:sz w:val="21"/>
                      <w:szCs w:val="21"/>
                      <w:lang w:val="en-US" w:eastAsia="zh-CN"/>
                    </w:rPr>
                    <w:t>）</w:t>
                  </w:r>
                  <w:r>
                    <w:rPr>
                      <w:rFonts w:hint="default" w:ascii="Times New Roman" w:hAnsi="Times New Roman" w:cs="Times New Roman"/>
                      <w:color w:val="000000"/>
                      <w:sz w:val="21"/>
                      <w:szCs w:val="21"/>
                      <w:lang w:val="en-US" w:eastAsia="zh-CN"/>
                    </w:rPr>
                    <w:t>≤</w:t>
                  </w:r>
                  <w:r>
                    <w:rPr>
                      <w:rFonts w:hint="eastAsia" w:cs="Times New Roman"/>
                      <w:color w:val="000000"/>
                      <w:sz w:val="21"/>
                      <w:szCs w:val="21"/>
                      <w:lang w:val="en-US" w:eastAsia="zh-CN"/>
                    </w:rPr>
                    <w:t>100</w:t>
                  </w:r>
                </w:p>
              </w:tc>
              <w:tc>
                <w:tcPr>
                  <w:tcW w:w="2182" w:type="pct"/>
                  <w:vMerge w:val="restart"/>
                  <w:vAlign w:val="center"/>
                </w:tcPr>
                <w:p>
                  <w:pPr>
                    <w:snapToGrid w:val="0"/>
                    <w:jc w:val="center"/>
                    <w:rPr>
                      <w:rFonts w:hint="eastAsia"/>
                      <w:color w:val="000000"/>
                      <w:sz w:val="21"/>
                      <w:szCs w:val="21"/>
                    </w:rPr>
                  </w:pPr>
                  <w:r>
                    <w:rPr>
                      <w:rFonts w:hint="eastAsia"/>
                      <w:color w:val="000000"/>
                      <w:sz w:val="21"/>
                      <w:szCs w:val="21"/>
                    </w:rPr>
                    <w:t>《医疗机构水污染物排放标准》（GB18466-2005）中表4标准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547" w:type="pct"/>
                  <w:vMerge w:val="continue"/>
                  <w:vAlign w:val="center"/>
                </w:tcPr>
                <w:p>
                  <w:pPr>
                    <w:snapToGrid w:val="0"/>
                    <w:jc w:val="center"/>
                    <w:rPr>
                      <w:sz w:val="21"/>
                      <w:szCs w:val="21"/>
                    </w:rPr>
                  </w:pPr>
                </w:p>
              </w:tc>
              <w:tc>
                <w:tcPr>
                  <w:tcW w:w="1216" w:type="pct"/>
                  <w:vMerge w:val="continue"/>
                  <w:vAlign w:val="center"/>
                </w:tcPr>
                <w:p>
                  <w:pPr>
                    <w:snapToGrid w:val="0"/>
                    <w:jc w:val="center"/>
                    <w:rPr>
                      <w:rFonts w:hint="eastAsia"/>
                      <w:sz w:val="21"/>
                      <w:szCs w:val="21"/>
                    </w:rPr>
                  </w:pPr>
                </w:p>
              </w:tc>
              <w:tc>
                <w:tcPr>
                  <w:tcW w:w="1053" w:type="pct"/>
                  <w:vAlign w:val="center"/>
                </w:tcPr>
                <w:p>
                  <w:pPr>
                    <w:snapToGrid w:val="0"/>
                    <w:jc w:val="center"/>
                    <w:rPr>
                      <w:rFonts w:hint="default" w:eastAsia="宋体"/>
                      <w:color w:val="000000"/>
                      <w:sz w:val="21"/>
                      <w:szCs w:val="21"/>
                      <w:lang w:val="en-US" w:eastAsia="zh-CN"/>
                    </w:rPr>
                  </w:pPr>
                  <w:r>
                    <w:rPr>
                      <w:rFonts w:hint="eastAsia" w:eastAsia="宋体"/>
                      <w:color w:val="000000"/>
                      <w:sz w:val="21"/>
                      <w:szCs w:val="21"/>
                      <w:lang w:val="en-US" w:eastAsia="zh-CN"/>
                    </w:rPr>
                    <w:t>蛔虫卵死亡率</w:t>
                  </w:r>
                  <w:r>
                    <w:rPr>
                      <w:rFonts w:hint="eastAsia"/>
                      <w:color w:val="000000"/>
                      <w:sz w:val="21"/>
                      <w:szCs w:val="21"/>
                      <w:lang w:val="en-US" w:eastAsia="zh-CN"/>
                    </w:rPr>
                    <w:t>%＞95</w:t>
                  </w:r>
                </w:p>
              </w:tc>
              <w:tc>
                <w:tcPr>
                  <w:tcW w:w="2182" w:type="pct"/>
                  <w:vMerge w:val="continue"/>
                  <w:vAlign w:val="center"/>
                </w:tcPr>
                <w:p>
                  <w:pPr>
                    <w:snapToGrid w:val="0"/>
                    <w:jc w:val="center"/>
                    <w:rPr>
                      <w:rFonts w:hint="eastAsia"/>
                      <w:color w:val="000000"/>
                      <w:sz w:val="21"/>
                      <w:szCs w:val="21"/>
                    </w:rPr>
                  </w:pPr>
                </w:p>
              </w:tc>
            </w:tr>
          </w:tbl>
          <w:p>
            <w:pPr>
              <w:adjustRightInd w:val="0"/>
              <w:snapToGrid w:val="0"/>
              <w:jc w:val="center"/>
              <w:rPr>
                <w:rFonts w:ascii="宋体" w:hAnsi="宋体" w:cs="宋体"/>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pPr>
              <w:adjustRightInd w:val="0"/>
              <w:snapToGrid w:val="0"/>
              <w:jc w:val="center"/>
              <w:rPr>
                <w:rFonts w:ascii="宋体" w:hAnsi="宋体" w:cs="宋体"/>
                <w:kern w:val="0"/>
                <w:sz w:val="21"/>
                <w:szCs w:val="21"/>
              </w:rPr>
            </w:pPr>
            <w:r>
              <w:rPr>
                <w:rFonts w:hint="eastAsia" w:ascii="宋体" w:hAnsi="宋体" w:cs="宋体"/>
                <w:kern w:val="0"/>
                <w:sz w:val="21"/>
                <w:szCs w:val="21"/>
              </w:rPr>
              <w:t>总量</w:t>
            </w:r>
          </w:p>
          <w:p>
            <w:pPr>
              <w:adjustRightInd w:val="0"/>
              <w:snapToGrid w:val="0"/>
              <w:jc w:val="center"/>
              <w:rPr>
                <w:rFonts w:ascii="宋体" w:hAnsi="宋体" w:cs="宋体"/>
                <w:kern w:val="0"/>
                <w:sz w:val="21"/>
                <w:szCs w:val="21"/>
              </w:rPr>
            </w:pPr>
            <w:r>
              <w:rPr>
                <w:rFonts w:hint="eastAsia" w:ascii="宋体" w:hAnsi="宋体" w:cs="宋体"/>
                <w:kern w:val="0"/>
                <w:sz w:val="21"/>
                <w:szCs w:val="21"/>
              </w:rPr>
              <w:t>控制</w:t>
            </w:r>
          </w:p>
          <w:p>
            <w:pPr>
              <w:adjustRightInd w:val="0"/>
              <w:snapToGrid w:val="0"/>
              <w:jc w:val="center"/>
              <w:rPr>
                <w:rFonts w:ascii="宋体" w:hAnsi="宋体" w:cs="宋体"/>
                <w:kern w:val="0"/>
                <w:sz w:val="21"/>
                <w:szCs w:val="21"/>
              </w:rPr>
            </w:pPr>
            <w:r>
              <w:rPr>
                <w:rFonts w:hint="eastAsia" w:ascii="宋体" w:hAnsi="宋体" w:cs="宋体"/>
                <w:kern w:val="0"/>
                <w:sz w:val="21"/>
                <w:szCs w:val="21"/>
              </w:rPr>
              <w:t>指标</w:t>
            </w:r>
          </w:p>
        </w:tc>
        <w:tc>
          <w:tcPr>
            <w:tcW w:w="8190"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lang w:val="en-US" w:eastAsia="zh-CN"/>
              </w:rPr>
            </w:pPr>
            <w:r>
              <w:rPr>
                <w:rFonts w:hint="eastAsia"/>
              </w:rPr>
              <w:t>根据</w:t>
            </w:r>
            <w:r>
              <w:rPr>
                <w:rFonts w:hint="default" w:ascii="Times New Roman" w:hAnsi="Times New Roman" w:eastAsia="宋体" w:cs="Times New Roman"/>
                <w:color w:val="000000"/>
                <w:spacing w:val="0"/>
                <w:kern w:val="0"/>
                <w:sz w:val="21"/>
                <w:szCs w:val="21"/>
                <w:lang w:val="en-US" w:eastAsia="zh-CN" w:bidi="ar"/>
              </w:rPr>
              <w:t>国发〔2016〕74号国务院关于印</w:t>
            </w:r>
            <w:r>
              <w:rPr>
                <w:rFonts w:hint="eastAsia" w:ascii="宋体" w:hAnsi="宋体" w:eastAsia="宋体" w:cs="宋体"/>
                <w:color w:val="000000"/>
                <w:spacing w:val="0"/>
                <w:kern w:val="0"/>
                <w:sz w:val="21"/>
                <w:szCs w:val="21"/>
                <w:lang w:val="en-US" w:eastAsia="zh-CN" w:bidi="ar"/>
              </w:rPr>
              <w:t>发“十三五”节</w:t>
            </w:r>
            <w:r>
              <w:rPr>
                <w:rFonts w:hint="default" w:ascii="Times New Roman" w:hAnsi="Times New Roman" w:eastAsia="宋体" w:cs="Times New Roman"/>
                <w:color w:val="000000"/>
                <w:spacing w:val="0"/>
                <w:kern w:val="0"/>
                <w:sz w:val="21"/>
                <w:szCs w:val="21"/>
                <w:lang w:val="en-US" w:eastAsia="zh-CN" w:bidi="ar"/>
              </w:rPr>
              <w:t>能减排综合工作方案的通知</w:t>
            </w:r>
            <w:r>
              <w:rPr>
                <w:rFonts w:hint="eastAsia"/>
              </w:rPr>
              <w:t>，并</w:t>
            </w:r>
            <w:r>
              <w:rPr>
                <w:rFonts w:hint="default" w:ascii="Times New Roman" w:hAnsi="Times New Roman" w:eastAsia="宋体" w:cs="Times New Roman"/>
                <w:color w:val="000000"/>
                <w:spacing w:val="0"/>
                <w:kern w:val="0"/>
                <w:sz w:val="21"/>
                <w:szCs w:val="21"/>
                <w:lang w:val="en-US" w:eastAsia="zh-CN" w:bidi="ar"/>
              </w:rPr>
              <w:t>结合项目工程特点及污染物排放特点</w:t>
            </w:r>
            <w:r>
              <w:rPr>
                <w:rFonts w:hint="eastAsia"/>
              </w:rPr>
              <w:t>，</w:t>
            </w:r>
            <w:r>
              <w:t>项目运营期产生的所有污水经项目设置的化粪池及污水处理设施处理</w:t>
            </w:r>
            <w:r>
              <w:rPr>
                <w:rFonts w:hint="eastAsia"/>
                <w:lang w:val="en-US" w:eastAsia="zh-CN"/>
              </w:rPr>
              <w:t>后排入</w:t>
            </w:r>
            <w:r>
              <w:rPr>
                <w:rFonts w:hint="eastAsia"/>
                <w:sz w:val="21"/>
                <w:szCs w:val="21"/>
              </w:rPr>
              <w:t>双滦区城市污水厂</w:t>
            </w:r>
            <w:r>
              <w:rPr>
                <w:rFonts w:hint="eastAsia"/>
                <w:sz w:val="21"/>
                <w:szCs w:val="21"/>
                <w:lang w:eastAsia="zh-CN"/>
              </w:rPr>
              <w:t>，</w:t>
            </w:r>
            <w:r>
              <w:rPr>
                <w:rFonts w:hint="eastAsia"/>
              </w:rPr>
              <w:t>确定本项目的总量控制因子</w:t>
            </w:r>
            <w:r>
              <w:rPr>
                <w:rFonts w:hint="eastAsia"/>
                <w:lang w:val="en-US" w:eastAsia="zh-CN"/>
              </w:rPr>
              <w:t>为COD、氨氮，经过核算后总量控制指标为</w:t>
            </w:r>
            <w:r>
              <w:rPr>
                <w:rFonts w:hint="default"/>
                <w:lang w:val="en-US" w:eastAsia="zh-CN"/>
              </w:rPr>
              <w:t>COD：5.15t/a,氨氮：0.62t/a。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lang w:val="en-US" w:eastAsia="zh-CN"/>
              </w:rPr>
            </w:pPr>
            <w:r>
              <w:rPr>
                <w:rFonts w:hint="eastAsia"/>
                <w:lang w:val="en-US" w:eastAsia="zh-CN"/>
              </w:rPr>
              <w:t>核算过程如下：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eastAsia="宋体"/>
                <w:lang w:val="en-US" w:eastAsia="zh-CN"/>
              </w:rPr>
            </w:pPr>
            <w:r>
              <w:rPr>
                <w:rFonts w:hint="default"/>
                <w:lang w:val="en-US" w:eastAsia="zh-CN"/>
              </w:rPr>
              <w:t>根据本项目水平衡，项目产生污水量为56.4m</w:t>
            </w:r>
            <w:r>
              <w:rPr>
                <w:rFonts w:hint="default"/>
                <w:vertAlign w:val="superscript"/>
                <w:lang w:val="en-US" w:eastAsia="zh-CN"/>
              </w:rPr>
              <w:t>3</w:t>
            </w:r>
            <w:r>
              <w:rPr>
                <w:rFonts w:hint="default"/>
                <w:lang w:val="en-US" w:eastAsia="zh-CN"/>
              </w:rPr>
              <w:t>/d</w:t>
            </w:r>
            <w:r>
              <w:rPr>
                <w:rFonts w:hint="eastAsia"/>
                <w:lang w:val="en-US" w:eastAsia="zh-CN"/>
              </w:rPr>
              <w:t>，参照《医院污水处理技术指南》（HJ2029-2013）中医院污水水质章节医疗废水污染物浓度，本项目COD产生浓度取值为</w:t>
            </w:r>
            <w:r>
              <w:rPr>
                <w:sz w:val="21"/>
                <w:szCs w:val="21"/>
              </w:rPr>
              <w:t>300mg/L</w:t>
            </w:r>
            <w:r>
              <w:rPr>
                <w:rFonts w:hint="eastAsia"/>
                <w:sz w:val="21"/>
                <w:szCs w:val="21"/>
                <w:lang w:eastAsia="zh-CN"/>
              </w:rPr>
              <w:t>、</w:t>
            </w:r>
            <w:r>
              <w:rPr>
                <w:rFonts w:hint="eastAsia"/>
                <w:sz w:val="21"/>
                <w:szCs w:val="21"/>
                <w:lang w:val="en-US" w:eastAsia="zh-CN"/>
              </w:rPr>
              <w:t>氨氮</w:t>
            </w:r>
            <w:r>
              <w:rPr>
                <w:rFonts w:hint="eastAsia"/>
                <w:lang w:val="en-US" w:eastAsia="zh-CN"/>
              </w:rPr>
              <w:t>产生浓度取值为</w:t>
            </w:r>
            <w:r>
              <w:rPr>
                <w:rFonts w:hint="eastAsia"/>
                <w:sz w:val="21"/>
                <w:szCs w:val="21"/>
                <w:lang w:val="en-US" w:eastAsia="zh-CN"/>
              </w:rPr>
              <w:t>50</w:t>
            </w:r>
            <w:r>
              <w:rPr>
                <w:sz w:val="21"/>
                <w:szCs w:val="21"/>
              </w:rPr>
              <w:t>mg/L</w:t>
            </w:r>
            <w:r>
              <w:rPr>
                <w:rFonts w:hint="eastAsia"/>
                <w:sz w:val="21"/>
                <w:szCs w:val="21"/>
                <w:lang w:eastAsia="zh-CN"/>
              </w:rPr>
              <w:t>。</w:t>
            </w:r>
            <w:r>
              <w:rPr>
                <w:rFonts w:hint="eastAsia"/>
                <w:sz w:val="21"/>
                <w:szCs w:val="21"/>
                <w:lang w:val="en-US" w:eastAsia="zh-CN"/>
              </w:rPr>
              <w:t>本项目采取地埋一体化医疗污水处理方案建设污水处理站，采用常规的“A/O生物接触氧化+消毒工艺”工艺，经处理后COD排放浓度达到250</w:t>
            </w:r>
            <w:r>
              <w:rPr>
                <w:sz w:val="21"/>
                <w:szCs w:val="21"/>
              </w:rPr>
              <w:t>mg/L</w:t>
            </w:r>
            <w:r>
              <w:rPr>
                <w:rFonts w:hint="eastAsia"/>
                <w:sz w:val="21"/>
                <w:szCs w:val="21"/>
                <w:lang w:eastAsia="zh-CN"/>
              </w:rPr>
              <w:t>（</w:t>
            </w:r>
            <w:r>
              <w:rPr>
                <w:rFonts w:hint="eastAsia"/>
                <w:sz w:val="21"/>
                <w:szCs w:val="21"/>
                <w:lang w:val="en-US" w:eastAsia="zh-CN"/>
              </w:rPr>
              <w:t>2.5</w:t>
            </w:r>
            <w:r>
              <w:rPr>
                <w:rFonts w:hint="default"/>
                <w:lang w:val="en-US" w:eastAsia="zh-CN"/>
              </w:rPr>
              <w:t>×</w:t>
            </w:r>
            <w:r>
              <w:rPr>
                <w:rFonts w:hint="eastAsia"/>
                <w:lang w:val="en-US" w:eastAsia="zh-CN"/>
              </w:rPr>
              <w:t>10</w:t>
            </w:r>
            <w:r>
              <w:rPr>
                <w:rFonts w:hint="eastAsia"/>
                <w:vertAlign w:val="superscript"/>
                <w:lang w:val="en-US" w:eastAsia="zh-CN"/>
              </w:rPr>
              <w:t>-4</w:t>
            </w:r>
            <w:r>
              <w:rPr>
                <w:rFonts w:hint="eastAsia"/>
                <w:lang w:val="en-US" w:eastAsia="zh-CN"/>
              </w:rPr>
              <w:t>t/m</w:t>
            </w:r>
            <w:r>
              <w:rPr>
                <w:rFonts w:hint="eastAsia"/>
                <w:vertAlign w:val="superscript"/>
                <w:lang w:val="en-US" w:eastAsia="zh-CN"/>
              </w:rPr>
              <w:t>3</w:t>
            </w:r>
            <w:r>
              <w:rPr>
                <w:rFonts w:hint="eastAsia"/>
                <w:sz w:val="21"/>
                <w:szCs w:val="21"/>
                <w:lang w:eastAsia="zh-CN"/>
              </w:rPr>
              <w:t>），</w:t>
            </w:r>
            <w:r>
              <w:rPr>
                <w:rFonts w:hint="eastAsia"/>
                <w:sz w:val="21"/>
                <w:szCs w:val="21"/>
                <w:lang w:val="en-US" w:eastAsia="zh-CN"/>
              </w:rPr>
              <w:t>氨氮</w:t>
            </w:r>
            <w:r>
              <w:rPr>
                <w:rFonts w:hint="eastAsia"/>
                <w:lang w:val="en-US" w:eastAsia="zh-CN"/>
              </w:rPr>
              <w:t>排放浓度达到为</w:t>
            </w:r>
            <w:r>
              <w:rPr>
                <w:rFonts w:hint="eastAsia"/>
                <w:sz w:val="21"/>
                <w:szCs w:val="21"/>
                <w:lang w:val="en-US" w:eastAsia="zh-CN"/>
              </w:rPr>
              <w:t>30</w:t>
            </w:r>
            <w:r>
              <w:rPr>
                <w:sz w:val="21"/>
                <w:szCs w:val="21"/>
              </w:rPr>
              <w:t>mg/L</w:t>
            </w:r>
            <w:r>
              <w:rPr>
                <w:rFonts w:hint="eastAsia"/>
                <w:sz w:val="21"/>
                <w:szCs w:val="21"/>
                <w:lang w:eastAsia="zh-CN"/>
              </w:rPr>
              <w:t>（</w:t>
            </w:r>
            <w:r>
              <w:rPr>
                <w:rFonts w:hint="eastAsia"/>
                <w:sz w:val="21"/>
                <w:szCs w:val="21"/>
                <w:lang w:val="en-US" w:eastAsia="zh-CN"/>
              </w:rPr>
              <w:t>3</w:t>
            </w:r>
            <w:r>
              <w:rPr>
                <w:rFonts w:hint="default"/>
                <w:lang w:val="en-US" w:eastAsia="zh-CN"/>
              </w:rPr>
              <w:t>×</w:t>
            </w:r>
            <w:r>
              <w:rPr>
                <w:rFonts w:hint="eastAsia"/>
                <w:lang w:val="en-US" w:eastAsia="zh-CN"/>
              </w:rPr>
              <w:t>10</w:t>
            </w:r>
            <w:r>
              <w:rPr>
                <w:rFonts w:hint="eastAsia"/>
                <w:vertAlign w:val="superscript"/>
                <w:lang w:val="en-US" w:eastAsia="zh-CN"/>
              </w:rPr>
              <w:t>-5</w:t>
            </w:r>
            <w:r>
              <w:rPr>
                <w:rFonts w:hint="eastAsia"/>
                <w:lang w:val="en-US" w:eastAsia="zh-CN"/>
              </w:rPr>
              <w:t>t/m</w:t>
            </w:r>
            <w:r>
              <w:rPr>
                <w:rFonts w:hint="eastAsia"/>
                <w:vertAlign w:val="superscript"/>
                <w:lang w:val="en-US" w:eastAsia="zh-CN"/>
              </w:rPr>
              <w:t>3</w:t>
            </w:r>
            <w:r>
              <w:rPr>
                <w:rFonts w:hint="eastAsia"/>
                <w:sz w:val="21"/>
                <w:szCs w:val="21"/>
                <w:lang w:eastAsia="zh-CN"/>
              </w:rPr>
              <w:t>），</w:t>
            </w:r>
            <w:r>
              <w:rPr>
                <w:rFonts w:hint="eastAsia"/>
                <w:sz w:val="21"/>
                <w:szCs w:val="21"/>
                <w:lang w:val="en-US" w:eastAsia="zh-CN"/>
              </w:rPr>
              <w:t>废水排放量为</w:t>
            </w:r>
            <w:r>
              <w:rPr>
                <w:rFonts w:hint="default"/>
                <w:lang w:val="en-US" w:eastAsia="zh-CN"/>
              </w:rPr>
              <w:t>56.4m</w:t>
            </w:r>
            <w:r>
              <w:rPr>
                <w:rFonts w:hint="default"/>
                <w:vertAlign w:val="superscript"/>
                <w:lang w:val="en-US" w:eastAsia="zh-CN"/>
              </w:rPr>
              <w:t>3</w:t>
            </w:r>
            <w:r>
              <w:rPr>
                <w:rFonts w:hint="default"/>
                <w:lang w:val="en-US" w:eastAsia="zh-CN"/>
              </w:rPr>
              <w:t>/d×</w:t>
            </w:r>
            <w:r>
              <w:rPr>
                <w:rFonts w:hint="eastAsia"/>
                <w:lang w:val="en-US" w:eastAsia="zh-CN"/>
              </w:rPr>
              <w:t>365d=</w:t>
            </w:r>
            <w:r>
              <w:rPr>
                <w:rFonts w:hint="eastAsia"/>
                <w:sz w:val="21"/>
                <w:szCs w:val="21"/>
                <w:lang w:val="en-US" w:eastAsia="zh-CN"/>
              </w:rPr>
              <w:t>20586</w:t>
            </w:r>
            <w:r>
              <w:rPr>
                <w:rFonts w:hint="default"/>
                <w:lang w:val="en-US" w:eastAsia="zh-CN"/>
              </w:rPr>
              <w:t>m</w:t>
            </w:r>
            <w:r>
              <w:rPr>
                <w:rFonts w:hint="default"/>
                <w:vertAlign w:val="superscript"/>
                <w:lang w:val="en-US" w:eastAsia="zh-CN"/>
              </w:rPr>
              <w:t>3</w:t>
            </w:r>
            <w:r>
              <w:rPr>
                <w:rFonts w:hint="default"/>
                <w:lang w:val="en-US" w:eastAsia="zh-CN"/>
              </w:rPr>
              <w:t>/</w:t>
            </w:r>
            <w:r>
              <w:rPr>
                <w:rFonts w:hint="eastAsia"/>
                <w:lang w:val="en-US" w:eastAsia="zh-CN"/>
              </w:rPr>
              <w:t>a，则COD排放总量为</w:t>
            </w:r>
            <w:r>
              <w:rPr>
                <w:rFonts w:hint="eastAsia"/>
                <w:sz w:val="21"/>
                <w:szCs w:val="21"/>
                <w:lang w:val="en-US" w:eastAsia="zh-CN"/>
              </w:rPr>
              <w:t>20586</w:t>
            </w:r>
            <w:r>
              <w:rPr>
                <w:rFonts w:hint="default"/>
                <w:lang w:val="en-US" w:eastAsia="zh-CN"/>
              </w:rPr>
              <w:t>m</w:t>
            </w:r>
            <w:r>
              <w:rPr>
                <w:rFonts w:hint="default"/>
                <w:vertAlign w:val="superscript"/>
                <w:lang w:val="en-US" w:eastAsia="zh-CN"/>
              </w:rPr>
              <w:t>3</w:t>
            </w:r>
            <w:r>
              <w:rPr>
                <w:rFonts w:hint="default"/>
                <w:lang w:val="en-US" w:eastAsia="zh-CN"/>
              </w:rPr>
              <w:t>/</w:t>
            </w:r>
            <w:r>
              <w:rPr>
                <w:rFonts w:hint="eastAsia"/>
                <w:lang w:val="en-US" w:eastAsia="zh-CN"/>
              </w:rPr>
              <w:t>a</w:t>
            </w:r>
            <w:r>
              <w:rPr>
                <w:rFonts w:hint="default"/>
                <w:lang w:val="en-US" w:eastAsia="zh-CN"/>
              </w:rPr>
              <w:t>×</w:t>
            </w:r>
            <w:r>
              <w:rPr>
                <w:rFonts w:hint="eastAsia"/>
                <w:sz w:val="21"/>
                <w:szCs w:val="21"/>
                <w:lang w:val="en-US" w:eastAsia="zh-CN"/>
              </w:rPr>
              <w:t>2.5</w:t>
            </w:r>
            <w:r>
              <w:rPr>
                <w:rFonts w:hint="default"/>
                <w:lang w:val="en-US" w:eastAsia="zh-CN"/>
              </w:rPr>
              <w:t>×</w:t>
            </w:r>
            <w:r>
              <w:rPr>
                <w:rFonts w:hint="eastAsia"/>
                <w:lang w:val="en-US" w:eastAsia="zh-CN"/>
              </w:rPr>
              <w:t>10</w:t>
            </w:r>
            <w:r>
              <w:rPr>
                <w:rFonts w:hint="eastAsia"/>
                <w:vertAlign w:val="superscript"/>
                <w:lang w:val="en-US" w:eastAsia="zh-CN"/>
              </w:rPr>
              <w:t>-4</w:t>
            </w:r>
            <w:r>
              <w:rPr>
                <w:rFonts w:hint="eastAsia"/>
                <w:lang w:val="en-US" w:eastAsia="zh-CN"/>
              </w:rPr>
              <w:t>t/m</w:t>
            </w:r>
            <w:r>
              <w:rPr>
                <w:rFonts w:hint="eastAsia"/>
                <w:vertAlign w:val="superscript"/>
                <w:lang w:val="en-US" w:eastAsia="zh-CN"/>
              </w:rPr>
              <w:t>3</w:t>
            </w:r>
            <w:r>
              <w:rPr>
                <w:rFonts w:hint="eastAsia"/>
                <w:vertAlign w:val="baseline"/>
                <w:lang w:val="en-US" w:eastAsia="zh-CN"/>
              </w:rPr>
              <w:t>=</w:t>
            </w:r>
            <w:r>
              <w:rPr>
                <w:rFonts w:hint="default"/>
                <w:lang w:val="en-US" w:eastAsia="zh-CN"/>
              </w:rPr>
              <w:t>5.15t/a</w:t>
            </w:r>
            <w:r>
              <w:rPr>
                <w:rFonts w:hint="eastAsia"/>
                <w:lang w:val="en-US" w:eastAsia="zh-CN"/>
              </w:rPr>
              <w:t>，氨氮排放总量为</w:t>
            </w:r>
            <w:r>
              <w:rPr>
                <w:rFonts w:hint="eastAsia"/>
                <w:sz w:val="21"/>
                <w:szCs w:val="21"/>
                <w:lang w:val="en-US" w:eastAsia="zh-CN"/>
              </w:rPr>
              <w:t>20586</w:t>
            </w:r>
            <w:r>
              <w:rPr>
                <w:rFonts w:hint="default"/>
                <w:lang w:val="en-US" w:eastAsia="zh-CN"/>
              </w:rPr>
              <w:t>m</w:t>
            </w:r>
            <w:r>
              <w:rPr>
                <w:rFonts w:hint="default"/>
                <w:vertAlign w:val="superscript"/>
                <w:lang w:val="en-US" w:eastAsia="zh-CN"/>
              </w:rPr>
              <w:t>3</w:t>
            </w:r>
            <w:r>
              <w:rPr>
                <w:rFonts w:hint="default"/>
                <w:lang w:val="en-US" w:eastAsia="zh-CN"/>
              </w:rPr>
              <w:t>/</w:t>
            </w:r>
            <w:r>
              <w:rPr>
                <w:rFonts w:hint="eastAsia"/>
                <w:lang w:val="en-US" w:eastAsia="zh-CN"/>
              </w:rPr>
              <w:t>a</w:t>
            </w:r>
            <w:r>
              <w:rPr>
                <w:rFonts w:hint="default"/>
                <w:lang w:val="en-US" w:eastAsia="zh-CN"/>
              </w:rPr>
              <w:t>×</w:t>
            </w:r>
            <w:r>
              <w:rPr>
                <w:rFonts w:hint="eastAsia"/>
                <w:sz w:val="21"/>
                <w:szCs w:val="21"/>
                <w:lang w:val="en-US" w:eastAsia="zh-CN"/>
              </w:rPr>
              <w:t>3</w:t>
            </w:r>
            <w:r>
              <w:rPr>
                <w:rFonts w:hint="default"/>
                <w:lang w:val="en-US" w:eastAsia="zh-CN"/>
              </w:rPr>
              <w:t>×</w:t>
            </w:r>
            <w:r>
              <w:rPr>
                <w:rFonts w:hint="eastAsia"/>
                <w:lang w:val="en-US" w:eastAsia="zh-CN"/>
              </w:rPr>
              <w:t>10</w:t>
            </w:r>
            <w:r>
              <w:rPr>
                <w:rFonts w:hint="eastAsia"/>
                <w:vertAlign w:val="superscript"/>
                <w:lang w:val="en-US" w:eastAsia="zh-CN"/>
              </w:rPr>
              <w:t>-5</w:t>
            </w:r>
            <w:r>
              <w:rPr>
                <w:rFonts w:hint="eastAsia"/>
                <w:lang w:val="en-US" w:eastAsia="zh-CN"/>
              </w:rPr>
              <w:t>t/m</w:t>
            </w:r>
            <w:r>
              <w:rPr>
                <w:rFonts w:hint="eastAsia"/>
                <w:vertAlign w:val="superscript"/>
                <w:lang w:val="en-US" w:eastAsia="zh-CN"/>
              </w:rPr>
              <w:t>3</w:t>
            </w:r>
            <w:r>
              <w:rPr>
                <w:rFonts w:hint="eastAsia"/>
                <w:vertAlign w:val="baseline"/>
                <w:lang w:val="en-US" w:eastAsia="zh-CN"/>
              </w:rPr>
              <w:t>=</w:t>
            </w:r>
            <w:r>
              <w:rPr>
                <w:rFonts w:hint="eastAsia"/>
                <w:lang w:val="en-US" w:eastAsia="zh-CN"/>
              </w:rPr>
              <w:t>0.62</w:t>
            </w:r>
            <w:r>
              <w:rPr>
                <w:rFonts w:hint="default"/>
                <w:lang w:val="en-US" w:eastAsia="zh-CN"/>
              </w:rPr>
              <w:t>t/a</w:t>
            </w:r>
            <w:r>
              <w:rPr>
                <w:rFonts w:hint="eastAsia"/>
                <w:lang w:val="en-US" w:eastAsia="zh-CN"/>
              </w:rPr>
              <w:t>。综上工程总排放量COD：5.15t/a,氨氮：0.62t/a。</w:t>
            </w:r>
          </w:p>
        </w:tc>
      </w:tr>
    </w:tbl>
    <w:p>
      <w:pPr>
        <w:pStyle w:val="12"/>
        <w:keepNext w:val="0"/>
        <w:keepLines w:val="0"/>
        <w:pageBreakBefore w:val="0"/>
        <w:widowControl w:val="0"/>
        <w:kinsoku/>
        <w:wordWrap/>
        <w:overflowPunct/>
        <w:topLinePunct w:val="0"/>
        <w:autoSpaceDE/>
        <w:autoSpaceDN/>
        <w:bidi w:val="0"/>
        <w:adjustRightInd/>
        <w:snapToGrid/>
        <w:spacing w:line="360" w:lineRule="auto"/>
        <w:ind w:left="643" w:firstLine="0" w:firstLineChars="0"/>
        <w:textAlignment w:val="auto"/>
        <w:outlineLvl w:val="9"/>
        <w:rPr>
          <w:rFonts w:ascii="宋体" w:hAnsi="宋体" w:cs="宋体"/>
          <w:b/>
          <w:bCs/>
          <w:sz w:val="32"/>
          <w:szCs w:val="32"/>
        </w:rPr>
      </w:pPr>
    </w:p>
    <w:p>
      <w:pPr>
        <w:pStyle w:val="12"/>
        <w:keepNext w:val="0"/>
        <w:keepLines w:val="0"/>
        <w:pageBreakBefore w:val="0"/>
        <w:widowControl w:val="0"/>
        <w:kinsoku/>
        <w:wordWrap/>
        <w:overflowPunct/>
        <w:topLinePunct w:val="0"/>
        <w:autoSpaceDE/>
        <w:autoSpaceDN/>
        <w:bidi w:val="0"/>
        <w:adjustRightInd/>
        <w:snapToGrid/>
        <w:spacing w:line="360" w:lineRule="auto"/>
        <w:ind w:left="0" w:firstLine="0" w:firstLineChars="0"/>
        <w:textAlignment w:val="auto"/>
        <w:outlineLvl w:val="9"/>
        <w:rPr>
          <w:rFonts w:ascii="宋体" w:hAnsi="宋体" w:cs="宋体"/>
          <w:b/>
          <w:bCs/>
          <w:sz w:val="32"/>
          <w:szCs w:val="32"/>
        </w:rPr>
      </w:pPr>
    </w:p>
    <w:p>
      <w:pPr>
        <w:pStyle w:val="12"/>
        <w:keepNext w:val="0"/>
        <w:keepLines w:val="0"/>
        <w:pageBreakBefore w:val="0"/>
        <w:widowControl w:val="0"/>
        <w:kinsoku/>
        <w:wordWrap/>
        <w:overflowPunct/>
        <w:topLinePunct w:val="0"/>
        <w:autoSpaceDE/>
        <w:autoSpaceDN/>
        <w:bidi w:val="0"/>
        <w:adjustRightInd/>
        <w:snapToGrid/>
        <w:spacing w:line="360" w:lineRule="auto"/>
        <w:ind w:left="0" w:firstLine="0" w:firstLineChars="0"/>
        <w:textAlignment w:val="auto"/>
        <w:outlineLvl w:val="9"/>
        <w:rPr>
          <w:rFonts w:ascii="宋体" w:hAnsi="宋体" w:cs="宋体"/>
          <w:b/>
          <w:bCs/>
          <w:sz w:val="32"/>
          <w:szCs w:val="32"/>
        </w:rPr>
      </w:pPr>
    </w:p>
    <w:p>
      <w:pPr>
        <w:pStyle w:val="12"/>
        <w:keepNext w:val="0"/>
        <w:keepLines w:val="0"/>
        <w:pageBreakBefore w:val="0"/>
        <w:widowControl w:val="0"/>
        <w:kinsoku/>
        <w:wordWrap/>
        <w:overflowPunct/>
        <w:topLinePunct w:val="0"/>
        <w:autoSpaceDE/>
        <w:autoSpaceDN/>
        <w:bidi w:val="0"/>
        <w:adjustRightInd/>
        <w:snapToGrid/>
        <w:spacing w:line="360" w:lineRule="auto"/>
        <w:ind w:left="0" w:firstLine="0" w:firstLineChars="0"/>
        <w:textAlignment w:val="auto"/>
        <w:outlineLvl w:val="9"/>
        <w:rPr>
          <w:rFonts w:ascii="宋体" w:hAnsi="宋体" w:cs="宋体"/>
          <w:b/>
          <w:bCs/>
          <w:sz w:val="32"/>
          <w:szCs w:val="32"/>
        </w:rPr>
      </w:pPr>
    </w:p>
    <w:p>
      <w:pPr>
        <w:pStyle w:val="12"/>
        <w:keepNext w:val="0"/>
        <w:keepLines w:val="0"/>
        <w:pageBreakBefore w:val="0"/>
        <w:widowControl w:val="0"/>
        <w:kinsoku/>
        <w:wordWrap/>
        <w:overflowPunct/>
        <w:topLinePunct w:val="0"/>
        <w:autoSpaceDE/>
        <w:autoSpaceDN/>
        <w:bidi w:val="0"/>
        <w:adjustRightInd/>
        <w:snapToGrid/>
        <w:spacing w:line="360" w:lineRule="auto"/>
        <w:ind w:left="0" w:firstLine="0" w:firstLineChars="0"/>
        <w:textAlignment w:val="auto"/>
        <w:outlineLvl w:val="9"/>
        <w:rPr>
          <w:rFonts w:ascii="宋体" w:hAnsi="宋体" w:cs="宋体"/>
          <w:b/>
          <w:bCs/>
          <w:sz w:val="32"/>
          <w:szCs w:val="32"/>
        </w:rPr>
      </w:pPr>
    </w:p>
    <w:p>
      <w:pPr>
        <w:pStyle w:val="12"/>
        <w:keepNext w:val="0"/>
        <w:keepLines w:val="0"/>
        <w:pageBreakBefore w:val="0"/>
        <w:widowControl w:val="0"/>
        <w:kinsoku/>
        <w:wordWrap/>
        <w:overflowPunct/>
        <w:topLinePunct w:val="0"/>
        <w:autoSpaceDE/>
        <w:autoSpaceDN/>
        <w:bidi w:val="0"/>
        <w:adjustRightInd/>
        <w:snapToGrid/>
        <w:spacing w:line="360" w:lineRule="auto"/>
        <w:ind w:left="0" w:firstLine="0" w:firstLineChars="0"/>
        <w:textAlignment w:val="auto"/>
        <w:outlineLvl w:val="9"/>
        <w:rPr>
          <w:rFonts w:ascii="宋体" w:hAnsi="宋体" w:cs="宋体"/>
          <w:b/>
          <w:bCs/>
          <w:sz w:val="32"/>
          <w:szCs w:val="32"/>
        </w:rPr>
      </w:pPr>
    </w:p>
    <w:p>
      <w:pPr>
        <w:pStyle w:val="12"/>
        <w:spacing w:line="360" w:lineRule="auto"/>
        <w:ind w:left="0" w:firstLine="0" w:firstLineChars="0"/>
        <w:jc w:val="center"/>
        <w:outlineLvl w:val="0"/>
        <w:rPr>
          <w:rFonts w:ascii="宋体" w:hAnsi="宋体" w:cs="宋体"/>
          <w:b/>
          <w:bCs/>
          <w:sz w:val="32"/>
          <w:szCs w:val="32"/>
        </w:rPr>
      </w:pPr>
      <w:r>
        <w:rPr>
          <w:rFonts w:hint="eastAsia" w:ascii="宋体" w:hAnsi="宋体" w:cs="宋体"/>
          <w:b/>
          <w:bCs/>
          <w:sz w:val="32"/>
          <w:szCs w:val="32"/>
        </w:rPr>
        <w:t>四、主要环境影响和保护措施</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22"/>
        <w:gridCol w:w="81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6" w:hRule="atLeast"/>
          <w:jc w:val="center"/>
        </w:trPr>
        <w:tc>
          <w:tcPr>
            <w:tcW w:w="746" w:type="dxa"/>
            <w:tcMar>
              <w:left w:w="28" w:type="dxa"/>
              <w:right w:w="28" w:type="dxa"/>
            </w:tcMar>
            <w:vAlign w:val="center"/>
          </w:tcPr>
          <w:p>
            <w:pPr>
              <w:pStyle w:val="14"/>
              <w:adjustRightInd w:val="0"/>
              <w:snapToGrid w:val="0"/>
              <w:spacing w:before="0" w:beforeAutospacing="0" w:after="0" w:afterAutospacing="0" w:line="360" w:lineRule="auto"/>
              <w:jc w:val="center"/>
              <w:rPr>
                <w:rFonts w:cs="宋体"/>
                <w:kern w:val="2"/>
                <w:sz w:val="21"/>
                <w:szCs w:val="21"/>
              </w:rPr>
            </w:pPr>
            <w:r>
              <w:rPr>
                <w:rFonts w:hint="eastAsia" w:cs="宋体"/>
                <w:kern w:val="2"/>
                <w:sz w:val="21"/>
                <w:szCs w:val="21"/>
              </w:rPr>
              <w:t>施工</w:t>
            </w:r>
          </w:p>
          <w:p>
            <w:pPr>
              <w:pStyle w:val="14"/>
              <w:adjustRightInd w:val="0"/>
              <w:snapToGrid w:val="0"/>
              <w:spacing w:before="0" w:beforeAutospacing="0" w:after="0" w:afterAutospacing="0" w:line="360" w:lineRule="auto"/>
              <w:jc w:val="center"/>
              <w:rPr>
                <w:rFonts w:cs="宋体"/>
                <w:kern w:val="2"/>
                <w:sz w:val="21"/>
                <w:szCs w:val="21"/>
              </w:rPr>
            </w:pPr>
            <w:r>
              <w:rPr>
                <w:rFonts w:hint="eastAsia" w:cs="宋体"/>
                <w:kern w:val="2"/>
                <w:sz w:val="21"/>
                <w:szCs w:val="21"/>
              </w:rPr>
              <w:t>期环</w:t>
            </w:r>
          </w:p>
          <w:p>
            <w:pPr>
              <w:pStyle w:val="14"/>
              <w:adjustRightInd w:val="0"/>
              <w:snapToGrid w:val="0"/>
              <w:spacing w:before="0" w:beforeAutospacing="0" w:after="0" w:afterAutospacing="0" w:line="360" w:lineRule="auto"/>
              <w:jc w:val="center"/>
              <w:rPr>
                <w:rFonts w:cs="宋体"/>
                <w:kern w:val="2"/>
                <w:sz w:val="21"/>
                <w:szCs w:val="21"/>
              </w:rPr>
            </w:pPr>
            <w:r>
              <w:rPr>
                <w:rFonts w:hint="eastAsia" w:cs="宋体"/>
                <w:kern w:val="2"/>
                <w:sz w:val="21"/>
                <w:szCs w:val="21"/>
              </w:rPr>
              <w:t>境保</w:t>
            </w:r>
          </w:p>
          <w:p>
            <w:pPr>
              <w:pStyle w:val="14"/>
              <w:adjustRightInd w:val="0"/>
              <w:snapToGrid w:val="0"/>
              <w:spacing w:before="0" w:beforeAutospacing="0" w:after="0" w:afterAutospacing="0" w:line="360" w:lineRule="auto"/>
              <w:jc w:val="center"/>
              <w:rPr>
                <w:rFonts w:cs="宋体"/>
                <w:kern w:val="2"/>
                <w:sz w:val="21"/>
                <w:szCs w:val="21"/>
              </w:rPr>
            </w:pPr>
            <w:r>
              <w:rPr>
                <w:rFonts w:hint="eastAsia" w:cs="宋体"/>
                <w:kern w:val="2"/>
                <w:sz w:val="21"/>
                <w:szCs w:val="21"/>
              </w:rPr>
              <w:t>护措</w:t>
            </w:r>
          </w:p>
          <w:p>
            <w:pPr>
              <w:pStyle w:val="14"/>
              <w:adjustRightInd w:val="0"/>
              <w:snapToGrid w:val="0"/>
              <w:spacing w:before="0" w:beforeAutospacing="0" w:after="0" w:afterAutospacing="0" w:line="360" w:lineRule="auto"/>
              <w:jc w:val="center"/>
              <w:rPr>
                <w:rFonts w:cs="宋体"/>
                <w:bCs/>
                <w:kern w:val="2"/>
                <w:sz w:val="21"/>
                <w:szCs w:val="21"/>
              </w:rPr>
            </w:pPr>
            <w:r>
              <w:rPr>
                <w:rFonts w:hint="eastAsia" w:cs="宋体"/>
                <w:kern w:val="2"/>
                <w:sz w:val="21"/>
                <w:szCs w:val="21"/>
              </w:rPr>
              <w:t>施</w:t>
            </w:r>
          </w:p>
        </w:tc>
        <w:tc>
          <w:tcPr>
            <w:tcW w:w="8162" w:type="dxa"/>
            <w:vAlign w:val="center"/>
          </w:tcPr>
          <w:p>
            <w:pPr>
              <w:adjustRightInd w:val="0"/>
              <w:snapToGrid w:val="0"/>
              <w:spacing w:line="360" w:lineRule="auto"/>
              <w:ind w:firstLine="420" w:firstLineChars="200"/>
              <w:rPr>
                <w:sz w:val="21"/>
                <w:szCs w:val="21"/>
              </w:rPr>
            </w:pPr>
            <w:r>
              <w:rPr>
                <w:rFonts w:hint="eastAsia"/>
                <w:sz w:val="21"/>
                <w:szCs w:val="21"/>
              </w:rPr>
              <w:t>本建设项目，占地为政府划拨的滦河镇政府东侧酒店村回迁楼2-3#商业楼，土建、电气、水暖、弱电、消防、通风、新风、空调工程建设，电梯、空气能设备采购安装，新建医疗污水处理系统，新建DR机房，DR设备采购安装，办公及医疗家具采购安装，原有医疗设备拆除搬迁安装(见附表)，原有办公及医疗家具拆除搬迁安装等。</w:t>
            </w:r>
            <w:r>
              <w:rPr>
                <w:sz w:val="21"/>
                <w:szCs w:val="21"/>
              </w:rPr>
              <w:t>主要产污情况为施工装修废气、噪声、施工固废等</w:t>
            </w:r>
            <w:r>
              <w:rPr>
                <w:rFonts w:hint="eastAsia"/>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 xml:space="preserve">1、大气环境保护措施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 xml:space="preserve">施工期产生的废气包括施工扬尘和运输扬尘。建设过程中严格落实《河北省扬尘污染防治办法》（河北省人民政府令〔2020〕第 1 号）及《河北省建筑施工扬尘防治强化措施 18 条》相关要求，主要通过采取以下措施降低扬尘产生量：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 xml:space="preserve">（一）施工扬尘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施工过程中产生的废气：主要为工程施工、物料堆存会产生的扬尘，扬尘量的大小与施工现场条件、管理水平、机械化程度及施工季节、土质及天气条件等诸多因素有关。根据对多个施工工地的扬尘情况进行的类比调查：施工扬尘较严重，施工场界周边无组织排放浓度一般可以达到 4-6mg/m</w:t>
            </w:r>
            <w:r>
              <w:rPr>
                <w:vertAlign w:val="superscript"/>
              </w:rPr>
              <w:t>3</w:t>
            </w:r>
            <w:r>
              <w:t xml:space="preserve"> 左右。施工扬尘量可以随着管理手段的提高而降低，如果管理措施得当，扬尘量将降低50%-70%，大大减少了扬尘对环境的影响。为减少扬尘产生量，采取以下控制措施：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 xml:space="preserve">（1）施工单位必须在施工现场出入口明显位置设置扬尘防治公示牌，内容包括建设、施工、监理及监管等单位名称、扬尘防治负责人的名称、联系电话、举报电话等；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rPr>
              <w:t>（2）</w:t>
            </w:r>
            <w:r>
              <w:t xml:space="preserve">在施工现场周边设置硬质封闭围挡或者围墙，高度不低于1.8m，并在围挡底端设置不低于0.2m的防溢座；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rPr>
              <w:t>（3）</w:t>
            </w:r>
            <w:r>
              <w:t xml:space="preserve">对施工现场出入口、场内施工道路、材料加工堆放区进行硬化处理，并保持地面整洁；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rPr>
              <w:t>（4）</w:t>
            </w:r>
            <w:r>
              <w:t xml:space="preserve">现场施工过程中采用洒水降尘措施，及时向易产生扬尘的施工地、路面每天 2-3次洒水，如遇大风天气应适当增加洒水量及洒水次数，以减少扬尘产生量；在施工现场出口处设置车辆清洗设施并配套设置排水、泥浆沉淀设施，车辆冲洗干净后方可驶出；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 xml:space="preserve">（5）不在现场搅拌混凝土；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（6）在施工工地内堆放水泥、灰土、砂石、建筑土方等易产生扬尘的粉状、粒状建筑材料的，应当采取密闭或者遮盖等防尘措施，装卸、搬运时应当采取防尘措施；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 xml:space="preserve">（7）建筑垃圾应当及时清运，运输车辆应减速慢行，运输建筑垃圾及土方时应采用蓬布遮盖，以避免沿途洒落，减少运输扬尘；建筑垃圾在场地内堆存的，应当集中堆放并采取密闭或者遮盖等防尘措施；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 xml:space="preserve">（8）建施工单位加强监管，对现场作业人员进行环境保护方面的培训教育，严格按照《河北省扬尘污染防治办法》（河北省人民政府令〔2020〕第 1 号）要求进行施工作业。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 xml:space="preserve">（9）建筑原料堆存远离现有住院楼、门诊楼等布设，施工期临时建筑严禁邻近现有住院楼、门诊楼布设。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 xml:space="preserve">（二）车辆运输扬尘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车辆行驶扬尘为建筑材料、设备的运输及建筑垃圾清运引起的扬尘，扬尘量的大小与施工现场条件、管理水平、及施工季节、土质及天气条件等诸多因素有关。根据对多个施工工地的扬尘情况进行的类比调查：施工扬尘较严重，施工场界周边无组织排放浓度一般可以达到2-4mg/m</w:t>
            </w:r>
            <w:r>
              <w:rPr>
                <w:vertAlign w:val="superscript"/>
              </w:rPr>
              <w:t>3</w:t>
            </w:r>
            <w:r>
              <w:t xml:space="preserve">左右。施工扬尘量可以随着管理手段的提高而降低，为减少扬尘产生量，采取以下控制措施：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 xml:space="preserve">①运输道路硬化，及时清扫运输道路上的尘土；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②选择对周围环境影响较小的固定运输路线，定时对运输路线进行清扫，运输车辆驶出施工场地前，对车辆车体和车轮的泥土进行清洗，防止沿途弃土，影响环境；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 xml:space="preserve">③运输车辆低速行驶。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总之，只要加强管理、切实落实以上防治措施，施工扬尘对大气环境的影响将会大大降低，同时其对环境的影响也将随施工期的结束而消失。采取上述措施后，施工期颗粒物排放满足《施工场地扬尘排放标准》(DB13/2934-2019)表1扬尘排放浓度限值：监测点PM</w:t>
            </w:r>
            <w:r>
              <w:rPr>
                <w:vertAlign w:val="subscript"/>
              </w:rPr>
              <w:t>10</w:t>
            </w:r>
            <w:r>
              <w:t>小时平均浓度实测值与同时段所属县（市、区）（双桥区）PM</w:t>
            </w:r>
            <w:r>
              <w:rPr>
                <w:vertAlign w:val="subscript"/>
              </w:rPr>
              <w:t>10</w:t>
            </w:r>
            <w:r>
              <w:t>小时平均浓度的差值限值＜80μg/m</w:t>
            </w:r>
            <w:r>
              <w:rPr>
                <w:vertAlign w:val="superscript"/>
              </w:rPr>
              <w:t>3</w:t>
            </w:r>
            <w:r>
              <w:t>。因此，本项目施工期大气环境影响可接受。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 xml:space="preserve">2、水环境保护措施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施工期间废水主要为工程施工中产生的施工废水以及施工人员产生的生活污水，污染因子主要为COD、BOD</w:t>
            </w:r>
            <w:r>
              <w:rPr>
                <w:vertAlign w:val="subscript"/>
              </w:rPr>
              <w:t>5</w:t>
            </w:r>
            <w:r>
              <w:t xml:space="preserve">、SS、氨氮等。为了减少对周边水环境造成的影响，施工期应采取以下措施： </w:t>
            </w:r>
          </w:p>
          <w:p>
            <w:pPr>
              <w:spacing w:line="360" w:lineRule="auto"/>
              <w:ind w:firstLine="420" w:firstLineChars="200"/>
              <w:rPr>
                <w:sz w:val="21"/>
                <w:szCs w:val="21"/>
              </w:rPr>
            </w:pPr>
            <w:r>
              <w:rPr>
                <w:sz w:val="21"/>
                <w:szCs w:val="21"/>
              </w:rPr>
              <w:t xml:space="preserve">①在施工场地设置临时沉淀池，施工废水经临时沉淀池沉淀处理后，回用于建筑施工用水和场区洒水降尘，不外排； </w:t>
            </w:r>
          </w:p>
          <w:p>
            <w:pPr>
              <w:spacing w:line="360" w:lineRule="auto"/>
              <w:ind w:firstLine="420" w:firstLineChars="200"/>
              <w:rPr>
                <w:sz w:val="21"/>
                <w:szCs w:val="21"/>
              </w:rPr>
            </w:pPr>
            <w:r>
              <w:rPr>
                <w:sz w:val="21"/>
                <w:szCs w:val="21"/>
              </w:rPr>
              <w:t xml:space="preserve">②合理安排施工时间，大雨天不进行施工，将施工期对水环境影响降到最小。项目施工人员均来自于当地，项目施工期间生活污水产生量很小，主要为施工人员的盥洗水，这部分生活污水回用于施工场地洒水降尘，不外排。在采用上述工程措施，强化施工作业管理的前提下，项目施工期不会对地表水水质造成显著影响。因此，项目施工期水环境影响可接受。 </w:t>
            </w:r>
          </w:p>
          <w:p>
            <w:pPr>
              <w:spacing w:line="360" w:lineRule="auto"/>
              <w:ind w:firstLine="420" w:firstLineChars="200"/>
              <w:rPr>
                <w:sz w:val="21"/>
                <w:szCs w:val="21"/>
              </w:rPr>
            </w:pPr>
            <w:r>
              <w:rPr>
                <w:sz w:val="21"/>
                <w:szCs w:val="21"/>
              </w:rPr>
              <w:t xml:space="preserve">3、声环境保护措施 </w:t>
            </w:r>
          </w:p>
          <w:p>
            <w:pPr>
              <w:spacing w:line="360" w:lineRule="auto"/>
              <w:ind w:firstLine="420" w:firstLineChars="200"/>
              <w:rPr>
                <w:sz w:val="21"/>
                <w:szCs w:val="21"/>
              </w:rPr>
            </w:pPr>
            <w:r>
              <w:rPr>
                <w:sz w:val="21"/>
                <w:szCs w:val="21"/>
              </w:rPr>
              <w:t xml:space="preserve">施工期产生的噪声主要为施工设备运行噪声和车辆行驶噪声。 </w:t>
            </w:r>
          </w:p>
          <w:p>
            <w:pPr>
              <w:spacing w:line="360" w:lineRule="auto"/>
              <w:ind w:firstLine="420" w:firstLineChars="200"/>
              <w:rPr>
                <w:sz w:val="21"/>
                <w:szCs w:val="21"/>
              </w:rPr>
            </w:pPr>
            <w:r>
              <w:rPr>
                <w:sz w:val="21"/>
                <w:szCs w:val="21"/>
              </w:rPr>
              <w:t xml:space="preserve">（1）施工设备噪声 </w:t>
            </w:r>
          </w:p>
          <w:p>
            <w:pPr>
              <w:spacing w:line="360" w:lineRule="auto"/>
              <w:ind w:firstLine="420" w:firstLineChars="200"/>
              <w:rPr>
                <w:sz w:val="21"/>
                <w:szCs w:val="21"/>
              </w:rPr>
            </w:pPr>
            <w:r>
              <w:rPr>
                <w:sz w:val="21"/>
                <w:szCs w:val="21"/>
              </w:rPr>
              <w:t xml:space="preserve">施工设备噪声主要来源于施工机械设备运转。为减少施工期间设备噪声对周边声环境的影响，建设单位拟采取以下措施： </w:t>
            </w:r>
          </w:p>
          <w:p>
            <w:pPr>
              <w:spacing w:line="360" w:lineRule="auto"/>
              <w:ind w:firstLine="420" w:firstLineChars="200"/>
              <w:rPr>
                <w:sz w:val="21"/>
                <w:szCs w:val="21"/>
              </w:rPr>
            </w:pPr>
            <w:r>
              <w:rPr>
                <w:sz w:val="21"/>
                <w:szCs w:val="21"/>
              </w:rPr>
              <w:t>①施工单位应选用低噪声设备和先进的工艺，保持设备处于良好的运转状态；</w:t>
            </w:r>
          </w:p>
          <w:p>
            <w:pPr>
              <w:spacing w:line="360" w:lineRule="auto"/>
              <w:ind w:firstLine="420" w:firstLineChars="200"/>
              <w:rPr>
                <w:sz w:val="21"/>
                <w:szCs w:val="21"/>
              </w:rPr>
            </w:pPr>
            <w:r>
              <w:rPr>
                <w:sz w:val="21"/>
                <w:szCs w:val="21"/>
              </w:rPr>
              <w:t xml:space="preserve">②合理安排施工时间，禁止夜间（22：00-次日6：00）施工，避免在同一时间集中使用大量的动力机械设备。在需连续施工的特殊工段，应首先对周围单位做好协调工作，然后经过有关部门批准，办理相应手续后，公告附近单位，在征得同意后实施； </w:t>
            </w:r>
          </w:p>
          <w:p>
            <w:pPr>
              <w:spacing w:line="360" w:lineRule="auto"/>
              <w:ind w:firstLine="420" w:firstLineChars="200"/>
              <w:rPr>
                <w:sz w:val="21"/>
                <w:szCs w:val="21"/>
              </w:rPr>
            </w:pPr>
            <w:r>
              <w:rPr>
                <w:sz w:val="21"/>
                <w:szCs w:val="21"/>
              </w:rPr>
              <w:t xml:space="preserve">③对本项目的施工进行合理布局，尽量使高噪声的机械设备设置在距离环境敏感点较远的一侧，并进行一定的隔离和防护消声处理，可以在靠近敏感点方向建立临时性隔声屏障，隔声屏障可以设在面向环境敏感点的施工场地边界上； </w:t>
            </w:r>
          </w:p>
          <w:p>
            <w:pPr>
              <w:spacing w:line="360" w:lineRule="auto"/>
              <w:ind w:firstLine="420" w:firstLineChars="200"/>
              <w:rPr>
                <w:sz w:val="21"/>
                <w:szCs w:val="21"/>
              </w:rPr>
            </w:pPr>
            <w:r>
              <w:rPr>
                <w:sz w:val="21"/>
                <w:szCs w:val="21"/>
              </w:rPr>
              <w:t xml:space="preserve">④合理安排施工进度，避免在同一时间集中使用大量的动力机械设备； </w:t>
            </w:r>
          </w:p>
          <w:p>
            <w:pPr>
              <w:spacing w:line="360" w:lineRule="auto"/>
              <w:ind w:firstLine="420" w:firstLineChars="200"/>
              <w:rPr>
                <w:sz w:val="21"/>
                <w:szCs w:val="21"/>
              </w:rPr>
            </w:pPr>
            <w:r>
              <w:rPr>
                <w:sz w:val="21"/>
                <w:szCs w:val="21"/>
              </w:rPr>
              <w:t>⑤加强施工期环境监理，施工单位设专人负责施工机械的保养和维护；</w:t>
            </w:r>
          </w:p>
          <w:p>
            <w:pPr>
              <w:spacing w:line="360" w:lineRule="auto"/>
              <w:ind w:firstLine="420" w:firstLineChars="200"/>
              <w:rPr>
                <w:sz w:val="21"/>
                <w:szCs w:val="21"/>
              </w:rPr>
            </w:pPr>
            <w:r>
              <w:rPr>
                <w:sz w:val="21"/>
                <w:szCs w:val="21"/>
              </w:rPr>
              <w:t xml:space="preserve">⑥针对与施工场地距离较近的居民点，优先采用调整施工时段、避开居民休 </w:t>
            </w:r>
          </w:p>
          <w:p>
            <w:pPr>
              <w:spacing w:line="360" w:lineRule="auto"/>
              <w:ind w:firstLine="420" w:firstLineChars="200"/>
              <w:rPr>
                <w:sz w:val="21"/>
                <w:szCs w:val="21"/>
              </w:rPr>
            </w:pPr>
            <w:r>
              <w:rPr>
                <w:sz w:val="21"/>
                <w:szCs w:val="21"/>
              </w:rPr>
              <w:t xml:space="preserve">息时段进行施工，同时，优化噪声设备工作位置，尽可能远离居民区，文明施工。 </w:t>
            </w:r>
          </w:p>
          <w:p>
            <w:pPr>
              <w:spacing w:line="360" w:lineRule="auto"/>
              <w:ind w:firstLine="420" w:firstLineChars="200"/>
              <w:rPr>
                <w:sz w:val="21"/>
                <w:szCs w:val="21"/>
              </w:rPr>
            </w:pPr>
            <w:r>
              <w:rPr>
                <w:sz w:val="21"/>
                <w:szCs w:val="21"/>
              </w:rPr>
              <w:t xml:space="preserve">⑦施工现场不得安装混凝土搅拌机，应在有关部门指定地点搅拌好后，运至 </w:t>
            </w:r>
          </w:p>
          <w:p>
            <w:pPr>
              <w:spacing w:line="360" w:lineRule="auto"/>
              <w:ind w:firstLine="420" w:firstLineChars="200"/>
              <w:rPr>
                <w:sz w:val="21"/>
                <w:szCs w:val="21"/>
              </w:rPr>
            </w:pPr>
            <w:r>
              <w:rPr>
                <w:sz w:val="21"/>
                <w:szCs w:val="21"/>
              </w:rPr>
              <w:t xml:space="preserve">工地使用，运输车辆通过要减速慢行以将低噪声； </w:t>
            </w:r>
          </w:p>
          <w:p>
            <w:pPr>
              <w:spacing w:line="360" w:lineRule="auto"/>
              <w:ind w:firstLine="420" w:firstLineChars="200"/>
              <w:rPr>
                <w:sz w:val="21"/>
                <w:szCs w:val="21"/>
              </w:rPr>
            </w:pPr>
            <w:r>
              <w:rPr>
                <w:sz w:val="21"/>
                <w:szCs w:val="21"/>
              </w:rPr>
              <w:t xml:space="preserve">⑧加强施工期管理，施工单位设专人负责施工机械的保养和维护，保养和维 </w:t>
            </w:r>
          </w:p>
          <w:p>
            <w:pPr>
              <w:spacing w:line="360" w:lineRule="auto"/>
              <w:ind w:firstLine="420" w:firstLineChars="200"/>
              <w:rPr>
                <w:sz w:val="21"/>
                <w:szCs w:val="21"/>
              </w:rPr>
            </w:pPr>
            <w:r>
              <w:rPr>
                <w:sz w:val="21"/>
                <w:szCs w:val="21"/>
              </w:rPr>
              <w:t xml:space="preserve">护要有切实可行的规章制度，要定期对现场工作人员进行培训，每个工人都要严 </w:t>
            </w:r>
          </w:p>
          <w:p>
            <w:pPr>
              <w:spacing w:line="360" w:lineRule="auto"/>
              <w:ind w:firstLine="420" w:firstLineChars="200"/>
              <w:rPr>
                <w:sz w:val="21"/>
                <w:szCs w:val="21"/>
              </w:rPr>
            </w:pPr>
            <w:r>
              <w:rPr>
                <w:sz w:val="21"/>
                <w:szCs w:val="21"/>
              </w:rPr>
              <w:t xml:space="preserve">格按照规范使用各类机械，避免因故障产生突发噪声。 </w:t>
            </w:r>
          </w:p>
          <w:p>
            <w:pPr>
              <w:spacing w:line="360" w:lineRule="auto"/>
              <w:ind w:firstLine="420" w:firstLineChars="200"/>
              <w:rPr>
                <w:sz w:val="21"/>
                <w:szCs w:val="21"/>
              </w:rPr>
            </w:pPr>
            <w:r>
              <w:rPr>
                <w:sz w:val="21"/>
                <w:szCs w:val="21"/>
              </w:rPr>
              <w:t xml:space="preserve">（2）车辆行驶噪声 </w:t>
            </w:r>
          </w:p>
          <w:p>
            <w:pPr>
              <w:spacing w:line="360" w:lineRule="auto"/>
              <w:ind w:firstLine="420" w:firstLineChars="200"/>
              <w:rPr>
                <w:sz w:val="21"/>
                <w:szCs w:val="21"/>
              </w:rPr>
            </w:pPr>
            <w:r>
              <w:rPr>
                <w:sz w:val="21"/>
                <w:szCs w:val="21"/>
              </w:rPr>
              <w:t xml:space="preserve">运输噪声主要来源于运输车辆行驶。为减少施工期间运输噪声对居民住户影响，建设单位拟采取以下措施： </w:t>
            </w:r>
          </w:p>
          <w:p>
            <w:pPr>
              <w:spacing w:line="360" w:lineRule="auto"/>
              <w:ind w:firstLine="420" w:firstLineChars="200"/>
              <w:rPr>
                <w:sz w:val="21"/>
                <w:szCs w:val="21"/>
              </w:rPr>
            </w:pPr>
            <w:r>
              <w:rPr>
                <w:sz w:val="21"/>
                <w:szCs w:val="21"/>
              </w:rPr>
              <w:t xml:space="preserve">①施工车辆在施工场地内低速行驶，禁止鸣笛； </w:t>
            </w:r>
          </w:p>
          <w:p>
            <w:pPr>
              <w:spacing w:line="360" w:lineRule="auto"/>
              <w:ind w:firstLine="420" w:firstLineChars="200"/>
              <w:rPr>
                <w:sz w:val="21"/>
                <w:szCs w:val="21"/>
              </w:rPr>
            </w:pPr>
            <w:r>
              <w:rPr>
                <w:sz w:val="21"/>
                <w:szCs w:val="21"/>
              </w:rPr>
              <w:t xml:space="preserve">②运输时尽量避开敏感时段，加强管理； </w:t>
            </w:r>
          </w:p>
          <w:p>
            <w:pPr>
              <w:spacing w:line="360" w:lineRule="auto"/>
              <w:ind w:firstLine="420" w:firstLineChars="200"/>
              <w:rPr>
                <w:sz w:val="21"/>
                <w:szCs w:val="21"/>
              </w:rPr>
            </w:pPr>
            <w:r>
              <w:rPr>
                <w:sz w:val="21"/>
                <w:szCs w:val="21"/>
              </w:rPr>
              <w:t xml:space="preserve">③施工期间建筑材料和建筑垃圾的运输路线优化选择，尽量避开距离村庄居民住宅过近的路线； </w:t>
            </w:r>
          </w:p>
          <w:p>
            <w:pPr>
              <w:spacing w:line="360" w:lineRule="auto"/>
              <w:ind w:firstLine="420" w:firstLineChars="200"/>
              <w:rPr>
                <w:sz w:val="21"/>
                <w:szCs w:val="21"/>
              </w:rPr>
            </w:pPr>
            <w:r>
              <w:rPr>
                <w:rFonts w:hint="eastAsia"/>
                <w:sz w:val="21"/>
                <w:szCs w:val="21"/>
              </w:rPr>
              <w:t>在采取上述措施后，施工场界噪声对周围敏感点影响较小，并且以上影响为短期影响均将会随施工期的结束而消除，在落实以上污染防治措施后不会对周围环境产生明显影响。</w:t>
            </w:r>
            <w:r>
              <w:rPr>
                <w:sz w:val="21"/>
                <w:szCs w:val="21"/>
              </w:rPr>
              <w:t xml:space="preserve"> </w:t>
            </w:r>
          </w:p>
          <w:p>
            <w:pPr>
              <w:spacing w:line="360" w:lineRule="auto"/>
              <w:ind w:firstLine="420" w:firstLineChars="200"/>
              <w:rPr>
                <w:sz w:val="21"/>
                <w:szCs w:val="21"/>
              </w:rPr>
            </w:pPr>
            <w:r>
              <w:rPr>
                <w:sz w:val="21"/>
                <w:szCs w:val="21"/>
              </w:rPr>
              <w:t xml:space="preserve">4、固体废物环境保护措施 </w:t>
            </w:r>
          </w:p>
          <w:p>
            <w:pPr>
              <w:spacing w:line="360" w:lineRule="auto"/>
              <w:ind w:firstLine="420" w:firstLineChars="200"/>
              <w:rPr>
                <w:sz w:val="21"/>
                <w:szCs w:val="21"/>
              </w:rPr>
            </w:pPr>
            <w:r>
              <w:rPr>
                <w:sz w:val="21"/>
                <w:szCs w:val="21"/>
              </w:rPr>
              <w:t>施工期产生的固体废物主要为建筑施工时产生的施工垃圾及施工人员生活垃圾。</w:t>
            </w:r>
          </w:p>
          <w:p>
            <w:pPr>
              <w:spacing w:line="360" w:lineRule="auto"/>
              <w:ind w:firstLine="420" w:firstLineChars="200"/>
              <w:rPr>
                <w:sz w:val="21"/>
                <w:szCs w:val="21"/>
              </w:rPr>
            </w:pPr>
            <w:r>
              <w:rPr>
                <w:sz w:val="21"/>
                <w:szCs w:val="21"/>
              </w:rPr>
              <w:t xml:space="preserve">（1）施工垃圾 </w:t>
            </w:r>
          </w:p>
          <w:p>
            <w:pPr>
              <w:spacing w:line="360" w:lineRule="auto"/>
              <w:ind w:firstLine="420" w:firstLineChars="200"/>
              <w:rPr>
                <w:sz w:val="21"/>
                <w:szCs w:val="21"/>
              </w:rPr>
            </w:pPr>
            <w:r>
              <w:rPr>
                <w:sz w:val="21"/>
                <w:szCs w:val="21"/>
              </w:rPr>
              <w:t xml:space="preserve">施工垃圾主要为施工过程中产生的建筑垃圾以及弃土石方。 </w:t>
            </w:r>
          </w:p>
          <w:p>
            <w:pPr>
              <w:spacing w:line="360" w:lineRule="auto"/>
              <w:ind w:firstLine="420" w:firstLineChars="200"/>
              <w:rPr>
                <w:sz w:val="21"/>
                <w:szCs w:val="21"/>
              </w:rPr>
            </w:pPr>
            <w:r>
              <w:rPr>
                <w:sz w:val="21"/>
                <w:szCs w:val="21"/>
              </w:rPr>
              <w:t xml:space="preserve">①建筑垃圾 </w:t>
            </w:r>
          </w:p>
          <w:p>
            <w:pPr>
              <w:spacing w:line="360" w:lineRule="auto"/>
              <w:ind w:firstLine="420" w:firstLineChars="200"/>
              <w:rPr>
                <w:sz w:val="21"/>
                <w:szCs w:val="21"/>
              </w:rPr>
            </w:pPr>
            <w:r>
              <w:rPr>
                <w:rFonts w:hint="eastAsia"/>
                <w:sz w:val="21"/>
                <w:szCs w:val="21"/>
              </w:rPr>
              <w:t>建筑垃圾外运至建筑垃圾填埋场处理</w:t>
            </w:r>
            <w:r>
              <w:rPr>
                <w:sz w:val="21"/>
                <w:szCs w:val="21"/>
              </w:rPr>
              <w:t xml:space="preserve">。 </w:t>
            </w:r>
          </w:p>
          <w:p>
            <w:pPr>
              <w:spacing w:line="360" w:lineRule="auto"/>
              <w:ind w:firstLine="420" w:firstLineChars="200"/>
              <w:rPr>
                <w:sz w:val="21"/>
                <w:szCs w:val="21"/>
              </w:rPr>
            </w:pPr>
            <w:r>
              <w:rPr>
                <w:sz w:val="21"/>
                <w:szCs w:val="21"/>
              </w:rPr>
              <w:t xml:space="preserve">②弃土石方 </w:t>
            </w:r>
          </w:p>
          <w:p>
            <w:pPr>
              <w:spacing w:line="360" w:lineRule="auto"/>
              <w:ind w:firstLine="420" w:firstLineChars="200"/>
              <w:rPr>
                <w:sz w:val="21"/>
                <w:szCs w:val="21"/>
              </w:rPr>
            </w:pPr>
            <w:r>
              <w:rPr>
                <w:sz w:val="21"/>
                <w:szCs w:val="21"/>
              </w:rPr>
              <w:t>弃土石方用于回填，不能用于回填的部分全部外运</w:t>
            </w:r>
            <w:r>
              <w:rPr>
                <w:rFonts w:hint="eastAsia"/>
                <w:sz w:val="21"/>
                <w:szCs w:val="21"/>
                <w:lang w:val="en-US" w:eastAsia="zh-CN"/>
              </w:rPr>
              <w:t>建筑垃圾填埋场处理</w:t>
            </w:r>
            <w:r>
              <w:rPr>
                <w:sz w:val="21"/>
                <w:szCs w:val="21"/>
              </w:rPr>
              <w:t xml:space="preserve">。 </w:t>
            </w:r>
          </w:p>
          <w:p>
            <w:pPr>
              <w:spacing w:line="360" w:lineRule="auto"/>
              <w:ind w:firstLine="420" w:firstLineChars="200"/>
              <w:rPr>
                <w:sz w:val="21"/>
                <w:szCs w:val="21"/>
              </w:rPr>
            </w:pPr>
            <w:r>
              <w:rPr>
                <w:sz w:val="21"/>
                <w:szCs w:val="21"/>
              </w:rPr>
              <w:t xml:space="preserve">（2）生活垃圾 </w:t>
            </w:r>
          </w:p>
          <w:p>
            <w:pPr>
              <w:spacing w:line="360" w:lineRule="auto"/>
              <w:ind w:firstLine="420" w:firstLineChars="200"/>
              <w:rPr>
                <w:sz w:val="21"/>
                <w:szCs w:val="21"/>
              </w:rPr>
            </w:pPr>
            <w:r>
              <w:rPr>
                <w:sz w:val="21"/>
                <w:szCs w:val="21"/>
              </w:rPr>
              <w:t xml:space="preserve">本项目施工期生活垃圾定点堆存，集中收集，送至环卫部门指定垃圾收集点， 由环卫部门统一处置。 </w:t>
            </w:r>
          </w:p>
          <w:p>
            <w:pPr>
              <w:spacing w:line="360" w:lineRule="auto"/>
              <w:ind w:firstLine="420" w:firstLineChars="200"/>
              <w:rPr>
                <w:sz w:val="21"/>
                <w:szCs w:val="21"/>
              </w:rPr>
            </w:pPr>
            <w:r>
              <w:rPr>
                <w:sz w:val="21"/>
                <w:szCs w:val="21"/>
              </w:rPr>
              <w:t>综上，施工期产生的固体废弃物均得到妥善处理</w:t>
            </w:r>
            <w:r>
              <w:rPr>
                <w:rFonts w:hint="eastAsia"/>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95" w:hRule="atLeast"/>
          <w:jc w:val="center"/>
        </w:trPr>
        <w:tc>
          <w:tcPr>
            <w:tcW w:w="746" w:type="dxa"/>
            <w:tcMar>
              <w:left w:w="28" w:type="dxa"/>
              <w:right w:w="28" w:type="dxa"/>
            </w:tcMar>
            <w:vAlign w:val="center"/>
          </w:tcPr>
          <w:p>
            <w:pPr>
              <w:adjustRightInd w:val="0"/>
              <w:snapToGrid w:val="0"/>
              <w:spacing w:line="360" w:lineRule="auto"/>
              <w:jc w:val="center"/>
              <w:rPr>
                <w:rFonts w:ascii="宋体" w:hAnsi="宋体" w:cs="宋体"/>
                <w:bCs/>
                <w:sz w:val="21"/>
                <w:szCs w:val="21"/>
              </w:rPr>
            </w:pPr>
            <w:r>
              <w:rPr>
                <w:rFonts w:hint="eastAsia" w:ascii="宋体" w:hAnsi="宋体" w:cs="宋体"/>
                <w:bCs/>
                <w:sz w:val="21"/>
                <w:szCs w:val="21"/>
              </w:rPr>
              <w:t>运营</w:t>
            </w:r>
          </w:p>
          <w:p>
            <w:pPr>
              <w:adjustRightInd w:val="0"/>
              <w:snapToGrid w:val="0"/>
              <w:spacing w:line="360" w:lineRule="auto"/>
              <w:jc w:val="center"/>
              <w:rPr>
                <w:rFonts w:ascii="宋体" w:hAnsi="宋体" w:cs="宋体"/>
                <w:bCs/>
                <w:sz w:val="21"/>
                <w:szCs w:val="21"/>
              </w:rPr>
            </w:pPr>
            <w:r>
              <w:rPr>
                <w:rFonts w:hint="eastAsia" w:ascii="宋体" w:hAnsi="宋体" w:cs="宋体"/>
                <w:bCs/>
                <w:sz w:val="21"/>
                <w:szCs w:val="21"/>
              </w:rPr>
              <w:t>期环</w:t>
            </w:r>
          </w:p>
          <w:p>
            <w:pPr>
              <w:adjustRightInd w:val="0"/>
              <w:snapToGrid w:val="0"/>
              <w:spacing w:line="360" w:lineRule="auto"/>
              <w:jc w:val="center"/>
              <w:rPr>
                <w:rFonts w:ascii="宋体" w:hAnsi="宋体" w:cs="宋体"/>
                <w:bCs/>
                <w:sz w:val="21"/>
                <w:szCs w:val="21"/>
              </w:rPr>
            </w:pPr>
            <w:r>
              <w:rPr>
                <w:rFonts w:hint="eastAsia" w:ascii="宋体" w:hAnsi="宋体" w:cs="宋体"/>
                <w:bCs/>
                <w:sz w:val="21"/>
                <w:szCs w:val="21"/>
              </w:rPr>
              <w:t>境影</w:t>
            </w:r>
          </w:p>
          <w:p>
            <w:pPr>
              <w:adjustRightInd w:val="0"/>
              <w:snapToGrid w:val="0"/>
              <w:spacing w:line="360" w:lineRule="auto"/>
              <w:jc w:val="center"/>
              <w:rPr>
                <w:rFonts w:ascii="宋体" w:hAnsi="宋体" w:cs="宋体"/>
                <w:bCs/>
                <w:sz w:val="21"/>
                <w:szCs w:val="21"/>
              </w:rPr>
            </w:pPr>
            <w:r>
              <w:rPr>
                <w:rFonts w:hint="eastAsia" w:ascii="宋体" w:hAnsi="宋体" w:cs="宋体"/>
                <w:bCs/>
                <w:sz w:val="21"/>
                <w:szCs w:val="21"/>
              </w:rPr>
              <w:t>响和</w:t>
            </w:r>
          </w:p>
          <w:p>
            <w:pPr>
              <w:adjustRightInd w:val="0"/>
              <w:snapToGrid w:val="0"/>
              <w:spacing w:line="360" w:lineRule="auto"/>
              <w:jc w:val="center"/>
              <w:rPr>
                <w:rFonts w:ascii="宋体" w:hAnsi="宋体" w:cs="宋体"/>
                <w:bCs/>
                <w:sz w:val="21"/>
                <w:szCs w:val="21"/>
              </w:rPr>
            </w:pPr>
            <w:r>
              <w:rPr>
                <w:rFonts w:hint="eastAsia" w:ascii="宋体" w:hAnsi="宋体" w:cs="宋体"/>
                <w:bCs/>
                <w:sz w:val="21"/>
                <w:szCs w:val="21"/>
              </w:rPr>
              <w:t>保护</w:t>
            </w:r>
          </w:p>
          <w:p>
            <w:pPr>
              <w:adjustRightInd w:val="0"/>
              <w:snapToGrid w:val="0"/>
              <w:spacing w:line="360" w:lineRule="auto"/>
              <w:jc w:val="center"/>
              <w:rPr>
                <w:rFonts w:ascii="宋体" w:hAnsi="宋体" w:cs="宋体"/>
                <w:bCs/>
                <w:sz w:val="21"/>
                <w:szCs w:val="21"/>
              </w:rPr>
            </w:pPr>
            <w:r>
              <w:rPr>
                <w:rFonts w:hint="eastAsia" w:ascii="宋体" w:hAnsi="宋体" w:cs="宋体"/>
                <w:bCs/>
                <w:sz w:val="21"/>
                <w:szCs w:val="21"/>
              </w:rPr>
              <w:t>措施</w:t>
            </w:r>
          </w:p>
        </w:tc>
        <w:tc>
          <w:tcPr>
            <w:tcW w:w="8162" w:type="dxa"/>
            <w:vAlign w:val="center"/>
          </w:tcPr>
          <w:p>
            <w:pPr>
              <w:spacing w:line="360" w:lineRule="auto"/>
              <w:ind w:firstLine="420" w:firstLineChars="200"/>
              <w:rPr>
                <w:sz w:val="21"/>
                <w:szCs w:val="21"/>
              </w:rPr>
            </w:pPr>
            <w:r>
              <w:rPr>
                <w:sz w:val="21"/>
                <w:szCs w:val="21"/>
              </w:rPr>
              <w:t>1、</w:t>
            </w:r>
            <w:r>
              <w:rPr>
                <w:rFonts w:hint="eastAsia"/>
                <w:sz w:val="21"/>
                <w:szCs w:val="21"/>
              </w:rPr>
              <w:t>运营期废气</w:t>
            </w:r>
          </w:p>
          <w:p>
            <w:pPr>
              <w:spacing w:line="360" w:lineRule="auto"/>
              <w:ind w:firstLine="420" w:firstLineChars="200"/>
              <w:rPr>
                <w:sz w:val="21"/>
                <w:szCs w:val="21"/>
              </w:rPr>
            </w:pPr>
            <w:r>
              <w:rPr>
                <w:rFonts w:hint="eastAsia"/>
                <w:sz w:val="21"/>
                <w:szCs w:val="21"/>
              </w:rPr>
              <w:t>项目运营期产生废气主要为污水处理站产生恶臭气体以及食堂油烟，污水处理站建设采取地埋一体化，并采取投放除臭剂等措施；食堂油烟经高效油烟净化器处理后，由专用烟道引至房顶排放，不侧排。项目废气污染物经有效措施治理后对周边环境影响较小。</w:t>
            </w:r>
          </w:p>
          <w:p>
            <w:pPr>
              <w:adjustRightInd w:val="0"/>
              <w:snapToGrid w:val="0"/>
              <w:spacing w:line="360" w:lineRule="auto"/>
              <w:ind w:firstLine="420" w:firstLineChars="200"/>
              <w:rPr>
                <w:sz w:val="21"/>
                <w:szCs w:val="21"/>
              </w:rPr>
            </w:pPr>
            <w:r>
              <w:rPr>
                <w:rFonts w:hint="eastAsia"/>
                <w:sz w:val="21"/>
                <w:szCs w:val="21"/>
              </w:rPr>
              <w:t>废气产排污节点、污染物及污染物治理信息见下</w:t>
            </w:r>
            <w:r>
              <w:rPr>
                <w:sz w:val="21"/>
                <w:szCs w:val="21"/>
              </w:rPr>
              <w:t>表。</w:t>
            </w:r>
          </w:p>
          <w:p>
            <w:pPr>
              <w:adjustRightInd w:val="0"/>
              <w:snapToGrid w:val="0"/>
              <w:spacing w:line="360" w:lineRule="auto"/>
              <w:jc w:val="center"/>
              <w:rPr>
                <w:b/>
                <w:bCs/>
                <w:sz w:val="21"/>
                <w:szCs w:val="21"/>
              </w:rPr>
            </w:pPr>
            <w:r>
              <w:rPr>
                <w:b/>
                <w:bCs/>
                <w:sz w:val="21"/>
                <w:szCs w:val="21"/>
              </w:rPr>
              <w:t>表4-1 废气产排污节点、污染物及污染治理设施信息表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9"/>
              <w:gridCol w:w="76"/>
              <w:gridCol w:w="2357"/>
              <w:gridCol w:w="5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75" w:type="pct"/>
                  <w:gridSpan w:val="3"/>
                  <w:vAlign w:val="center"/>
                </w:tcPr>
                <w:p>
                  <w:pPr>
                    <w:adjustRightInd w:val="0"/>
                    <w:snapToGrid w:val="0"/>
                    <w:spacing w:line="320" w:lineRule="exact"/>
                    <w:jc w:val="center"/>
                    <w:rPr>
                      <w:sz w:val="21"/>
                      <w:szCs w:val="21"/>
                    </w:rPr>
                  </w:pPr>
                  <w:r>
                    <w:rPr>
                      <w:sz w:val="21"/>
                      <w:szCs w:val="21"/>
                    </w:rPr>
                    <w:t>排放形式</w:t>
                  </w:r>
                </w:p>
              </w:tc>
              <w:tc>
                <w:tcPr>
                  <w:tcW w:w="3224" w:type="pct"/>
                  <w:vAlign w:val="center"/>
                </w:tcPr>
                <w:p>
                  <w:pPr>
                    <w:adjustRightInd w:val="0"/>
                    <w:snapToGrid w:val="0"/>
                    <w:spacing w:line="320" w:lineRule="exact"/>
                    <w:jc w:val="center"/>
                    <w:rPr>
                      <w:sz w:val="21"/>
                      <w:szCs w:val="21"/>
                    </w:rPr>
                  </w:pPr>
                  <w:r>
                    <w:rPr>
                      <w:rFonts w:hint="eastAsia"/>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75" w:type="pct"/>
                  <w:gridSpan w:val="3"/>
                  <w:vAlign w:val="center"/>
                </w:tcPr>
                <w:p>
                  <w:pPr>
                    <w:adjustRightInd w:val="0"/>
                    <w:snapToGrid w:val="0"/>
                    <w:spacing w:line="320" w:lineRule="exact"/>
                    <w:jc w:val="center"/>
                    <w:rPr>
                      <w:sz w:val="21"/>
                      <w:szCs w:val="21"/>
                    </w:rPr>
                  </w:pPr>
                  <w:r>
                    <w:rPr>
                      <w:sz w:val="21"/>
                      <w:szCs w:val="21"/>
                    </w:rPr>
                    <w:t>产排污设施</w:t>
                  </w:r>
                </w:p>
              </w:tc>
              <w:tc>
                <w:tcPr>
                  <w:tcW w:w="3224" w:type="pct"/>
                  <w:vAlign w:val="center"/>
                </w:tcPr>
                <w:p>
                  <w:pPr>
                    <w:adjustRightInd w:val="0"/>
                    <w:snapToGrid w:val="0"/>
                    <w:spacing w:line="320" w:lineRule="exact"/>
                    <w:jc w:val="center"/>
                    <w:rPr>
                      <w:sz w:val="21"/>
                      <w:szCs w:val="21"/>
                    </w:rPr>
                  </w:pPr>
                  <w:r>
                    <w:rPr>
                      <w:rFonts w:hint="eastAsia"/>
                      <w:sz w:val="21"/>
                      <w:szCs w:val="21"/>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75" w:type="pct"/>
                  <w:gridSpan w:val="3"/>
                  <w:vAlign w:val="center"/>
                </w:tcPr>
                <w:p>
                  <w:pPr>
                    <w:adjustRightInd w:val="0"/>
                    <w:snapToGrid w:val="0"/>
                    <w:spacing w:line="320" w:lineRule="exact"/>
                    <w:jc w:val="center"/>
                    <w:rPr>
                      <w:sz w:val="21"/>
                      <w:szCs w:val="21"/>
                    </w:rPr>
                  </w:pPr>
                  <w:r>
                    <w:rPr>
                      <w:sz w:val="21"/>
                      <w:szCs w:val="21"/>
                    </w:rPr>
                    <w:t>产排污环节</w:t>
                  </w:r>
                </w:p>
              </w:tc>
              <w:tc>
                <w:tcPr>
                  <w:tcW w:w="3224" w:type="pct"/>
                  <w:vAlign w:val="center"/>
                </w:tcPr>
                <w:p>
                  <w:pPr>
                    <w:adjustRightInd w:val="0"/>
                    <w:snapToGrid w:val="0"/>
                    <w:spacing w:line="320" w:lineRule="exact"/>
                    <w:jc w:val="center"/>
                    <w:rPr>
                      <w:sz w:val="21"/>
                      <w:szCs w:val="21"/>
                    </w:rPr>
                  </w:pPr>
                  <w:r>
                    <w:rPr>
                      <w:rFonts w:hint="eastAsia"/>
                      <w:sz w:val="21"/>
                      <w:szCs w:val="21"/>
                    </w:rPr>
                    <w:t>格栅、调节池、生物接触氧化、混凝沉淀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75" w:type="pct"/>
                  <w:gridSpan w:val="3"/>
                  <w:vAlign w:val="center"/>
                </w:tcPr>
                <w:p>
                  <w:pPr>
                    <w:adjustRightInd w:val="0"/>
                    <w:snapToGrid w:val="0"/>
                    <w:spacing w:line="320" w:lineRule="exact"/>
                    <w:jc w:val="center"/>
                    <w:rPr>
                      <w:sz w:val="21"/>
                      <w:szCs w:val="21"/>
                    </w:rPr>
                  </w:pPr>
                  <w:r>
                    <w:rPr>
                      <w:sz w:val="21"/>
                      <w:szCs w:val="21"/>
                    </w:rPr>
                    <w:t>污染物种类</w:t>
                  </w:r>
                </w:p>
              </w:tc>
              <w:tc>
                <w:tcPr>
                  <w:tcW w:w="3224" w:type="pct"/>
                  <w:vAlign w:val="center"/>
                </w:tcPr>
                <w:p>
                  <w:pPr>
                    <w:adjustRightInd w:val="0"/>
                    <w:snapToGrid w:val="0"/>
                    <w:spacing w:line="320" w:lineRule="exact"/>
                    <w:jc w:val="center"/>
                    <w:rPr>
                      <w:sz w:val="21"/>
                      <w:szCs w:val="21"/>
                    </w:rPr>
                  </w:pPr>
                  <w:r>
                    <w:rPr>
                      <w:rFonts w:hint="eastAsia"/>
                      <w:sz w:val="21"/>
                      <w:szCs w:val="21"/>
                    </w:rPr>
                    <w:t>氨、硫化氢、臭气浓度、氯气、甲烷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75" w:type="pct"/>
                  <w:gridSpan w:val="3"/>
                  <w:vAlign w:val="center"/>
                </w:tcPr>
                <w:p>
                  <w:pPr>
                    <w:adjustRightInd w:val="0"/>
                    <w:snapToGrid w:val="0"/>
                    <w:spacing w:line="320" w:lineRule="exact"/>
                    <w:jc w:val="center"/>
                    <w:rPr>
                      <w:sz w:val="21"/>
                      <w:szCs w:val="21"/>
                    </w:rPr>
                  </w:pPr>
                  <w:r>
                    <w:rPr>
                      <w:sz w:val="21"/>
                      <w:szCs w:val="21"/>
                    </w:rPr>
                    <w:t>污染物产生量</w:t>
                  </w:r>
                </w:p>
              </w:tc>
              <w:tc>
                <w:tcPr>
                  <w:tcW w:w="3224" w:type="pct"/>
                  <w:vAlign w:val="center"/>
                </w:tcPr>
                <w:p>
                  <w:pPr>
                    <w:adjustRightInd w:val="0"/>
                    <w:snapToGrid w:val="0"/>
                    <w:spacing w:line="320" w:lineRule="exact"/>
                    <w:jc w:val="center"/>
                    <w:rPr>
                      <w:sz w:val="21"/>
                      <w:szCs w:val="21"/>
                    </w:rPr>
                  </w:pPr>
                  <w:r>
                    <w:rPr>
                      <w:rFonts w:hint="eastAsia"/>
                      <w:sz w:val="21"/>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75" w:type="pct"/>
                  <w:gridSpan w:val="3"/>
                  <w:vAlign w:val="center"/>
                </w:tcPr>
                <w:p>
                  <w:pPr>
                    <w:adjustRightInd w:val="0"/>
                    <w:snapToGrid w:val="0"/>
                    <w:spacing w:line="320" w:lineRule="exact"/>
                    <w:jc w:val="center"/>
                    <w:rPr>
                      <w:sz w:val="21"/>
                      <w:szCs w:val="21"/>
                    </w:rPr>
                  </w:pPr>
                  <w:r>
                    <w:rPr>
                      <w:sz w:val="21"/>
                      <w:szCs w:val="21"/>
                    </w:rPr>
                    <w:t>污染物产生</w:t>
                  </w:r>
                  <w:r>
                    <w:rPr>
                      <w:rFonts w:hint="eastAsia"/>
                      <w:sz w:val="21"/>
                      <w:szCs w:val="21"/>
                    </w:rPr>
                    <w:t>速率</w:t>
                  </w:r>
                </w:p>
              </w:tc>
              <w:tc>
                <w:tcPr>
                  <w:tcW w:w="3224" w:type="pct"/>
                  <w:vAlign w:val="center"/>
                </w:tcPr>
                <w:p>
                  <w:pPr>
                    <w:adjustRightInd w:val="0"/>
                    <w:snapToGrid w:val="0"/>
                    <w:spacing w:line="320" w:lineRule="exact"/>
                    <w:jc w:val="center"/>
                    <w:rPr>
                      <w:sz w:val="21"/>
                      <w:szCs w:val="21"/>
                    </w:rPr>
                  </w:pPr>
                  <w:r>
                    <w:rPr>
                      <w:rFonts w:hint="eastAsia"/>
                      <w:sz w:val="21"/>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75" w:type="pct"/>
                  <w:gridSpan w:val="3"/>
                  <w:vAlign w:val="center"/>
                </w:tcPr>
                <w:p>
                  <w:pPr>
                    <w:adjustRightInd w:val="0"/>
                    <w:snapToGrid w:val="0"/>
                    <w:spacing w:line="320" w:lineRule="exact"/>
                    <w:jc w:val="center"/>
                    <w:rPr>
                      <w:sz w:val="21"/>
                      <w:szCs w:val="21"/>
                    </w:rPr>
                  </w:pPr>
                  <w:r>
                    <w:rPr>
                      <w:rFonts w:hint="eastAsia"/>
                      <w:sz w:val="21"/>
                      <w:szCs w:val="21"/>
                    </w:rPr>
                    <w:t>排放标准</w:t>
                  </w:r>
                </w:p>
              </w:tc>
              <w:tc>
                <w:tcPr>
                  <w:tcW w:w="3224" w:type="pct"/>
                  <w:vAlign w:val="center"/>
                </w:tcPr>
                <w:p>
                  <w:pPr>
                    <w:adjustRightInd w:val="0"/>
                    <w:snapToGrid w:val="0"/>
                    <w:spacing w:line="320" w:lineRule="exact"/>
                    <w:jc w:val="center"/>
                    <w:rPr>
                      <w:sz w:val="21"/>
                      <w:szCs w:val="21"/>
                    </w:rPr>
                  </w:pPr>
                  <w:r>
                    <w:rPr>
                      <w:rFonts w:hint="eastAsia"/>
                      <w:sz w:val="21"/>
                      <w:szCs w:val="21"/>
                    </w:rPr>
                    <w:t>《医疗机构水污染物排放标准》（GB 18466-2005）表3中污水预处理站周边大气污染物最高允许浓度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34" w:type="pct"/>
                  <w:vMerge w:val="restart"/>
                  <w:vAlign w:val="center"/>
                </w:tcPr>
                <w:p>
                  <w:pPr>
                    <w:adjustRightInd w:val="0"/>
                    <w:snapToGrid w:val="0"/>
                    <w:spacing w:line="320" w:lineRule="exact"/>
                    <w:jc w:val="center"/>
                    <w:rPr>
                      <w:sz w:val="21"/>
                      <w:szCs w:val="21"/>
                    </w:rPr>
                  </w:pPr>
                  <w:r>
                    <w:rPr>
                      <w:sz w:val="21"/>
                      <w:szCs w:val="21"/>
                    </w:rPr>
                    <w:t>治理设施</w:t>
                  </w:r>
                </w:p>
              </w:tc>
              <w:tc>
                <w:tcPr>
                  <w:tcW w:w="1541" w:type="pct"/>
                  <w:gridSpan w:val="2"/>
                  <w:vAlign w:val="center"/>
                </w:tcPr>
                <w:p>
                  <w:pPr>
                    <w:adjustRightInd w:val="0"/>
                    <w:snapToGrid w:val="0"/>
                    <w:spacing w:line="320" w:lineRule="exact"/>
                    <w:jc w:val="center"/>
                    <w:rPr>
                      <w:sz w:val="21"/>
                      <w:szCs w:val="21"/>
                    </w:rPr>
                  </w:pPr>
                  <w:r>
                    <w:rPr>
                      <w:sz w:val="21"/>
                      <w:szCs w:val="21"/>
                    </w:rPr>
                    <w:t>治理设施名称</w:t>
                  </w:r>
                </w:p>
              </w:tc>
              <w:tc>
                <w:tcPr>
                  <w:tcW w:w="3222" w:type="pct"/>
                  <w:vAlign w:val="center"/>
                </w:tcPr>
                <w:p>
                  <w:pPr>
                    <w:adjustRightInd w:val="0"/>
                    <w:snapToGrid w:val="0"/>
                    <w:spacing w:line="320" w:lineRule="exact"/>
                    <w:jc w:val="center"/>
                    <w:rPr>
                      <w:sz w:val="21"/>
                      <w:szCs w:val="21"/>
                    </w:rPr>
                  </w:pPr>
                  <w:r>
                    <w:rPr>
                      <w:rFonts w:hint="eastAsia"/>
                      <w:sz w:val="21"/>
                      <w:szCs w:val="21"/>
                    </w:rPr>
                    <w:t>污水处理站加盖遮蔽、投放除臭剂；生物接触氧化、混凝沉淀设备采取地埋一体化，废气不外排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34" w:type="pct"/>
                  <w:vMerge w:val="continue"/>
                  <w:vAlign w:val="center"/>
                </w:tcPr>
                <w:p>
                  <w:pPr>
                    <w:adjustRightInd w:val="0"/>
                    <w:snapToGrid w:val="0"/>
                    <w:spacing w:line="320" w:lineRule="exact"/>
                    <w:jc w:val="center"/>
                    <w:rPr>
                      <w:sz w:val="21"/>
                      <w:szCs w:val="21"/>
                    </w:rPr>
                  </w:pPr>
                </w:p>
              </w:tc>
              <w:tc>
                <w:tcPr>
                  <w:tcW w:w="1541" w:type="pct"/>
                  <w:gridSpan w:val="2"/>
                  <w:vAlign w:val="center"/>
                </w:tcPr>
                <w:p>
                  <w:pPr>
                    <w:adjustRightInd w:val="0"/>
                    <w:snapToGrid w:val="0"/>
                    <w:spacing w:line="320" w:lineRule="exact"/>
                    <w:jc w:val="center"/>
                    <w:rPr>
                      <w:sz w:val="21"/>
                      <w:szCs w:val="21"/>
                    </w:rPr>
                  </w:pPr>
                  <w:r>
                    <w:rPr>
                      <w:sz w:val="21"/>
                      <w:szCs w:val="21"/>
                    </w:rPr>
                    <w:t>处理能力</w:t>
                  </w:r>
                </w:p>
              </w:tc>
              <w:tc>
                <w:tcPr>
                  <w:tcW w:w="3222" w:type="pct"/>
                  <w:vAlign w:val="center"/>
                </w:tcPr>
                <w:p>
                  <w:pPr>
                    <w:adjustRightInd w:val="0"/>
                    <w:snapToGrid w:val="0"/>
                    <w:spacing w:line="320" w:lineRule="exact"/>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34" w:type="pct"/>
                  <w:vMerge w:val="continue"/>
                  <w:vAlign w:val="center"/>
                </w:tcPr>
                <w:p>
                  <w:pPr>
                    <w:adjustRightInd w:val="0"/>
                    <w:snapToGrid w:val="0"/>
                    <w:spacing w:line="320" w:lineRule="exact"/>
                    <w:jc w:val="center"/>
                    <w:rPr>
                      <w:sz w:val="21"/>
                      <w:szCs w:val="21"/>
                    </w:rPr>
                  </w:pPr>
                </w:p>
              </w:tc>
              <w:tc>
                <w:tcPr>
                  <w:tcW w:w="1541" w:type="pct"/>
                  <w:gridSpan w:val="2"/>
                  <w:vAlign w:val="center"/>
                </w:tcPr>
                <w:p>
                  <w:pPr>
                    <w:adjustRightInd w:val="0"/>
                    <w:snapToGrid w:val="0"/>
                    <w:spacing w:line="320" w:lineRule="exact"/>
                    <w:jc w:val="center"/>
                    <w:rPr>
                      <w:sz w:val="21"/>
                      <w:szCs w:val="21"/>
                    </w:rPr>
                  </w:pPr>
                  <w:r>
                    <w:rPr>
                      <w:sz w:val="21"/>
                      <w:szCs w:val="21"/>
                    </w:rPr>
                    <w:t>收集效率</w:t>
                  </w:r>
                </w:p>
              </w:tc>
              <w:tc>
                <w:tcPr>
                  <w:tcW w:w="3222" w:type="pct"/>
                  <w:vAlign w:val="center"/>
                </w:tcPr>
                <w:p>
                  <w:pPr>
                    <w:adjustRightInd w:val="0"/>
                    <w:snapToGrid w:val="0"/>
                    <w:spacing w:line="320" w:lineRule="exact"/>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34" w:type="pct"/>
                  <w:vMerge w:val="continue"/>
                  <w:vAlign w:val="center"/>
                </w:tcPr>
                <w:p>
                  <w:pPr>
                    <w:adjustRightInd w:val="0"/>
                    <w:snapToGrid w:val="0"/>
                    <w:spacing w:line="320" w:lineRule="exact"/>
                    <w:jc w:val="center"/>
                    <w:rPr>
                      <w:sz w:val="21"/>
                      <w:szCs w:val="21"/>
                    </w:rPr>
                  </w:pPr>
                </w:p>
              </w:tc>
              <w:tc>
                <w:tcPr>
                  <w:tcW w:w="1541" w:type="pct"/>
                  <w:gridSpan w:val="2"/>
                  <w:vAlign w:val="center"/>
                </w:tcPr>
                <w:p>
                  <w:pPr>
                    <w:adjustRightInd w:val="0"/>
                    <w:snapToGrid w:val="0"/>
                    <w:spacing w:line="320" w:lineRule="exact"/>
                    <w:jc w:val="center"/>
                    <w:rPr>
                      <w:sz w:val="21"/>
                      <w:szCs w:val="21"/>
                    </w:rPr>
                  </w:pPr>
                  <w:r>
                    <w:rPr>
                      <w:sz w:val="21"/>
                      <w:szCs w:val="21"/>
                    </w:rPr>
                    <w:t>治理工艺去除效率</w:t>
                  </w:r>
                </w:p>
              </w:tc>
              <w:tc>
                <w:tcPr>
                  <w:tcW w:w="3222" w:type="pct"/>
                  <w:vAlign w:val="center"/>
                </w:tcPr>
                <w:p>
                  <w:pPr>
                    <w:adjustRightInd w:val="0"/>
                    <w:snapToGrid w:val="0"/>
                    <w:spacing w:line="320" w:lineRule="exact"/>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34" w:type="pct"/>
                  <w:vMerge w:val="continue"/>
                  <w:vAlign w:val="center"/>
                </w:tcPr>
                <w:p>
                  <w:pPr>
                    <w:adjustRightInd w:val="0"/>
                    <w:snapToGrid w:val="0"/>
                    <w:spacing w:line="320" w:lineRule="exact"/>
                    <w:jc w:val="center"/>
                    <w:rPr>
                      <w:sz w:val="21"/>
                      <w:szCs w:val="21"/>
                    </w:rPr>
                  </w:pPr>
                </w:p>
              </w:tc>
              <w:tc>
                <w:tcPr>
                  <w:tcW w:w="1541" w:type="pct"/>
                  <w:gridSpan w:val="2"/>
                  <w:vAlign w:val="center"/>
                </w:tcPr>
                <w:p>
                  <w:pPr>
                    <w:adjustRightInd w:val="0"/>
                    <w:snapToGrid w:val="0"/>
                    <w:spacing w:line="320" w:lineRule="exact"/>
                    <w:jc w:val="center"/>
                    <w:rPr>
                      <w:sz w:val="21"/>
                      <w:szCs w:val="21"/>
                    </w:rPr>
                  </w:pPr>
                  <w:r>
                    <w:rPr>
                      <w:sz w:val="21"/>
                      <w:szCs w:val="21"/>
                    </w:rPr>
                    <w:t>是否为可行技术</w:t>
                  </w:r>
                </w:p>
              </w:tc>
              <w:tc>
                <w:tcPr>
                  <w:tcW w:w="3222" w:type="pct"/>
                  <w:vAlign w:val="center"/>
                </w:tcPr>
                <w:p>
                  <w:pPr>
                    <w:adjustRightInd w:val="0"/>
                    <w:snapToGrid w:val="0"/>
                    <w:spacing w:line="320" w:lineRule="exact"/>
                    <w:jc w:val="center"/>
                    <w:rPr>
                      <w:sz w:val="21"/>
                      <w:szCs w:val="21"/>
                    </w:rPr>
                  </w:pPr>
                  <w:r>
                    <w:rPr>
                      <w:rFonts w:hint="eastAsia"/>
                      <w:sz w:val="21"/>
                      <w:szCs w:val="21"/>
                    </w:rPr>
                    <w:t>加盖遮蔽、投放除臭剂，为《排污许可证申请与核发技术规范 医疗机构》（HJ 1105-2020）中可行性技术。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75" w:type="pct"/>
                  <w:gridSpan w:val="3"/>
                  <w:vAlign w:val="center"/>
                </w:tcPr>
                <w:p>
                  <w:pPr>
                    <w:adjustRightInd w:val="0"/>
                    <w:snapToGrid w:val="0"/>
                    <w:spacing w:line="320" w:lineRule="exact"/>
                    <w:jc w:val="center"/>
                    <w:rPr>
                      <w:sz w:val="21"/>
                      <w:szCs w:val="21"/>
                    </w:rPr>
                  </w:pPr>
                  <w:r>
                    <w:rPr>
                      <w:sz w:val="21"/>
                      <w:szCs w:val="21"/>
                    </w:rPr>
                    <w:t>污染物排放浓度（速率）、排放量</w:t>
                  </w:r>
                </w:p>
              </w:tc>
              <w:tc>
                <w:tcPr>
                  <w:tcW w:w="3222" w:type="pct"/>
                  <w:vAlign w:val="center"/>
                </w:tcPr>
                <w:p>
                  <w:pPr>
                    <w:adjustRightInd w:val="0"/>
                    <w:snapToGrid w:val="0"/>
                    <w:spacing w:line="320" w:lineRule="exact"/>
                    <w:jc w:val="center"/>
                    <w:rPr>
                      <w:sz w:val="21"/>
                      <w:szCs w:val="21"/>
                    </w:rPr>
                  </w:pPr>
                  <w:r>
                    <w:rPr>
                      <w:rFonts w:hint="eastAsia"/>
                      <w:sz w:val="21"/>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75" w:type="pct"/>
                  <w:gridSpan w:val="3"/>
                  <w:vAlign w:val="center"/>
                </w:tcPr>
                <w:p>
                  <w:pPr>
                    <w:adjustRightInd w:val="0"/>
                    <w:snapToGrid w:val="0"/>
                    <w:spacing w:line="320" w:lineRule="exact"/>
                    <w:jc w:val="center"/>
                    <w:rPr>
                      <w:sz w:val="21"/>
                      <w:szCs w:val="21"/>
                    </w:rPr>
                  </w:pPr>
                  <w:r>
                    <w:rPr>
                      <w:sz w:val="21"/>
                      <w:szCs w:val="21"/>
                    </w:rPr>
                    <w:t>排放形式</w:t>
                  </w:r>
                </w:p>
              </w:tc>
              <w:tc>
                <w:tcPr>
                  <w:tcW w:w="3222" w:type="pct"/>
                  <w:vAlign w:val="center"/>
                </w:tcPr>
                <w:p>
                  <w:pPr>
                    <w:adjustRightInd w:val="0"/>
                    <w:snapToGrid w:val="0"/>
                    <w:spacing w:line="320" w:lineRule="exact"/>
                    <w:jc w:val="center"/>
                    <w:rPr>
                      <w:sz w:val="21"/>
                      <w:szCs w:val="21"/>
                    </w:rPr>
                  </w:pPr>
                  <w:r>
                    <w:rPr>
                      <w:rFonts w:hint="eastAsia"/>
                      <w:sz w:val="21"/>
                      <w:szCs w:val="21"/>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75" w:type="pct"/>
                  <w:gridSpan w:val="3"/>
                  <w:vAlign w:val="center"/>
                </w:tcPr>
                <w:p>
                  <w:pPr>
                    <w:adjustRightInd w:val="0"/>
                    <w:snapToGrid w:val="0"/>
                    <w:spacing w:line="320" w:lineRule="exact"/>
                    <w:jc w:val="center"/>
                    <w:rPr>
                      <w:sz w:val="21"/>
                      <w:szCs w:val="21"/>
                    </w:rPr>
                  </w:pPr>
                  <w:r>
                    <w:rPr>
                      <w:sz w:val="21"/>
                      <w:szCs w:val="21"/>
                    </w:rPr>
                    <w:t>产排污设施</w:t>
                  </w:r>
                </w:p>
              </w:tc>
              <w:tc>
                <w:tcPr>
                  <w:tcW w:w="3222" w:type="pct"/>
                  <w:vAlign w:val="center"/>
                </w:tcPr>
                <w:p>
                  <w:pPr>
                    <w:adjustRightInd w:val="0"/>
                    <w:snapToGrid w:val="0"/>
                    <w:spacing w:line="320" w:lineRule="exact"/>
                    <w:jc w:val="center"/>
                    <w:rPr>
                      <w:sz w:val="21"/>
                      <w:szCs w:val="21"/>
                    </w:rPr>
                  </w:pPr>
                  <w:r>
                    <w:rPr>
                      <w:rFonts w:hint="eastAsia"/>
                      <w:sz w:val="21"/>
                      <w:szCs w:val="21"/>
                    </w:rPr>
                    <w:t>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75" w:type="pct"/>
                  <w:gridSpan w:val="3"/>
                  <w:vAlign w:val="center"/>
                </w:tcPr>
                <w:p>
                  <w:pPr>
                    <w:adjustRightInd w:val="0"/>
                    <w:snapToGrid w:val="0"/>
                    <w:spacing w:line="320" w:lineRule="exact"/>
                    <w:jc w:val="center"/>
                    <w:rPr>
                      <w:sz w:val="21"/>
                      <w:szCs w:val="21"/>
                    </w:rPr>
                  </w:pPr>
                  <w:r>
                    <w:rPr>
                      <w:sz w:val="21"/>
                      <w:szCs w:val="21"/>
                    </w:rPr>
                    <w:t>产排污环节</w:t>
                  </w:r>
                </w:p>
              </w:tc>
              <w:tc>
                <w:tcPr>
                  <w:tcW w:w="3222" w:type="pct"/>
                  <w:vAlign w:val="center"/>
                </w:tcPr>
                <w:p>
                  <w:pPr>
                    <w:adjustRightInd w:val="0"/>
                    <w:snapToGrid w:val="0"/>
                    <w:spacing w:line="320" w:lineRule="exact"/>
                    <w:jc w:val="center"/>
                    <w:rPr>
                      <w:sz w:val="21"/>
                      <w:szCs w:val="21"/>
                    </w:rPr>
                  </w:pPr>
                  <w:r>
                    <w:rPr>
                      <w:rFonts w:hint="eastAsia"/>
                      <w:sz w:val="21"/>
                      <w:szCs w:val="21"/>
                    </w:rPr>
                    <w:t>食堂灶台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75" w:type="pct"/>
                  <w:gridSpan w:val="3"/>
                  <w:vAlign w:val="center"/>
                </w:tcPr>
                <w:p>
                  <w:pPr>
                    <w:adjustRightInd w:val="0"/>
                    <w:snapToGrid w:val="0"/>
                    <w:spacing w:line="320" w:lineRule="exact"/>
                    <w:jc w:val="center"/>
                    <w:rPr>
                      <w:sz w:val="21"/>
                      <w:szCs w:val="21"/>
                    </w:rPr>
                  </w:pPr>
                  <w:r>
                    <w:rPr>
                      <w:sz w:val="21"/>
                      <w:szCs w:val="21"/>
                    </w:rPr>
                    <w:t>污染物种类</w:t>
                  </w:r>
                </w:p>
              </w:tc>
              <w:tc>
                <w:tcPr>
                  <w:tcW w:w="3222" w:type="pct"/>
                  <w:vAlign w:val="center"/>
                </w:tcPr>
                <w:p>
                  <w:pPr>
                    <w:adjustRightInd w:val="0"/>
                    <w:snapToGrid w:val="0"/>
                    <w:spacing w:line="320" w:lineRule="exact"/>
                    <w:jc w:val="center"/>
                    <w:rPr>
                      <w:sz w:val="21"/>
                      <w:szCs w:val="21"/>
                    </w:rPr>
                  </w:pPr>
                  <w:r>
                    <w:rPr>
                      <w:rFonts w:hint="eastAsia"/>
                      <w:sz w:val="21"/>
                      <w:szCs w:val="21"/>
                    </w:rPr>
                    <w:t>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75" w:type="pct"/>
                  <w:gridSpan w:val="3"/>
                  <w:vAlign w:val="center"/>
                </w:tcPr>
                <w:p>
                  <w:pPr>
                    <w:adjustRightInd w:val="0"/>
                    <w:snapToGrid w:val="0"/>
                    <w:spacing w:line="320" w:lineRule="exact"/>
                    <w:jc w:val="center"/>
                    <w:rPr>
                      <w:sz w:val="21"/>
                      <w:szCs w:val="21"/>
                    </w:rPr>
                  </w:pPr>
                  <w:r>
                    <w:rPr>
                      <w:sz w:val="21"/>
                      <w:szCs w:val="21"/>
                    </w:rPr>
                    <w:t>污染物产生量</w:t>
                  </w:r>
                </w:p>
              </w:tc>
              <w:tc>
                <w:tcPr>
                  <w:tcW w:w="3222" w:type="pct"/>
                  <w:vAlign w:val="center"/>
                </w:tcPr>
                <w:p>
                  <w:pPr>
                    <w:adjustRightInd w:val="0"/>
                    <w:snapToGrid w:val="0"/>
                    <w:spacing w:line="320" w:lineRule="exact"/>
                    <w:jc w:val="center"/>
                    <w:rPr>
                      <w:sz w:val="21"/>
                      <w:szCs w:val="21"/>
                    </w:rPr>
                  </w:pPr>
                  <w:r>
                    <w:rPr>
                      <w:rFonts w:hint="eastAsia"/>
                      <w:sz w:val="21"/>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75" w:type="pct"/>
                  <w:gridSpan w:val="3"/>
                  <w:vAlign w:val="center"/>
                </w:tcPr>
                <w:p>
                  <w:pPr>
                    <w:adjustRightInd w:val="0"/>
                    <w:snapToGrid w:val="0"/>
                    <w:spacing w:line="320" w:lineRule="exact"/>
                    <w:jc w:val="center"/>
                    <w:rPr>
                      <w:sz w:val="21"/>
                      <w:szCs w:val="21"/>
                    </w:rPr>
                  </w:pPr>
                  <w:r>
                    <w:rPr>
                      <w:sz w:val="21"/>
                      <w:szCs w:val="21"/>
                    </w:rPr>
                    <w:t>污染物产生</w:t>
                  </w:r>
                  <w:r>
                    <w:rPr>
                      <w:rFonts w:hint="eastAsia"/>
                      <w:sz w:val="21"/>
                      <w:szCs w:val="21"/>
                    </w:rPr>
                    <w:t>速率</w:t>
                  </w:r>
                </w:p>
              </w:tc>
              <w:tc>
                <w:tcPr>
                  <w:tcW w:w="3222" w:type="pct"/>
                  <w:vAlign w:val="center"/>
                </w:tcPr>
                <w:p>
                  <w:pPr>
                    <w:adjustRightInd w:val="0"/>
                    <w:snapToGrid w:val="0"/>
                    <w:spacing w:line="320" w:lineRule="exact"/>
                    <w:jc w:val="center"/>
                    <w:rPr>
                      <w:sz w:val="21"/>
                      <w:szCs w:val="21"/>
                    </w:rPr>
                  </w:pPr>
                  <w:r>
                    <w:rPr>
                      <w:rFonts w:hint="eastAsia"/>
                      <w:sz w:val="21"/>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75" w:type="pct"/>
                  <w:gridSpan w:val="3"/>
                  <w:vAlign w:val="center"/>
                </w:tcPr>
                <w:p>
                  <w:pPr>
                    <w:adjustRightInd w:val="0"/>
                    <w:snapToGrid w:val="0"/>
                    <w:spacing w:line="320" w:lineRule="exact"/>
                    <w:jc w:val="center"/>
                    <w:rPr>
                      <w:sz w:val="21"/>
                      <w:szCs w:val="21"/>
                    </w:rPr>
                  </w:pPr>
                  <w:r>
                    <w:rPr>
                      <w:rFonts w:hint="eastAsia"/>
                      <w:sz w:val="21"/>
                      <w:szCs w:val="21"/>
                    </w:rPr>
                    <w:t>排放标准</w:t>
                  </w:r>
                </w:p>
              </w:tc>
              <w:tc>
                <w:tcPr>
                  <w:tcW w:w="3222" w:type="pct"/>
                  <w:vAlign w:val="center"/>
                </w:tcPr>
                <w:p>
                  <w:pPr>
                    <w:adjustRightInd w:val="0"/>
                    <w:snapToGrid w:val="0"/>
                    <w:spacing w:line="320" w:lineRule="exact"/>
                    <w:jc w:val="center"/>
                    <w:rPr>
                      <w:sz w:val="21"/>
                      <w:szCs w:val="21"/>
                    </w:rPr>
                  </w:pPr>
                  <w:r>
                    <w:rPr>
                      <w:rFonts w:hint="eastAsia"/>
                      <w:sz w:val="21"/>
                      <w:szCs w:val="21"/>
                    </w:rPr>
                    <w:t>《饮食业油烟排放标准（试行）》 （GB18483-2001）表 2 小型饮食业单位的油烟最高允许排放浓度和油烟净化设施最低去除效率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82" w:type="pct"/>
                  <w:gridSpan w:val="2"/>
                  <w:vMerge w:val="restart"/>
                  <w:vAlign w:val="center"/>
                </w:tcPr>
                <w:p>
                  <w:pPr>
                    <w:adjustRightInd w:val="0"/>
                    <w:snapToGrid w:val="0"/>
                    <w:spacing w:line="320" w:lineRule="exact"/>
                    <w:jc w:val="center"/>
                    <w:rPr>
                      <w:sz w:val="21"/>
                      <w:szCs w:val="21"/>
                    </w:rPr>
                  </w:pPr>
                  <w:r>
                    <w:rPr>
                      <w:rFonts w:hint="eastAsia"/>
                      <w:sz w:val="21"/>
                      <w:szCs w:val="21"/>
                    </w:rPr>
                    <w:t>治理措施</w:t>
                  </w:r>
                </w:p>
              </w:tc>
              <w:tc>
                <w:tcPr>
                  <w:tcW w:w="1493" w:type="pct"/>
                  <w:vAlign w:val="center"/>
                </w:tcPr>
                <w:p>
                  <w:pPr>
                    <w:adjustRightInd w:val="0"/>
                    <w:snapToGrid w:val="0"/>
                    <w:spacing w:line="320" w:lineRule="exact"/>
                    <w:jc w:val="center"/>
                    <w:rPr>
                      <w:sz w:val="21"/>
                      <w:szCs w:val="21"/>
                    </w:rPr>
                  </w:pPr>
                  <w:r>
                    <w:rPr>
                      <w:sz w:val="21"/>
                      <w:szCs w:val="21"/>
                    </w:rPr>
                    <w:t>治理设施名称</w:t>
                  </w:r>
                </w:p>
              </w:tc>
              <w:tc>
                <w:tcPr>
                  <w:tcW w:w="3222" w:type="pct"/>
                  <w:vAlign w:val="center"/>
                </w:tcPr>
                <w:p>
                  <w:pPr>
                    <w:adjustRightInd w:val="0"/>
                    <w:snapToGrid w:val="0"/>
                    <w:spacing w:line="320" w:lineRule="exact"/>
                    <w:jc w:val="center"/>
                    <w:rPr>
                      <w:sz w:val="21"/>
                      <w:szCs w:val="21"/>
                    </w:rPr>
                  </w:pPr>
                  <w:r>
                    <w:rPr>
                      <w:rFonts w:hint="eastAsia"/>
                      <w:sz w:val="21"/>
                      <w:szCs w:val="21"/>
                    </w:rPr>
                    <w:t>油烟净化器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82" w:type="pct"/>
                  <w:gridSpan w:val="2"/>
                  <w:vMerge w:val="continue"/>
                  <w:vAlign w:val="center"/>
                </w:tcPr>
                <w:p>
                  <w:pPr>
                    <w:adjustRightInd w:val="0"/>
                    <w:snapToGrid w:val="0"/>
                    <w:spacing w:line="320" w:lineRule="exact"/>
                    <w:jc w:val="center"/>
                    <w:rPr>
                      <w:sz w:val="21"/>
                      <w:szCs w:val="21"/>
                    </w:rPr>
                  </w:pPr>
                </w:p>
              </w:tc>
              <w:tc>
                <w:tcPr>
                  <w:tcW w:w="1493" w:type="pct"/>
                  <w:vAlign w:val="center"/>
                </w:tcPr>
                <w:p>
                  <w:pPr>
                    <w:adjustRightInd w:val="0"/>
                    <w:snapToGrid w:val="0"/>
                    <w:spacing w:line="320" w:lineRule="exact"/>
                    <w:jc w:val="center"/>
                    <w:rPr>
                      <w:sz w:val="21"/>
                      <w:szCs w:val="21"/>
                    </w:rPr>
                  </w:pPr>
                  <w:r>
                    <w:rPr>
                      <w:sz w:val="21"/>
                      <w:szCs w:val="21"/>
                    </w:rPr>
                    <w:t>处理能力</w:t>
                  </w:r>
                </w:p>
              </w:tc>
              <w:tc>
                <w:tcPr>
                  <w:tcW w:w="3222" w:type="pct"/>
                  <w:vAlign w:val="center"/>
                </w:tcPr>
                <w:p>
                  <w:pPr>
                    <w:adjustRightInd w:val="0"/>
                    <w:snapToGrid w:val="0"/>
                    <w:spacing w:line="320" w:lineRule="exact"/>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82" w:type="pct"/>
                  <w:gridSpan w:val="2"/>
                  <w:vMerge w:val="continue"/>
                  <w:vAlign w:val="center"/>
                </w:tcPr>
                <w:p>
                  <w:pPr>
                    <w:adjustRightInd w:val="0"/>
                    <w:snapToGrid w:val="0"/>
                    <w:spacing w:line="320" w:lineRule="exact"/>
                    <w:jc w:val="center"/>
                    <w:rPr>
                      <w:sz w:val="21"/>
                      <w:szCs w:val="21"/>
                    </w:rPr>
                  </w:pPr>
                </w:p>
              </w:tc>
              <w:tc>
                <w:tcPr>
                  <w:tcW w:w="1493" w:type="pct"/>
                  <w:vAlign w:val="center"/>
                </w:tcPr>
                <w:p>
                  <w:pPr>
                    <w:adjustRightInd w:val="0"/>
                    <w:snapToGrid w:val="0"/>
                    <w:spacing w:line="320" w:lineRule="exact"/>
                    <w:jc w:val="center"/>
                    <w:rPr>
                      <w:sz w:val="21"/>
                      <w:szCs w:val="21"/>
                    </w:rPr>
                  </w:pPr>
                  <w:r>
                    <w:rPr>
                      <w:sz w:val="21"/>
                      <w:szCs w:val="21"/>
                    </w:rPr>
                    <w:t>收集效率</w:t>
                  </w:r>
                </w:p>
              </w:tc>
              <w:tc>
                <w:tcPr>
                  <w:tcW w:w="3222" w:type="pct"/>
                  <w:vAlign w:val="center"/>
                </w:tcPr>
                <w:p>
                  <w:pPr>
                    <w:adjustRightInd w:val="0"/>
                    <w:snapToGrid w:val="0"/>
                    <w:spacing w:line="320" w:lineRule="exact"/>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82" w:type="pct"/>
                  <w:gridSpan w:val="2"/>
                  <w:vMerge w:val="continue"/>
                  <w:vAlign w:val="center"/>
                </w:tcPr>
                <w:p>
                  <w:pPr>
                    <w:adjustRightInd w:val="0"/>
                    <w:snapToGrid w:val="0"/>
                    <w:spacing w:line="320" w:lineRule="exact"/>
                    <w:jc w:val="center"/>
                    <w:rPr>
                      <w:sz w:val="21"/>
                      <w:szCs w:val="21"/>
                    </w:rPr>
                  </w:pPr>
                </w:p>
              </w:tc>
              <w:tc>
                <w:tcPr>
                  <w:tcW w:w="1493" w:type="pct"/>
                  <w:vAlign w:val="center"/>
                </w:tcPr>
                <w:p>
                  <w:pPr>
                    <w:adjustRightInd w:val="0"/>
                    <w:snapToGrid w:val="0"/>
                    <w:spacing w:line="320" w:lineRule="exact"/>
                    <w:jc w:val="center"/>
                    <w:rPr>
                      <w:sz w:val="21"/>
                      <w:szCs w:val="21"/>
                    </w:rPr>
                  </w:pPr>
                  <w:r>
                    <w:rPr>
                      <w:sz w:val="21"/>
                      <w:szCs w:val="21"/>
                    </w:rPr>
                    <w:t>治理工艺去除效率</w:t>
                  </w:r>
                </w:p>
              </w:tc>
              <w:tc>
                <w:tcPr>
                  <w:tcW w:w="3222" w:type="pct"/>
                  <w:vAlign w:val="center"/>
                </w:tcPr>
                <w:p>
                  <w:pPr>
                    <w:adjustRightInd w:val="0"/>
                    <w:snapToGrid w:val="0"/>
                    <w:spacing w:line="320" w:lineRule="exact"/>
                    <w:jc w:val="center"/>
                    <w:rPr>
                      <w:sz w:val="21"/>
                      <w:szCs w:val="21"/>
                    </w:rPr>
                  </w:pPr>
                  <w:r>
                    <w:rPr>
                      <w:rFonts w:hint="eastAsia"/>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82" w:type="pct"/>
                  <w:gridSpan w:val="2"/>
                  <w:vMerge w:val="continue"/>
                  <w:vAlign w:val="center"/>
                </w:tcPr>
                <w:p>
                  <w:pPr>
                    <w:adjustRightInd w:val="0"/>
                    <w:snapToGrid w:val="0"/>
                    <w:spacing w:line="320" w:lineRule="exact"/>
                    <w:jc w:val="center"/>
                    <w:rPr>
                      <w:sz w:val="21"/>
                      <w:szCs w:val="21"/>
                    </w:rPr>
                  </w:pPr>
                </w:p>
              </w:tc>
              <w:tc>
                <w:tcPr>
                  <w:tcW w:w="1493" w:type="pct"/>
                  <w:vAlign w:val="center"/>
                </w:tcPr>
                <w:p>
                  <w:pPr>
                    <w:adjustRightInd w:val="0"/>
                    <w:snapToGrid w:val="0"/>
                    <w:spacing w:line="320" w:lineRule="exact"/>
                    <w:jc w:val="center"/>
                    <w:rPr>
                      <w:sz w:val="21"/>
                      <w:szCs w:val="21"/>
                    </w:rPr>
                  </w:pPr>
                  <w:r>
                    <w:rPr>
                      <w:sz w:val="21"/>
                      <w:szCs w:val="21"/>
                    </w:rPr>
                    <w:t>是否为可行技术</w:t>
                  </w:r>
                </w:p>
              </w:tc>
              <w:tc>
                <w:tcPr>
                  <w:tcW w:w="3222" w:type="pct"/>
                  <w:vAlign w:val="center"/>
                </w:tcPr>
                <w:p>
                  <w:pPr>
                    <w:adjustRightInd w:val="0"/>
                    <w:snapToGrid w:val="0"/>
                    <w:spacing w:line="320" w:lineRule="exact"/>
                    <w:jc w:val="center"/>
                    <w:rPr>
                      <w:sz w:val="21"/>
                      <w:szCs w:val="21"/>
                    </w:rPr>
                  </w:pPr>
                  <w:r>
                    <w:rPr>
                      <w:rFonts w:hint="eastAsia"/>
                      <w:sz w:val="21"/>
                      <w:szCs w:val="21"/>
                    </w:rPr>
                    <w:t>高效油烟净化器去除效率高，经处理后，由专用烟道引至房顶排放，满足《饮食业油烟排放标准（试行）》 （GB18483-2001）表 2 小型饮食业单位的油烟最高允许排放浓度和油烟净化设施最低去除效率</w:t>
                  </w:r>
                </w:p>
              </w:tc>
            </w:tr>
          </w:tbl>
          <w:p>
            <w:pPr>
              <w:spacing w:line="360" w:lineRule="auto"/>
              <w:ind w:firstLine="480"/>
              <w:rPr>
                <w:sz w:val="21"/>
                <w:szCs w:val="21"/>
              </w:rPr>
            </w:pPr>
            <w:r>
              <w:rPr>
                <w:rFonts w:hint="eastAsia"/>
                <w:sz w:val="21"/>
                <w:szCs w:val="21"/>
              </w:rPr>
              <w:t>（1）</w:t>
            </w:r>
            <w:r>
              <w:rPr>
                <w:sz w:val="21"/>
                <w:szCs w:val="21"/>
              </w:rPr>
              <w:t>源强分析</w:t>
            </w:r>
          </w:p>
          <w:p>
            <w:pPr>
              <w:pStyle w:val="29"/>
              <w:spacing w:line="360" w:lineRule="auto"/>
              <w:ind w:firstLine="567"/>
              <w:rPr>
                <w:sz w:val="21"/>
                <w:szCs w:val="21"/>
              </w:rPr>
            </w:pPr>
            <w:r>
              <w:rPr>
                <w:sz w:val="21"/>
                <w:szCs w:val="21"/>
                <w:lang w:val="zh-TW" w:eastAsia="zh-TW"/>
              </w:rPr>
              <w:t>本工程处理的污水为典型的综合生活污水，究其</w:t>
            </w:r>
            <w:r>
              <w:rPr>
                <w:sz w:val="21"/>
                <w:szCs w:val="21"/>
              </w:rPr>
              <w:t>BOD/COD</w:t>
            </w:r>
            <w:r>
              <w:rPr>
                <w:sz w:val="21"/>
                <w:szCs w:val="21"/>
                <w:lang w:val="zh-TW" w:eastAsia="zh-TW"/>
              </w:rPr>
              <w:t>值在</w:t>
            </w:r>
            <w:r>
              <w:rPr>
                <w:sz w:val="21"/>
                <w:szCs w:val="21"/>
              </w:rPr>
              <w:t>0.5</w:t>
            </w:r>
            <w:r>
              <w:rPr>
                <w:sz w:val="21"/>
                <w:szCs w:val="21"/>
                <w:lang w:val="zh-TW" w:eastAsia="zh-TW"/>
              </w:rPr>
              <w:t>以上，属可生化性较好，因此拟采用</w:t>
            </w:r>
            <w:r>
              <w:rPr>
                <w:sz w:val="21"/>
                <w:szCs w:val="21"/>
              </w:rPr>
              <w:t>A/O</w:t>
            </w:r>
            <w:r>
              <w:rPr>
                <w:sz w:val="21"/>
                <w:szCs w:val="21"/>
                <w:lang w:val="zh-TW" w:eastAsia="zh-TW"/>
              </w:rPr>
              <w:t>生物接触氧化工艺</w:t>
            </w:r>
            <w:r>
              <w:rPr>
                <w:sz w:val="21"/>
                <w:szCs w:val="21"/>
              </w:rPr>
              <w:t>+</w:t>
            </w:r>
            <w:r>
              <w:rPr>
                <w:sz w:val="21"/>
                <w:szCs w:val="21"/>
                <w:lang w:val="zh-TW"/>
              </w:rPr>
              <w:t>消毒工艺</w:t>
            </w:r>
            <w:r>
              <w:rPr>
                <w:sz w:val="21"/>
                <w:szCs w:val="21"/>
                <w:lang w:val="zh-TW" w:eastAsia="zh-TW"/>
              </w:rPr>
              <w:t>，该工艺操作简单，运转费用低，处理效果好，运行稳定。是目前较为成熟的生活污水处理工艺，能有效地确保污水达标回用或排放。本项目污水处理过程中</w:t>
            </w:r>
            <w:r>
              <w:rPr>
                <w:sz w:val="21"/>
                <w:szCs w:val="21"/>
              </w:rPr>
              <w:t>生物接触氧化、混凝沉淀设备采取地埋一体化，废气不外排，本项目污水处理过程中只会产生少量的恶臭废气，主要成分为氨、硫化氢、甲烷等气体，该废气产生量较小，故本评价不做定量分析。根据《医疗机构水污染物排放标准》(GB18466-2005) 中的要求，污水处理设施排出的废气应进行除臭除味处理。为防</w:t>
            </w:r>
            <w:r>
              <w:rPr>
                <w:rFonts w:hint="eastAsia"/>
                <w:sz w:val="21"/>
                <w:szCs w:val="21"/>
              </w:rPr>
              <w:t>恶臭气体</w:t>
            </w:r>
            <w:r>
              <w:rPr>
                <w:sz w:val="21"/>
                <w:szCs w:val="21"/>
              </w:rPr>
              <w:t>从污水处理构筑物表面挥发到大气中而造成二次传播污染，污水处理设施加盖，投放除臭剂</w:t>
            </w:r>
            <w:r>
              <w:rPr>
                <w:rFonts w:hint="eastAsia"/>
                <w:sz w:val="21"/>
                <w:szCs w:val="21"/>
              </w:rPr>
              <w:t>，类比同类项目，污水处理站产生的恶臭污染物均能做到达标排放，满足《医疗机构水污染物排放标准》（GB 18466-2005）表3中污水预处理站周边大气污染物最高允许浓度。</w:t>
            </w:r>
          </w:p>
          <w:p>
            <w:pPr>
              <w:pStyle w:val="29"/>
              <w:spacing w:line="360" w:lineRule="auto"/>
              <w:ind w:firstLine="630" w:firstLineChars="300"/>
              <w:rPr>
                <w:sz w:val="21"/>
                <w:szCs w:val="21"/>
              </w:rPr>
            </w:pPr>
            <w:r>
              <w:rPr>
                <w:sz w:val="21"/>
                <w:szCs w:val="21"/>
              </w:rPr>
              <w:t>医院设有职工食堂，拟设灶头</w:t>
            </w:r>
            <w:r>
              <w:rPr>
                <w:rFonts w:hint="eastAsia"/>
                <w:sz w:val="21"/>
                <w:szCs w:val="21"/>
              </w:rPr>
              <w:t>2</w:t>
            </w:r>
            <w:r>
              <w:rPr>
                <w:sz w:val="21"/>
                <w:szCs w:val="21"/>
              </w:rPr>
              <w:t>个。在烹饪过程中会产生少量油烟。要求医院对食堂油烟进行治理，对此需按《饮食业油烟排放标准》（GB18483－2001）标准要求采用油烟净化器进行净化处理，油烟净化器油烟去处率≥</w:t>
            </w:r>
            <w:r>
              <w:rPr>
                <w:rFonts w:hint="eastAsia"/>
                <w:sz w:val="21"/>
                <w:szCs w:val="21"/>
              </w:rPr>
              <w:t>60</w:t>
            </w:r>
            <w:r>
              <w:rPr>
                <w:sz w:val="21"/>
                <w:szCs w:val="21"/>
              </w:rPr>
              <w:t>%，油烟排放浓度≤2mg/m</w:t>
            </w:r>
            <w:r>
              <w:rPr>
                <w:sz w:val="21"/>
                <w:szCs w:val="21"/>
                <w:vertAlign w:val="superscript"/>
              </w:rPr>
              <w:t>3</w:t>
            </w:r>
            <w:r>
              <w:rPr>
                <w:rFonts w:hint="eastAsia"/>
                <w:sz w:val="21"/>
                <w:szCs w:val="21"/>
              </w:rPr>
              <w:t>。</w:t>
            </w:r>
          </w:p>
          <w:p>
            <w:pPr>
              <w:pStyle w:val="29"/>
              <w:spacing w:line="360" w:lineRule="auto"/>
              <w:ind w:firstLine="630" w:firstLineChars="300"/>
              <w:rPr>
                <w:sz w:val="21"/>
                <w:szCs w:val="21"/>
              </w:rPr>
            </w:pPr>
            <w:r>
              <w:rPr>
                <w:sz w:val="21"/>
                <w:szCs w:val="21"/>
              </w:rPr>
              <w:t>根据上述分析，项目所在区域属于环境空气质量达标区</w:t>
            </w:r>
            <w:r>
              <w:rPr>
                <w:rFonts w:hint="eastAsia"/>
                <w:sz w:val="21"/>
                <w:szCs w:val="21"/>
              </w:rPr>
              <w:t>，</w:t>
            </w:r>
            <w:r>
              <w:rPr>
                <w:sz w:val="21"/>
                <w:szCs w:val="21"/>
              </w:rPr>
              <w:t>污水处理设施加盖，投放除臭剂</w:t>
            </w:r>
            <w:r>
              <w:rPr>
                <w:rFonts w:hint="eastAsia"/>
                <w:sz w:val="21"/>
                <w:szCs w:val="21"/>
              </w:rPr>
              <w:t>；</w:t>
            </w:r>
            <w:r>
              <w:rPr>
                <w:sz w:val="21"/>
                <w:szCs w:val="21"/>
              </w:rPr>
              <w:t>食堂的油烟经高效油烟净化器处理后，由专用烟道引至房顶排放，不侧排</w:t>
            </w:r>
            <w:r>
              <w:rPr>
                <w:rFonts w:hint="eastAsia"/>
                <w:sz w:val="21"/>
                <w:szCs w:val="21"/>
              </w:rPr>
              <w:t>。</w:t>
            </w:r>
            <w:r>
              <w:rPr>
                <w:sz w:val="21"/>
                <w:szCs w:val="21"/>
              </w:rPr>
              <w:t>因此，项目废气污染物经有效措施治理后对周边环境影响</w:t>
            </w:r>
            <w:r>
              <w:rPr>
                <w:rFonts w:hint="eastAsia"/>
                <w:sz w:val="21"/>
                <w:szCs w:val="21"/>
              </w:rPr>
              <w:t>较小</w:t>
            </w:r>
            <w:r>
              <w:rPr>
                <w:sz w:val="21"/>
                <w:szCs w:val="21"/>
              </w:rPr>
              <w:t>。</w:t>
            </w:r>
          </w:p>
          <w:p>
            <w:pPr>
              <w:adjustRightInd w:val="0"/>
              <w:snapToGrid w:val="0"/>
              <w:spacing w:line="360" w:lineRule="auto"/>
              <w:ind w:firstLine="420" w:firstLineChars="200"/>
              <w:jc w:val="left"/>
              <w:rPr>
                <w:sz w:val="21"/>
                <w:szCs w:val="21"/>
              </w:rPr>
            </w:pPr>
            <w:r>
              <w:rPr>
                <w:rFonts w:hint="eastAsia"/>
                <w:sz w:val="21"/>
                <w:szCs w:val="21"/>
              </w:rPr>
              <w:t>（2）自行监测要求</w:t>
            </w:r>
          </w:p>
          <w:p>
            <w:pPr>
              <w:adjustRightInd w:val="0"/>
              <w:snapToGrid w:val="0"/>
              <w:spacing w:line="320" w:lineRule="exact"/>
              <w:jc w:val="center"/>
              <w:rPr>
                <w:b/>
                <w:bCs/>
                <w:sz w:val="21"/>
                <w:szCs w:val="21"/>
              </w:rPr>
            </w:pPr>
            <w:r>
              <w:rPr>
                <w:b/>
                <w:bCs/>
                <w:sz w:val="21"/>
                <w:szCs w:val="21"/>
              </w:rPr>
              <w:t>表4-2 自行监测要求</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1541"/>
              <w:gridCol w:w="876"/>
              <w:gridCol w:w="1721"/>
              <w:gridCol w:w="2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72" w:type="pct"/>
                  <w:vAlign w:val="center"/>
                </w:tcPr>
                <w:p>
                  <w:pPr>
                    <w:spacing w:line="320" w:lineRule="exact"/>
                    <w:jc w:val="center"/>
                    <w:rPr>
                      <w:b/>
                      <w:bCs/>
                      <w:sz w:val="21"/>
                      <w:szCs w:val="21"/>
                    </w:rPr>
                  </w:pPr>
                  <w:r>
                    <w:rPr>
                      <w:b/>
                      <w:bCs/>
                      <w:sz w:val="21"/>
                      <w:szCs w:val="21"/>
                    </w:rPr>
                    <w:t>污染源类别</w:t>
                  </w:r>
                </w:p>
              </w:tc>
              <w:tc>
                <w:tcPr>
                  <w:tcW w:w="976" w:type="pct"/>
                  <w:vAlign w:val="center"/>
                </w:tcPr>
                <w:p>
                  <w:pPr>
                    <w:spacing w:line="320" w:lineRule="exact"/>
                    <w:jc w:val="center"/>
                    <w:rPr>
                      <w:b/>
                      <w:bCs/>
                      <w:sz w:val="21"/>
                      <w:szCs w:val="21"/>
                    </w:rPr>
                  </w:pPr>
                  <w:r>
                    <w:rPr>
                      <w:b/>
                      <w:bCs/>
                      <w:sz w:val="21"/>
                      <w:szCs w:val="21"/>
                    </w:rPr>
                    <w:t>监测点位</w:t>
                  </w:r>
                </w:p>
              </w:tc>
              <w:tc>
                <w:tcPr>
                  <w:tcW w:w="555" w:type="pct"/>
                  <w:vAlign w:val="center"/>
                </w:tcPr>
                <w:p>
                  <w:pPr>
                    <w:spacing w:line="320" w:lineRule="exact"/>
                    <w:jc w:val="center"/>
                    <w:rPr>
                      <w:b/>
                      <w:bCs/>
                      <w:sz w:val="21"/>
                      <w:szCs w:val="21"/>
                    </w:rPr>
                  </w:pPr>
                  <w:r>
                    <w:rPr>
                      <w:b/>
                      <w:bCs/>
                      <w:sz w:val="21"/>
                      <w:szCs w:val="21"/>
                    </w:rPr>
                    <w:t>监测频次</w:t>
                  </w:r>
                </w:p>
              </w:tc>
              <w:tc>
                <w:tcPr>
                  <w:tcW w:w="1090" w:type="pct"/>
                  <w:vAlign w:val="center"/>
                </w:tcPr>
                <w:p>
                  <w:pPr>
                    <w:spacing w:line="320" w:lineRule="exact"/>
                    <w:jc w:val="center"/>
                    <w:rPr>
                      <w:b/>
                      <w:bCs/>
                      <w:sz w:val="21"/>
                      <w:szCs w:val="21"/>
                    </w:rPr>
                  </w:pPr>
                  <w:r>
                    <w:rPr>
                      <w:b/>
                      <w:bCs/>
                      <w:sz w:val="21"/>
                      <w:szCs w:val="21"/>
                    </w:rPr>
                    <w:t>监测因子</w:t>
                  </w:r>
                </w:p>
              </w:tc>
              <w:tc>
                <w:tcPr>
                  <w:tcW w:w="1705" w:type="pct"/>
                  <w:vAlign w:val="center"/>
                </w:tcPr>
                <w:p>
                  <w:pPr>
                    <w:spacing w:line="320" w:lineRule="exact"/>
                    <w:jc w:val="center"/>
                    <w:rPr>
                      <w:b/>
                      <w:bCs/>
                      <w:sz w:val="21"/>
                      <w:szCs w:val="21"/>
                    </w:rPr>
                  </w:pPr>
                  <w:r>
                    <w:rPr>
                      <w:rFonts w:hint="eastAsia"/>
                      <w:b/>
                      <w:bCs/>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72" w:type="pct"/>
                  <w:vMerge w:val="restart"/>
                  <w:vAlign w:val="center"/>
                </w:tcPr>
                <w:p>
                  <w:pPr>
                    <w:spacing w:line="320" w:lineRule="exact"/>
                    <w:jc w:val="center"/>
                    <w:rPr>
                      <w:sz w:val="21"/>
                      <w:szCs w:val="21"/>
                    </w:rPr>
                  </w:pPr>
                  <w:r>
                    <w:rPr>
                      <w:rFonts w:hint="eastAsia"/>
                      <w:sz w:val="21"/>
                      <w:szCs w:val="21"/>
                    </w:rPr>
                    <w:t>无组织</w:t>
                  </w:r>
                  <w:r>
                    <w:rPr>
                      <w:sz w:val="21"/>
                      <w:szCs w:val="21"/>
                    </w:rPr>
                    <w:t>废气</w:t>
                  </w:r>
                </w:p>
              </w:tc>
              <w:tc>
                <w:tcPr>
                  <w:tcW w:w="976" w:type="pct"/>
                  <w:vAlign w:val="center"/>
                </w:tcPr>
                <w:p>
                  <w:pPr>
                    <w:spacing w:line="320" w:lineRule="exact"/>
                    <w:jc w:val="center"/>
                    <w:rPr>
                      <w:sz w:val="21"/>
                      <w:szCs w:val="21"/>
                    </w:rPr>
                  </w:pPr>
                  <w:r>
                    <w:rPr>
                      <w:rFonts w:hint="eastAsia"/>
                      <w:sz w:val="21"/>
                      <w:szCs w:val="21"/>
                    </w:rPr>
                    <w:t>院界</w:t>
                  </w:r>
                </w:p>
              </w:tc>
              <w:tc>
                <w:tcPr>
                  <w:tcW w:w="555" w:type="pct"/>
                  <w:vAlign w:val="center"/>
                </w:tcPr>
                <w:p>
                  <w:pPr>
                    <w:spacing w:line="320" w:lineRule="exact"/>
                    <w:jc w:val="center"/>
                    <w:rPr>
                      <w:sz w:val="21"/>
                      <w:szCs w:val="21"/>
                    </w:rPr>
                  </w:pPr>
                  <w:r>
                    <w:rPr>
                      <w:rFonts w:hint="eastAsia"/>
                      <w:sz w:val="21"/>
                      <w:szCs w:val="21"/>
                    </w:rPr>
                    <w:t>半年</w:t>
                  </w:r>
                </w:p>
              </w:tc>
              <w:tc>
                <w:tcPr>
                  <w:tcW w:w="1090" w:type="pct"/>
                  <w:vAlign w:val="center"/>
                </w:tcPr>
                <w:p>
                  <w:pPr>
                    <w:spacing w:line="320" w:lineRule="exact"/>
                    <w:jc w:val="center"/>
                    <w:rPr>
                      <w:sz w:val="21"/>
                      <w:szCs w:val="21"/>
                    </w:rPr>
                  </w:pPr>
                  <w:r>
                    <w:rPr>
                      <w:rFonts w:hint="eastAsia"/>
                      <w:sz w:val="21"/>
                      <w:szCs w:val="21"/>
                    </w:rPr>
                    <w:t>氨、硫化氢、臭气浓度、氯气</w:t>
                  </w:r>
                </w:p>
              </w:tc>
              <w:tc>
                <w:tcPr>
                  <w:tcW w:w="1705" w:type="pct"/>
                  <w:vMerge w:val="restart"/>
                  <w:vAlign w:val="center"/>
                </w:tcPr>
                <w:p>
                  <w:pPr>
                    <w:spacing w:line="320" w:lineRule="exact"/>
                    <w:jc w:val="center"/>
                    <w:rPr>
                      <w:sz w:val="21"/>
                      <w:szCs w:val="21"/>
                    </w:rPr>
                  </w:pPr>
                  <w:r>
                    <w:rPr>
                      <w:rFonts w:hint="eastAsia"/>
                      <w:sz w:val="21"/>
                      <w:szCs w:val="21"/>
                    </w:rPr>
                    <w:t>《医疗机构水污染物排放标准》（GB18466-2005）中表3污水处理站周边大气污染物最高允许浓度标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72" w:type="pct"/>
                  <w:vMerge w:val="continue"/>
                  <w:vAlign w:val="center"/>
                </w:tcPr>
                <w:p>
                  <w:pPr>
                    <w:spacing w:line="320" w:lineRule="exact"/>
                    <w:jc w:val="center"/>
                    <w:rPr>
                      <w:sz w:val="21"/>
                      <w:szCs w:val="21"/>
                    </w:rPr>
                  </w:pPr>
                </w:p>
              </w:tc>
              <w:tc>
                <w:tcPr>
                  <w:tcW w:w="976" w:type="pct"/>
                  <w:vAlign w:val="center"/>
                </w:tcPr>
                <w:p>
                  <w:pPr>
                    <w:spacing w:line="320" w:lineRule="exact"/>
                    <w:jc w:val="center"/>
                    <w:rPr>
                      <w:sz w:val="21"/>
                      <w:szCs w:val="21"/>
                    </w:rPr>
                  </w:pPr>
                  <w:r>
                    <w:rPr>
                      <w:rFonts w:hint="eastAsia"/>
                      <w:sz w:val="21"/>
                      <w:szCs w:val="21"/>
                    </w:rPr>
                    <w:t>院区甲烷体积浓度最高处</w:t>
                  </w:r>
                </w:p>
              </w:tc>
              <w:tc>
                <w:tcPr>
                  <w:tcW w:w="555" w:type="pct"/>
                  <w:vAlign w:val="center"/>
                </w:tcPr>
                <w:p>
                  <w:pPr>
                    <w:spacing w:line="320" w:lineRule="exact"/>
                    <w:jc w:val="center"/>
                    <w:rPr>
                      <w:sz w:val="21"/>
                      <w:szCs w:val="21"/>
                    </w:rPr>
                  </w:pPr>
                  <w:r>
                    <w:rPr>
                      <w:rFonts w:hint="eastAsia"/>
                      <w:sz w:val="21"/>
                      <w:szCs w:val="21"/>
                    </w:rPr>
                    <w:t>年</w:t>
                  </w:r>
                </w:p>
              </w:tc>
              <w:tc>
                <w:tcPr>
                  <w:tcW w:w="1090" w:type="pct"/>
                  <w:vAlign w:val="center"/>
                </w:tcPr>
                <w:p>
                  <w:pPr>
                    <w:spacing w:line="320" w:lineRule="exact"/>
                    <w:jc w:val="center"/>
                    <w:rPr>
                      <w:sz w:val="21"/>
                      <w:szCs w:val="21"/>
                    </w:rPr>
                  </w:pPr>
                  <w:r>
                    <w:rPr>
                      <w:rFonts w:hint="eastAsia"/>
                      <w:sz w:val="21"/>
                      <w:szCs w:val="21"/>
                    </w:rPr>
                    <w:t>甲烷</w:t>
                  </w:r>
                </w:p>
              </w:tc>
              <w:tc>
                <w:tcPr>
                  <w:tcW w:w="1705" w:type="pct"/>
                  <w:vMerge w:val="continue"/>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72" w:type="pct"/>
                  <w:vAlign w:val="center"/>
                </w:tcPr>
                <w:p>
                  <w:pPr>
                    <w:spacing w:line="320" w:lineRule="exact"/>
                    <w:jc w:val="center"/>
                    <w:rPr>
                      <w:sz w:val="21"/>
                      <w:szCs w:val="21"/>
                    </w:rPr>
                  </w:pPr>
                  <w:r>
                    <w:rPr>
                      <w:rFonts w:hint="eastAsia"/>
                      <w:sz w:val="21"/>
                      <w:szCs w:val="21"/>
                    </w:rPr>
                    <w:t>有组织废气</w:t>
                  </w:r>
                </w:p>
              </w:tc>
              <w:tc>
                <w:tcPr>
                  <w:tcW w:w="976" w:type="pct"/>
                  <w:vAlign w:val="center"/>
                </w:tcPr>
                <w:p>
                  <w:pPr>
                    <w:spacing w:line="320" w:lineRule="exact"/>
                    <w:jc w:val="center"/>
                    <w:rPr>
                      <w:sz w:val="21"/>
                      <w:szCs w:val="21"/>
                    </w:rPr>
                  </w:pPr>
                  <w:r>
                    <w:rPr>
                      <w:rFonts w:hint="eastAsia"/>
                      <w:sz w:val="21"/>
                      <w:szCs w:val="21"/>
                    </w:rPr>
                    <w:t>排气筒</w:t>
                  </w:r>
                </w:p>
              </w:tc>
              <w:tc>
                <w:tcPr>
                  <w:tcW w:w="555" w:type="pct"/>
                  <w:vAlign w:val="center"/>
                </w:tcPr>
                <w:p>
                  <w:pPr>
                    <w:spacing w:line="320" w:lineRule="exact"/>
                    <w:jc w:val="center"/>
                    <w:rPr>
                      <w:sz w:val="21"/>
                      <w:szCs w:val="21"/>
                    </w:rPr>
                  </w:pPr>
                  <w:r>
                    <w:rPr>
                      <w:rFonts w:hint="eastAsia"/>
                      <w:sz w:val="21"/>
                      <w:szCs w:val="21"/>
                    </w:rPr>
                    <w:t>年</w:t>
                  </w:r>
                </w:p>
              </w:tc>
              <w:tc>
                <w:tcPr>
                  <w:tcW w:w="1090" w:type="pct"/>
                  <w:vAlign w:val="center"/>
                </w:tcPr>
                <w:p>
                  <w:pPr>
                    <w:spacing w:line="320" w:lineRule="exact"/>
                    <w:jc w:val="center"/>
                    <w:rPr>
                      <w:sz w:val="21"/>
                      <w:szCs w:val="21"/>
                    </w:rPr>
                  </w:pPr>
                  <w:r>
                    <w:rPr>
                      <w:rFonts w:hint="eastAsia"/>
                      <w:sz w:val="21"/>
                      <w:szCs w:val="21"/>
                    </w:rPr>
                    <w:t>油烟</w:t>
                  </w:r>
                </w:p>
              </w:tc>
              <w:tc>
                <w:tcPr>
                  <w:tcW w:w="1705" w:type="pct"/>
                  <w:vAlign w:val="center"/>
                </w:tcPr>
                <w:p>
                  <w:pPr>
                    <w:spacing w:line="320" w:lineRule="exact"/>
                    <w:jc w:val="center"/>
                    <w:rPr>
                      <w:sz w:val="21"/>
                      <w:szCs w:val="21"/>
                    </w:rPr>
                  </w:pPr>
                  <w:r>
                    <w:rPr>
                      <w:rFonts w:hint="eastAsia"/>
                      <w:sz w:val="21"/>
                      <w:szCs w:val="21"/>
                    </w:rPr>
                    <w:t>《饮食业油烟排放标准（试行）》 （GB18483-2001）表 2 小型相关要求</w:t>
                  </w:r>
                </w:p>
              </w:tc>
            </w:tr>
          </w:tbl>
          <w:p>
            <w:pPr>
              <w:spacing w:line="360" w:lineRule="auto"/>
              <w:ind w:firstLine="420" w:firstLineChars="200"/>
              <w:rPr>
                <w:sz w:val="21"/>
                <w:szCs w:val="21"/>
              </w:rPr>
            </w:pPr>
            <w:r>
              <w:rPr>
                <w:sz w:val="21"/>
                <w:szCs w:val="21"/>
              </w:rPr>
              <w:t>2、运营期废水</w:t>
            </w:r>
          </w:p>
          <w:p>
            <w:pPr>
              <w:spacing w:line="360" w:lineRule="auto"/>
              <w:ind w:firstLine="420" w:firstLineChars="200"/>
              <w:rPr>
                <w:sz w:val="21"/>
                <w:szCs w:val="21"/>
              </w:rPr>
            </w:pPr>
            <w:r>
              <w:rPr>
                <w:sz w:val="21"/>
                <w:szCs w:val="21"/>
              </w:rPr>
              <w:t>本项目运营期产生的生活污水与医疗废水一同进入化粪池预处理后，进入污水处理设施（A/O生物接触氧化工艺+消毒工艺），处理达标后经市政管网排放至</w:t>
            </w:r>
            <w:r>
              <w:rPr>
                <w:rFonts w:hint="eastAsia"/>
                <w:sz w:val="21"/>
                <w:szCs w:val="21"/>
              </w:rPr>
              <w:t>双滦区城市</w:t>
            </w:r>
            <w:r>
              <w:rPr>
                <w:sz w:val="21"/>
                <w:szCs w:val="21"/>
              </w:rPr>
              <w:t>污水厂处理。</w:t>
            </w:r>
          </w:p>
          <w:p>
            <w:pPr>
              <w:pStyle w:val="13"/>
              <w:spacing w:line="360" w:lineRule="auto"/>
              <w:rPr>
                <w:sz w:val="21"/>
                <w:szCs w:val="21"/>
              </w:rPr>
            </w:pPr>
            <w:r>
              <w:rPr>
                <w:sz w:val="21"/>
                <w:szCs w:val="21"/>
              </w:rPr>
              <w:t>（1）废水污染源强</w:t>
            </w:r>
          </w:p>
          <w:p>
            <w:pPr>
              <w:pStyle w:val="13"/>
              <w:spacing w:line="360" w:lineRule="auto"/>
              <w:ind w:left="0" w:leftChars="0" w:firstLine="420" w:firstLineChars="200"/>
              <w:rPr>
                <w:sz w:val="21"/>
                <w:szCs w:val="21"/>
              </w:rPr>
            </w:pPr>
            <w:r>
              <w:rPr>
                <w:sz w:val="21"/>
                <w:szCs w:val="21"/>
              </w:rPr>
              <w:t>本次环评医院污水处理站处理能力为</w:t>
            </w:r>
            <w:r>
              <w:rPr>
                <w:rFonts w:hint="eastAsia"/>
                <w:sz w:val="21"/>
                <w:szCs w:val="21"/>
              </w:rPr>
              <w:t>114</w:t>
            </w:r>
            <w:r>
              <w:rPr>
                <w:sz w:val="21"/>
                <w:szCs w:val="21"/>
              </w:rPr>
              <w:t>m</w:t>
            </w:r>
            <w:r>
              <w:rPr>
                <w:sz w:val="21"/>
                <w:szCs w:val="21"/>
                <w:vertAlign w:val="superscript"/>
              </w:rPr>
              <w:t>3</w:t>
            </w:r>
            <w:r>
              <w:rPr>
                <w:sz w:val="21"/>
                <w:szCs w:val="21"/>
              </w:rPr>
              <w:t>/d，年运行365天，废水中主要污染物为COD、SS、NH</w:t>
            </w:r>
            <w:r>
              <w:rPr>
                <w:sz w:val="21"/>
                <w:szCs w:val="21"/>
                <w:vertAlign w:val="subscript"/>
              </w:rPr>
              <w:t>3</w:t>
            </w:r>
            <w:r>
              <w:rPr>
                <w:sz w:val="21"/>
                <w:szCs w:val="21"/>
              </w:rPr>
              <w:t>-N和粪大肠菌群数等，参照《医院污水处理技术指南》（HJ2029-2013）中医院污水水质章节医疗废水污染物浓度，根据本项目水平衡，项目产生污水量为</w:t>
            </w:r>
            <w:r>
              <w:rPr>
                <w:rFonts w:hint="eastAsia"/>
                <w:sz w:val="21"/>
                <w:szCs w:val="21"/>
              </w:rPr>
              <w:t>56.4</w:t>
            </w:r>
            <w:r>
              <w:rPr>
                <w:sz w:val="21"/>
                <w:szCs w:val="21"/>
              </w:rPr>
              <w:t>m</w:t>
            </w:r>
            <w:r>
              <w:rPr>
                <w:sz w:val="21"/>
                <w:szCs w:val="21"/>
                <w:vertAlign w:val="superscript"/>
              </w:rPr>
              <w:t>3</w:t>
            </w:r>
            <w:r>
              <w:rPr>
                <w:sz w:val="21"/>
                <w:szCs w:val="21"/>
              </w:rPr>
              <w:t>/d，污染物的产生浓度和产生量见</w:t>
            </w:r>
            <w:r>
              <w:rPr>
                <w:rFonts w:hint="eastAsia"/>
                <w:sz w:val="21"/>
                <w:szCs w:val="21"/>
              </w:rPr>
              <w:t>下</w:t>
            </w:r>
            <w:r>
              <w:rPr>
                <w:sz w:val="21"/>
                <w:szCs w:val="21"/>
              </w:rPr>
              <w:t>表。</w:t>
            </w:r>
          </w:p>
          <w:p>
            <w:pPr>
              <w:pStyle w:val="23"/>
              <w:spacing w:line="360" w:lineRule="auto"/>
              <w:jc w:val="center"/>
              <w:rPr>
                <w:b/>
                <w:bCs/>
                <w:sz w:val="21"/>
                <w:szCs w:val="21"/>
              </w:rPr>
            </w:pPr>
            <w:r>
              <w:rPr>
                <w:b/>
                <w:bCs/>
                <w:sz w:val="21"/>
                <w:szCs w:val="21"/>
              </w:rPr>
              <w:t>表</w:t>
            </w:r>
            <w:r>
              <w:rPr>
                <w:rFonts w:ascii="Times New Roman" w:cs="Times New Roman"/>
                <w:b/>
                <w:bCs/>
                <w:sz w:val="21"/>
                <w:szCs w:val="21"/>
              </w:rPr>
              <w:t xml:space="preserve">4-3 </w:t>
            </w:r>
            <w:r>
              <w:rPr>
                <w:b/>
                <w:bCs/>
                <w:sz w:val="21"/>
                <w:szCs w:val="21"/>
              </w:rPr>
              <w:t>污染物的产生浓度和产生量</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167"/>
              <w:gridCol w:w="1094"/>
              <w:gridCol w:w="1049"/>
              <w:gridCol w:w="1034"/>
              <w:gridCol w:w="2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pPr>
                    <w:jc w:val="center"/>
                    <w:rPr>
                      <w:b/>
                      <w:bCs/>
                      <w:sz w:val="21"/>
                      <w:szCs w:val="21"/>
                    </w:rPr>
                  </w:pPr>
                  <w:r>
                    <w:rPr>
                      <w:b/>
                      <w:bCs/>
                      <w:sz w:val="21"/>
                      <w:szCs w:val="21"/>
                    </w:rPr>
                    <w:t>项目</w:t>
                  </w:r>
                </w:p>
              </w:tc>
              <w:tc>
                <w:tcPr>
                  <w:tcW w:w="739" w:type="pct"/>
                  <w:vAlign w:val="center"/>
                </w:tcPr>
                <w:p>
                  <w:pPr>
                    <w:jc w:val="center"/>
                    <w:rPr>
                      <w:b/>
                      <w:bCs/>
                      <w:sz w:val="21"/>
                      <w:szCs w:val="21"/>
                    </w:rPr>
                  </w:pPr>
                  <w:r>
                    <w:rPr>
                      <w:b/>
                      <w:bCs/>
                      <w:sz w:val="21"/>
                      <w:szCs w:val="21"/>
                    </w:rPr>
                    <w:t>COD</w:t>
                  </w:r>
                </w:p>
              </w:tc>
              <w:tc>
                <w:tcPr>
                  <w:tcW w:w="693" w:type="pct"/>
                  <w:vAlign w:val="center"/>
                </w:tcPr>
                <w:p>
                  <w:pPr>
                    <w:jc w:val="center"/>
                    <w:rPr>
                      <w:b/>
                      <w:bCs/>
                      <w:sz w:val="21"/>
                      <w:szCs w:val="21"/>
                    </w:rPr>
                  </w:pPr>
                  <w:r>
                    <w:rPr>
                      <w:b/>
                      <w:bCs/>
                      <w:sz w:val="21"/>
                      <w:szCs w:val="21"/>
                    </w:rPr>
                    <w:t>BOD</w:t>
                  </w:r>
                  <w:r>
                    <w:rPr>
                      <w:b/>
                      <w:bCs/>
                      <w:sz w:val="21"/>
                      <w:szCs w:val="21"/>
                      <w:vertAlign w:val="subscript"/>
                    </w:rPr>
                    <w:t>5</w:t>
                  </w:r>
                </w:p>
              </w:tc>
              <w:tc>
                <w:tcPr>
                  <w:tcW w:w="664" w:type="pct"/>
                  <w:vAlign w:val="center"/>
                </w:tcPr>
                <w:p>
                  <w:pPr>
                    <w:jc w:val="center"/>
                    <w:rPr>
                      <w:b/>
                      <w:bCs/>
                      <w:sz w:val="21"/>
                      <w:szCs w:val="21"/>
                    </w:rPr>
                  </w:pPr>
                  <w:r>
                    <w:rPr>
                      <w:b/>
                      <w:bCs/>
                      <w:sz w:val="21"/>
                      <w:szCs w:val="21"/>
                    </w:rPr>
                    <w:t>SS</w:t>
                  </w:r>
                </w:p>
              </w:tc>
              <w:tc>
                <w:tcPr>
                  <w:tcW w:w="655" w:type="pct"/>
                  <w:vAlign w:val="center"/>
                </w:tcPr>
                <w:p>
                  <w:pPr>
                    <w:jc w:val="center"/>
                    <w:rPr>
                      <w:b/>
                      <w:bCs/>
                      <w:sz w:val="21"/>
                      <w:szCs w:val="21"/>
                    </w:rPr>
                  </w:pPr>
                  <w:r>
                    <w:rPr>
                      <w:b/>
                      <w:bCs/>
                      <w:sz w:val="21"/>
                      <w:szCs w:val="21"/>
                    </w:rPr>
                    <w:t>NH</w:t>
                  </w:r>
                  <w:r>
                    <w:rPr>
                      <w:b/>
                      <w:bCs/>
                      <w:sz w:val="21"/>
                      <w:szCs w:val="21"/>
                      <w:vertAlign w:val="subscript"/>
                    </w:rPr>
                    <w:t>3</w:t>
                  </w:r>
                  <w:r>
                    <w:rPr>
                      <w:b/>
                      <w:bCs/>
                      <w:sz w:val="21"/>
                      <w:szCs w:val="21"/>
                    </w:rPr>
                    <w:t>-N</w:t>
                  </w:r>
                </w:p>
              </w:tc>
              <w:tc>
                <w:tcPr>
                  <w:tcW w:w="1414" w:type="pct"/>
                  <w:vAlign w:val="center"/>
                </w:tcPr>
                <w:p>
                  <w:pPr>
                    <w:jc w:val="center"/>
                    <w:rPr>
                      <w:b/>
                      <w:bCs/>
                      <w:sz w:val="21"/>
                      <w:szCs w:val="21"/>
                    </w:rPr>
                  </w:pPr>
                  <w:r>
                    <w:rPr>
                      <w:b/>
                      <w:bCs/>
                      <w:sz w:val="21"/>
                      <w:szCs w:val="21"/>
                    </w:rPr>
                    <w:t>粪大肠菌群数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pPr>
                    <w:jc w:val="center"/>
                    <w:rPr>
                      <w:sz w:val="21"/>
                      <w:szCs w:val="21"/>
                    </w:rPr>
                  </w:pPr>
                  <w:r>
                    <w:rPr>
                      <w:sz w:val="21"/>
                      <w:szCs w:val="21"/>
                    </w:rPr>
                    <w:t>浓度范围（mg/L）</w:t>
                  </w:r>
                </w:p>
              </w:tc>
              <w:tc>
                <w:tcPr>
                  <w:tcW w:w="739" w:type="pct"/>
                  <w:vAlign w:val="center"/>
                </w:tcPr>
                <w:p>
                  <w:pPr>
                    <w:jc w:val="center"/>
                    <w:rPr>
                      <w:sz w:val="21"/>
                      <w:szCs w:val="21"/>
                    </w:rPr>
                  </w:pPr>
                  <w:r>
                    <w:rPr>
                      <w:sz w:val="21"/>
                      <w:szCs w:val="21"/>
                    </w:rPr>
                    <w:t>150~300</w:t>
                  </w:r>
                </w:p>
              </w:tc>
              <w:tc>
                <w:tcPr>
                  <w:tcW w:w="693" w:type="pct"/>
                  <w:vAlign w:val="center"/>
                </w:tcPr>
                <w:p>
                  <w:pPr>
                    <w:jc w:val="center"/>
                    <w:rPr>
                      <w:sz w:val="21"/>
                      <w:szCs w:val="21"/>
                    </w:rPr>
                  </w:pPr>
                  <w:r>
                    <w:rPr>
                      <w:sz w:val="21"/>
                      <w:szCs w:val="21"/>
                    </w:rPr>
                    <w:t>80~150</w:t>
                  </w:r>
                </w:p>
              </w:tc>
              <w:tc>
                <w:tcPr>
                  <w:tcW w:w="664" w:type="pct"/>
                  <w:vAlign w:val="center"/>
                </w:tcPr>
                <w:p>
                  <w:pPr>
                    <w:jc w:val="center"/>
                    <w:rPr>
                      <w:sz w:val="21"/>
                      <w:szCs w:val="21"/>
                    </w:rPr>
                  </w:pPr>
                  <w:r>
                    <w:rPr>
                      <w:sz w:val="21"/>
                      <w:szCs w:val="21"/>
                    </w:rPr>
                    <w:t>40~120</w:t>
                  </w:r>
                </w:p>
              </w:tc>
              <w:tc>
                <w:tcPr>
                  <w:tcW w:w="655" w:type="pct"/>
                  <w:vAlign w:val="center"/>
                </w:tcPr>
                <w:p>
                  <w:pPr>
                    <w:jc w:val="center"/>
                    <w:rPr>
                      <w:sz w:val="21"/>
                      <w:szCs w:val="21"/>
                    </w:rPr>
                  </w:pPr>
                  <w:r>
                    <w:rPr>
                      <w:sz w:val="21"/>
                      <w:szCs w:val="21"/>
                    </w:rPr>
                    <w:t>10~50</w:t>
                  </w:r>
                </w:p>
              </w:tc>
              <w:tc>
                <w:tcPr>
                  <w:tcW w:w="1414" w:type="pct"/>
                  <w:vAlign w:val="center"/>
                </w:tcPr>
                <w:p>
                  <w:pPr>
                    <w:jc w:val="center"/>
                    <w:rPr>
                      <w:sz w:val="21"/>
                      <w:szCs w:val="21"/>
                    </w:rPr>
                  </w:pPr>
                  <w:r>
                    <w:rPr>
                      <w:sz w:val="21"/>
                      <w:szCs w:val="21"/>
                    </w:rPr>
                    <w:t>1.0×10</w:t>
                  </w:r>
                  <w:r>
                    <w:rPr>
                      <w:sz w:val="21"/>
                      <w:szCs w:val="21"/>
                      <w:vertAlign w:val="superscript"/>
                    </w:rPr>
                    <w:t>6</w:t>
                  </w:r>
                  <w:r>
                    <w:rPr>
                      <w:sz w:val="21"/>
                      <w:szCs w:val="21"/>
                    </w:rPr>
                    <w:t>~3.0×10</w:t>
                  </w:r>
                  <w:r>
                    <w:rPr>
                      <w:sz w:val="21"/>
                      <w:szCs w:val="21"/>
                      <w:vertAlign w:val="superscript"/>
                    </w:rPr>
                    <w:t>8</w:t>
                  </w:r>
                  <w:r>
                    <w:rPr>
                      <w:sz w:val="21"/>
                      <w:szCs w:val="21"/>
                    </w:rPr>
                    <w:t>(个/L）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pPr>
                    <w:jc w:val="center"/>
                    <w:rPr>
                      <w:sz w:val="21"/>
                      <w:szCs w:val="21"/>
                    </w:rPr>
                  </w:pPr>
                  <w:r>
                    <w:rPr>
                      <w:sz w:val="21"/>
                      <w:szCs w:val="21"/>
                    </w:rPr>
                    <w:t>本次取值（mg/L）</w:t>
                  </w:r>
                </w:p>
              </w:tc>
              <w:tc>
                <w:tcPr>
                  <w:tcW w:w="739" w:type="pct"/>
                  <w:vAlign w:val="center"/>
                </w:tcPr>
                <w:p>
                  <w:pPr>
                    <w:jc w:val="center"/>
                    <w:rPr>
                      <w:sz w:val="21"/>
                      <w:szCs w:val="21"/>
                    </w:rPr>
                  </w:pPr>
                  <w:r>
                    <w:rPr>
                      <w:sz w:val="21"/>
                      <w:szCs w:val="21"/>
                    </w:rPr>
                    <w:t>300</w:t>
                  </w:r>
                </w:p>
              </w:tc>
              <w:tc>
                <w:tcPr>
                  <w:tcW w:w="693" w:type="pct"/>
                  <w:vAlign w:val="center"/>
                </w:tcPr>
                <w:p>
                  <w:pPr>
                    <w:jc w:val="center"/>
                    <w:rPr>
                      <w:sz w:val="21"/>
                      <w:szCs w:val="21"/>
                    </w:rPr>
                  </w:pPr>
                  <w:r>
                    <w:rPr>
                      <w:sz w:val="21"/>
                      <w:szCs w:val="21"/>
                    </w:rPr>
                    <w:t>150</w:t>
                  </w:r>
                </w:p>
              </w:tc>
              <w:tc>
                <w:tcPr>
                  <w:tcW w:w="664" w:type="pct"/>
                  <w:vAlign w:val="center"/>
                </w:tcPr>
                <w:p>
                  <w:pPr>
                    <w:jc w:val="center"/>
                    <w:rPr>
                      <w:sz w:val="21"/>
                      <w:szCs w:val="21"/>
                    </w:rPr>
                  </w:pPr>
                  <w:r>
                    <w:rPr>
                      <w:sz w:val="21"/>
                      <w:szCs w:val="21"/>
                    </w:rPr>
                    <w:t>120</w:t>
                  </w:r>
                </w:p>
              </w:tc>
              <w:tc>
                <w:tcPr>
                  <w:tcW w:w="655" w:type="pct"/>
                  <w:vAlign w:val="center"/>
                </w:tcPr>
                <w:p>
                  <w:pPr>
                    <w:jc w:val="center"/>
                    <w:rPr>
                      <w:sz w:val="21"/>
                      <w:szCs w:val="21"/>
                    </w:rPr>
                  </w:pPr>
                  <w:r>
                    <w:rPr>
                      <w:sz w:val="21"/>
                      <w:szCs w:val="21"/>
                    </w:rPr>
                    <w:t>50</w:t>
                  </w:r>
                </w:p>
              </w:tc>
              <w:tc>
                <w:tcPr>
                  <w:tcW w:w="1414" w:type="pct"/>
                  <w:vAlign w:val="center"/>
                </w:tcPr>
                <w:p>
                  <w:pPr>
                    <w:jc w:val="center"/>
                    <w:rPr>
                      <w:sz w:val="21"/>
                      <w:szCs w:val="21"/>
                    </w:rPr>
                  </w:pPr>
                  <w:r>
                    <w:rPr>
                      <w:sz w:val="21"/>
                      <w:szCs w:val="21"/>
                    </w:rPr>
                    <w:t>1.0×10</w:t>
                  </w:r>
                  <w:r>
                    <w:rPr>
                      <w:sz w:val="21"/>
                      <w:szCs w:val="21"/>
                      <w:vertAlign w:val="superscript"/>
                    </w:rPr>
                    <w:t>8</w:t>
                  </w:r>
                  <w:r>
                    <w:rPr>
                      <w:sz w:val="21"/>
                      <w:szCs w:val="21"/>
                    </w:rPr>
                    <w:t>(个/L）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pPr>
                    <w:jc w:val="center"/>
                    <w:rPr>
                      <w:sz w:val="21"/>
                      <w:szCs w:val="21"/>
                    </w:rPr>
                  </w:pPr>
                  <w:r>
                    <w:rPr>
                      <w:sz w:val="21"/>
                      <w:szCs w:val="21"/>
                    </w:rPr>
                    <w:t>产生量（t/a）</w:t>
                  </w:r>
                </w:p>
              </w:tc>
              <w:tc>
                <w:tcPr>
                  <w:tcW w:w="739" w:type="pct"/>
                  <w:vAlign w:val="center"/>
                </w:tcPr>
                <w:p>
                  <w:pPr>
                    <w:jc w:val="center"/>
                    <w:rPr>
                      <w:sz w:val="21"/>
                      <w:szCs w:val="21"/>
                    </w:rPr>
                  </w:pPr>
                  <w:r>
                    <w:rPr>
                      <w:rFonts w:hint="eastAsia"/>
                      <w:sz w:val="21"/>
                      <w:szCs w:val="21"/>
                    </w:rPr>
                    <w:t>6.18</w:t>
                  </w:r>
                </w:p>
              </w:tc>
              <w:tc>
                <w:tcPr>
                  <w:tcW w:w="693" w:type="pct"/>
                  <w:vAlign w:val="center"/>
                </w:tcPr>
                <w:p>
                  <w:pPr>
                    <w:jc w:val="center"/>
                    <w:rPr>
                      <w:sz w:val="21"/>
                      <w:szCs w:val="21"/>
                    </w:rPr>
                  </w:pPr>
                  <w:r>
                    <w:rPr>
                      <w:rFonts w:hint="eastAsia"/>
                      <w:sz w:val="21"/>
                      <w:szCs w:val="21"/>
                    </w:rPr>
                    <w:t>3.09</w:t>
                  </w:r>
                </w:p>
              </w:tc>
              <w:tc>
                <w:tcPr>
                  <w:tcW w:w="664" w:type="pct"/>
                  <w:vAlign w:val="center"/>
                </w:tcPr>
                <w:p>
                  <w:pPr>
                    <w:jc w:val="center"/>
                    <w:rPr>
                      <w:sz w:val="21"/>
                      <w:szCs w:val="21"/>
                    </w:rPr>
                  </w:pPr>
                  <w:r>
                    <w:rPr>
                      <w:rFonts w:hint="eastAsia"/>
                      <w:sz w:val="21"/>
                      <w:szCs w:val="21"/>
                    </w:rPr>
                    <w:t>2.47</w:t>
                  </w:r>
                </w:p>
              </w:tc>
              <w:tc>
                <w:tcPr>
                  <w:tcW w:w="655" w:type="pct"/>
                  <w:vAlign w:val="center"/>
                </w:tcPr>
                <w:p>
                  <w:pPr>
                    <w:jc w:val="center"/>
                    <w:rPr>
                      <w:sz w:val="21"/>
                      <w:szCs w:val="21"/>
                    </w:rPr>
                  </w:pPr>
                  <w:r>
                    <w:rPr>
                      <w:rFonts w:hint="eastAsia"/>
                      <w:sz w:val="21"/>
                      <w:szCs w:val="21"/>
                    </w:rPr>
                    <w:t>1.03</w:t>
                  </w:r>
                </w:p>
              </w:tc>
              <w:tc>
                <w:tcPr>
                  <w:tcW w:w="1414" w:type="pct"/>
                  <w:vAlign w:val="center"/>
                </w:tcPr>
                <w:p>
                  <w:pPr>
                    <w:jc w:val="center"/>
                    <w:rPr>
                      <w:sz w:val="21"/>
                      <w:szCs w:val="21"/>
                    </w:rPr>
                  </w:pPr>
                  <w:r>
                    <w:rPr>
                      <w:rFonts w:hint="eastAsia"/>
                      <w:sz w:val="21"/>
                      <w:szCs w:val="21"/>
                    </w:rPr>
                    <w:t>2.06</w:t>
                  </w:r>
                  <w:r>
                    <w:rPr>
                      <w:sz w:val="21"/>
                      <w:szCs w:val="21"/>
                    </w:rPr>
                    <w:t>×10</w:t>
                  </w:r>
                  <w:r>
                    <w:rPr>
                      <w:rFonts w:hint="eastAsia"/>
                      <w:sz w:val="21"/>
                      <w:szCs w:val="21"/>
                      <w:vertAlign w:val="superscript"/>
                    </w:rPr>
                    <w:t>15</w:t>
                  </w:r>
                  <w:r>
                    <w:rPr>
                      <w:sz w:val="21"/>
                      <w:szCs w:val="21"/>
                    </w:rPr>
                    <w:t>(个/</w:t>
                  </w:r>
                  <w:r>
                    <w:rPr>
                      <w:rFonts w:hint="eastAsia"/>
                      <w:sz w:val="21"/>
                      <w:szCs w:val="21"/>
                    </w:rPr>
                    <w:t>a</w:t>
                  </w:r>
                  <w:r>
                    <w:rPr>
                      <w:sz w:val="21"/>
                      <w:szCs w:val="21"/>
                    </w:rPr>
                    <w:t>）</w:t>
                  </w:r>
                </w:p>
              </w:tc>
            </w:tr>
          </w:tbl>
          <w:p>
            <w:pPr>
              <w:spacing w:line="360" w:lineRule="auto"/>
              <w:ind w:firstLine="457" w:firstLineChars="218"/>
              <w:rPr>
                <w:sz w:val="21"/>
                <w:szCs w:val="21"/>
              </w:rPr>
            </w:pPr>
            <w:r>
              <w:rPr>
                <w:rFonts w:hint="eastAsia"/>
                <w:sz w:val="21"/>
                <w:szCs w:val="21"/>
              </w:rPr>
              <w:t>项目废水源强核算结果见下表。</w:t>
            </w:r>
          </w:p>
          <w:p>
            <w:pPr>
              <w:widowControl/>
              <w:spacing w:line="360" w:lineRule="auto"/>
              <w:jc w:val="center"/>
              <w:rPr>
                <w:b/>
                <w:bCs/>
                <w:sz w:val="21"/>
                <w:szCs w:val="21"/>
              </w:rPr>
            </w:pPr>
            <w:r>
              <w:rPr>
                <w:b/>
                <w:bCs/>
                <w:sz w:val="21"/>
                <w:szCs w:val="21"/>
              </w:rPr>
              <w:t>表4-4 废水污染源源强核算结果表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171"/>
              <w:gridCol w:w="921"/>
              <w:gridCol w:w="864"/>
              <w:gridCol w:w="864"/>
              <w:gridCol w:w="759"/>
              <w:gridCol w:w="728"/>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pct"/>
                  <w:gridSpan w:val="2"/>
                  <w:vAlign w:val="center"/>
                </w:tcPr>
                <w:p>
                  <w:pPr>
                    <w:jc w:val="center"/>
                    <w:rPr>
                      <w:sz w:val="21"/>
                      <w:szCs w:val="21"/>
                    </w:rPr>
                  </w:pPr>
                  <w:r>
                    <w:rPr>
                      <w:rFonts w:hint="eastAsia"/>
                      <w:sz w:val="21"/>
                      <w:szCs w:val="21"/>
                    </w:rPr>
                    <w:t>污染源</w:t>
                  </w:r>
                </w:p>
              </w:tc>
              <w:tc>
                <w:tcPr>
                  <w:tcW w:w="3748" w:type="pct"/>
                  <w:gridSpan w:val="6"/>
                  <w:vAlign w:val="center"/>
                </w:tcPr>
                <w:p>
                  <w:pPr>
                    <w:jc w:val="center"/>
                    <w:rPr>
                      <w:sz w:val="21"/>
                      <w:szCs w:val="21"/>
                    </w:rPr>
                  </w:pPr>
                  <w:r>
                    <w:rPr>
                      <w:rFonts w:hint="eastAsia"/>
                      <w:sz w:val="21"/>
                      <w:szCs w:val="21"/>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pct"/>
                  <w:gridSpan w:val="2"/>
                  <w:vAlign w:val="center"/>
                </w:tcPr>
                <w:p>
                  <w:pPr>
                    <w:jc w:val="center"/>
                    <w:rPr>
                      <w:sz w:val="21"/>
                      <w:szCs w:val="21"/>
                    </w:rPr>
                  </w:pPr>
                  <w:r>
                    <w:rPr>
                      <w:rFonts w:hint="eastAsia"/>
                      <w:sz w:val="21"/>
                      <w:szCs w:val="21"/>
                    </w:rPr>
                    <w:t>产生工序</w:t>
                  </w:r>
                </w:p>
              </w:tc>
              <w:tc>
                <w:tcPr>
                  <w:tcW w:w="3748" w:type="pct"/>
                  <w:gridSpan w:val="6"/>
                  <w:vAlign w:val="center"/>
                </w:tcPr>
                <w:p>
                  <w:pPr>
                    <w:jc w:val="center"/>
                    <w:rPr>
                      <w:sz w:val="21"/>
                      <w:szCs w:val="21"/>
                    </w:rPr>
                  </w:pPr>
                  <w:r>
                    <w:rPr>
                      <w:rFonts w:hint="eastAsia"/>
                      <w:sz w:val="21"/>
                      <w:szCs w:val="21"/>
                    </w:rPr>
                    <w:t>生活污水、医疗废水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pct"/>
                  <w:gridSpan w:val="2"/>
                  <w:vAlign w:val="center"/>
                </w:tcPr>
                <w:p>
                  <w:pPr>
                    <w:jc w:val="center"/>
                    <w:rPr>
                      <w:sz w:val="21"/>
                      <w:szCs w:val="21"/>
                    </w:rPr>
                  </w:pPr>
                  <w:r>
                    <w:rPr>
                      <w:rFonts w:hint="eastAsia"/>
                      <w:sz w:val="21"/>
                      <w:szCs w:val="21"/>
                    </w:rPr>
                    <w:t>污染因子</w:t>
                  </w:r>
                </w:p>
              </w:tc>
              <w:tc>
                <w:tcPr>
                  <w:tcW w:w="597" w:type="pct"/>
                  <w:vAlign w:val="center"/>
                </w:tcPr>
                <w:p>
                  <w:pPr>
                    <w:jc w:val="center"/>
                    <w:rPr>
                      <w:sz w:val="21"/>
                      <w:szCs w:val="21"/>
                    </w:rPr>
                  </w:pPr>
                  <w:r>
                    <w:rPr>
                      <w:rFonts w:hint="eastAsia"/>
                      <w:sz w:val="21"/>
                      <w:szCs w:val="21"/>
                    </w:rPr>
                    <w:t>废水量</w:t>
                  </w:r>
                </w:p>
              </w:tc>
              <w:tc>
                <w:tcPr>
                  <w:tcW w:w="494" w:type="pct"/>
                  <w:vAlign w:val="center"/>
                </w:tcPr>
                <w:p>
                  <w:pPr>
                    <w:jc w:val="center"/>
                    <w:rPr>
                      <w:sz w:val="21"/>
                      <w:szCs w:val="21"/>
                    </w:rPr>
                  </w:pPr>
                  <w:r>
                    <w:rPr>
                      <w:rFonts w:hint="eastAsia"/>
                      <w:sz w:val="21"/>
                      <w:szCs w:val="21"/>
                    </w:rPr>
                    <w:t>COD</w:t>
                  </w:r>
                </w:p>
              </w:tc>
              <w:tc>
                <w:tcPr>
                  <w:tcW w:w="522" w:type="pct"/>
                  <w:vAlign w:val="center"/>
                </w:tcPr>
                <w:p>
                  <w:pPr>
                    <w:jc w:val="center"/>
                    <w:rPr>
                      <w:sz w:val="21"/>
                      <w:szCs w:val="21"/>
                    </w:rPr>
                  </w:pPr>
                  <w:r>
                    <w:rPr>
                      <w:rFonts w:hint="eastAsia"/>
                      <w:sz w:val="21"/>
                      <w:szCs w:val="21"/>
                    </w:rPr>
                    <w:t>BOD</w:t>
                  </w:r>
                  <w:r>
                    <w:rPr>
                      <w:rFonts w:hint="eastAsia"/>
                      <w:sz w:val="21"/>
                      <w:szCs w:val="21"/>
                      <w:vertAlign w:val="subscript"/>
                    </w:rPr>
                    <w:t>5</w:t>
                  </w:r>
                </w:p>
              </w:tc>
              <w:tc>
                <w:tcPr>
                  <w:tcW w:w="494" w:type="pct"/>
                  <w:vAlign w:val="center"/>
                </w:tcPr>
                <w:p>
                  <w:pPr>
                    <w:jc w:val="center"/>
                    <w:rPr>
                      <w:sz w:val="21"/>
                      <w:szCs w:val="21"/>
                    </w:rPr>
                  </w:pPr>
                  <w:r>
                    <w:rPr>
                      <w:rFonts w:hint="eastAsia"/>
                      <w:sz w:val="21"/>
                      <w:szCs w:val="21"/>
                    </w:rPr>
                    <w:t>SS</w:t>
                  </w:r>
                </w:p>
              </w:tc>
              <w:tc>
                <w:tcPr>
                  <w:tcW w:w="474" w:type="pct"/>
                  <w:vAlign w:val="center"/>
                </w:tcPr>
                <w:p>
                  <w:pPr>
                    <w:jc w:val="center"/>
                    <w:rPr>
                      <w:sz w:val="21"/>
                      <w:szCs w:val="21"/>
                    </w:rPr>
                  </w:pPr>
                  <w:r>
                    <w:rPr>
                      <w:rFonts w:hint="eastAsia"/>
                      <w:sz w:val="21"/>
                      <w:szCs w:val="21"/>
                    </w:rPr>
                    <w:t>氨氮</w:t>
                  </w:r>
                </w:p>
              </w:tc>
              <w:tc>
                <w:tcPr>
                  <w:tcW w:w="1166" w:type="pct"/>
                  <w:vAlign w:val="center"/>
                </w:tcPr>
                <w:p>
                  <w:pPr>
                    <w:jc w:val="center"/>
                    <w:rPr>
                      <w:sz w:val="21"/>
                      <w:szCs w:val="21"/>
                    </w:rPr>
                  </w:pPr>
                  <w:r>
                    <w:rPr>
                      <w:rFonts w:hint="eastAsia"/>
                      <w:sz w:val="21"/>
                      <w:szCs w:val="21"/>
                    </w:rPr>
                    <w:t>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pct"/>
                  <w:vMerge w:val="restart"/>
                  <w:vAlign w:val="center"/>
                </w:tcPr>
                <w:p>
                  <w:pPr>
                    <w:jc w:val="center"/>
                    <w:rPr>
                      <w:sz w:val="21"/>
                      <w:szCs w:val="21"/>
                    </w:rPr>
                  </w:pPr>
                  <w:r>
                    <w:rPr>
                      <w:rFonts w:hint="eastAsia"/>
                      <w:sz w:val="21"/>
                      <w:szCs w:val="21"/>
                    </w:rPr>
                    <w:t>产生情况</w:t>
                  </w:r>
                </w:p>
              </w:tc>
              <w:tc>
                <w:tcPr>
                  <w:tcW w:w="754" w:type="pct"/>
                  <w:vAlign w:val="center"/>
                </w:tcPr>
                <w:p>
                  <w:pPr>
                    <w:jc w:val="center"/>
                    <w:rPr>
                      <w:sz w:val="21"/>
                      <w:szCs w:val="21"/>
                    </w:rPr>
                  </w:pPr>
                  <w:r>
                    <w:rPr>
                      <w:rFonts w:hint="eastAsia"/>
                      <w:sz w:val="21"/>
                      <w:szCs w:val="21"/>
                    </w:rPr>
                    <w:t>产生量（t/a）</w:t>
                  </w:r>
                </w:p>
              </w:tc>
              <w:tc>
                <w:tcPr>
                  <w:tcW w:w="597" w:type="pct"/>
                  <w:vAlign w:val="center"/>
                </w:tcPr>
                <w:p>
                  <w:pPr>
                    <w:jc w:val="center"/>
                    <w:rPr>
                      <w:sz w:val="21"/>
                      <w:szCs w:val="21"/>
                    </w:rPr>
                  </w:pPr>
                  <w:r>
                    <w:rPr>
                      <w:rFonts w:hint="eastAsia"/>
                      <w:sz w:val="21"/>
                      <w:szCs w:val="21"/>
                    </w:rPr>
                    <w:t>20586</w:t>
                  </w:r>
                </w:p>
              </w:tc>
              <w:tc>
                <w:tcPr>
                  <w:tcW w:w="494" w:type="pct"/>
                  <w:vAlign w:val="center"/>
                </w:tcPr>
                <w:p>
                  <w:pPr>
                    <w:jc w:val="center"/>
                    <w:rPr>
                      <w:sz w:val="21"/>
                      <w:szCs w:val="21"/>
                    </w:rPr>
                  </w:pPr>
                  <w:r>
                    <w:rPr>
                      <w:rFonts w:hint="eastAsia"/>
                      <w:sz w:val="21"/>
                      <w:szCs w:val="21"/>
                    </w:rPr>
                    <w:t>6.18</w:t>
                  </w:r>
                </w:p>
              </w:tc>
              <w:tc>
                <w:tcPr>
                  <w:tcW w:w="522" w:type="pct"/>
                  <w:vAlign w:val="center"/>
                </w:tcPr>
                <w:p>
                  <w:pPr>
                    <w:jc w:val="center"/>
                    <w:rPr>
                      <w:sz w:val="21"/>
                      <w:szCs w:val="21"/>
                    </w:rPr>
                  </w:pPr>
                  <w:r>
                    <w:rPr>
                      <w:rFonts w:hint="eastAsia"/>
                      <w:sz w:val="21"/>
                      <w:szCs w:val="21"/>
                    </w:rPr>
                    <w:t>3.09</w:t>
                  </w:r>
                </w:p>
              </w:tc>
              <w:tc>
                <w:tcPr>
                  <w:tcW w:w="494" w:type="pct"/>
                  <w:vAlign w:val="center"/>
                </w:tcPr>
                <w:p>
                  <w:pPr>
                    <w:jc w:val="center"/>
                    <w:rPr>
                      <w:sz w:val="21"/>
                      <w:szCs w:val="21"/>
                    </w:rPr>
                  </w:pPr>
                  <w:r>
                    <w:rPr>
                      <w:rFonts w:hint="eastAsia"/>
                      <w:sz w:val="21"/>
                      <w:szCs w:val="21"/>
                    </w:rPr>
                    <w:t>2.47</w:t>
                  </w:r>
                </w:p>
              </w:tc>
              <w:tc>
                <w:tcPr>
                  <w:tcW w:w="474" w:type="pct"/>
                  <w:vAlign w:val="center"/>
                </w:tcPr>
                <w:p>
                  <w:pPr>
                    <w:jc w:val="center"/>
                    <w:rPr>
                      <w:sz w:val="21"/>
                      <w:szCs w:val="21"/>
                    </w:rPr>
                  </w:pPr>
                  <w:r>
                    <w:rPr>
                      <w:rFonts w:hint="eastAsia"/>
                      <w:sz w:val="21"/>
                      <w:szCs w:val="21"/>
                    </w:rPr>
                    <w:t>1.03</w:t>
                  </w:r>
                </w:p>
              </w:tc>
              <w:tc>
                <w:tcPr>
                  <w:tcW w:w="1166" w:type="pct"/>
                  <w:vAlign w:val="center"/>
                </w:tcPr>
                <w:p>
                  <w:pPr>
                    <w:jc w:val="center"/>
                    <w:rPr>
                      <w:sz w:val="21"/>
                      <w:szCs w:val="21"/>
                    </w:rPr>
                  </w:pPr>
                  <w:r>
                    <w:rPr>
                      <w:rFonts w:hint="eastAsia"/>
                      <w:sz w:val="21"/>
                      <w:szCs w:val="21"/>
                    </w:rPr>
                    <w:t>2.06</w:t>
                  </w:r>
                  <w:r>
                    <w:rPr>
                      <w:sz w:val="21"/>
                      <w:szCs w:val="21"/>
                    </w:rPr>
                    <w:t>×10</w:t>
                  </w:r>
                  <w:r>
                    <w:rPr>
                      <w:rFonts w:hint="eastAsia"/>
                      <w:sz w:val="21"/>
                      <w:szCs w:val="21"/>
                      <w:vertAlign w:val="superscript"/>
                    </w:rPr>
                    <w:t>15</w:t>
                  </w:r>
                  <w:r>
                    <w:rPr>
                      <w:sz w:val="21"/>
                      <w:szCs w:val="21"/>
                    </w:rPr>
                    <w:t>(个/</w:t>
                  </w:r>
                  <w:r>
                    <w:rPr>
                      <w:rFonts w:hint="eastAsia"/>
                      <w:sz w:val="21"/>
                      <w:szCs w:val="21"/>
                    </w:rPr>
                    <w:t>a</w:t>
                  </w: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pct"/>
                  <w:vMerge w:val="continue"/>
                  <w:vAlign w:val="center"/>
                </w:tcPr>
                <w:p>
                  <w:pPr>
                    <w:jc w:val="center"/>
                    <w:rPr>
                      <w:sz w:val="21"/>
                      <w:szCs w:val="21"/>
                    </w:rPr>
                  </w:pPr>
                </w:p>
              </w:tc>
              <w:tc>
                <w:tcPr>
                  <w:tcW w:w="754" w:type="pct"/>
                  <w:vAlign w:val="center"/>
                </w:tcPr>
                <w:p>
                  <w:pPr>
                    <w:jc w:val="center"/>
                    <w:rPr>
                      <w:sz w:val="21"/>
                      <w:szCs w:val="21"/>
                    </w:rPr>
                  </w:pPr>
                  <w:r>
                    <w:rPr>
                      <w:rFonts w:hint="eastAsia"/>
                      <w:sz w:val="21"/>
                      <w:szCs w:val="21"/>
                    </w:rPr>
                    <w:t>浓度（mg/L）</w:t>
                  </w:r>
                </w:p>
              </w:tc>
              <w:tc>
                <w:tcPr>
                  <w:tcW w:w="597" w:type="pct"/>
                  <w:vAlign w:val="center"/>
                </w:tcPr>
                <w:p>
                  <w:pPr>
                    <w:jc w:val="center"/>
                    <w:rPr>
                      <w:sz w:val="21"/>
                      <w:szCs w:val="21"/>
                    </w:rPr>
                  </w:pPr>
                  <w:r>
                    <w:rPr>
                      <w:rFonts w:hint="eastAsia"/>
                      <w:sz w:val="21"/>
                      <w:szCs w:val="21"/>
                    </w:rPr>
                    <w:t>/</w:t>
                  </w:r>
                </w:p>
              </w:tc>
              <w:tc>
                <w:tcPr>
                  <w:tcW w:w="494" w:type="pct"/>
                  <w:vAlign w:val="center"/>
                </w:tcPr>
                <w:p>
                  <w:pPr>
                    <w:jc w:val="center"/>
                    <w:rPr>
                      <w:sz w:val="21"/>
                      <w:szCs w:val="21"/>
                    </w:rPr>
                  </w:pPr>
                  <w:r>
                    <w:rPr>
                      <w:rFonts w:hint="eastAsia"/>
                      <w:sz w:val="21"/>
                      <w:szCs w:val="21"/>
                    </w:rPr>
                    <w:t>300</w:t>
                  </w:r>
                </w:p>
              </w:tc>
              <w:tc>
                <w:tcPr>
                  <w:tcW w:w="522" w:type="pct"/>
                  <w:vAlign w:val="center"/>
                </w:tcPr>
                <w:p>
                  <w:pPr>
                    <w:jc w:val="center"/>
                    <w:rPr>
                      <w:sz w:val="21"/>
                      <w:szCs w:val="21"/>
                    </w:rPr>
                  </w:pPr>
                  <w:r>
                    <w:rPr>
                      <w:rFonts w:hint="eastAsia"/>
                      <w:sz w:val="21"/>
                      <w:szCs w:val="21"/>
                    </w:rPr>
                    <w:t>150</w:t>
                  </w:r>
                </w:p>
              </w:tc>
              <w:tc>
                <w:tcPr>
                  <w:tcW w:w="494" w:type="pct"/>
                  <w:vAlign w:val="center"/>
                </w:tcPr>
                <w:p>
                  <w:pPr>
                    <w:jc w:val="center"/>
                    <w:rPr>
                      <w:sz w:val="21"/>
                      <w:szCs w:val="21"/>
                    </w:rPr>
                  </w:pPr>
                  <w:r>
                    <w:rPr>
                      <w:rFonts w:hint="eastAsia"/>
                      <w:sz w:val="21"/>
                      <w:szCs w:val="21"/>
                    </w:rPr>
                    <w:t>120</w:t>
                  </w:r>
                </w:p>
              </w:tc>
              <w:tc>
                <w:tcPr>
                  <w:tcW w:w="474" w:type="pct"/>
                  <w:vAlign w:val="center"/>
                </w:tcPr>
                <w:p>
                  <w:pPr>
                    <w:jc w:val="center"/>
                    <w:rPr>
                      <w:sz w:val="21"/>
                      <w:szCs w:val="21"/>
                    </w:rPr>
                  </w:pPr>
                  <w:r>
                    <w:rPr>
                      <w:rFonts w:hint="eastAsia"/>
                      <w:sz w:val="21"/>
                      <w:szCs w:val="21"/>
                    </w:rPr>
                    <w:t>50</w:t>
                  </w:r>
                </w:p>
              </w:tc>
              <w:tc>
                <w:tcPr>
                  <w:tcW w:w="1166" w:type="pct"/>
                  <w:vAlign w:val="center"/>
                </w:tcPr>
                <w:p>
                  <w:pPr>
                    <w:jc w:val="center"/>
                    <w:rPr>
                      <w:sz w:val="21"/>
                      <w:szCs w:val="21"/>
                    </w:rPr>
                  </w:pPr>
                  <w:r>
                    <w:rPr>
                      <w:rFonts w:hint="eastAsia"/>
                      <w:sz w:val="21"/>
                      <w:szCs w:val="21"/>
                    </w:rPr>
                    <w:t>1</w:t>
                  </w:r>
                  <w:r>
                    <w:rPr>
                      <w:sz w:val="21"/>
                      <w:szCs w:val="21"/>
                    </w:rPr>
                    <w:t>.0×10</w:t>
                  </w:r>
                  <w:r>
                    <w:rPr>
                      <w:sz w:val="21"/>
                      <w:szCs w:val="21"/>
                      <w:vertAlign w:val="superscript"/>
                    </w:rPr>
                    <w:t>8</w:t>
                  </w:r>
                  <w:r>
                    <w:rPr>
                      <w:sz w:val="21"/>
                      <w:szCs w:val="21"/>
                    </w:rPr>
                    <w:t>(个/L）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pct"/>
                  <w:vMerge w:val="restart"/>
                  <w:vAlign w:val="center"/>
                </w:tcPr>
                <w:p>
                  <w:pPr>
                    <w:jc w:val="center"/>
                    <w:rPr>
                      <w:sz w:val="21"/>
                      <w:szCs w:val="21"/>
                    </w:rPr>
                  </w:pPr>
                  <w:r>
                    <w:rPr>
                      <w:rFonts w:hint="eastAsia"/>
                      <w:sz w:val="21"/>
                      <w:szCs w:val="21"/>
                    </w:rPr>
                    <w:t>污染防治情况</w:t>
                  </w:r>
                </w:p>
              </w:tc>
              <w:tc>
                <w:tcPr>
                  <w:tcW w:w="754" w:type="pct"/>
                  <w:vAlign w:val="center"/>
                </w:tcPr>
                <w:p>
                  <w:pPr>
                    <w:jc w:val="center"/>
                    <w:rPr>
                      <w:sz w:val="21"/>
                      <w:szCs w:val="21"/>
                    </w:rPr>
                  </w:pPr>
                  <w:r>
                    <w:rPr>
                      <w:rFonts w:hint="eastAsia"/>
                      <w:sz w:val="21"/>
                      <w:szCs w:val="21"/>
                    </w:rPr>
                    <w:t>处理措施</w:t>
                  </w:r>
                </w:p>
              </w:tc>
              <w:tc>
                <w:tcPr>
                  <w:tcW w:w="3748" w:type="pct"/>
                  <w:gridSpan w:val="6"/>
                  <w:vAlign w:val="center"/>
                </w:tcPr>
                <w:p>
                  <w:pPr>
                    <w:jc w:val="center"/>
                    <w:rPr>
                      <w:sz w:val="21"/>
                      <w:szCs w:val="21"/>
                    </w:rPr>
                  </w:pPr>
                  <w:r>
                    <w:rPr>
                      <w:rFonts w:hint="eastAsia"/>
                      <w:sz w:val="21"/>
                      <w:szCs w:val="21"/>
                    </w:rPr>
                    <w:t>二级处理（</w:t>
                  </w:r>
                  <w:r>
                    <w:rPr>
                      <w:rFonts w:hint="eastAsia"/>
                      <w:color w:val="0000FF"/>
                      <w:sz w:val="21"/>
                      <w:szCs w:val="21"/>
                    </w:rPr>
                    <w:t>化粪池+格栅+调节池+生物接触氧化池+混凝沉淀池）+消毒工艺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pct"/>
                  <w:vMerge w:val="continue"/>
                  <w:vAlign w:val="center"/>
                </w:tcPr>
                <w:p>
                  <w:pPr>
                    <w:jc w:val="center"/>
                    <w:rPr>
                      <w:sz w:val="21"/>
                      <w:szCs w:val="21"/>
                    </w:rPr>
                  </w:pPr>
                </w:p>
              </w:tc>
              <w:tc>
                <w:tcPr>
                  <w:tcW w:w="754" w:type="pct"/>
                  <w:vAlign w:val="center"/>
                </w:tcPr>
                <w:p>
                  <w:pPr>
                    <w:jc w:val="center"/>
                    <w:rPr>
                      <w:sz w:val="21"/>
                      <w:szCs w:val="21"/>
                    </w:rPr>
                  </w:pPr>
                  <w:r>
                    <w:rPr>
                      <w:rFonts w:hint="eastAsia"/>
                      <w:sz w:val="21"/>
                      <w:szCs w:val="21"/>
                    </w:rPr>
                    <w:t>是否为可行性技术</w:t>
                  </w:r>
                </w:p>
              </w:tc>
              <w:tc>
                <w:tcPr>
                  <w:tcW w:w="3748" w:type="pct"/>
                  <w:gridSpan w:val="6"/>
                  <w:vAlign w:val="center"/>
                </w:tcPr>
                <w:p>
                  <w:pPr>
                    <w:jc w:val="center"/>
                    <w:rPr>
                      <w:sz w:val="21"/>
                      <w:szCs w:val="21"/>
                    </w:rPr>
                  </w:pPr>
                  <w:r>
                    <w:rPr>
                      <w:rFonts w:hint="eastAsia"/>
                      <w:sz w:val="21"/>
                      <w:szCs w:val="21"/>
                    </w:rPr>
                    <w:t>根据《排污许可证申请与核发技术规范 医疗机构》（HJ 1105-2020）中附录A，项目选取的污水处理工艺为可行性技术。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pct"/>
                  <w:vMerge w:val="continue"/>
                  <w:vAlign w:val="center"/>
                </w:tcPr>
                <w:p>
                  <w:pPr>
                    <w:jc w:val="center"/>
                    <w:rPr>
                      <w:sz w:val="21"/>
                      <w:szCs w:val="21"/>
                    </w:rPr>
                  </w:pPr>
                </w:p>
              </w:tc>
              <w:tc>
                <w:tcPr>
                  <w:tcW w:w="754" w:type="pct"/>
                  <w:vAlign w:val="center"/>
                </w:tcPr>
                <w:p>
                  <w:pPr>
                    <w:jc w:val="center"/>
                    <w:rPr>
                      <w:sz w:val="21"/>
                      <w:szCs w:val="21"/>
                    </w:rPr>
                  </w:pPr>
                  <w:r>
                    <w:rPr>
                      <w:rFonts w:hint="eastAsia"/>
                      <w:sz w:val="21"/>
                      <w:szCs w:val="21"/>
                    </w:rPr>
                    <w:t>去除效率</w:t>
                  </w:r>
                </w:p>
              </w:tc>
              <w:tc>
                <w:tcPr>
                  <w:tcW w:w="597" w:type="pct"/>
                  <w:vAlign w:val="center"/>
                </w:tcPr>
                <w:p>
                  <w:pPr>
                    <w:jc w:val="center"/>
                    <w:rPr>
                      <w:sz w:val="21"/>
                      <w:szCs w:val="21"/>
                    </w:rPr>
                  </w:pPr>
                  <w:r>
                    <w:rPr>
                      <w:rFonts w:hint="eastAsia"/>
                      <w:sz w:val="21"/>
                      <w:szCs w:val="21"/>
                    </w:rPr>
                    <w:t>/</w:t>
                  </w:r>
                </w:p>
              </w:tc>
              <w:tc>
                <w:tcPr>
                  <w:tcW w:w="494" w:type="pct"/>
                  <w:vAlign w:val="center"/>
                </w:tcPr>
                <w:p>
                  <w:pPr>
                    <w:jc w:val="center"/>
                    <w:rPr>
                      <w:sz w:val="21"/>
                      <w:szCs w:val="21"/>
                    </w:rPr>
                  </w:pPr>
                  <w:r>
                    <w:rPr>
                      <w:rFonts w:hint="eastAsia"/>
                      <w:sz w:val="21"/>
                      <w:szCs w:val="21"/>
                    </w:rPr>
                    <w:t>16.67%</w:t>
                  </w:r>
                </w:p>
              </w:tc>
              <w:tc>
                <w:tcPr>
                  <w:tcW w:w="522" w:type="pct"/>
                  <w:vAlign w:val="center"/>
                </w:tcPr>
                <w:p>
                  <w:pPr>
                    <w:jc w:val="center"/>
                    <w:rPr>
                      <w:sz w:val="21"/>
                      <w:szCs w:val="21"/>
                    </w:rPr>
                  </w:pPr>
                  <w:r>
                    <w:rPr>
                      <w:rFonts w:hint="eastAsia"/>
                      <w:sz w:val="21"/>
                      <w:szCs w:val="21"/>
                    </w:rPr>
                    <w:t>33.33%</w:t>
                  </w:r>
                </w:p>
              </w:tc>
              <w:tc>
                <w:tcPr>
                  <w:tcW w:w="494" w:type="pct"/>
                  <w:vAlign w:val="center"/>
                </w:tcPr>
                <w:p>
                  <w:pPr>
                    <w:jc w:val="center"/>
                    <w:rPr>
                      <w:sz w:val="21"/>
                      <w:szCs w:val="21"/>
                    </w:rPr>
                  </w:pPr>
                  <w:r>
                    <w:rPr>
                      <w:rFonts w:hint="eastAsia"/>
                      <w:sz w:val="21"/>
                      <w:szCs w:val="21"/>
                    </w:rPr>
                    <w:t>50%</w:t>
                  </w:r>
                </w:p>
              </w:tc>
              <w:tc>
                <w:tcPr>
                  <w:tcW w:w="474" w:type="pct"/>
                  <w:vAlign w:val="center"/>
                </w:tcPr>
                <w:p>
                  <w:pPr>
                    <w:jc w:val="center"/>
                    <w:rPr>
                      <w:sz w:val="21"/>
                      <w:szCs w:val="21"/>
                    </w:rPr>
                  </w:pPr>
                  <w:r>
                    <w:rPr>
                      <w:rFonts w:hint="eastAsia"/>
                      <w:sz w:val="21"/>
                      <w:szCs w:val="21"/>
                    </w:rPr>
                    <w:t>40%</w:t>
                  </w:r>
                </w:p>
              </w:tc>
              <w:tc>
                <w:tcPr>
                  <w:tcW w:w="1166" w:type="pct"/>
                  <w:vAlign w:val="center"/>
                </w:tcPr>
                <w:p>
                  <w:pPr>
                    <w:jc w:val="center"/>
                    <w:rPr>
                      <w:sz w:val="21"/>
                      <w:szCs w:val="21"/>
                    </w:rPr>
                  </w:pPr>
                  <w:r>
                    <w:rPr>
                      <w:rFonts w:hint="eastAsia"/>
                      <w:sz w:val="21"/>
                      <w:szCs w:val="21"/>
                    </w:rPr>
                    <w:t>99.995%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pct"/>
                  <w:vMerge w:val="continue"/>
                  <w:vAlign w:val="center"/>
                </w:tcPr>
                <w:p>
                  <w:pPr>
                    <w:jc w:val="center"/>
                    <w:rPr>
                      <w:sz w:val="21"/>
                      <w:szCs w:val="21"/>
                    </w:rPr>
                  </w:pPr>
                </w:p>
              </w:tc>
              <w:tc>
                <w:tcPr>
                  <w:tcW w:w="754" w:type="pct"/>
                  <w:vAlign w:val="center"/>
                </w:tcPr>
                <w:p>
                  <w:pPr>
                    <w:jc w:val="center"/>
                    <w:rPr>
                      <w:sz w:val="21"/>
                      <w:szCs w:val="21"/>
                    </w:rPr>
                  </w:pPr>
                  <w:r>
                    <w:rPr>
                      <w:rFonts w:hint="eastAsia"/>
                      <w:sz w:val="21"/>
                      <w:szCs w:val="21"/>
                    </w:rPr>
                    <w:t>消减量（t/a）</w:t>
                  </w:r>
                </w:p>
              </w:tc>
              <w:tc>
                <w:tcPr>
                  <w:tcW w:w="597" w:type="pct"/>
                  <w:vAlign w:val="center"/>
                </w:tcPr>
                <w:p>
                  <w:pPr>
                    <w:jc w:val="center"/>
                    <w:rPr>
                      <w:sz w:val="21"/>
                      <w:szCs w:val="21"/>
                    </w:rPr>
                  </w:pPr>
                  <w:r>
                    <w:rPr>
                      <w:rFonts w:hint="eastAsia"/>
                      <w:sz w:val="21"/>
                      <w:szCs w:val="21"/>
                    </w:rPr>
                    <w:t>/</w:t>
                  </w:r>
                </w:p>
              </w:tc>
              <w:tc>
                <w:tcPr>
                  <w:tcW w:w="494" w:type="pct"/>
                  <w:vAlign w:val="center"/>
                </w:tcPr>
                <w:p>
                  <w:pPr>
                    <w:jc w:val="center"/>
                    <w:rPr>
                      <w:sz w:val="21"/>
                      <w:szCs w:val="21"/>
                    </w:rPr>
                  </w:pPr>
                  <w:r>
                    <w:rPr>
                      <w:rFonts w:hint="eastAsia"/>
                      <w:sz w:val="21"/>
                      <w:szCs w:val="21"/>
                    </w:rPr>
                    <w:t>1.03</w:t>
                  </w:r>
                </w:p>
              </w:tc>
              <w:tc>
                <w:tcPr>
                  <w:tcW w:w="522" w:type="pct"/>
                  <w:vAlign w:val="center"/>
                </w:tcPr>
                <w:p>
                  <w:pPr>
                    <w:jc w:val="center"/>
                    <w:rPr>
                      <w:sz w:val="21"/>
                      <w:szCs w:val="21"/>
                    </w:rPr>
                  </w:pPr>
                  <w:r>
                    <w:rPr>
                      <w:rFonts w:hint="eastAsia"/>
                      <w:sz w:val="21"/>
                      <w:szCs w:val="21"/>
                    </w:rPr>
                    <w:t>1.03</w:t>
                  </w:r>
                </w:p>
              </w:tc>
              <w:tc>
                <w:tcPr>
                  <w:tcW w:w="494" w:type="pct"/>
                  <w:vAlign w:val="center"/>
                </w:tcPr>
                <w:p>
                  <w:pPr>
                    <w:jc w:val="center"/>
                    <w:rPr>
                      <w:sz w:val="21"/>
                      <w:szCs w:val="21"/>
                    </w:rPr>
                  </w:pPr>
                  <w:r>
                    <w:rPr>
                      <w:rFonts w:hint="eastAsia"/>
                      <w:sz w:val="21"/>
                      <w:szCs w:val="21"/>
                    </w:rPr>
                    <w:t>1.23</w:t>
                  </w:r>
                </w:p>
              </w:tc>
              <w:tc>
                <w:tcPr>
                  <w:tcW w:w="474" w:type="pct"/>
                  <w:vAlign w:val="center"/>
                </w:tcPr>
                <w:p>
                  <w:pPr>
                    <w:jc w:val="center"/>
                    <w:rPr>
                      <w:sz w:val="21"/>
                      <w:szCs w:val="21"/>
                    </w:rPr>
                  </w:pPr>
                  <w:r>
                    <w:rPr>
                      <w:rFonts w:hint="eastAsia"/>
                      <w:sz w:val="21"/>
                      <w:szCs w:val="21"/>
                    </w:rPr>
                    <w:t>0.41</w:t>
                  </w:r>
                </w:p>
              </w:tc>
              <w:tc>
                <w:tcPr>
                  <w:tcW w:w="1166" w:type="pct"/>
                  <w:vAlign w:val="center"/>
                </w:tcPr>
                <w:p>
                  <w:pPr>
                    <w:jc w:val="center"/>
                    <w:rPr>
                      <w:sz w:val="21"/>
                      <w:szCs w:val="21"/>
                    </w:rPr>
                  </w:pPr>
                  <w:r>
                    <w:rPr>
                      <w:rFonts w:hint="eastAsia"/>
                      <w:sz w:val="21"/>
                      <w:szCs w:val="21"/>
                    </w:rPr>
                    <w:t>1.96×10</w:t>
                  </w:r>
                  <w:r>
                    <w:rPr>
                      <w:rFonts w:hint="eastAsia"/>
                      <w:sz w:val="21"/>
                      <w:szCs w:val="21"/>
                      <w:vertAlign w:val="superscript"/>
                    </w:rPr>
                    <w:t>15</w:t>
                  </w:r>
                  <w:r>
                    <w:rPr>
                      <w:rFonts w:hint="eastAsia"/>
                      <w:sz w:val="21"/>
                      <w:szCs w:val="21"/>
                    </w:rPr>
                    <w:t>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pct"/>
                  <w:vMerge w:val="restart"/>
                  <w:vAlign w:val="center"/>
                </w:tcPr>
                <w:p>
                  <w:pPr>
                    <w:jc w:val="center"/>
                    <w:rPr>
                      <w:sz w:val="21"/>
                      <w:szCs w:val="21"/>
                    </w:rPr>
                  </w:pPr>
                  <w:r>
                    <w:rPr>
                      <w:rFonts w:hint="eastAsia"/>
                      <w:sz w:val="21"/>
                      <w:szCs w:val="21"/>
                    </w:rPr>
                    <w:t>排放情况</w:t>
                  </w:r>
                </w:p>
              </w:tc>
              <w:tc>
                <w:tcPr>
                  <w:tcW w:w="754" w:type="pct"/>
                  <w:vAlign w:val="center"/>
                </w:tcPr>
                <w:p>
                  <w:pPr>
                    <w:jc w:val="center"/>
                    <w:rPr>
                      <w:sz w:val="21"/>
                      <w:szCs w:val="21"/>
                    </w:rPr>
                  </w:pPr>
                  <w:r>
                    <w:rPr>
                      <w:rFonts w:hint="eastAsia"/>
                      <w:sz w:val="21"/>
                      <w:szCs w:val="21"/>
                    </w:rPr>
                    <w:t>排放量（t/a）</w:t>
                  </w:r>
                </w:p>
              </w:tc>
              <w:tc>
                <w:tcPr>
                  <w:tcW w:w="597" w:type="pct"/>
                  <w:vAlign w:val="center"/>
                </w:tcPr>
                <w:p>
                  <w:pPr>
                    <w:jc w:val="center"/>
                    <w:rPr>
                      <w:sz w:val="21"/>
                      <w:szCs w:val="21"/>
                    </w:rPr>
                  </w:pPr>
                  <w:r>
                    <w:rPr>
                      <w:rFonts w:hint="eastAsia"/>
                      <w:sz w:val="21"/>
                      <w:szCs w:val="21"/>
                    </w:rPr>
                    <w:t>20586</w:t>
                  </w:r>
                </w:p>
              </w:tc>
              <w:tc>
                <w:tcPr>
                  <w:tcW w:w="494" w:type="pct"/>
                  <w:vAlign w:val="center"/>
                </w:tcPr>
                <w:p>
                  <w:pPr>
                    <w:jc w:val="center"/>
                    <w:rPr>
                      <w:sz w:val="21"/>
                      <w:szCs w:val="21"/>
                    </w:rPr>
                  </w:pPr>
                  <w:r>
                    <w:rPr>
                      <w:rFonts w:hint="eastAsia"/>
                      <w:sz w:val="21"/>
                      <w:szCs w:val="21"/>
                    </w:rPr>
                    <w:t>5.15</w:t>
                  </w:r>
                </w:p>
              </w:tc>
              <w:tc>
                <w:tcPr>
                  <w:tcW w:w="522" w:type="pct"/>
                  <w:vAlign w:val="center"/>
                </w:tcPr>
                <w:p>
                  <w:pPr>
                    <w:jc w:val="center"/>
                    <w:rPr>
                      <w:sz w:val="21"/>
                      <w:szCs w:val="21"/>
                    </w:rPr>
                  </w:pPr>
                  <w:r>
                    <w:rPr>
                      <w:rFonts w:hint="eastAsia"/>
                      <w:sz w:val="21"/>
                      <w:szCs w:val="21"/>
                    </w:rPr>
                    <w:t>2.06</w:t>
                  </w:r>
                </w:p>
              </w:tc>
              <w:tc>
                <w:tcPr>
                  <w:tcW w:w="494" w:type="pct"/>
                  <w:vAlign w:val="center"/>
                </w:tcPr>
                <w:p>
                  <w:pPr>
                    <w:jc w:val="center"/>
                    <w:rPr>
                      <w:sz w:val="21"/>
                      <w:szCs w:val="21"/>
                    </w:rPr>
                  </w:pPr>
                  <w:r>
                    <w:rPr>
                      <w:rFonts w:hint="eastAsia"/>
                      <w:sz w:val="21"/>
                      <w:szCs w:val="21"/>
                    </w:rPr>
                    <w:t>1.24</w:t>
                  </w:r>
                </w:p>
              </w:tc>
              <w:tc>
                <w:tcPr>
                  <w:tcW w:w="474" w:type="pct"/>
                  <w:vAlign w:val="center"/>
                </w:tcPr>
                <w:p>
                  <w:pPr>
                    <w:jc w:val="center"/>
                    <w:rPr>
                      <w:sz w:val="21"/>
                      <w:szCs w:val="21"/>
                    </w:rPr>
                  </w:pPr>
                  <w:r>
                    <w:rPr>
                      <w:rFonts w:hint="eastAsia"/>
                      <w:sz w:val="21"/>
                      <w:szCs w:val="21"/>
                    </w:rPr>
                    <w:t>0.62</w:t>
                  </w:r>
                </w:p>
              </w:tc>
              <w:tc>
                <w:tcPr>
                  <w:tcW w:w="1166" w:type="pct"/>
                  <w:vAlign w:val="center"/>
                </w:tcPr>
                <w:p>
                  <w:pPr>
                    <w:jc w:val="center"/>
                    <w:rPr>
                      <w:sz w:val="21"/>
                      <w:szCs w:val="21"/>
                    </w:rPr>
                  </w:pPr>
                  <w:r>
                    <w:rPr>
                      <w:rFonts w:hint="eastAsia"/>
                      <w:sz w:val="21"/>
                      <w:szCs w:val="21"/>
                    </w:rPr>
                    <w:t>1.03×10</w:t>
                  </w:r>
                  <w:r>
                    <w:rPr>
                      <w:rFonts w:hint="eastAsia"/>
                      <w:sz w:val="21"/>
                      <w:szCs w:val="21"/>
                      <w:vertAlign w:val="superscript"/>
                    </w:rPr>
                    <w:t>14</w:t>
                  </w:r>
                  <w:r>
                    <w:rPr>
                      <w:rFonts w:hint="eastAsia"/>
                      <w:sz w:val="21"/>
                      <w:szCs w:val="21"/>
                    </w:rPr>
                    <w:t>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pct"/>
                  <w:vMerge w:val="continue"/>
                  <w:vAlign w:val="center"/>
                </w:tcPr>
                <w:p>
                  <w:pPr>
                    <w:jc w:val="center"/>
                    <w:rPr>
                      <w:sz w:val="21"/>
                      <w:szCs w:val="21"/>
                    </w:rPr>
                  </w:pPr>
                </w:p>
              </w:tc>
              <w:tc>
                <w:tcPr>
                  <w:tcW w:w="754" w:type="pct"/>
                  <w:vAlign w:val="center"/>
                </w:tcPr>
                <w:p>
                  <w:pPr>
                    <w:jc w:val="center"/>
                    <w:rPr>
                      <w:sz w:val="21"/>
                      <w:szCs w:val="21"/>
                    </w:rPr>
                  </w:pPr>
                  <w:r>
                    <w:rPr>
                      <w:rFonts w:hint="eastAsia"/>
                      <w:sz w:val="21"/>
                      <w:szCs w:val="21"/>
                    </w:rPr>
                    <w:t>浓度（mg/L）</w:t>
                  </w:r>
                </w:p>
              </w:tc>
              <w:tc>
                <w:tcPr>
                  <w:tcW w:w="597" w:type="pct"/>
                  <w:vAlign w:val="center"/>
                </w:tcPr>
                <w:p>
                  <w:pPr>
                    <w:jc w:val="center"/>
                    <w:rPr>
                      <w:sz w:val="21"/>
                      <w:szCs w:val="21"/>
                    </w:rPr>
                  </w:pPr>
                  <w:r>
                    <w:rPr>
                      <w:rFonts w:hint="eastAsia"/>
                      <w:sz w:val="21"/>
                      <w:szCs w:val="21"/>
                    </w:rPr>
                    <w:t>/</w:t>
                  </w:r>
                </w:p>
              </w:tc>
              <w:tc>
                <w:tcPr>
                  <w:tcW w:w="494" w:type="pct"/>
                  <w:vAlign w:val="center"/>
                </w:tcPr>
                <w:p>
                  <w:pPr>
                    <w:jc w:val="center"/>
                    <w:rPr>
                      <w:sz w:val="21"/>
                      <w:szCs w:val="21"/>
                    </w:rPr>
                  </w:pPr>
                  <w:r>
                    <w:rPr>
                      <w:rFonts w:hint="eastAsia"/>
                      <w:sz w:val="21"/>
                      <w:szCs w:val="21"/>
                    </w:rPr>
                    <w:t>250</w:t>
                  </w:r>
                </w:p>
              </w:tc>
              <w:tc>
                <w:tcPr>
                  <w:tcW w:w="522" w:type="pct"/>
                  <w:vAlign w:val="center"/>
                </w:tcPr>
                <w:p>
                  <w:pPr>
                    <w:jc w:val="center"/>
                    <w:rPr>
                      <w:sz w:val="21"/>
                      <w:szCs w:val="21"/>
                    </w:rPr>
                  </w:pPr>
                  <w:r>
                    <w:rPr>
                      <w:rFonts w:hint="eastAsia"/>
                      <w:sz w:val="21"/>
                      <w:szCs w:val="21"/>
                    </w:rPr>
                    <w:t>100</w:t>
                  </w:r>
                </w:p>
              </w:tc>
              <w:tc>
                <w:tcPr>
                  <w:tcW w:w="494" w:type="pct"/>
                  <w:vAlign w:val="center"/>
                </w:tcPr>
                <w:p>
                  <w:pPr>
                    <w:jc w:val="center"/>
                    <w:rPr>
                      <w:sz w:val="21"/>
                      <w:szCs w:val="21"/>
                    </w:rPr>
                  </w:pPr>
                  <w:r>
                    <w:rPr>
                      <w:rFonts w:hint="eastAsia"/>
                      <w:sz w:val="21"/>
                      <w:szCs w:val="21"/>
                    </w:rPr>
                    <w:t>60</w:t>
                  </w:r>
                </w:p>
              </w:tc>
              <w:tc>
                <w:tcPr>
                  <w:tcW w:w="474" w:type="pct"/>
                  <w:vAlign w:val="center"/>
                </w:tcPr>
                <w:p>
                  <w:pPr>
                    <w:jc w:val="center"/>
                    <w:rPr>
                      <w:sz w:val="21"/>
                      <w:szCs w:val="21"/>
                    </w:rPr>
                  </w:pPr>
                  <w:r>
                    <w:rPr>
                      <w:rFonts w:hint="eastAsia"/>
                      <w:sz w:val="21"/>
                      <w:szCs w:val="21"/>
                    </w:rPr>
                    <w:t>30</w:t>
                  </w:r>
                </w:p>
              </w:tc>
              <w:tc>
                <w:tcPr>
                  <w:tcW w:w="1166" w:type="pct"/>
                  <w:vAlign w:val="center"/>
                </w:tcPr>
                <w:p>
                  <w:pPr>
                    <w:jc w:val="center"/>
                    <w:rPr>
                      <w:sz w:val="21"/>
                      <w:szCs w:val="21"/>
                    </w:rPr>
                  </w:pPr>
                  <w:r>
                    <w:rPr>
                      <w:rFonts w:hint="eastAsia"/>
                      <w:sz w:val="21"/>
                      <w:szCs w:val="21"/>
                    </w:rPr>
                    <w:t>5000个/L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pct"/>
                  <w:vMerge w:val="continue"/>
                  <w:vAlign w:val="center"/>
                </w:tcPr>
                <w:p>
                  <w:pPr>
                    <w:jc w:val="center"/>
                    <w:rPr>
                      <w:sz w:val="21"/>
                      <w:szCs w:val="21"/>
                    </w:rPr>
                  </w:pPr>
                </w:p>
              </w:tc>
              <w:tc>
                <w:tcPr>
                  <w:tcW w:w="754" w:type="pct"/>
                  <w:vAlign w:val="center"/>
                </w:tcPr>
                <w:p>
                  <w:pPr>
                    <w:jc w:val="center"/>
                    <w:rPr>
                      <w:sz w:val="21"/>
                      <w:szCs w:val="21"/>
                    </w:rPr>
                  </w:pPr>
                  <w:r>
                    <w:rPr>
                      <w:rFonts w:hint="eastAsia"/>
                      <w:sz w:val="21"/>
                      <w:szCs w:val="21"/>
                    </w:rPr>
                    <w:t>排放时间</w:t>
                  </w:r>
                </w:p>
              </w:tc>
              <w:tc>
                <w:tcPr>
                  <w:tcW w:w="3748" w:type="pct"/>
                  <w:gridSpan w:val="6"/>
                  <w:vAlign w:val="center"/>
                </w:tcPr>
                <w:p>
                  <w:pPr>
                    <w:jc w:val="center"/>
                    <w:rPr>
                      <w:sz w:val="21"/>
                      <w:szCs w:val="21"/>
                    </w:rPr>
                  </w:pPr>
                  <w:r>
                    <w:rPr>
                      <w:rFonts w:hint="eastAsia"/>
                      <w:sz w:val="21"/>
                      <w:szCs w:val="21"/>
                    </w:rPr>
                    <w:t>8760h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pct"/>
                  <w:gridSpan w:val="2"/>
                  <w:vAlign w:val="center"/>
                </w:tcPr>
                <w:p>
                  <w:pPr>
                    <w:jc w:val="center"/>
                    <w:rPr>
                      <w:sz w:val="21"/>
                      <w:szCs w:val="21"/>
                    </w:rPr>
                  </w:pPr>
                  <w:r>
                    <w:rPr>
                      <w:rFonts w:hint="eastAsia"/>
                      <w:sz w:val="21"/>
                      <w:szCs w:val="21"/>
                    </w:rPr>
                    <w:t>排放方式</w:t>
                  </w:r>
                </w:p>
              </w:tc>
              <w:tc>
                <w:tcPr>
                  <w:tcW w:w="3748" w:type="pct"/>
                  <w:gridSpan w:val="6"/>
                  <w:vAlign w:val="center"/>
                </w:tcPr>
                <w:p>
                  <w:pPr>
                    <w:jc w:val="center"/>
                    <w:rPr>
                      <w:sz w:val="21"/>
                      <w:szCs w:val="21"/>
                    </w:rPr>
                  </w:pPr>
                  <w:r>
                    <w:rPr>
                      <w:rFonts w:hint="eastAsia"/>
                      <w:sz w:val="21"/>
                      <w:szCs w:val="21"/>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pct"/>
                  <w:gridSpan w:val="2"/>
                  <w:vAlign w:val="center"/>
                </w:tcPr>
                <w:p>
                  <w:pPr>
                    <w:jc w:val="center"/>
                    <w:rPr>
                      <w:sz w:val="21"/>
                      <w:szCs w:val="21"/>
                    </w:rPr>
                  </w:pPr>
                  <w:r>
                    <w:rPr>
                      <w:rFonts w:hint="eastAsia"/>
                      <w:sz w:val="21"/>
                      <w:szCs w:val="21"/>
                    </w:rPr>
                    <w:t>排放去向</w:t>
                  </w:r>
                </w:p>
              </w:tc>
              <w:tc>
                <w:tcPr>
                  <w:tcW w:w="3748" w:type="pct"/>
                  <w:gridSpan w:val="6"/>
                  <w:vAlign w:val="center"/>
                </w:tcPr>
                <w:p>
                  <w:pPr>
                    <w:jc w:val="center"/>
                    <w:rPr>
                      <w:sz w:val="21"/>
                      <w:szCs w:val="21"/>
                    </w:rPr>
                  </w:pPr>
                  <w:r>
                    <w:rPr>
                      <w:rFonts w:hint="eastAsia"/>
                      <w:sz w:val="21"/>
                      <w:szCs w:val="21"/>
                    </w:rPr>
                    <w:t>承德市双滦区城市污水厂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pct"/>
                  <w:gridSpan w:val="2"/>
                  <w:vAlign w:val="center"/>
                </w:tcPr>
                <w:p>
                  <w:pPr>
                    <w:jc w:val="center"/>
                    <w:rPr>
                      <w:sz w:val="21"/>
                      <w:szCs w:val="21"/>
                    </w:rPr>
                  </w:pPr>
                  <w:r>
                    <w:rPr>
                      <w:rFonts w:hint="eastAsia"/>
                      <w:sz w:val="21"/>
                      <w:szCs w:val="21"/>
                    </w:rPr>
                    <w:t>排放规律</w:t>
                  </w:r>
                </w:p>
              </w:tc>
              <w:tc>
                <w:tcPr>
                  <w:tcW w:w="3748" w:type="pct"/>
                  <w:gridSpan w:val="6"/>
                  <w:vAlign w:val="center"/>
                </w:tcPr>
                <w:p>
                  <w:pPr>
                    <w:jc w:val="center"/>
                    <w:rPr>
                      <w:sz w:val="21"/>
                      <w:szCs w:val="21"/>
                    </w:rPr>
                  </w:pPr>
                  <w:r>
                    <w:rPr>
                      <w:rFonts w:hint="eastAsia"/>
                      <w:sz w:val="21"/>
                      <w:szCs w:val="21"/>
                    </w:rPr>
                    <w:t>间歇排放，无规律</w:t>
                  </w:r>
                </w:p>
              </w:tc>
            </w:tr>
          </w:tbl>
          <w:p>
            <w:pPr>
              <w:spacing w:line="360" w:lineRule="auto"/>
              <w:ind w:firstLine="420" w:firstLineChars="200"/>
              <w:rPr>
                <w:sz w:val="21"/>
                <w:szCs w:val="21"/>
              </w:rPr>
            </w:pPr>
            <w:r>
              <w:rPr>
                <w:sz w:val="21"/>
                <w:szCs w:val="21"/>
              </w:rPr>
              <w:t>废水排放口参数、排放标准、监测要求见下表所示：</w:t>
            </w:r>
          </w:p>
          <w:p>
            <w:pPr>
              <w:spacing w:line="360" w:lineRule="auto"/>
              <w:jc w:val="center"/>
              <w:rPr>
                <w:b/>
                <w:bCs/>
                <w:sz w:val="21"/>
                <w:szCs w:val="21"/>
              </w:rPr>
            </w:pPr>
            <w:r>
              <w:rPr>
                <w:b/>
                <w:bCs/>
                <w:sz w:val="21"/>
                <w:szCs w:val="21"/>
              </w:rPr>
              <w:t>表4-</w:t>
            </w:r>
            <w:r>
              <w:rPr>
                <w:rFonts w:hint="eastAsia"/>
                <w:b/>
                <w:bCs/>
                <w:sz w:val="21"/>
                <w:szCs w:val="21"/>
                <w:lang w:val="en-US" w:eastAsia="zh-CN"/>
              </w:rPr>
              <w:t>5</w:t>
            </w:r>
            <w:r>
              <w:rPr>
                <w:b/>
                <w:bCs/>
                <w:sz w:val="21"/>
                <w:szCs w:val="21"/>
              </w:rPr>
              <w:t>废水污染源排放口参数、排放标准、监测要求一览表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66"/>
              <w:gridCol w:w="427"/>
              <w:gridCol w:w="1581"/>
              <w:gridCol w:w="427"/>
              <w:gridCol w:w="1695"/>
              <w:gridCol w:w="825"/>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5" w:type="pct"/>
                  <w:vMerge w:val="restart"/>
                  <w:vAlign w:val="center"/>
                </w:tcPr>
                <w:p>
                  <w:pPr>
                    <w:spacing w:line="320" w:lineRule="exact"/>
                    <w:jc w:val="center"/>
                    <w:rPr>
                      <w:b/>
                      <w:bCs/>
                      <w:sz w:val="21"/>
                      <w:szCs w:val="21"/>
                    </w:rPr>
                  </w:pPr>
                  <w:r>
                    <w:rPr>
                      <w:rFonts w:hint="eastAsia"/>
                      <w:b/>
                      <w:bCs/>
                      <w:sz w:val="21"/>
                      <w:szCs w:val="21"/>
                    </w:rPr>
                    <w:t>排放源名称</w:t>
                  </w:r>
                </w:p>
              </w:tc>
              <w:tc>
                <w:tcPr>
                  <w:tcW w:w="340" w:type="pct"/>
                  <w:vMerge w:val="restart"/>
                  <w:vAlign w:val="center"/>
                </w:tcPr>
                <w:p>
                  <w:pPr>
                    <w:spacing w:line="320" w:lineRule="exact"/>
                    <w:jc w:val="center"/>
                    <w:rPr>
                      <w:b/>
                      <w:bCs/>
                      <w:sz w:val="21"/>
                      <w:szCs w:val="21"/>
                    </w:rPr>
                  </w:pPr>
                  <w:r>
                    <w:rPr>
                      <w:rFonts w:hint="eastAsia"/>
                      <w:b/>
                      <w:bCs/>
                      <w:sz w:val="21"/>
                      <w:szCs w:val="21"/>
                    </w:rPr>
                    <w:t>排放口编号</w:t>
                  </w:r>
                </w:p>
              </w:tc>
              <w:tc>
                <w:tcPr>
                  <w:tcW w:w="255" w:type="pct"/>
                  <w:vMerge w:val="restart"/>
                  <w:vAlign w:val="center"/>
                </w:tcPr>
                <w:p>
                  <w:pPr>
                    <w:spacing w:line="320" w:lineRule="exact"/>
                    <w:jc w:val="center"/>
                    <w:rPr>
                      <w:b/>
                      <w:bCs/>
                      <w:sz w:val="21"/>
                      <w:szCs w:val="21"/>
                    </w:rPr>
                  </w:pPr>
                  <w:r>
                    <w:rPr>
                      <w:rFonts w:hint="eastAsia"/>
                      <w:b/>
                      <w:bCs/>
                      <w:sz w:val="21"/>
                      <w:szCs w:val="21"/>
                    </w:rPr>
                    <w:t>排放口类型</w:t>
                  </w:r>
                </w:p>
              </w:tc>
              <w:tc>
                <w:tcPr>
                  <w:tcW w:w="661" w:type="pct"/>
                  <w:vMerge w:val="restart"/>
                  <w:vAlign w:val="center"/>
                </w:tcPr>
                <w:p>
                  <w:pPr>
                    <w:spacing w:line="320" w:lineRule="exact"/>
                    <w:jc w:val="center"/>
                    <w:rPr>
                      <w:b/>
                      <w:bCs/>
                      <w:sz w:val="21"/>
                      <w:szCs w:val="21"/>
                    </w:rPr>
                  </w:pPr>
                  <w:r>
                    <w:rPr>
                      <w:rFonts w:hint="eastAsia"/>
                      <w:b/>
                      <w:bCs/>
                      <w:sz w:val="21"/>
                      <w:szCs w:val="21"/>
                    </w:rPr>
                    <w:t>地理</w:t>
                  </w:r>
                </w:p>
                <w:p>
                  <w:pPr>
                    <w:spacing w:line="320" w:lineRule="exact"/>
                    <w:jc w:val="center"/>
                    <w:rPr>
                      <w:b/>
                      <w:bCs/>
                      <w:sz w:val="21"/>
                      <w:szCs w:val="21"/>
                    </w:rPr>
                  </w:pPr>
                  <w:r>
                    <w:rPr>
                      <w:rFonts w:hint="eastAsia"/>
                      <w:b/>
                      <w:bCs/>
                      <w:sz w:val="21"/>
                      <w:szCs w:val="21"/>
                    </w:rPr>
                    <w:t>坐标</w:t>
                  </w:r>
                </w:p>
              </w:tc>
              <w:tc>
                <w:tcPr>
                  <w:tcW w:w="2400" w:type="pct"/>
                  <w:gridSpan w:val="3"/>
                  <w:vAlign w:val="center"/>
                </w:tcPr>
                <w:p>
                  <w:pPr>
                    <w:spacing w:line="320" w:lineRule="exact"/>
                    <w:jc w:val="center"/>
                    <w:rPr>
                      <w:b/>
                      <w:bCs/>
                      <w:sz w:val="21"/>
                      <w:szCs w:val="21"/>
                    </w:rPr>
                  </w:pPr>
                  <w:r>
                    <w:rPr>
                      <w:rFonts w:hint="eastAsia"/>
                      <w:b/>
                      <w:bCs/>
                      <w:sz w:val="21"/>
                      <w:szCs w:val="21"/>
                    </w:rPr>
                    <w:t>监测要求</w:t>
                  </w:r>
                </w:p>
              </w:tc>
              <w:tc>
                <w:tcPr>
                  <w:tcW w:w="1075" w:type="pct"/>
                  <w:vMerge w:val="restart"/>
                  <w:vAlign w:val="center"/>
                </w:tcPr>
                <w:p>
                  <w:pPr>
                    <w:spacing w:line="320" w:lineRule="exact"/>
                    <w:jc w:val="center"/>
                    <w:rPr>
                      <w:b/>
                      <w:bCs/>
                      <w:sz w:val="21"/>
                      <w:szCs w:val="21"/>
                    </w:rPr>
                  </w:pPr>
                  <w:r>
                    <w:rPr>
                      <w:rFonts w:hint="eastAsia"/>
                      <w:b/>
                      <w:bCs/>
                      <w:sz w:val="21"/>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vAlign w:val="center"/>
                </w:tcPr>
                <w:p>
                  <w:pPr>
                    <w:spacing w:line="320" w:lineRule="exact"/>
                    <w:jc w:val="center"/>
                    <w:rPr>
                      <w:sz w:val="21"/>
                      <w:szCs w:val="21"/>
                    </w:rPr>
                  </w:pPr>
                </w:p>
              </w:tc>
              <w:tc>
                <w:tcPr>
                  <w:tcW w:w="340" w:type="pct"/>
                  <w:vMerge w:val="continue"/>
                  <w:vAlign w:val="center"/>
                </w:tcPr>
                <w:p>
                  <w:pPr>
                    <w:spacing w:line="320" w:lineRule="exact"/>
                    <w:jc w:val="center"/>
                    <w:rPr>
                      <w:sz w:val="21"/>
                      <w:szCs w:val="21"/>
                    </w:rPr>
                  </w:pPr>
                </w:p>
              </w:tc>
              <w:tc>
                <w:tcPr>
                  <w:tcW w:w="255" w:type="pct"/>
                  <w:vMerge w:val="continue"/>
                  <w:vAlign w:val="center"/>
                </w:tcPr>
                <w:p>
                  <w:pPr>
                    <w:spacing w:line="320" w:lineRule="exact"/>
                    <w:jc w:val="center"/>
                    <w:rPr>
                      <w:sz w:val="21"/>
                      <w:szCs w:val="21"/>
                    </w:rPr>
                  </w:pPr>
                </w:p>
              </w:tc>
              <w:tc>
                <w:tcPr>
                  <w:tcW w:w="661" w:type="pct"/>
                  <w:vMerge w:val="continue"/>
                  <w:vAlign w:val="center"/>
                </w:tcPr>
                <w:p>
                  <w:pPr>
                    <w:spacing w:line="320" w:lineRule="exact"/>
                    <w:jc w:val="center"/>
                    <w:rPr>
                      <w:sz w:val="21"/>
                      <w:szCs w:val="21"/>
                    </w:rPr>
                  </w:pPr>
                </w:p>
              </w:tc>
              <w:tc>
                <w:tcPr>
                  <w:tcW w:w="349" w:type="pct"/>
                  <w:vAlign w:val="center"/>
                </w:tcPr>
                <w:p>
                  <w:pPr>
                    <w:spacing w:line="320" w:lineRule="exact"/>
                    <w:jc w:val="center"/>
                    <w:rPr>
                      <w:b/>
                      <w:bCs/>
                      <w:sz w:val="21"/>
                      <w:szCs w:val="21"/>
                    </w:rPr>
                  </w:pPr>
                  <w:r>
                    <w:rPr>
                      <w:rFonts w:hint="eastAsia"/>
                      <w:b/>
                      <w:bCs/>
                      <w:sz w:val="21"/>
                      <w:szCs w:val="21"/>
                    </w:rPr>
                    <w:t>监测点位</w:t>
                  </w:r>
                </w:p>
              </w:tc>
              <w:tc>
                <w:tcPr>
                  <w:tcW w:w="1351" w:type="pct"/>
                  <w:vAlign w:val="center"/>
                </w:tcPr>
                <w:p>
                  <w:pPr>
                    <w:spacing w:line="320" w:lineRule="exact"/>
                    <w:jc w:val="center"/>
                    <w:rPr>
                      <w:b/>
                      <w:bCs/>
                      <w:sz w:val="21"/>
                      <w:szCs w:val="21"/>
                    </w:rPr>
                  </w:pPr>
                  <w:r>
                    <w:rPr>
                      <w:rFonts w:hint="eastAsia"/>
                      <w:b/>
                      <w:bCs/>
                      <w:sz w:val="21"/>
                      <w:szCs w:val="21"/>
                    </w:rPr>
                    <w:t>监测因子</w:t>
                  </w:r>
                </w:p>
              </w:tc>
              <w:tc>
                <w:tcPr>
                  <w:tcW w:w="698" w:type="pct"/>
                  <w:vAlign w:val="center"/>
                </w:tcPr>
                <w:p>
                  <w:pPr>
                    <w:spacing w:line="320" w:lineRule="exact"/>
                    <w:jc w:val="center"/>
                    <w:rPr>
                      <w:b/>
                      <w:bCs/>
                      <w:sz w:val="21"/>
                      <w:szCs w:val="21"/>
                    </w:rPr>
                  </w:pPr>
                  <w:r>
                    <w:rPr>
                      <w:rFonts w:hint="eastAsia"/>
                      <w:b/>
                      <w:bCs/>
                      <w:sz w:val="21"/>
                      <w:szCs w:val="21"/>
                    </w:rPr>
                    <w:t>监测频次</w:t>
                  </w:r>
                </w:p>
              </w:tc>
              <w:tc>
                <w:tcPr>
                  <w:tcW w:w="1075" w:type="pct"/>
                  <w:vMerge w:val="continue"/>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restart"/>
                  <w:vAlign w:val="center"/>
                </w:tcPr>
                <w:p>
                  <w:pPr>
                    <w:spacing w:line="320" w:lineRule="exact"/>
                    <w:jc w:val="center"/>
                    <w:rPr>
                      <w:sz w:val="21"/>
                      <w:szCs w:val="21"/>
                    </w:rPr>
                  </w:pPr>
                  <w:r>
                    <w:rPr>
                      <w:rFonts w:hint="eastAsia"/>
                      <w:sz w:val="21"/>
                      <w:szCs w:val="21"/>
                    </w:rPr>
                    <w:t>废水总排口</w:t>
                  </w:r>
                </w:p>
              </w:tc>
              <w:tc>
                <w:tcPr>
                  <w:tcW w:w="340" w:type="pct"/>
                  <w:vMerge w:val="restart"/>
                  <w:vAlign w:val="center"/>
                </w:tcPr>
                <w:p>
                  <w:pPr>
                    <w:spacing w:line="320" w:lineRule="exact"/>
                    <w:jc w:val="center"/>
                    <w:rPr>
                      <w:sz w:val="21"/>
                      <w:szCs w:val="21"/>
                    </w:rPr>
                  </w:pPr>
                  <w:r>
                    <w:rPr>
                      <w:rFonts w:hint="eastAsia"/>
                      <w:sz w:val="21"/>
                      <w:szCs w:val="21"/>
                    </w:rPr>
                    <w:t>DW</w:t>
                  </w:r>
                </w:p>
                <w:p>
                  <w:pPr>
                    <w:spacing w:line="320" w:lineRule="exact"/>
                    <w:jc w:val="center"/>
                    <w:rPr>
                      <w:sz w:val="21"/>
                      <w:szCs w:val="21"/>
                    </w:rPr>
                  </w:pPr>
                  <w:r>
                    <w:rPr>
                      <w:rFonts w:hint="eastAsia"/>
                      <w:sz w:val="21"/>
                      <w:szCs w:val="21"/>
                    </w:rPr>
                    <w:t>001</w:t>
                  </w:r>
                </w:p>
              </w:tc>
              <w:tc>
                <w:tcPr>
                  <w:tcW w:w="255" w:type="pct"/>
                  <w:vMerge w:val="restart"/>
                  <w:vAlign w:val="center"/>
                </w:tcPr>
                <w:p>
                  <w:pPr>
                    <w:spacing w:line="320" w:lineRule="exact"/>
                    <w:jc w:val="center"/>
                    <w:rPr>
                      <w:sz w:val="21"/>
                      <w:szCs w:val="21"/>
                    </w:rPr>
                  </w:pPr>
                  <w:r>
                    <w:rPr>
                      <w:rFonts w:hint="eastAsia"/>
                      <w:sz w:val="21"/>
                      <w:szCs w:val="21"/>
                    </w:rPr>
                    <w:t>一般排放口</w:t>
                  </w:r>
                </w:p>
              </w:tc>
              <w:tc>
                <w:tcPr>
                  <w:tcW w:w="661" w:type="pct"/>
                  <w:vMerge w:val="restart"/>
                  <w:vAlign w:val="center"/>
                </w:tcPr>
                <w:p>
                  <w:pPr>
                    <w:spacing w:line="320" w:lineRule="exact"/>
                    <w:jc w:val="center"/>
                    <w:rPr>
                      <w:sz w:val="21"/>
                      <w:szCs w:val="21"/>
                    </w:rPr>
                  </w:pPr>
                  <w:r>
                    <w:rPr>
                      <w:rFonts w:hint="default" w:ascii="Times New Roman" w:hAnsi="Times New Roman" w:cs="Times New Roman"/>
                      <w:sz w:val="21"/>
                      <w:szCs w:val="21"/>
                    </w:rPr>
                    <w:t>117°44′48.569″, 40°57′4.2722″</w:t>
                  </w:r>
                </w:p>
              </w:tc>
              <w:tc>
                <w:tcPr>
                  <w:tcW w:w="349" w:type="pct"/>
                  <w:vMerge w:val="restart"/>
                  <w:vAlign w:val="center"/>
                </w:tcPr>
                <w:p>
                  <w:pPr>
                    <w:spacing w:line="320" w:lineRule="exact"/>
                    <w:jc w:val="center"/>
                    <w:rPr>
                      <w:sz w:val="21"/>
                      <w:szCs w:val="21"/>
                    </w:rPr>
                  </w:pPr>
                  <w:r>
                    <w:rPr>
                      <w:rFonts w:hint="eastAsia"/>
                      <w:sz w:val="21"/>
                      <w:szCs w:val="21"/>
                    </w:rPr>
                    <w:t>污水处理站</w:t>
                  </w:r>
                </w:p>
              </w:tc>
              <w:tc>
                <w:tcPr>
                  <w:tcW w:w="1351" w:type="pct"/>
                  <w:vAlign w:val="center"/>
                </w:tcPr>
                <w:p>
                  <w:pPr>
                    <w:spacing w:line="320" w:lineRule="exact"/>
                    <w:jc w:val="center"/>
                    <w:rPr>
                      <w:sz w:val="21"/>
                      <w:szCs w:val="21"/>
                    </w:rPr>
                  </w:pPr>
                  <w:r>
                    <w:rPr>
                      <w:rFonts w:hint="eastAsia"/>
                      <w:sz w:val="21"/>
                      <w:szCs w:val="21"/>
                    </w:rPr>
                    <w:t>流量</w:t>
                  </w:r>
                </w:p>
              </w:tc>
              <w:tc>
                <w:tcPr>
                  <w:tcW w:w="698" w:type="pct"/>
                  <w:vAlign w:val="center"/>
                </w:tcPr>
                <w:p>
                  <w:pPr>
                    <w:spacing w:line="320" w:lineRule="exact"/>
                    <w:jc w:val="center"/>
                    <w:rPr>
                      <w:sz w:val="21"/>
                      <w:szCs w:val="21"/>
                    </w:rPr>
                  </w:pPr>
                  <w:r>
                    <w:rPr>
                      <w:rFonts w:hint="eastAsia"/>
                      <w:sz w:val="21"/>
                      <w:szCs w:val="21"/>
                    </w:rPr>
                    <w:t>自动监测</w:t>
                  </w:r>
                </w:p>
              </w:tc>
              <w:tc>
                <w:tcPr>
                  <w:tcW w:w="1075" w:type="pct"/>
                  <w:vMerge w:val="restart"/>
                  <w:vAlign w:val="center"/>
                </w:tcPr>
                <w:p>
                  <w:pPr>
                    <w:spacing w:line="320" w:lineRule="exact"/>
                    <w:jc w:val="center"/>
                    <w:rPr>
                      <w:sz w:val="21"/>
                      <w:szCs w:val="21"/>
                    </w:rPr>
                  </w:pPr>
                  <w:r>
                    <w:rPr>
                      <w:sz w:val="21"/>
                      <w:szCs w:val="21"/>
                    </w:rPr>
                    <w:t>《医疗机构水污染物排放标准》（GB18466-2005）表2中预处理标准及</w:t>
                  </w:r>
                  <w:r>
                    <w:rPr>
                      <w:rFonts w:hint="eastAsia"/>
                      <w:sz w:val="21"/>
                      <w:szCs w:val="21"/>
                    </w:rPr>
                    <w:t>承德市双滦区城市污水厂</w:t>
                  </w:r>
                  <w:r>
                    <w:rPr>
                      <w:sz w:val="21"/>
                      <w:szCs w:val="21"/>
                    </w:rPr>
                    <w:t>进水水质要求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vAlign w:val="center"/>
                </w:tcPr>
                <w:p>
                  <w:pPr>
                    <w:spacing w:line="320" w:lineRule="exact"/>
                    <w:jc w:val="center"/>
                    <w:rPr>
                      <w:sz w:val="21"/>
                      <w:szCs w:val="21"/>
                    </w:rPr>
                  </w:pPr>
                </w:p>
              </w:tc>
              <w:tc>
                <w:tcPr>
                  <w:tcW w:w="340" w:type="pct"/>
                  <w:vMerge w:val="continue"/>
                  <w:vAlign w:val="center"/>
                </w:tcPr>
                <w:p>
                  <w:pPr>
                    <w:spacing w:line="320" w:lineRule="exact"/>
                    <w:jc w:val="center"/>
                    <w:rPr>
                      <w:sz w:val="21"/>
                      <w:szCs w:val="21"/>
                    </w:rPr>
                  </w:pPr>
                </w:p>
              </w:tc>
              <w:tc>
                <w:tcPr>
                  <w:tcW w:w="255" w:type="pct"/>
                  <w:vMerge w:val="continue"/>
                  <w:vAlign w:val="center"/>
                </w:tcPr>
                <w:p>
                  <w:pPr>
                    <w:spacing w:line="320" w:lineRule="exact"/>
                    <w:jc w:val="center"/>
                    <w:rPr>
                      <w:sz w:val="21"/>
                      <w:szCs w:val="21"/>
                    </w:rPr>
                  </w:pPr>
                </w:p>
              </w:tc>
              <w:tc>
                <w:tcPr>
                  <w:tcW w:w="661" w:type="pct"/>
                  <w:vMerge w:val="continue"/>
                  <w:vAlign w:val="center"/>
                </w:tcPr>
                <w:p>
                  <w:pPr>
                    <w:spacing w:line="320" w:lineRule="exact"/>
                    <w:jc w:val="center"/>
                    <w:rPr>
                      <w:sz w:val="21"/>
                      <w:szCs w:val="21"/>
                    </w:rPr>
                  </w:pPr>
                </w:p>
              </w:tc>
              <w:tc>
                <w:tcPr>
                  <w:tcW w:w="349" w:type="pct"/>
                  <w:vMerge w:val="continue"/>
                  <w:vAlign w:val="center"/>
                </w:tcPr>
                <w:p>
                  <w:pPr>
                    <w:spacing w:line="320" w:lineRule="exact"/>
                    <w:jc w:val="center"/>
                    <w:rPr>
                      <w:sz w:val="21"/>
                      <w:szCs w:val="21"/>
                    </w:rPr>
                  </w:pPr>
                </w:p>
              </w:tc>
              <w:tc>
                <w:tcPr>
                  <w:tcW w:w="1351" w:type="pct"/>
                  <w:vAlign w:val="center"/>
                </w:tcPr>
                <w:p>
                  <w:pPr>
                    <w:spacing w:line="320" w:lineRule="exact"/>
                    <w:jc w:val="center"/>
                    <w:rPr>
                      <w:sz w:val="21"/>
                      <w:szCs w:val="21"/>
                    </w:rPr>
                  </w:pPr>
                  <w:r>
                    <w:rPr>
                      <w:rFonts w:hint="eastAsia"/>
                      <w:sz w:val="21"/>
                      <w:szCs w:val="21"/>
                    </w:rPr>
                    <w:t>pH值</w:t>
                  </w:r>
                </w:p>
              </w:tc>
              <w:tc>
                <w:tcPr>
                  <w:tcW w:w="698" w:type="pct"/>
                  <w:vAlign w:val="center"/>
                </w:tcPr>
                <w:p>
                  <w:pPr>
                    <w:spacing w:line="320" w:lineRule="exact"/>
                    <w:jc w:val="center"/>
                    <w:rPr>
                      <w:sz w:val="21"/>
                      <w:szCs w:val="21"/>
                    </w:rPr>
                  </w:pPr>
                  <w:r>
                    <w:rPr>
                      <w:rFonts w:hint="eastAsia"/>
                      <w:sz w:val="21"/>
                      <w:szCs w:val="21"/>
                    </w:rPr>
                    <w:t>12小时</w:t>
                  </w:r>
                </w:p>
              </w:tc>
              <w:tc>
                <w:tcPr>
                  <w:tcW w:w="1075" w:type="pct"/>
                  <w:vMerge w:val="continue"/>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vAlign w:val="center"/>
                </w:tcPr>
                <w:p>
                  <w:pPr>
                    <w:spacing w:line="320" w:lineRule="exact"/>
                    <w:jc w:val="center"/>
                    <w:rPr>
                      <w:sz w:val="21"/>
                      <w:szCs w:val="21"/>
                    </w:rPr>
                  </w:pPr>
                </w:p>
              </w:tc>
              <w:tc>
                <w:tcPr>
                  <w:tcW w:w="340" w:type="pct"/>
                  <w:vMerge w:val="continue"/>
                  <w:vAlign w:val="center"/>
                </w:tcPr>
                <w:p>
                  <w:pPr>
                    <w:spacing w:line="320" w:lineRule="exact"/>
                    <w:jc w:val="center"/>
                    <w:rPr>
                      <w:sz w:val="21"/>
                      <w:szCs w:val="21"/>
                    </w:rPr>
                  </w:pPr>
                </w:p>
              </w:tc>
              <w:tc>
                <w:tcPr>
                  <w:tcW w:w="255" w:type="pct"/>
                  <w:vMerge w:val="continue"/>
                  <w:vAlign w:val="center"/>
                </w:tcPr>
                <w:p>
                  <w:pPr>
                    <w:spacing w:line="320" w:lineRule="exact"/>
                    <w:jc w:val="center"/>
                    <w:rPr>
                      <w:sz w:val="21"/>
                      <w:szCs w:val="21"/>
                    </w:rPr>
                  </w:pPr>
                </w:p>
              </w:tc>
              <w:tc>
                <w:tcPr>
                  <w:tcW w:w="661" w:type="pct"/>
                  <w:vMerge w:val="continue"/>
                  <w:vAlign w:val="center"/>
                </w:tcPr>
                <w:p>
                  <w:pPr>
                    <w:spacing w:line="320" w:lineRule="exact"/>
                    <w:jc w:val="center"/>
                    <w:rPr>
                      <w:sz w:val="21"/>
                      <w:szCs w:val="21"/>
                    </w:rPr>
                  </w:pPr>
                </w:p>
              </w:tc>
              <w:tc>
                <w:tcPr>
                  <w:tcW w:w="349" w:type="pct"/>
                  <w:vMerge w:val="continue"/>
                  <w:vAlign w:val="center"/>
                </w:tcPr>
                <w:p>
                  <w:pPr>
                    <w:spacing w:line="320" w:lineRule="exact"/>
                    <w:jc w:val="center"/>
                    <w:rPr>
                      <w:sz w:val="21"/>
                      <w:szCs w:val="21"/>
                    </w:rPr>
                  </w:pPr>
                </w:p>
              </w:tc>
              <w:tc>
                <w:tcPr>
                  <w:tcW w:w="1351" w:type="pct"/>
                  <w:vAlign w:val="center"/>
                </w:tcPr>
                <w:p>
                  <w:pPr>
                    <w:spacing w:line="320" w:lineRule="exact"/>
                    <w:jc w:val="center"/>
                    <w:rPr>
                      <w:sz w:val="21"/>
                      <w:szCs w:val="21"/>
                    </w:rPr>
                  </w:pPr>
                  <w:r>
                    <w:rPr>
                      <w:rFonts w:hint="eastAsia"/>
                      <w:sz w:val="21"/>
                      <w:szCs w:val="21"/>
                    </w:rPr>
                    <w:t>化学需氧量、悬浮物</w:t>
                  </w:r>
                </w:p>
              </w:tc>
              <w:tc>
                <w:tcPr>
                  <w:tcW w:w="698" w:type="pct"/>
                  <w:vAlign w:val="center"/>
                </w:tcPr>
                <w:p>
                  <w:pPr>
                    <w:spacing w:line="320" w:lineRule="exact"/>
                    <w:jc w:val="center"/>
                    <w:rPr>
                      <w:sz w:val="21"/>
                      <w:szCs w:val="21"/>
                    </w:rPr>
                  </w:pPr>
                  <w:r>
                    <w:rPr>
                      <w:rFonts w:hint="eastAsia"/>
                      <w:sz w:val="21"/>
                      <w:szCs w:val="21"/>
                    </w:rPr>
                    <w:t>周</w:t>
                  </w:r>
                </w:p>
              </w:tc>
              <w:tc>
                <w:tcPr>
                  <w:tcW w:w="1075" w:type="pct"/>
                  <w:vMerge w:val="continue"/>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vAlign w:val="center"/>
                </w:tcPr>
                <w:p>
                  <w:pPr>
                    <w:spacing w:line="320" w:lineRule="exact"/>
                    <w:jc w:val="center"/>
                    <w:rPr>
                      <w:sz w:val="21"/>
                      <w:szCs w:val="21"/>
                    </w:rPr>
                  </w:pPr>
                </w:p>
              </w:tc>
              <w:tc>
                <w:tcPr>
                  <w:tcW w:w="340" w:type="pct"/>
                  <w:vMerge w:val="continue"/>
                  <w:vAlign w:val="center"/>
                </w:tcPr>
                <w:p>
                  <w:pPr>
                    <w:spacing w:line="320" w:lineRule="exact"/>
                    <w:jc w:val="center"/>
                    <w:rPr>
                      <w:sz w:val="21"/>
                      <w:szCs w:val="21"/>
                    </w:rPr>
                  </w:pPr>
                </w:p>
              </w:tc>
              <w:tc>
                <w:tcPr>
                  <w:tcW w:w="255" w:type="pct"/>
                  <w:vMerge w:val="continue"/>
                  <w:vAlign w:val="center"/>
                </w:tcPr>
                <w:p>
                  <w:pPr>
                    <w:spacing w:line="320" w:lineRule="exact"/>
                    <w:jc w:val="center"/>
                    <w:rPr>
                      <w:sz w:val="21"/>
                      <w:szCs w:val="21"/>
                    </w:rPr>
                  </w:pPr>
                </w:p>
              </w:tc>
              <w:tc>
                <w:tcPr>
                  <w:tcW w:w="661" w:type="pct"/>
                  <w:vMerge w:val="continue"/>
                  <w:vAlign w:val="center"/>
                </w:tcPr>
                <w:p>
                  <w:pPr>
                    <w:spacing w:line="320" w:lineRule="exact"/>
                    <w:jc w:val="center"/>
                    <w:rPr>
                      <w:sz w:val="21"/>
                      <w:szCs w:val="21"/>
                    </w:rPr>
                  </w:pPr>
                </w:p>
              </w:tc>
              <w:tc>
                <w:tcPr>
                  <w:tcW w:w="349" w:type="pct"/>
                  <w:vMerge w:val="continue"/>
                  <w:vAlign w:val="center"/>
                </w:tcPr>
                <w:p>
                  <w:pPr>
                    <w:spacing w:line="320" w:lineRule="exact"/>
                    <w:jc w:val="center"/>
                    <w:rPr>
                      <w:sz w:val="21"/>
                      <w:szCs w:val="21"/>
                    </w:rPr>
                  </w:pPr>
                </w:p>
              </w:tc>
              <w:tc>
                <w:tcPr>
                  <w:tcW w:w="1351" w:type="pct"/>
                  <w:vAlign w:val="center"/>
                </w:tcPr>
                <w:p>
                  <w:pPr>
                    <w:spacing w:line="320" w:lineRule="exact"/>
                    <w:jc w:val="center"/>
                    <w:rPr>
                      <w:sz w:val="21"/>
                      <w:szCs w:val="21"/>
                    </w:rPr>
                  </w:pPr>
                  <w:r>
                    <w:rPr>
                      <w:rFonts w:hint="eastAsia"/>
                      <w:sz w:val="21"/>
                      <w:szCs w:val="21"/>
                    </w:rPr>
                    <w:t>粪大肠菌群数</w:t>
                  </w:r>
                </w:p>
              </w:tc>
              <w:tc>
                <w:tcPr>
                  <w:tcW w:w="698" w:type="pct"/>
                  <w:vAlign w:val="center"/>
                </w:tcPr>
                <w:p>
                  <w:pPr>
                    <w:spacing w:line="320" w:lineRule="exact"/>
                    <w:jc w:val="center"/>
                    <w:rPr>
                      <w:sz w:val="21"/>
                      <w:szCs w:val="21"/>
                    </w:rPr>
                  </w:pPr>
                  <w:r>
                    <w:rPr>
                      <w:rFonts w:hint="eastAsia"/>
                      <w:sz w:val="21"/>
                      <w:szCs w:val="21"/>
                    </w:rPr>
                    <w:t>月</w:t>
                  </w:r>
                </w:p>
              </w:tc>
              <w:tc>
                <w:tcPr>
                  <w:tcW w:w="1075" w:type="pct"/>
                  <w:vMerge w:val="continue"/>
                  <w:vAlign w:val="center"/>
                </w:tcPr>
                <w:p>
                  <w:pPr>
                    <w:spacing w:line="32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vAlign w:val="center"/>
                </w:tcPr>
                <w:p>
                  <w:pPr>
                    <w:spacing w:line="320" w:lineRule="exact"/>
                    <w:jc w:val="center"/>
                    <w:rPr>
                      <w:sz w:val="21"/>
                      <w:szCs w:val="21"/>
                    </w:rPr>
                  </w:pPr>
                </w:p>
              </w:tc>
              <w:tc>
                <w:tcPr>
                  <w:tcW w:w="340" w:type="pct"/>
                  <w:vMerge w:val="continue"/>
                  <w:vAlign w:val="center"/>
                </w:tcPr>
                <w:p>
                  <w:pPr>
                    <w:spacing w:line="320" w:lineRule="exact"/>
                    <w:jc w:val="center"/>
                    <w:rPr>
                      <w:sz w:val="21"/>
                      <w:szCs w:val="21"/>
                    </w:rPr>
                  </w:pPr>
                </w:p>
              </w:tc>
              <w:tc>
                <w:tcPr>
                  <w:tcW w:w="255" w:type="pct"/>
                  <w:vMerge w:val="continue"/>
                  <w:vAlign w:val="center"/>
                </w:tcPr>
                <w:p>
                  <w:pPr>
                    <w:spacing w:line="320" w:lineRule="exact"/>
                    <w:jc w:val="center"/>
                    <w:rPr>
                      <w:sz w:val="21"/>
                      <w:szCs w:val="21"/>
                    </w:rPr>
                  </w:pPr>
                </w:p>
              </w:tc>
              <w:tc>
                <w:tcPr>
                  <w:tcW w:w="661" w:type="pct"/>
                  <w:vMerge w:val="continue"/>
                  <w:vAlign w:val="center"/>
                </w:tcPr>
                <w:p>
                  <w:pPr>
                    <w:spacing w:line="320" w:lineRule="exact"/>
                    <w:jc w:val="center"/>
                    <w:rPr>
                      <w:sz w:val="21"/>
                      <w:szCs w:val="21"/>
                    </w:rPr>
                  </w:pPr>
                </w:p>
              </w:tc>
              <w:tc>
                <w:tcPr>
                  <w:tcW w:w="349" w:type="pct"/>
                  <w:vMerge w:val="continue"/>
                  <w:vAlign w:val="center"/>
                </w:tcPr>
                <w:p>
                  <w:pPr>
                    <w:spacing w:line="320" w:lineRule="exact"/>
                    <w:jc w:val="center"/>
                    <w:rPr>
                      <w:sz w:val="21"/>
                      <w:szCs w:val="21"/>
                    </w:rPr>
                  </w:pPr>
                </w:p>
              </w:tc>
              <w:tc>
                <w:tcPr>
                  <w:tcW w:w="1351" w:type="pct"/>
                  <w:vAlign w:val="center"/>
                </w:tcPr>
                <w:p>
                  <w:pPr>
                    <w:spacing w:line="320" w:lineRule="exact"/>
                    <w:jc w:val="center"/>
                    <w:rPr>
                      <w:sz w:val="21"/>
                      <w:szCs w:val="21"/>
                    </w:rPr>
                  </w:pPr>
                  <w:r>
                    <w:rPr>
                      <w:rFonts w:hint="eastAsia"/>
                      <w:sz w:val="21"/>
                      <w:szCs w:val="21"/>
                    </w:rPr>
                    <w:t>结核杆菌、五日生化需氧量、石油类、挥发酚、动植物油、阴离子表面活性剂、总氰化物</w:t>
                  </w:r>
                </w:p>
              </w:tc>
              <w:tc>
                <w:tcPr>
                  <w:tcW w:w="698" w:type="pct"/>
                  <w:vAlign w:val="center"/>
                </w:tcPr>
                <w:p>
                  <w:pPr>
                    <w:spacing w:line="320" w:lineRule="exact"/>
                    <w:jc w:val="center"/>
                    <w:rPr>
                      <w:sz w:val="21"/>
                      <w:szCs w:val="21"/>
                    </w:rPr>
                  </w:pPr>
                  <w:r>
                    <w:rPr>
                      <w:rFonts w:hint="eastAsia"/>
                      <w:sz w:val="21"/>
                      <w:szCs w:val="21"/>
                    </w:rPr>
                    <w:t>季度</w:t>
                  </w:r>
                </w:p>
              </w:tc>
              <w:tc>
                <w:tcPr>
                  <w:tcW w:w="1075" w:type="pct"/>
                  <w:vMerge w:val="continue"/>
                  <w:vAlign w:val="center"/>
                </w:tcPr>
                <w:p>
                  <w:pPr>
                    <w:spacing w:line="320" w:lineRule="exact"/>
                    <w:jc w:val="center"/>
                    <w:rPr>
                      <w:sz w:val="21"/>
                      <w:szCs w:val="21"/>
                    </w:rPr>
                  </w:pPr>
                </w:p>
              </w:tc>
            </w:tr>
          </w:tbl>
          <w:p>
            <w:pPr>
              <w:pStyle w:val="13"/>
              <w:spacing w:line="360" w:lineRule="auto"/>
              <w:ind w:left="0" w:leftChars="0" w:firstLine="420" w:firstLineChars="200"/>
              <w:rPr>
                <w:sz w:val="21"/>
                <w:szCs w:val="21"/>
              </w:rPr>
            </w:pPr>
            <w:r>
              <w:rPr>
                <w:sz w:val="21"/>
                <w:szCs w:val="21"/>
              </w:rPr>
              <w:t>本项目正常生产情况下生活污水与医疗废水一同进入化粪池预处理后，进入污水处理设施，处理达标后经市政管网排放至承德市双滦区城市污水厂处理。本项目废水处理工艺应采用A/O生物接触氧化+消毒工艺，根据企业提供的由</w:t>
            </w:r>
            <w:r>
              <w:rPr>
                <w:rFonts w:hint="eastAsia"/>
                <w:sz w:val="21"/>
                <w:szCs w:val="21"/>
              </w:rPr>
              <w:t>潍坊溯源环保设备有限公司</w:t>
            </w:r>
            <w:r>
              <w:rPr>
                <w:sz w:val="21"/>
                <w:szCs w:val="21"/>
              </w:rPr>
              <w:t>设计的污水处理方案，污水处理工艺为：格栅井+调节池+生物接触氧化池+混凝沉淀池+消毒池，属于《排污许可证申请与核发技术规范 医疗机构》（HJ1105—2020）附录A中污水治理可行技术，经处理后废水能满足《医疗机构水污染物排放标准》（GB18466-2005）表2中预处理标准及承德市双滦区城市污水厂进水水质要求。</w:t>
            </w:r>
          </w:p>
          <w:p>
            <w:pPr>
              <w:widowControl/>
              <w:spacing w:line="360" w:lineRule="auto"/>
              <w:ind w:firstLine="420" w:firstLineChars="200"/>
              <w:jc w:val="left"/>
              <w:rPr>
                <w:sz w:val="21"/>
                <w:szCs w:val="21"/>
              </w:rPr>
            </w:pPr>
            <w:r>
              <w:rPr>
                <w:rFonts w:hint="eastAsia"/>
                <w:sz w:val="21"/>
                <w:szCs w:val="21"/>
              </w:rPr>
              <w:t xml:space="preserve">（2）废水间接排放纳管可行性分析 </w:t>
            </w:r>
          </w:p>
          <w:p>
            <w:pPr>
              <w:spacing w:line="360" w:lineRule="auto"/>
              <w:ind w:firstLine="420" w:firstLineChars="200"/>
              <w:rPr>
                <w:sz w:val="21"/>
                <w:szCs w:val="21"/>
              </w:rPr>
            </w:pPr>
            <w:r>
              <w:rPr>
                <w:rFonts w:hint="eastAsia"/>
                <w:sz w:val="21"/>
                <w:szCs w:val="21"/>
              </w:rPr>
              <w:t>从项目主要污染物产生及预计排放情况中的数据可以看出，本项目废水主要以</w:t>
            </w:r>
            <w:r>
              <w:rPr>
                <w:sz w:val="21"/>
                <w:szCs w:val="21"/>
              </w:rPr>
              <w:t>COD</w:t>
            </w:r>
            <w:r>
              <w:rPr>
                <w:rFonts w:hint="eastAsia"/>
                <w:sz w:val="21"/>
                <w:szCs w:val="21"/>
              </w:rPr>
              <w:t>、</w:t>
            </w:r>
            <w:r>
              <w:rPr>
                <w:sz w:val="21"/>
                <w:szCs w:val="21"/>
              </w:rPr>
              <w:t>BOD</w:t>
            </w:r>
            <w:r>
              <w:rPr>
                <w:sz w:val="21"/>
                <w:szCs w:val="21"/>
                <w:vertAlign w:val="subscript"/>
              </w:rPr>
              <w:t>5</w:t>
            </w:r>
            <w:r>
              <w:rPr>
                <w:rFonts w:hint="eastAsia"/>
                <w:sz w:val="21"/>
                <w:szCs w:val="21"/>
              </w:rPr>
              <w:t>、氨氮、</w:t>
            </w:r>
            <w:r>
              <w:rPr>
                <w:sz w:val="21"/>
                <w:szCs w:val="21"/>
              </w:rPr>
              <w:t>SS</w:t>
            </w:r>
            <w:r>
              <w:rPr>
                <w:rFonts w:hint="eastAsia"/>
                <w:sz w:val="21"/>
                <w:szCs w:val="21"/>
              </w:rPr>
              <w:t>为主，污染物排放浓度较低，纳管排放量为56.4</w:t>
            </w:r>
            <w:r>
              <w:rPr>
                <w:sz w:val="21"/>
                <w:szCs w:val="21"/>
              </w:rPr>
              <w:t>t/d</w:t>
            </w:r>
            <w:r>
              <w:rPr>
                <w:rFonts w:hint="eastAsia"/>
                <w:sz w:val="21"/>
                <w:szCs w:val="21"/>
              </w:rPr>
              <w:t>。废水类型与</w:t>
            </w:r>
            <w:r>
              <w:rPr>
                <w:sz w:val="21"/>
                <w:szCs w:val="21"/>
              </w:rPr>
              <w:t>承德市双滦区城市污水厂</w:t>
            </w:r>
            <w:r>
              <w:rPr>
                <w:rFonts w:hint="eastAsia"/>
                <w:sz w:val="21"/>
                <w:szCs w:val="21"/>
              </w:rPr>
              <w:t>处理工艺相匹配，同时满足污水处理厂进水水质要求。在正常情况下，项目排放的废水不会对承德市双滦区城市污水厂产生冲击影响。同时，企业应建立完善的外运管理机制，并建立台账管理制度。项目运营对地表水环境影响较小。</w:t>
            </w:r>
          </w:p>
          <w:p>
            <w:pPr>
              <w:spacing w:line="360" w:lineRule="auto"/>
              <w:ind w:firstLine="420" w:firstLineChars="200"/>
              <w:rPr>
                <w:sz w:val="21"/>
                <w:szCs w:val="21"/>
              </w:rPr>
            </w:pPr>
            <w:r>
              <w:rPr>
                <w:sz w:val="21"/>
                <w:szCs w:val="21"/>
              </w:rPr>
              <w:t>3、运营期噪声</w:t>
            </w:r>
          </w:p>
          <w:p>
            <w:pPr>
              <w:spacing w:line="360" w:lineRule="auto"/>
              <w:ind w:firstLine="420" w:firstLineChars="200"/>
              <w:rPr>
                <w:sz w:val="21"/>
                <w:szCs w:val="21"/>
              </w:rPr>
            </w:pPr>
            <w:r>
              <w:rPr>
                <w:sz w:val="21"/>
                <w:szCs w:val="21"/>
              </w:rPr>
              <w:t>项目拟采用室内布置设备、基础减振、消声等措施降低噪声影响。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（1）噪声污染源强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本项目噪声主要来辅助设备的运行，根据同类噪声监测资料结果，噪声源强见</w:t>
            </w:r>
            <w:r>
              <w:rPr>
                <w:rFonts w:hint="eastAsia"/>
              </w:rPr>
              <w:t>下</w:t>
            </w:r>
            <w:r>
              <w:t>表。</w:t>
            </w:r>
          </w:p>
          <w:p>
            <w:pPr>
              <w:pStyle w:val="13"/>
              <w:ind w:left="0" w:leftChars="0"/>
              <w:jc w:val="center"/>
              <w:rPr>
                <w:b/>
                <w:bCs/>
                <w:sz w:val="21"/>
                <w:szCs w:val="21"/>
              </w:rPr>
            </w:pPr>
            <w:r>
              <w:rPr>
                <w:b/>
                <w:bCs/>
                <w:sz w:val="21"/>
                <w:szCs w:val="21"/>
              </w:rPr>
              <w:t>表</w:t>
            </w:r>
            <w:r>
              <w:rPr>
                <w:rFonts w:hint="eastAsia"/>
                <w:b/>
                <w:bCs/>
                <w:sz w:val="21"/>
                <w:szCs w:val="21"/>
              </w:rPr>
              <w:t>4-</w:t>
            </w:r>
            <w:r>
              <w:rPr>
                <w:rFonts w:hint="eastAsia"/>
                <w:b/>
                <w:bCs/>
                <w:sz w:val="21"/>
                <w:szCs w:val="21"/>
                <w:lang w:val="en-US" w:eastAsia="zh-CN"/>
              </w:rPr>
              <w:t>6</w:t>
            </w:r>
            <w:r>
              <w:rPr>
                <w:b/>
                <w:bCs/>
                <w:sz w:val="21"/>
                <w:szCs w:val="21"/>
              </w:rPr>
              <w:t>设备噪声源强一览表</w:t>
            </w:r>
          </w:p>
          <w:tbl>
            <w:tblPr>
              <w:tblStyle w:val="1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1171"/>
              <w:gridCol w:w="936"/>
              <w:gridCol w:w="1441"/>
              <w:gridCol w:w="1214"/>
              <w:gridCol w:w="1314"/>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pStyle w:val="13"/>
                    <w:spacing w:line="320" w:lineRule="exact"/>
                    <w:ind w:left="0" w:leftChars="0"/>
                    <w:jc w:val="center"/>
                    <w:rPr>
                      <w:b/>
                      <w:bCs/>
                      <w:sz w:val="21"/>
                      <w:szCs w:val="21"/>
                    </w:rPr>
                  </w:pPr>
                  <w:r>
                    <w:rPr>
                      <w:b/>
                      <w:bCs/>
                      <w:sz w:val="21"/>
                      <w:szCs w:val="21"/>
                    </w:rPr>
                    <w:t>编号</w:t>
                  </w:r>
                </w:p>
              </w:tc>
              <w:tc>
                <w:tcPr>
                  <w:tcW w:w="742" w:type="pct"/>
                  <w:vAlign w:val="center"/>
                </w:tcPr>
                <w:p>
                  <w:pPr>
                    <w:pStyle w:val="13"/>
                    <w:spacing w:line="320" w:lineRule="exact"/>
                    <w:ind w:left="0" w:leftChars="0"/>
                    <w:jc w:val="center"/>
                    <w:rPr>
                      <w:b/>
                      <w:bCs/>
                      <w:sz w:val="21"/>
                      <w:szCs w:val="21"/>
                    </w:rPr>
                  </w:pPr>
                  <w:r>
                    <w:rPr>
                      <w:b/>
                      <w:bCs/>
                      <w:sz w:val="21"/>
                      <w:szCs w:val="21"/>
                    </w:rPr>
                    <w:t>位置</w:t>
                  </w:r>
                </w:p>
              </w:tc>
              <w:tc>
                <w:tcPr>
                  <w:tcW w:w="593" w:type="pct"/>
                  <w:vAlign w:val="center"/>
                </w:tcPr>
                <w:p>
                  <w:pPr>
                    <w:pStyle w:val="13"/>
                    <w:spacing w:line="320" w:lineRule="exact"/>
                    <w:ind w:left="0" w:leftChars="0"/>
                    <w:jc w:val="center"/>
                    <w:rPr>
                      <w:b/>
                      <w:bCs/>
                      <w:sz w:val="21"/>
                      <w:szCs w:val="21"/>
                    </w:rPr>
                  </w:pPr>
                  <w:r>
                    <w:rPr>
                      <w:b/>
                      <w:bCs/>
                      <w:sz w:val="21"/>
                      <w:szCs w:val="21"/>
                    </w:rPr>
                    <w:t>噪声源</w:t>
                  </w:r>
                </w:p>
              </w:tc>
              <w:tc>
                <w:tcPr>
                  <w:tcW w:w="913" w:type="pct"/>
                  <w:vAlign w:val="center"/>
                </w:tcPr>
                <w:p>
                  <w:pPr>
                    <w:pStyle w:val="13"/>
                    <w:spacing w:line="320" w:lineRule="exact"/>
                    <w:ind w:left="0" w:leftChars="0"/>
                    <w:jc w:val="center"/>
                    <w:rPr>
                      <w:b/>
                      <w:bCs/>
                      <w:sz w:val="21"/>
                      <w:szCs w:val="21"/>
                    </w:rPr>
                  </w:pPr>
                  <w:r>
                    <w:rPr>
                      <w:b/>
                      <w:bCs/>
                      <w:sz w:val="21"/>
                      <w:szCs w:val="21"/>
                    </w:rPr>
                    <w:t>降噪前单机声功率级[dB(A)]</w:t>
                  </w:r>
                </w:p>
              </w:tc>
              <w:tc>
                <w:tcPr>
                  <w:tcW w:w="769" w:type="pct"/>
                  <w:vAlign w:val="center"/>
                </w:tcPr>
                <w:p>
                  <w:pPr>
                    <w:pStyle w:val="13"/>
                    <w:spacing w:line="320" w:lineRule="exact"/>
                    <w:ind w:left="0" w:leftChars="0"/>
                    <w:jc w:val="center"/>
                    <w:rPr>
                      <w:b/>
                      <w:bCs/>
                      <w:sz w:val="21"/>
                      <w:szCs w:val="21"/>
                    </w:rPr>
                  </w:pPr>
                  <w:r>
                    <w:rPr>
                      <w:b/>
                      <w:bCs/>
                      <w:sz w:val="21"/>
                      <w:szCs w:val="21"/>
                    </w:rPr>
                    <w:t>降噪措施</w:t>
                  </w:r>
                </w:p>
              </w:tc>
              <w:tc>
                <w:tcPr>
                  <w:tcW w:w="832" w:type="pct"/>
                  <w:vAlign w:val="center"/>
                </w:tcPr>
                <w:p>
                  <w:pPr>
                    <w:pStyle w:val="13"/>
                    <w:spacing w:line="320" w:lineRule="exact"/>
                    <w:ind w:left="0" w:leftChars="0"/>
                    <w:jc w:val="center"/>
                    <w:rPr>
                      <w:b/>
                      <w:bCs/>
                      <w:sz w:val="21"/>
                      <w:szCs w:val="21"/>
                    </w:rPr>
                  </w:pPr>
                  <w:r>
                    <w:rPr>
                      <w:b/>
                      <w:bCs/>
                      <w:sz w:val="21"/>
                      <w:szCs w:val="21"/>
                    </w:rPr>
                    <w:t>降噪后单机声功率级[dB(A)]</w:t>
                  </w:r>
                </w:p>
              </w:tc>
              <w:tc>
                <w:tcPr>
                  <w:tcW w:w="714" w:type="pct"/>
                  <w:vAlign w:val="center"/>
                </w:tcPr>
                <w:p>
                  <w:pPr>
                    <w:pStyle w:val="13"/>
                    <w:spacing w:line="320" w:lineRule="exact"/>
                    <w:ind w:left="0" w:leftChars="0"/>
                    <w:jc w:val="center"/>
                    <w:rPr>
                      <w:b/>
                      <w:bCs/>
                      <w:sz w:val="21"/>
                      <w:szCs w:val="21"/>
                    </w:rPr>
                  </w:pPr>
                  <w:r>
                    <w:rPr>
                      <w:b/>
                      <w:bCs/>
                      <w:sz w:val="21"/>
                      <w:szCs w:val="21"/>
                    </w:rPr>
                    <w:t>持续时</w:t>
                  </w:r>
                </w:p>
                <w:p>
                  <w:pPr>
                    <w:pStyle w:val="13"/>
                    <w:spacing w:line="320" w:lineRule="exact"/>
                    <w:ind w:left="0" w:leftChars="0"/>
                    <w:jc w:val="center"/>
                    <w:rPr>
                      <w:b/>
                      <w:bCs/>
                      <w:sz w:val="21"/>
                      <w:szCs w:val="21"/>
                    </w:rPr>
                  </w:pPr>
                  <w:r>
                    <w:rPr>
                      <w:b/>
                      <w:bCs/>
                      <w:sz w:val="21"/>
                      <w:szCs w:val="21"/>
                    </w:rPr>
                    <w:t>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pStyle w:val="13"/>
                    <w:spacing w:line="320" w:lineRule="exact"/>
                    <w:ind w:left="0" w:leftChars="0"/>
                    <w:jc w:val="center"/>
                    <w:rPr>
                      <w:sz w:val="21"/>
                      <w:szCs w:val="21"/>
                    </w:rPr>
                  </w:pPr>
                  <w:r>
                    <w:rPr>
                      <w:sz w:val="21"/>
                      <w:szCs w:val="21"/>
                    </w:rPr>
                    <w:t>N</w:t>
                  </w:r>
                  <w:r>
                    <w:rPr>
                      <w:rFonts w:hint="eastAsia"/>
                      <w:sz w:val="21"/>
                      <w:szCs w:val="21"/>
                    </w:rPr>
                    <w:t>1</w:t>
                  </w:r>
                </w:p>
              </w:tc>
              <w:tc>
                <w:tcPr>
                  <w:tcW w:w="742" w:type="pct"/>
                  <w:vAlign w:val="center"/>
                </w:tcPr>
                <w:p>
                  <w:pPr>
                    <w:pStyle w:val="13"/>
                    <w:spacing w:line="320" w:lineRule="exact"/>
                    <w:ind w:left="0" w:leftChars="0"/>
                    <w:jc w:val="center"/>
                    <w:rPr>
                      <w:sz w:val="21"/>
                      <w:szCs w:val="21"/>
                    </w:rPr>
                  </w:pPr>
                  <w:r>
                    <w:rPr>
                      <w:sz w:val="21"/>
                      <w:szCs w:val="21"/>
                    </w:rPr>
                    <w:t>污水处理站</w:t>
                  </w:r>
                </w:p>
              </w:tc>
              <w:tc>
                <w:tcPr>
                  <w:tcW w:w="593" w:type="pct"/>
                  <w:vAlign w:val="center"/>
                </w:tcPr>
                <w:p>
                  <w:pPr>
                    <w:pStyle w:val="13"/>
                    <w:spacing w:line="320" w:lineRule="exact"/>
                    <w:ind w:left="0" w:leftChars="0"/>
                    <w:jc w:val="center"/>
                    <w:rPr>
                      <w:sz w:val="21"/>
                      <w:szCs w:val="21"/>
                    </w:rPr>
                  </w:pPr>
                  <w:r>
                    <w:rPr>
                      <w:sz w:val="21"/>
                      <w:szCs w:val="21"/>
                    </w:rPr>
                    <w:t>水泵</w:t>
                  </w:r>
                </w:p>
              </w:tc>
              <w:tc>
                <w:tcPr>
                  <w:tcW w:w="913" w:type="pct"/>
                  <w:vAlign w:val="center"/>
                </w:tcPr>
                <w:p>
                  <w:pPr>
                    <w:pStyle w:val="13"/>
                    <w:spacing w:line="320" w:lineRule="exact"/>
                    <w:ind w:left="0" w:leftChars="0"/>
                    <w:jc w:val="center"/>
                    <w:rPr>
                      <w:sz w:val="21"/>
                      <w:szCs w:val="21"/>
                    </w:rPr>
                  </w:pPr>
                  <w:r>
                    <w:rPr>
                      <w:rFonts w:hint="eastAsia"/>
                      <w:sz w:val="21"/>
                      <w:szCs w:val="21"/>
                    </w:rPr>
                    <w:t>85</w:t>
                  </w:r>
                </w:p>
              </w:tc>
              <w:tc>
                <w:tcPr>
                  <w:tcW w:w="769" w:type="pct"/>
                  <w:vAlign w:val="center"/>
                </w:tcPr>
                <w:p>
                  <w:pPr>
                    <w:pStyle w:val="13"/>
                    <w:spacing w:line="320" w:lineRule="exact"/>
                    <w:ind w:left="0" w:leftChars="0"/>
                    <w:jc w:val="center"/>
                    <w:rPr>
                      <w:sz w:val="21"/>
                      <w:szCs w:val="21"/>
                    </w:rPr>
                  </w:pPr>
                  <w:r>
                    <w:rPr>
                      <w:sz w:val="21"/>
                      <w:szCs w:val="21"/>
                    </w:rPr>
                    <w:t>基础减振、地下安装</w:t>
                  </w:r>
                </w:p>
              </w:tc>
              <w:tc>
                <w:tcPr>
                  <w:tcW w:w="832" w:type="pct"/>
                  <w:vAlign w:val="center"/>
                </w:tcPr>
                <w:p>
                  <w:pPr>
                    <w:pStyle w:val="13"/>
                    <w:spacing w:line="320" w:lineRule="exact"/>
                    <w:ind w:left="0" w:leftChars="0"/>
                    <w:jc w:val="center"/>
                    <w:rPr>
                      <w:sz w:val="21"/>
                      <w:szCs w:val="21"/>
                    </w:rPr>
                  </w:pPr>
                  <w:r>
                    <w:rPr>
                      <w:sz w:val="21"/>
                      <w:szCs w:val="21"/>
                    </w:rPr>
                    <w:t>55</w:t>
                  </w:r>
                </w:p>
              </w:tc>
              <w:tc>
                <w:tcPr>
                  <w:tcW w:w="714" w:type="pct"/>
                  <w:vAlign w:val="center"/>
                </w:tcPr>
                <w:p>
                  <w:pPr>
                    <w:pStyle w:val="13"/>
                    <w:spacing w:line="320" w:lineRule="exact"/>
                    <w:ind w:left="0" w:leftChars="0"/>
                    <w:jc w:val="center"/>
                    <w:rPr>
                      <w:sz w:val="21"/>
                      <w:szCs w:val="21"/>
                    </w:rPr>
                  </w:pPr>
                  <w:r>
                    <w:rPr>
                      <w:sz w:val="21"/>
                      <w:szCs w:val="21"/>
                    </w:rPr>
                    <w:t>8760</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按照《环境影响评价技术导则 声环境》（HJ2.4-2021）中推荐的模式进行预测。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评价使用石家庄环安科技有限公司的噪声环境影响评价系统（NoiseSystem）2012标准版（版本3.3.1.20992）进行噪声预测。预测过程中，各噪声设备在一定的距离处可以被视作点源，设备所处位置、与墙壁的离距、与预测点的距离、隔墙厚度等均按实际布设确定，未考虑地形因素的影响。预测过程中增加建筑物降噪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预测结果如下所示：</w:t>
            </w:r>
          </w:p>
          <w:p>
            <w:pPr>
              <w:jc w:val="center"/>
              <w:rPr>
                <w:sz w:val="21"/>
                <w:szCs w:val="21"/>
              </w:rPr>
            </w:pPr>
            <w:r>
              <w:rPr>
                <w:sz w:val="21"/>
                <w:szCs w:val="21"/>
              </w:rPr>
              <w:drawing>
                <wp:inline distT="0" distB="0" distL="114300" distR="114300">
                  <wp:extent cx="4765040" cy="3716655"/>
                  <wp:effectExtent l="0" t="0" r="16510" b="17145"/>
                  <wp:docPr id="56" name="图片 56" descr="8879130c9a9997cc4c6085bef357c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8879130c9a9997cc4c6085bef357c7c"/>
                          <pic:cNvPicPr>
                            <a:picLocks noChangeAspect="1"/>
                          </pic:cNvPicPr>
                        </pic:nvPicPr>
                        <pic:blipFill>
                          <a:blip r:embed="rId14"/>
                          <a:stretch>
                            <a:fillRect/>
                          </a:stretch>
                        </pic:blipFill>
                        <pic:spPr>
                          <a:xfrm>
                            <a:off x="0" y="0"/>
                            <a:ext cx="4765040" cy="3716655"/>
                          </a:xfrm>
                          <a:prstGeom prst="rect">
                            <a:avLst/>
                          </a:prstGeom>
                        </pic:spPr>
                      </pic:pic>
                    </a:graphicData>
                  </a:graphic>
                </wp:inline>
              </w:drawing>
            </w:r>
          </w:p>
          <w:p>
            <w:pPr>
              <w:pStyle w:val="2"/>
              <w:ind w:firstLine="0" w:firstLineChars="0"/>
              <w:jc w:val="center"/>
              <w:rPr>
                <w:b/>
                <w:sz w:val="21"/>
                <w:szCs w:val="21"/>
              </w:rPr>
            </w:pPr>
            <w:r>
              <w:rPr>
                <w:b/>
                <w:bCs/>
                <w:sz w:val="21"/>
                <w:szCs w:val="21"/>
              </w:rPr>
              <w:t xml:space="preserve">图4-1 </w:t>
            </w:r>
            <w:r>
              <w:rPr>
                <w:b/>
                <w:sz w:val="21"/>
                <w:szCs w:val="21"/>
              </w:rPr>
              <w:t>噪声贡献值等声级线图</w:t>
            </w:r>
          </w:p>
          <w:p>
            <w:pPr>
              <w:widowControl/>
              <w:spacing w:before="156" w:beforeLines="50" w:line="240" w:lineRule="atLeast"/>
              <w:jc w:val="center"/>
              <w:rPr>
                <w:b/>
                <w:bCs/>
                <w:sz w:val="21"/>
                <w:szCs w:val="21"/>
              </w:rPr>
            </w:pPr>
          </w:p>
          <w:p>
            <w:pPr>
              <w:widowControl/>
              <w:spacing w:before="156" w:beforeLines="50" w:line="240" w:lineRule="atLeast"/>
              <w:jc w:val="center"/>
              <w:rPr>
                <w:b/>
                <w:bCs/>
                <w:sz w:val="21"/>
                <w:szCs w:val="21"/>
              </w:rPr>
            </w:pPr>
          </w:p>
          <w:p>
            <w:pPr>
              <w:widowControl/>
              <w:spacing w:before="156" w:beforeLines="50" w:line="240" w:lineRule="atLeast"/>
              <w:jc w:val="center"/>
              <w:rPr>
                <w:b/>
                <w:bCs/>
                <w:sz w:val="21"/>
                <w:szCs w:val="21"/>
              </w:rPr>
            </w:pPr>
            <w:r>
              <w:rPr>
                <w:b/>
                <w:bCs/>
                <w:sz w:val="21"/>
                <w:szCs w:val="21"/>
              </w:rPr>
              <w:t>表4-</w:t>
            </w:r>
            <w:r>
              <w:rPr>
                <w:rFonts w:hint="eastAsia"/>
                <w:b/>
                <w:bCs/>
                <w:sz w:val="21"/>
                <w:szCs w:val="21"/>
                <w:lang w:val="en-US" w:eastAsia="zh-CN"/>
              </w:rPr>
              <w:t>7</w:t>
            </w:r>
            <w:r>
              <w:rPr>
                <w:b/>
                <w:bCs/>
                <w:sz w:val="21"/>
                <w:szCs w:val="21"/>
              </w:rPr>
              <w:t xml:space="preserve">  项目噪声源在各个厂界的预测结果</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840"/>
              <w:gridCol w:w="609"/>
              <w:gridCol w:w="587"/>
              <w:gridCol w:w="703"/>
              <w:gridCol w:w="609"/>
              <w:gridCol w:w="746"/>
              <w:gridCol w:w="735"/>
              <w:gridCol w:w="703"/>
              <w:gridCol w:w="703"/>
              <w:gridCol w:w="610"/>
              <w:gridCol w:w="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restart"/>
                  <w:vAlign w:val="center"/>
                </w:tcPr>
                <w:p>
                  <w:pPr>
                    <w:widowControl/>
                    <w:spacing w:line="320" w:lineRule="exact"/>
                    <w:jc w:val="center"/>
                    <w:rPr>
                      <w:b/>
                      <w:bCs/>
                      <w:sz w:val="21"/>
                      <w:szCs w:val="21"/>
                    </w:rPr>
                  </w:pPr>
                  <w:r>
                    <w:rPr>
                      <w:rFonts w:hint="eastAsia"/>
                      <w:b/>
                      <w:bCs/>
                      <w:sz w:val="21"/>
                      <w:szCs w:val="21"/>
                    </w:rPr>
                    <w:t>序号</w:t>
                  </w:r>
                </w:p>
              </w:tc>
              <w:tc>
                <w:tcPr>
                  <w:tcW w:w="824" w:type="dxa"/>
                  <w:vMerge w:val="restart"/>
                  <w:vAlign w:val="center"/>
                </w:tcPr>
                <w:p>
                  <w:pPr>
                    <w:widowControl/>
                    <w:spacing w:line="320" w:lineRule="exact"/>
                    <w:jc w:val="center"/>
                    <w:rPr>
                      <w:b/>
                      <w:bCs/>
                      <w:sz w:val="21"/>
                      <w:szCs w:val="21"/>
                    </w:rPr>
                  </w:pPr>
                  <w:r>
                    <w:rPr>
                      <w:rFonts w:hint="eastAsia"/>
                      <w:b/>
                      <w:bCs/>
                      <w:sz w:val="21"/>
                      <w:szCs w:val="21"/>
                    </w:rPr>
                    <w:t>声环境保护目标名称</w:t>
                  </w:r>
                </w:p>
              </w:tc>
              <w:tc>
                <w:tcPr>
                  <w:tcW w:w="1173" w:type="dxa"/>
                  <w:gridSpan w:val="2"/>
                  <w:vAlign w:val="center"/>
                </w:tcPr>
                <w:p>
                  <w:pPr>
                    <w:widowControl/>
                    <w:spacing w:line="320" w:lineRule="exact"/>
                    <w:jc w:val="center"/>
                    <w:rPr>
                      <w:b/>
                      <w:bCs/>
                      <w:sz w:val="21"/>
                      <w:szCs w:val="21"/>
                    </w:rPr>
                  </w:pPr>
                  <w:r>
                    <w:rPr>
                      <w:rFonts w:hint="eastAsia"/>
                      <w:b/>
                      <w:bCs/>
                      <w:sz w:val="21"/>
                      <w:szCs w:val="21"/>
                    </w:rPr>
                    <w:t>噪声背景值/dB(A)</w:t>
                  </w:r>
                </w:p>
              </w:tc>
              <w:tc>
                <w:tcPr>
                  <w:tcW w:w="1286" w:type="dxa"/>
                  <w:gridSpan w:val="2"/>
                  <w:vAlign w:val="center"/>
                </w:tcPr>
                <w:p>
                  <w:pPr>
                    <w:widowControl/>
                    <w:spacing w:line="320" w:lineRule="exact"/>
                    <w:jc w:val="center"/>
                    <w:rPr>
                      <w:b/>
                      <w:bCs/>
                      <w:sz w:val="21"/>
                      <w:szCs w:val="21"/>
                    </w:rPr>
                  </w:pPr>
                  <w:r>
                    <w:rPr>
                      <w:rFonts w:hint="eastAsia"/>
                      <w:b/>
                      <w:bCs/>
                      <w:sz w:val="21"/>
                      <w:szCs w:val="21"/>
                    </w:rPr>
                    <w:t>噪声标准/dB(A)</w:t>
                  </w:r>
                </w:p>
              </w:tc>
              <w:tc>
                <w:tcPr>
                  <w:tcW w:w="1452" w:type="dxa"/>
                  <w:gridSpan w:val="2"/>
                  <w:vAlign w:val="center"/>
                </w:tcPr>
                <w:p>
                  <w:pPr>
                    <w:widowControl/>
                    <w:spacing w:line="320" w:lineRule="exact"/>
                    <w:jc w:val="center"/>
                    <w:rPr>
                      <w:b/>
                      <w:bCs/>
                      <w:sz w:val="21"/>
                      <w:szCs w:val="21"/>
                    </w:rPr>
                  </w:pPr>
                  <w:r>
                    <w:rPr>
                      <w:rFonts w:hint="eastAsia"/>
                      <w:b/>
                      <w:bCs/>
                      <w:sz w:val="21"/>
                      <w:szCs w:val="21"/>
                    </w:rPr>
                    <w:t>噪声贡献值/dB(A)</w:t>
                  </w:r>
                </w:p>
              </w:tc>
              <w:tc>
                <w:tcPr>
                  <w:tcW w:w="1378" w:type="dxa"/>
                  <w:gridSpan w:val="2"/>
                  <w:vAlign w:val="center"/>
                </w:tcPr>
                <w:p>
                  <w:pPr>
                    <w:widowControl/>
                    <w:spacing w:line="320" w:lineRule="exact"/>
                    <w:jc w:val="center"/>
                    <w:rPr>
                      <w:b/>
                      <w:bCs/>
                      <w:sz w:val="21"/>
                      <w:szCs w:val="21"/>
                    </w:rPr>
                  </w:pPr>
                  <w:r>
                    <w:rPr>
                      <w:rFonts w:hint="eastAsia"/>
                      <w:b/>
                      <w:bCs/>
                      <w:sz w:val="21"/>
                      <w:szCs w:val="21"/>
                    </w:rPr>
                    <w:t>噪声预测值/dB(A)</w:t>
                  </w:r>
                </w:p>
              </w:tc>
              <w:tc>
                <w:tcPr>
                  <w:tcW w:w="1200" w:type="dxa"/>
                  <w:gridSpan w:val="2"/>
                  <w:vAlign w:val="center"/>
                </w:tcPr>
                <w:p>
                  <w:pPr>
                    <w:widowControl/>
                    <w:spacing w:line="320" w:lineRule="exact"/>
                    <w:jc w:val="center"/>
                    <w:rPr>
                      <w:b/>
                      <w:bCs/>
                      <w:sz w:val="21"/>
                      <w:szCs w:val="21"/>
                    </w:rPr>
                  </w:pPr>
                  <w:r>
                    <w:rPr>
                      <w:rFonts w:hint="eastAsia"/>
                      <w:b/>
                      <w:bCs/>
                      <w:sz w:val="21"/>
                      <w:szCs w:val="21"/>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pPr>
                    <w:widowControl/>
                    <w:spacing w:line="320" w:lineRule="exact"/>
                    <w:jc w:val="center"/>
                    <w:rPr>
                      <w:b/>
                      <w:bCs/>
                      <w:sz w:val="21"/>
                      <w:szCs w:val="21"/>
                    </w:rPr>
                  </w:pPr>
                </w:p>
              </w:tc>
              <w:tc>
                <w:tcPr>
                  <w:tcW w:w="824" w:type="dxa"/>
                  <w:vMerge w:val="continue"/>
                  <w:vAlign w:val="center"/>
                </w:tcPr>
                <w:p>
                  <w:pPr>
                    <w:widowControl/>
                    <w:spacing w:line="320" w:lineRule="exact"/>
                    <w:jc w:val="center"/>
                    <w:rPr>
                      <w:b/>
                      <w:bCs/>
                      <w:sz w:val="21"/>
                      <w:szCs w:val="21"/>
                    </w:rPr>
                  </w:pPr>
                </w:p>
              </w:tc>
              <w:tc>
                <w:tcPr>
                  <w:tcW w:w="597" w:type="dxa"/>
                  <w:vAlign w:val="center"/>
                </w:tcPr>
                <w:p>
                  <w:pPr>
                    <w:widowControl/>
                    <w:spacing w:line="320" w:lineRule="exact"/>
                    <w:jc w:val="center"/>
                    <w:rPr>
                      <w:b/>
                      <w:bCs/>
                      <w:sz w:val="21"/>
                      <w:szCs w:val="21"/>
                    </w:rPr>
                  </w:pPr>
                  <w:r>
                    <w:rPr>
                      <w:rFonts w:hint="eastAsia"/>
                      <w:b/>
                      <w:bCs/>
                      <w:sz w:val="21"/>
                      <w:szCs w:val="21"/>
                    </w:rPr>
                    <w:t>昼间</w:t>
                  </w:r>
                </w:p>
              </w:tc>
              <w:tc>
                <w:tcPr>
                  <w:tcW w:w="576" w:type="dxa"/>
                  <w:vAlign w:val="center"/>
                </w:tcPr>
                <w:p>
                  <w:pPr>
                    <w:widowControl/>
                    <w:spacing w:line="320" w:lineRule="exact"/>
                    <w:jc w:val="center"/>
                    <w:rPr>
                      <w:b/>
                      <w:bCs/>
                      <w:sz w:val="21"/>
                      <w:szCs w:val="21"/>
                    </w:rPr>
                  </w:pPr>
                  <w:r>
                    <w:rPr>
                      <w:rFonts w:hint="eastAsia"/>
                      <w:b/>
                      <w:bCs/>
                      <w:sz w:val="21"/>
                      <w:szCs w:val="21"/>
                    </w:rPr>
                    <w:t>夜间</w:t>
                  </w:r>
                </w:p>
              </w:tc>
              <w:tc>
                <w:tcPr>
                  <w:tcW w:w="689" w:type="dxa"/>
                  <w:vAlign w:val="center"/>
                </w:tcPr>
                <w:p>
                  <w:pPr>
                    <w:widowControl/>
                    <w:spacing w:line="320" w:lineRule="exact"/>
                    <w:jc w:val="center"/>
                    <w:rPr>
                      <w:b/>
                      <w:bCs/>
                      <w:sz w:val="21"/>
                      <w:szCs w:val="21"/>
                    </w:rPr>
                  </w:pPr>
                  <w:r>
                    <w:rPr>
                      <w:rFonts w:hint="eastAsia"/>
                      <w:b/>
                      <w:bCs/>
                      <w:sz w:val="21"/>
                      <w:szCs w:val="21"/>
                    </w:rPr>
                    <w:t>昼间</w:t>
                  </w:r>
                </w:p>
              </w:tc>
              <w:tc>
                <w:tcPr>
                  <w:tcW w:w="597" w:type="dxa"/>
                  <w:vAlign w:val="center"/>
                </w:tcPr>
                <w:p>
                  <w:pPr>
                    <w:widowControl/>
                    <w:spacing w:line="320" w:lineRule="exact"/>
                    <w:jc w:val="center"/>
                    <w:rPr>
                      <w:b/>
                      <w:bCs/>
                      <w:sz w:val="21"/>
                      <w:szCs w:val="21"/>
                    </w:rPr>
                  </w:pPr>
                  <w:r>
                    <w:rPr>
                      <w:rFonts w:hint="eastAsia"/>
                      <w:b/>
                      <w:bCs/>
                      <w:sz w:val="21"/>
                      <w:szCs w:val="21"/>
                    </w:rPr>
                    <w:t>夜间</w:t>
                  </w:r>
                </w:p>
              </w:tc>
              <w:tc>
                <w:tcPr>
                  <w:tcW w:w="731" w:type="dxa"/>
                  <w:vAlign w:val="center"/>
                </w:tcPr>
                <w:p>
                  <w:pPr>
                    <w:widowControl/>
                    <w:spacing w:line="320" w:lineRule="exact"/>
                    <w:jc w:val="center"/>
                    <w:rPr>
                      <w:b/>
                      <w:bCs/>
                      <w:sz w:val="21"/>
                      <w:szCs w:val="21"/>
                    </w:rPr>
                  </w:pPr>
                  <w:r>
                    <w:rPr>
                      <w:rFonts w:hint="eastAsia"/>
                      <w:b/>
                      <w:bCs/>
                      <w:sz w:val="21"/>
                      <w:szCs w:val="21"/>
                    </w:rPr>
                    <w:t>昼间</w:t>
                  </w:r>
                </w:p>
              </w:tc>
              <w:tc>
                <w:tcPr>
                  <w:tcW w:w="721" w:type="dxa"/>
                  <w:vAlign w:val="center"/>
                </w:tcPr>
                <w:p>
                  <w:pPr>
                    <w:widowControl/>
                    <w:spacing w:line="320" w:lineRule="exact"/>
                    <w:jc w:val="center"/>
                    <w:rPr>
                      <w:b/>
                      <w:bCs/>
                      <w:sz w:val="21"/>
                      <w:szCs w:val="21"/>
                    </w:rPr>
                  </w:pPr>
                  <w:r>
                    <w:rPr>
                      <w:rFonts w:hint="eastAsia"/>
                      <w:b/>
                      <w:bCs/>
                      <w:sz w:val="21"/>
                      <w:szCs w:val="21"/>
                    </w:rPr>
                    <w:t>夜间</w:t>
                  </w:r>
                </w:p>
              </w:tc>
              <w:tc>
                <w:tcPr>
                  <w:tcW w:w="689" w:type="dxa"/>
                  <w:vAlign w:val="center"/>
                </w:tcPr>
                <w:p>
                  <w:pPr>
                    <w:widowControl/>
                    <w:spacing w:line="320" w:lineRule="exact"/>
                    <w:jc w:val="center"/>
                    <w:rPr>
                      <w:b/>
                      <w:bCs/>
                      <w:sz w:val="21"/>
                      <w:szCs w:val="21"/>
                    </w:rPr>
                  </w:pPr>
                  <w:r>
                    <w:rPr>
                      <w:rFonts w:hint="eastAsia"/>
                      <w:b/>
                      <w:bCs/>
                      <w:sz w:val="21"/>
                      <w:szCs w:val="21"/>
                    </w:rPr>
                    <w:t>昼间</w:t>
                  </w:r>
                </w:p>
              </w:tc>
              <w:tc>
                <w:tcPr>
                  <w:tcW w:w="689" w:type="dxa"/>
                  <w:vAlign w:val="center"/>
                </w:tcPr>
                <w:p>
                  <w:pPr>
                    <w:widowControl/>
                    <w:spacing w:line="320" w:lineRule="exact"/>
                    <w:jc w:val="center"/>
                    <w:rPr>
                      <w:b/>
                      <w:bCs/>
                      <w:sz w:val="21"/>
                      <w:szCs w:val="21"/>
                    </w:rPr>
                  </w:pPr>
                  <w:r>
                    <w:rPr>
                      <w:rFonts w:hint="eastAsia"/>
                      <w:b/>
                      <w:bCs/>
                      <w:sz w:val="21"/>
                      <w:szCs w:val="21"/>
                    </w:rPr>
                    <w:t>夜间</w:t>
                  </w:r>
                </w:p>
              </w:tc>
              <w:tc>
                <w:tcPr>
                  <w:tcW w:w="598" w:type="dxa"/>
                  <w:vAlign w:val="center"/>
                </w:tcPr>
                <w:p>
                  <w:pPr>
                    <w:widowControl/>
                    <w:spacing w:line="320" w:lineRule="exact"/>
                    <w:jc w:val="center"/>
                    <w:rPr>
                      <w:b/>
                      <w:bCs/>
                      <w:sz w:val="21"/>
                      <w:szCs w:val="21"/>
                    </w:rPr>
                  </w:pPr>
                  <w:r>
                    <w:rPr>
                      <w:rFonts w:hint="eastAsia"/>
                      <w:b/>
                      <w:bCs/>
                      <w:sz w:val="21"/>
                      <w:szCs w:val="21"/>
                    </w:rPr>
                    <w:t>昼间</w:t>
                  </w:r>
                </w:p>
              </w:tc>
              <w:tc>
                <w:tcPr>
                  <w:tcW w:w="602" w:type="dxa"/>
                  <w:vAlign w:val="center"/>
                </w:tcPr>
                <w:p>
                  <w:pPr>
                    <w:widowControl/>
                    <w:spacing w:line="320" w:lineRule="exact"/>
                    <w:jc w:val="center"/>
                    <w:rPr>
                      <w:b/>
                      <w:bCs/>
                      <w:sz w:val="21"/>
                      <w:szCs w:val="21"/>
                    </w:rPr>
                  </w:pPr>
                  <w:r>
                    <w:rPr>
                      <w:rFonts w:hint="eastAsia"/>
                      <w:b/>
                      <w:bCs/>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Align w:val="center"/>
                </w:tcPr>
                <w:p>
                  <w:pPr>
                    <w:widowControl/>
                    <w:spacing w:line="320" w:lineRule="exact"/>
                    <w:jc w:val="center"/>
                    <w:rPr>
                      <w:sz w:val="21"/>
                      <w:szCs w:val="21"/>
                    </w:rPr>
                  </w:pPr>
                  <w:r>
                    <w:rPr>
                      <w:rFonts w:hint="eastAsia"/>
                      <w:sz w:val="21"/>
                      <w:szCs w:val="21"/>
                    </w:rPr>
                    <w:t>1</w:t>
                  </w:r>
                </w:p>
              </w:tc>
              <w:tc>
                <w:tcPr>
                  <w:tcW w:w="824" w:type="dxa"/>
                  <w:vAlign w:val="center"/>
                </w:tcPr>
                <w:p>
                  <w:pPr>
                    <w:widowControl/>
                    <w:spacing w:line="320" w:lineRule="exact"/>
                    <w:jc w:val="center"/>
                    <w:rPr>
                      <w:sz w:val="21"/>
                      <w:szCs w:val="21"/>
                    </w:rPr>
                  </w:pPr>
                  <w:r>
                    <w:rPr>
                      <w:rFonts w:hint="eastAsia"/>
                      <w:sz w:val="21"/>
                      <w:szCs w:val="21"/>
                    </w:rPr>
                    <w:t>西厂界</w:t>
                  </w:r>
                </w:p>
              </w:tc>
              <w:tc>
                <w:tcPr>
                  <w:tcW w:w="597" w:type="dxa"/>
                  <w:vAlign w:val="center"/>
                </w:tcPr>
                <w:p>
                  <w:pPr>
                    <w:widowControl/>
                    <w:spacing w:line="320" w:lineRule="exact"/>
                    <w:jc w:val="center"/>
                    <w:rPr>
                      <w:sz w:val="21"/>
                      <w:szCs w:val="21"/>
                    </w:rPr>
                  </w:pPr>
                  <w:r>
                    <w:rPr>
                      <w:rFonts w:hint="eastAsia"/>
                      <w:sz w:val="21"/>
                      <w:szCs w:val="21"/>
                    </w:rPr>
                    <w:t>52</w:t>
                  </w:r>
                </w:p>
              </w:tc>
              <w:tc>
                <w:tcPr>
                  <w:tcW w:w="576" w:type="dxa"/>
                  <w:vAlign w:val="center"/>
                </w:tcPr>
                <w:p>
                  <w:pPr>
                    <w:widowControl/>
                    <w:spacing w:line="320" w:lineRule="exact"/>
                    <w:jc w:val="center"/>
                    <w:rPr>
                      <w:sz w:val="21"/>
                      <w:szCs w:val="21"/>
                    </w:rPr>
                  </w:pPr>
                  <w:r>
                    <w:rPr>
                      <w:rFonts w:hint="eastAsia"/>
                      <w:sz w:val="21"/>
                      <w:szCs w:val="21"/>
                    </w:rPr>
                    <w:t>43</w:t>
                  </w:r>
                </w:p>
              </w:tc>
              <w:tc>
                <w:tcPr>
                  <w:tcW w:w="689" w:type="dxa"/>
                  <w:vAlign w:val="center"/>
                </w:tcPr>
                <w:p>
                  <w:pPr>
                    <w:widowControl/>
                    <w:spacing w:line="320" w:lineRule="exact"/>
                    <w:jc w:val="center"/>
                    <w:rPr>
                      <w:sz w:val="21"/>
                      <w:szCs w:val="21"/>
                    </w:rPr>
                  </w:pPr>
                  <w:r>
                    <w:rPr>
                      <w:rFonts w:hint="eastAsia"/>
                      <w:sz w:val="21"/>
                      <w:szCs w:val="21"/>
                    </w:rPr>
                    <w:t>60</w:t>
                  </w:r>
                </w:p>
              </w:tc>
              <w:tc>
                <w:tcPr>
                  <w:tcW w:w="597" w:type="dxa"/>
                  <w:vAlign w:val="center"/>
                </w:tcPr>
                <w:p>
                  <w:pPr>
                    <w:widowControl/>
                    <w:spacing w:line="320" w:lineRule="exact"/>
                    <w:jc w:val="center"/>
                    <w:rPr>
                      <w:sz w:val="21"/>
                      <w:szCs w:val="21"/>
                    </w:rPr>
                  </w:pPr>
                  <w:r>
                    <w:rPr>
                      <w:rFonts w:hint="eastAsia"/>
                      <w:sz w:val="21"/>
                      <w:szCs w:val="21"/>
                    </w:rPr>
                    <w:t>50</w:t>
                  </w:r>
                </w:p>
              </w:tc>
              <w:tc>
                <w:tcPr>
                  <w:tcW w:w="731" w:type="dxa"/>
                  <w:vAlign w:val="center"/>
                </w:tcPr>
                <w:p>
                  <w:pPr>
                    <w:widowControl/>
                    <w:spacing w:line="320" w:lineRule="exact"/>
                    <w:jc w:val="center"/>
                    <w:rPr>
                      <w:sz w:val="21"/>
                      <w:szCs w:val="21"/>
                    </w:rPr>
                  </w:pPr>
                  <w:r>
                    <w:rPr>
                      <w:rFonts w:hint="eastAsia"/>
                      <w:sz w:val="21"/>
                      <w:szCs w:val="21"/>
                    </w:rPr>
                    <w:t>45.95</w:t>
                  </w:r>
                </w:p>
              </w:tc>
              <w:tc>
                <w:tcPr>
                  <w:tcW w:w="721" w:type="dxa"/>
                  <w:vAlign w:val="center"/>
                </w:tcPr>
                <w:p>
                  <w:pPr>
                    <w:widowControl/>
                    <w:spacing w:line="320" w:lineRule="exact"/>
                    <w:jc w:val="center"/>
                    <w:rPr>
                      <w:sz w:val="21"/>
                      <w:szCs w:val="21"/>
                    </w:rPr>
                  </w:pPr>
                  <w:r>
                    <w:rPr>
                      <w:rFonts w:hint="eastAsia"/>
                      <w:sz w:val="21"/>
                      <w:szCs w:val="21"/>
                    </w:rPr>
                    <w:t>47.24</w:t>
                  </w:r>
                </w:p>
              </w:tc>
              <w:tc>
                <w:tcPr>
                  <w:tcW w:w="689" w:type="dxa"/>
                  <w:vAlign w:val="center"/>
                </w:tcPr>
                <w:p>
                  <w:pPr>
                    <w:widowControl/>
                    <w:spacing w:line="320" w:lineRule="exact"/>
                    <w:jc w:val="center"/>
                    <w:rPr>
                      <w:sz w:val="21"/>
                      <w:szCs w:val="21"/>
                    </w:rPr>
                  </w:pPr>
                  <w:r>
                    <w:rPr>
                      <w:rFonts w:hint="eastAsia"/>
                      <w:sz w:val="21"/>
                      <w:szCs w:val="21"/>
                    </w:rPr>
                    <w:t>52.96</w:t>
                  </w:r>
                </w:p>
              </w:tc>
              <w:tc>
                <w:tcPr>
                  <w:tcW w:w="689" w:type="dxa"/>
                  <w:vAlign w:val="center"/>
                </w:tcPr>
                <w:p>
                  <w:pPr>
                    <w:widowControl/>
                    <w:spacing w:line="320" w:lineRule="exact"/>
                    <w:jc w:val="center"/>
                    <w:rPr>
                      <w:sz w:val="21"/>
                      <w:szCs w:val="21"/>
                    </w:rPr>
                  </w:pPr>
                  <w:r>
                    <w:rPr>
                      <w:rFonts w:hint="eastAsia"/>
                      <w:sz w:val="21"/>
                      <w:szCs w:val="21"/>
                    </w:rPr>
                    <w:t>47.73</w:t>
                  </w:r>
                </w:p>
              </w:tc>
              <w:tc>
                <w:tcPr>
                  <w:tcW w:w="598" w:type="dxa"/>
                  <w:vAlign w:val="center"/>
                </w:tcPr>
                <w:p>
                  <w:pPr>
                    <w:widowControl/>
                    <w:spacing w:line="320" w:lineRule="exact"/>
                    <w:jc w:val="center"/>
                    <w:rPr>
                      <w:sz w:val="21"/>
                      <w:szCs w:val="21"/>
                    </w:rPr>
                  </w:pPr>
                  <w:r>
                    <w:rPr>
                      <w:rFonts w:hint="eastAsia"/>
                      <w:sz w:val="21"/>
                      <w:szCs w:val="21"/>
                    </w:rPr>
                    <w:t>达标</w:t>
                  </w:r>
                </w:p>
              </w:tc>
              <w:tc>
                <w:tcPr>
                  <w:tcW w:w="602" w:type="dxa"/>
                  <w:vAlign w:val="center"/>
                </w:tcPr>
                <w:p>
                  <w:pPr>
                    <w:widowControl/>
                    <w:spacing w:line="320" w:lineRule="exact"/>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Align w:val="center"/>
                </w:tcPr>
                <w:p>
                  <w:pPr>
                    <w:widowControl/>
                    <w:spacing w:line="320" w:lineRule="exact"/>
                    <w:jc w:val="center"/>
                    <w:rPr>
                      <w:sz w:val="21"/>
                      <w:szCs w:val="21"/>
                    </w:rPr>
                  </w:pPr>
                  <w:r>
                    <w:rPr>
                      <w:rFonts w:hint="eastAsia"/>
                      <w:sz w:val="21"/>
                      <w:szCs w:val="21"/>
                    </w:rPr>
                    <w:t>2</w:t>
                  </w:r>
                </w:p>
              </w:tc>
              <w:tc>
                <w:tcPr>
                  <w:tcW w:w="824" w:type="dxa"/>
                  <w:vAlign w:val="center"/>
                </w:tcPr>
                <w:p>
                  <w:pPr>
                    <w:widowControl/>
                    <w:spacing w:line="320" w:lineRule="exact"/>
                    <w:jc w:val="center"/>
                    <w:rPr>
                      <w:sz w:val="21"/>
                      <w:szCs w:val="21"/>
                    </w:rPr>
                  </w:pPr>
                  <w:r>
                    <w:rPr>
                      <w:rFonts w:hint="eastAsia"/>
                      <w:sz w:val="21"/>
                      <w:szCs w:val="21"/>
                    </w:rPr>
                    <w:t>东厂界</w:t>
                  </w:r>
                </w:p>
              </w:tc>
              <w:tc>
                <w:tcPr>
                  <w:tcW w:w="597" w:type="dxa"/>
                  <w:vAlign w:val="center"/>
                </w:tcPr>
                <w:p>
                  <w:pPr>
                    <w:widowControl/>
                    <w:spacing w:line="320" w:lineRule="exact"/>
                    <w:jc w:val="center"/>
                    <w:rPr>
                      <w:sz w:val="21"/>
                      <w:szCs w:val="21"/>
                    </w:rPr>
                  </w:pPr>
                  <w:r>
                    <w:rPr>
                      <w:rFonts w:hint="eastAsia"/>
                      <w:sz w:val="21"/>
                      <w:szCs w:val="21"/>
                    </w:rPr>
                    <w:t>56</w:t>
                  </w:r>
                </w:p>
              </w:tc>
              <w:tc>
                <w:tcPr>
                  <w:tcW w:w="576" w:type="dxa"/>
                  <w:vAlign w:val="center"/>
                </w:tcPr>
                <w:p>
                  <w:pPr>
                    <w:widowControl/>
                    <w:spacing w:line="320" w:lineRule="exact"/>
                    <w:jc w:val="center"/>
                    <w:rPr>
                      <w:sz w:val="21"/>
                      <w:szCs w:val="21"/>
                    </w:rPr>
                  </w:pPr>
                  <w:r>
                    <w:rPr>
                      <w:rFonts w:hint="eastAsia"/>
                      <w:sz w:val="21"/>
                      <w:szCs w:val="21"/>
                    </w:rPr>
                    <w:t>43</w:t>
                  </w:r>
                </w:p>
              </w:tc>
              <w:tc>
                <w:tcPr>
                  <w:tcW w:w="689" w:type="dxa"/>
                  <w:vAlign w:val="center"/>
                </w:tcPr>
                <w:p>
                  <w:pPr>
                    <w:widowControl/>
                    <w:spacing w:line="320" w:lineRule="exact"/>
                    <w:jc w:val="center"/>
                    <w:rPr>
                      <w:sz w:val="21"/>
                      <w:szCs w:val="21"/>
                    </w:rPr>
                  </w:pPr>
                  <w:r>
                    <w:rPr>
                      <w:rFonts w:hint="eastAsia"/>
                      <w:sz w:val="21"/>
                      <w:szCs w:val="21"/>
                    </w:rPr>
                    <w:t>60</w:t>
                  </w:r>
                </w:p>
              </w:tc>
              <w:tc>
                <w:tcPr>
                  <w:tcW w:w="597" w:type="dxa"/>
                  <w:vAlign w:val="center"/>
                </w:tcPr>
                <w:p>
                  <w:pPr>
                    <w:widowControl/>
                    <w:spacing w:line="320" w:lineRule="exact"/>
                    <w:jc w:val="center"/>
                    <w:rPr>
                      <w:sz w:val="21"/>
                      <w:szCs w:val="21"/>
                    </w:rPr>
                  </w:pPr>
                  <w:r>
                    <w:rPr>
                      <w:rFonts w:hint="eastAsia"/>
                      <w:sz w:val="21"/>
                      <w:szCs w:val="21"/>
                    </w:rPr>
                    <w:t>50</w:t>
                  </w:r>
                </w:p>
              </w:tc>
              <w:tc>
                <w:tcPr>
                  <w:tcW w:w="731" w:type="dxa"/>
                  <w:vAlign w:val="center"/>
                </w:tcPr>
                <w:p>
                  <w:pPr>
                    <w:widowControl/>
                    <w:spacing w:line="320" w:lineRule="exact"/>
                    <w:jc w:val="center"/>
                    <w:rPr>
                      <w:sz w:val="21"/>
                      <w:szCs w:val="21"/>
                    </w:rPr>
                  </w:pPr>
                  <w:r>
                    <w:rPr>
                      <w:rFonts w:hint="eastAsia"/>
                      <w:sz w:val="21"/>
                      <w:szCs w:val="21"/>
                    </w:rPr>
                    <w:t>37.48</w:t>
                  </w:r>
                </w:p>
              </w:tc>
              <w:tc>
                <w:tcPr>
                  <w:tcW w:w="721" w:type="dxa"/>
                  <w:vAlign w:val="center"/>
                </w:tcPr>
                <w:p>
                  <w:pPr>
                    <w:widowControl/>
                    <w:spacing w:line="320" w:lineRule="exact"/>
                    <w:jc w:val="center"/>
                    <w:rPr>
                      <w:sz w:val="21"/>
                      <w:szCs w:val="21"/>
                    </w:rPr>
                  </w:pPr>
                  <w:r>
                    <w:rPr>
                      <w:rFonts w:hint="eastAsia"/>
                      <w:sz w:val="21"/>
                      <w:szCs w:val="21"/>
                    </w:rPr>
                    <w:t>37.48</w:t>
                  </w:r>
                </w:p>
              </w:tc>
              <w:tc>
                <w:tcPr>
                  <w:tcW w:w="689" w:type="dxa"/>
                  <w:vAlign w:val="center"/>
                </w:tcPr>
                <w:p>
                  <w:pPr>
                    <w:widowControl/>
                    <w:spacing w:line="320" w:lineRule="exact"/>
                    <w:jc w:val="center"/>
                    <w:rPr>
                      <w:sz w:val="21"/>
                      <w:szCs w:val="21"/>
                    </w:rPr>
                  </w:pPr>
                  <w:r>
                    <w:rPr>
                      <w:rFonts w:hint="eastAsia"/>
                      <w:sz w:val="21"/>
                      <w:szCs w:val="21"/>
                    </w:rPr>
                    <w:t>56.06</w:t>
                  </w:r>
                </w:p>
              </w:tc>
              <w:tc>
                <w:tcPr>
                  <w:tcW w:w="689" w:type="dxa"/>
                  <w:vAlign w:val="center"/>
                </w:tcPr>
                <w:p>
                  <w:pPr>
                    <w:widowControl/>
                    <w:spacing w:line="320" w:lineRule="exact"/>
                    <w:jc w:val="center"/>
                    <w:rPr>
                      <w:sz w:val="21"/>
                      <w:szCs w:val="21"/>
                    </w:rPr>
                  </w:pPr>
                  <w:r>
                    <w:rPr>
                      <w:rFonts w:hint="eastAsia"/>
                      <w:sz w:val="21"/>
                      <w:szCs w:val="21"/>
                    </w:rPr>
                    <w:t>44.07</w:t>
                  </w:r>
                </w:p>
              </w:tc>
              <w:tc>
                <w:tcPr>
                  <w:tcW w:w="598" w:type="dxa"/>
                  <w:vAlign w:val="center"/>
                </w:tcPr>
                <w:p>
                  <w:pPr>
                    <w:widowControl/>
                    <w:spacing w:line="320" w:lineRule="exact"/>
                    <w:jc w:val="center"/>
                    <w:rPr>
                      <w:sz w:val="21"/>
                      <w:szCs w:val="21"/>
                    </w:rPr>
                  </w:pPr>
                  <w:r>
                    <w:rPr>
                      <w:rFonts w:hint="eastAsia"/>
                      <w:sz w:val="21"/>
                      <w:szCs w:val="21"/>
                    </w:rPr>
                    <w:t>达标</w:t>
                  </w:r>
                </w:p>
              </w:tc>
              <w:tc>
                <w:tcPr>
                  <w:tcW w:w="602" w:type="dxa"/>
                  <w:vAlign w:val="center"/>
                </w:tcPr>
                <w:p>
                  <w:pPr>
                    <w:widowControl/>
                    <w:spacing w:line="320" w:lineRule="exact"/>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Align w:val="center"/>
                </w:tcPr>
                <w:p>
                  <w:pPr>
                    <w:widowControl/>
                    <w:spacing w:line="320" w:lineRule="exact"/>
                    <w:jc w:val="center"/>
                    <w:rPr>
                      <w:sz w:val="21"/>
                      <w:szCs w:val="21"/>
                    </w:rPr>
                  </w:pPr>
                  <w:r>
                    <w:rPr>
                      <w:rFonts w:hint="eastAsia"/>
                      <w:sz w:val="21"/>
                      <w:szCs w:val="21"/>
                    </w:rPr>
                    <w:t>3</w:t>
                  </w:r>
                </w:p>
              </w:tc>
              <w:tc>
                <w:tcPr>
                  <w:tcW w:w="824" w:type="dxa"/>
                  <w:vAlign w:val="center"/>
                </w:tcPr>
                <w:p>
                  <w:pPr>
                    <w:widowControl/>
                    <w:spacing w:line="320" w:lineRule="exact"/>
                    <w:jc w:val="center"/>
                    <w:rPr>
                      <w:sz w:val="21"/>
                      <w:szCs w:val="21"/>
                    </w:rPr>
                  </w:pPr>
                  <w:r>
                    <w:rPr>
                      <w:rFonts w:hint="eastAsia"/>
                      <w:sz w:val="21"/>
                      <w:szCs w:val="21"/>
                    </w:rPr>
                    <w:t>南厂界</w:t>
                  </w:r>
                </w:p>
              </w:tc>
              <w:tc>
                <w:tcPr>
                  <w:tcW w:w="597" w:type="dxa"/>
                  <w:vAlign w:val="center"/>
                </w:tcPr>
                <w:p>
                  <w:pPr>
                    <w:widowControl/>
                    <w:spacing w:line="320" w:lineRule="exact"/>
                    <w:jc w:val="center"/>
                    <w:rPr>
                      <w:sz w:val="21"/>
                      <w:szCs w:val="21"/>
                    </w:rPr>
                  </w:pPr>
                  <w:r>
                    <w:rPr>
                      <w:rFonts w:hint="eastAsia"/>
                      <w:sz w:val="21"/>
                      <w:szCs w:val="21"/>
                    </w:rPr>
                    <w:t>52</w:t>
                  </w:r>
                </w:p>
              </w:tc>
              <w:tc>
                <w:tcPr>
                  <w:tcW w:w="576" w:type="dxa"/>
                  <w:vAlign w:val="center"/>
                </w:tcPr>
                <w:p>
                  <w:pPr>
                    <w:widowControl/>
                    <w:spacing w:line="320" w:lineRule="exact"/>
                    <w:jc w:val="center"/>
                    <w:rPr>
                      <w:sz w:val="21"/>
                      <w:szCs w:val="21"/>
                    </w:rPr>
                  </w:pPr>
                  <w:r>
                    <w:rPr>
                      <w:rFonts w:hint="eastAsia"/>
                      <w:sz w:val="21"/>
                      <w:szCs w:val="21"/>
                    </w:rPr>
                    <w:t>43</w:t>
                  </w:r>
                </w:p>
              </w:tc>
              <w:tc>
                <w:tcPr>
                  <w:tcW w:w="689" w:type="dxa"/>
                  <w:vAlign w:val="center"/>
                </w:tcPr>
                <w:p>
                  <w:pPr>
                    <w:widowControl/>
                    <w:spacing w:line="320" w:lineRule="exact"/>
                    <w:jc w:val="center"/>
                    <w:rPr>
                      <w:sz w:val="21"/>
                      <w:szCs w:val="21"/>
                    </w:rPr>
                  </w:pPr>
                  <w:r>
                    <w:rPr>
                      <w:rFonts w:hint="eastAsia"/>
                      <w:sz w:val="21"/>
                      <w:szCs w:val="21"/>
                    </w:rPr>
                    <w:t>60</w:t>
                  </w:r>
                </w:p>
              </w:tc>
              <w:tc>
                <w:tcPr>
                  <w:tcW w:w="597" w:type="dxa"/>
                  <w:vAlign w:val="center"/>
                </w:tcPr>
                <w:p>
                  <w:pPr>
                    <w:widowControl/>
                    <w:spacing w:line="320" w:lineRule="exact"/>
                    <w:jc w:val="center"/>
                    <w:rPr>
                      <w:sz w:val="21"/>
                      <w:szCs w:val="21"/>
                    </w:rPr>
                  </w:pPr>
                  <w:r>
                    <w:rPr>
                      <w:rFonts w:hint="eastAsia"/>
                      <w:sz w:val="21"/>
                      <w:szCs w:val="21"/>
                    </w:rPr>
                    <w:t>50</w:t>
                  </w:r>
                </w:p>
              </w:tc>
              <w:tc>
                <w:tcPr>
                  <w:tcW w:w="731" w:type="dxa"/>
                  <w:vAlign w:val="center"/>
                </w:tcPr>
                <w:p>
                  <w:pPr>
                    <w:widowControl/>
                    <w:spacing w:line="320" w:lineRule="exact"/>
                    <w:jc w:val="center"/>
                    <w:rPr>
                      <w:sz w:val="21"/>
                      <w:szCs w:val="21"/>
                    </w:rPr>
                  </w:pPr>
                  <w:r>
                    <w:rPr>
                      <w:rFonts w:hint="eastAsia"/>
                      <w:sz w:val="21"/>
                      <w:szCs w:val="21"/>
                    </w:rPr>
                    <w:t>47.24</w:t>
                  </w:r>
                </w:p>
              </w:tc>
              <w:tc>
                <w:tcPr>
                  <w:tcW w:w="721" w:type="dxa"/>
                  <w:vAlign w:val="center"/>
                </w:tcPr>
                <w:p>
                  <w:pPr>
                    <w:widowControl/>
                    <w:spacing w:line="320" w:lineRule="exact"/>
                    <w:jc w:val="center"/>
                    <w:rPr>
                      <w:sz w:val="21"/>
                      <w:szCs w:val="21"/>
                    </w:rPr>
                  </w:pPr>
                  <w:r>
                    <w:rPr>
                      <w:rFonts w:hint="eastAsia"/>
                      <w:sz w:val="21"/>
                      <w:szCs w:val="21"/>
                    </w:rPr>
                    <w:t>47.24</w:t>
                  </w:r>
                </w:p>
              </w:tc>
              <w:tc>
                <w:tcPr>
                  <w:tcW w:w="689" w:type="dxa"/>
                  <w:vAlign w:val="center"/>
                </w:tcPr>
                <w:p>
                  <w:pPr>
                    <w:widowControl/>
                    <w:spacing w:line="320" w:lineRule="exact"/>
                    <w:jc w:val="center"/>
                    <w:rPr>
                      <w:sz w:val="21"/>
                      <w:szCs w:val="21"/>
                    </w:rPr>
                  </w:pPr>
                  <w:r>
                    <w:rPr>
                      <w:rFonts w:hint="eastAsia"/>
                      <w:sz w:val="21"/>
                      <w:szCs w:val="21"/>
                    </w:rPr>
                    <w:t>53.25</w:t>
                  </w:r>
                </w:p>
              </w:tc>
              <w:tc>
                <w:tcPr>
                  <w:tcW w:w="689" w:type="dxa"/>
                  <w:vAlign w:val="center"/>
                </w:tcPr>
                <w:p>
                  <w:pPr>
                    <w:widowControl/>
                    <w:spacing w:line="320" w:lineRule="exact"/>
                    <w:jc w:val="center"/>
                    <w:rPr>
                      <w:sz w:val="21"/>
                      <w:szCs w:val="21"/>
                    </w:rPr>
                  </w:pPr>
                  <w:r>
                    <w:rPr>
                      <w:rFonts w:hint="eastAsia"/>
                      <w:sz w:val="21"/>
                      <w:szCs w:val="21"/>
                    </w:rPr>
                    <w:t>48.63</w:t>
                  </w:r>
                </w:p>
              </w:tc>
              <w:tc>
                <w:tcPr>
                  <w:tcW w:w="598" w:type="dxa"/>
                  <w:vAlign w:val="center"/>
                </w:tcPr>
                <w:p>
                  <w:pPr>
                    <w:widowControl/>
                    <w:spacing w:line="320" w:lineRule="exact"/>
                    <w:jc w:val="center"/>
                    <w:rPr>
                      <w:sz w:val="21"/>
                      <w:szCs w:val="21"/>
                    </w:rPr>
                  </w:pPr>
                  <w:r>
                    <w:rPr>
                      <w:rFonts w:hint="eastAsia"/>
                      <w:sz w:val="21"/>
                      <w:szCs w:val="21"/>
                    </w:rPr>
                    <w:t>达标</w:t>
                  </w:r>
                </w:p>
              </w:tc>
              <w:tc>
                <w:tcPr>
                  <w:tcW w:w="602" w:type="dxa"/>
                  <w:vAlign w:val="center"/>
                </w:tcPr>
                <w:p>
                  <w:pPr>
                    <w:widowControl/>
                    <w:spacing w:line="320" w:lineRule="exact"/>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Align w:val="center"/>
                </w:tcPr>
                <w:p>
                  <w:pPr>
                    <w:widowControl/>
                    <w:spacing w:line="320" w:lineRule="exact"/>
                    <w:jc w:val="center"/>
                    <w:rPr>
                      <w:sz w:val="21"/>
                      <w:szCs w:val="21"/>
                    </w:rPr>
                  </w:pPr>
                  <w:r>
                    <w:rPr>
                      <w:rFonts w:hint="eastAsia"/>
                      <w:sz w:val="21"/>
                      <w:szCs w:val="21"/>
                    </w:rPr>
                    <w:t>4</w:t>
                  </w:r>
                </w:p>
              </w:tc>
              <w:tc>
                <w:tcPr>
                  <w:tcW w:w="824" w:type="dxa"/>
                  <w:vAlign w:val="center"/>
                </w:tcPr>
                <w:p>
                  <w:pPr>
                    <w:widowControl/>
                    <w:spacing w:line="320" w:lineRule="exact"/>
                    <w:jc w:val="center"/>
                    <w:rPr>
                      <w:sz w:val="21"/>
                      <w:szCs w:val="21"/>
                    </w:rPr>
                  </w:pPr>
                  <w:r>
                    <w:rPr>
                      <w:sz w:val="21"/>
                      <w:szCs w:val="21"/>
                    </w:rPr>
                    <w:t>滦 河新 区 B 区</w:t>
                  </w:r>
                </w:p>
              </w:tc>
              <w:tc>
                <w:tcPr>
                  <w:tcW w:w="597" w:type="dxa"/>
                  <w:vAlign w:val="center"/>
                </w:tcPr>
                <w:p>
                  <w:pPr>
                    <w:widowControl/>
                    <w:spacing w:line="320" w:lineRule="exact"/>
                    <w:jc w:val="center"/>
                    <w:rPr>
                      <w:sz w:val="21"/>
                      <w:szCs w:val="21"/>
                    </w:rPr>
                  </w:pPr>
                  <w:r>
                    <w:rPr>
                      <w:rFonts w:hint="eastAsia"/>
                      <w:sz w:val="21"/>
                      <w:szCs w:val="21"/>
                    </w:rPr>
                    <w:t>52</w:t>
                  </w:r>
                </w:p>
              </w:tc>
              <w:tc>
                <w:tcPr>
                  <w:tcW w:w="576" w:type="dxa"/>
                  <w:vAlign w:val="center"/>
                </w:tcPr>
                <w:p>
                  <w:pPr>
                    <w:widowControl/>
                    <w:spacing w:line="320" w:lineRule="exact"/>
                    <w:jc w:val="center"/>
                    <w:rPr>
                      <w:sz w:val="21"/>
                      <w:szCs w:val="21"/>
                    </w:rPr>
                  </w:pPr>
                  <w:r>
                    <w:rPr>
                      <w:rFonts w:hint="eastAsia"/>
                      <w:sz w:val="21"/>
                      <w:szCs w:val="21"/>
                    </w:rPr>
                    <w:t>40</w:t>
                  </w:r>
                </w:p>
              </w:tc>
              <w:tc>
                <w:tcPr>
                  <w:tcW w:w="689" w:type="dxa"/>
                  <w:vAlign w:val="center"/>
                </w:tcPr>
                <w:p>
                  <w:pPr>
                    <w:widowControl/>
                    <w:spacing w:line="320" w:lineRule="exact"/>
                    <w:jc w:val="center"/>
                    <w:rPr>
                      <w:sz w:val="21"/>
                      <w:szCs w:val="21"/>
                    </w:rPr>
                  </w:pPr>
                  <w:r>
                    <w:rPr>
                      <w:rFonts w:hint="eastAsia"/>
                      <w:sz w:val="21"/>
                      <w:szCs w:val="21"/>
                    </w:rPr>
                    <w:t>42.48</w:t>
                  </w:r>
                </w:p>
              </w:tc>
              <w:tc>
                <w:tcPr>
                  <w:tcW w:w="597" w:type="dxa"/>
                  <w:vAlign w:val="center"/>
                </w:tcPr>
                <w:p>
                  <w:pPr>
                    <w:widowControl/>
                    <w:spacing w:line="320" w:lineRule="exact"/>
                    <w:jc w:val="center"/>
                    <w:rPr>
                      <w:sz w:val="21"/>
                      <w:szCs w:val="21"/>
                    </w:rPr>
                  </w:pPr>
                  <w:r>
                    <w:rPr>
                      <w:rFonts w:hint="eastAsia"/>
                      <w:sz w:val="21"/>
                      <w:szCs w:val="21"/>
                    </w:rPr>
                    <w:t>45</w:t>
                  </w:r>
                </w:p>
              </w:tc>
              <w:tc>
                <w:tcPr>
                  <w:tcW w:w="731" w:type="dxa"/>
                  <w:vAlign w:val="center"/>
                </w:tcPr>
                <w:p>
                  <w:pPr>
                    <w:widowControl/>
                    <w:spacing w:line="320" w:lineRule="exact"/>
                    <w:jc w:val="center"/>
                    <w:rPr>
                      <w:sz w:val="21"/>
                      <w:szCs w:val="21"/>
                    </w:rPr>
                  </w:pPr>
                  <w:r>
                    <w:rPr>
                      <w:rFonts w:hint="eastAsia"/>
                      <w:sz w:val="21"/>
                      <w:szCs w:val="21"/>
                    </w:rPr>
                    <w:t>37.93</w:t>
                  </w:r>
                </w:p>
              </w:tc>
              <w:tc>
                <w:tcPr>
                  <w:tcW w:w="721" w:type="dxa"/>
                  <w:vAlign w:val="center"/>
                </w:tcPr>
                <w:p>
                  <w:pPr>
                    <w:widowControl/>
                    <w:spacing w:line="320" w:lineRule="exact"/>
                    <w:jc w:val="center"/>
                    <w:rPr>
                      <w:sz w:val="21"/>
                      <w:szCs w:val="21"/>
                    </w:rPr>
                  </w:pPr>
                  <w:r>
                    <w:rPr>
                      <w:rFonts w:hint="eastAsia"/>
                      <w:sz w:val="21"/>
                      <w:szCs w:val="21"/>
                    </w:rPr>
                    <w:t>42.48</w:t>
                  </w:r>
                </w:p>
              </w:tc>
              <w:tc>
                <w:tcPr>
                  <w:tcW w:w="689" w:type="dxa"/>
                  <w:vAlign w:val="center"/>
                </w:tcPr>
                <w:p>
                  <w:pPr>
                    <w:widowControl/>
                    <w:spacing w:line="320" w:lineRule="exact"/>
                    <w:jc w:val="center"/>
                    <w:rPr>
                      <w:sz w:val="21"/>
                      <w:szCs w:val="21"/>
                    </w:rPr>
                  </w:pPr>
                  <w:r>
                    <w:rPr>
                      <w:rFonts w:hint="eastAsia"/>
                      <w:sz w:val="21"/>
                      <w:szCs w:val="21"/>
                    </w:rPr>
                    <w:t>52.46</w:t>
                  </w:r>
                </w:p>
              </w:tc>
              <w:tc>
                <w:tcPr>
                  <w:tcW w:w="689" w:type="dxa"/>
                  <w:vAlign w:val="center"/>
                </w:tcPr>
                <w:p>
                  <w:pPr>
                    <w:widowControl/>
                    <w:spacing w:line="320" w:lineRule="exact"/>
                    <w:jc w:val="center"/>
                    <w:rPr>
                      <w:sz w:val="21"/>
                      <w:szCs w:val="21"/>
                    </w:rPr>
                  </w:pPr>
                  <w:r>
                    <w:rPr>
                      <w:rFonts w:hint="eastAsia"/>
                      <w:sz w:val="21"/>
                      <w:szCs w:val="21"/>
                    </w:rPr>
                    <w:t>44.43</w:t>
                  </w:r>
                </w:p>
              </w:tc>
              <w:tc>
                <w:tcPr>
                  <w:tcW w:w="598" w:type="dxa"/>
                  <w:vAlign w:val="center"/>
                </w:tcPr>
                <w:p>
                  <w:pPr>
                    <w:widowControl/>
                    <w:spacing w:line="320" w:lineRule="exact"/>
                    <w:jc w:val="center"/>
                    <w:rPr>
                      <w:sz w:val="21"/>
                      <w:szCs w:val="21"/>
                    </w:rPr>
                  </w:pPr>
                  <w:r>
                    <w:rPr>
                      <w:rFonts w:hint="eastAsia"/>
                      <w:sz w:val="21"/>
                      <w:szCs w:val="21"/>
                    </w:rPr>
                    <w:t>达标</w:t>
                  </w:r>
                </w:p>
              </w:tc>
              <w:tc>
                <w:tcPr>
                  <w:tcW w:w="602" w:type="dxa"/>
                  <w:vAlign w:val="center"/>
                </w:tcPr>
                <w:p>
                  <w:pPr>
                    <w:widowControl/>
                    <w:spacing w:line="320" w:lineRule="exact"/>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Align w:val="center"/>
                </w:tcPr>
                <w:p>
                  <w:pPr>
                    <w:widowControl/>
                    <w:spacing w:line="320" w:lineRule="exact"/>
                    <w:jc w:val="center"/>
                    <w:rPr>
                      <w:sz w:val="21"/>
                      <w:szCs w:val="21"/>
                    </w:rPr>
                  </w:pPr>
                  <w:r>
                    <w:rPr>
                      <w:rFonts w:hint="eastAsia"/>
                      <w:sz w:val="21"/>
                      <w:szCs w:val="21"/>
                    </w:rPr>
                    <w:t>5</w:t>
                  </w:r>
                </w:p>
              </w:tc>
              <w:tc>
                <w:tcPr>
                  <w:tcW w:w="824" w:type="dxa"/>
                  <w:vAlign w:val="center"/>
                </w:tcPr>
                <w:p>
                  <w:pPr>
                    <w:widowControl/>
                    <w:spacing w:line="320" w:lineRule="exact"/>
                    <w:jc w:val="center"/>
                    <w:rPr>
                      <w:sz w:val="21"/>
                      <w:szCs w:val="21"/>
                    </w:rPr>
                  </w:pPr>
                  <w:r>
                    <w:rPr>
                      <w:rFonts w:hint="eastAsia"/>
                      <w:sz w:val="21"/>
                      <w:szCs w:val="21"/>
                    </w:rPr>
                    <w:t>北厂界</w:t>
                  </w:r>
                </w:p>
              </w:tc>
              <w:tc>
                <w:tcPr>
                  <w:tcW w:w="597" w:type="dxa"/>
                  <w:vAlign w:val="center"/>
                </w:tcPr>
                <w:p>
                  <w:pPr>
                    <w:widowControl/>
                    <w:spacing w:line="320" w:lineRule="exact"/>
                    <w:jc w:val="center"/>
                    <w:rPr>
                      <w:sz w:val="21"/>
                      <w:szCs w:val="21"/>
                    </w:rPr>
                  </w:pPr>
                  <w:r>
                    <w:rPr>
                      <w:rFonts w:hint="eastAsia"/>
                      <w:sz w:val="21"/>
                      <w:szCs w:val="21"/>
                    </w:rPr>
                    <w:t>58</w:t>
                  </w:r>
                </w:p>
              </w:tc>
              <w:tc>
                <w:tcPr>
                  <w:tcW w:w="576" w:type="dxa"/>
                  <w:vAlign w:val="center"/>
                </w:tcPr>
                <w:p>
                  <w:pPr>
                    <w:widowControl/>
                    <w:spacing w:line="320" w:lineRule="exact"/>
                    <w:jc w:val="center"/>
                    <w:rPr>
                      <w:sz w:val="21"/>
                      <w:szCs w:val="21"/>
                    </w:rPr>
                  </w:pPr>
                  <w:r>
                    <w:rPr>
                      <w:rFonts w:hint="eastAsia"/>
                      <w:sz w:val="21"/>
                      <w:szCs w:val="21"/>
                    </w:rPr>
                    <w:t>47</w:t>
                  </w:r>
                </w:p>
              </w:tc>
              <w:tc>
                <w:tcPr>
                  <w:tcW w:w="689" w:type="dxa"/>
                  <w:vAlign w:val="center"/>
                </w:tcPr>
                <w:p>
                  <w:pPr>
                    <w:widowControl/>
                    <w:spacing w:line="320" w:lineRule="exact"/>
                    <w:jc w:val="center"/>
                    <w:rPr>
                      <w:sz w:val="21"/>
                      <w:szCs w:val="21"/>
                    </w:rPr>
                  </w:pPr>
                  <w:r>
                    <w:rPr>
                      <w:rFonts w:hint="eastAsia"/>
                      <w:sz w:val="21"/>
                      <w:szCs w:val="21"/>
                    </w:rPr>
                    <w:t>60</w:t>
                  </w:r>
                </w:p>
              </w:tc>
              <w:tc>
                <w:tcPr>
                  <w:tcW w:w="597" w:type="dxa"/>
                  <w:vAlign w:val="center"/>
                </w:tcPr>
                <w:p>
                  <w:pPr>
                    <w:widowControl/>
                    <w:spacing w:line="320" w:lineRule="exact"/>
                    <w:jc w:val="center"/>
                    <w:rPr>
                      <w:sz w:val="21"/>
                      <w:szCs w:val="21"/>
                    </w:rPr>
                  </w:pPr>
                  <w:r>
                    <w:rPr>
                      <w:rFonts w:hint="eastAsia"/>
                      <w:sz w:val="21"/>
                      <w:szCs w:val="21"/>
                    </w:rPr>
                    <w:t>50</w:t>
                  </w:r>
                </w:p>
              </w:tc>
              <w:tc>
                <w:tcPr>
                  <w:tcW w:w="731" w:type="dxa"/>
                  <w:vAlign w:val="center"/>
                </w:tcPr>
                <w:p>
                  <w:pPr>
                    <w:widowControl/>
                    <w:spacing w:line="320" w:lineRule="exact"/>
                    <w:jc w:val="center"/>
                    <w:rPr>
                      <w:sz w:val="21"/>
                      <w:szCs w:val="21"/>
                    </w:rPr>
                  </w:pPr>
                  <w:r>
                    <w:rPr>
                      <w:rFonts w:hint="eastAsia"/>
                      <w:sz w:val="21"/>
                      <w:szCs w:val="21"/>
                    </w:rPr>
                    <w:t>35.64</w:t>
                  </w:r>
                </w:p>
              </w:tc>
              <w:tc>
                <w:tcPr>
                  <w:tcW w:w="721" w:type="dxa"/>
                  <w:vAlign w:val="center"/>
                </w:tcPr>
                <w:p>
                  <w:pPr>
                    <w:widowControl/>
                    <w:spacing w:line="320" w:lineRule="exact"/>
                    <w:jc w:val="center"/>
                    <w:rPr>
                      <w:sz w:val="21"/>
                      <w:szCs w:val="21"/>
                    </w:rPr>
                  </w:pPr>
                  <w:r>
                    <w:rPr>
                      <w:rFonts w:hint="eastAsia"/>
                      <w:sz w:val="21"/>
                      <w:szCs w:val="21"/>
                    </w:rPr>
                    <w:t>35.64</w:t>
                  </w:r>
                </w:p>
              </w:tc>
              <w:tc>
                <w:tcPr>
                  <w:tcW w:w="689" w:type="dxa"/>
                  <w:vAlign w:val="center"/>
                </w:tcPr>
                <w:p>
                  <w:pPr>
                    <w:widowControl/>
                    <w:spacing w:line="320" w:lineRule="exact"/>
                    <w:jc w:val="center"/>
                    <w:rPr>
                      <w:sz w:val="21"/>
                      <w:szCs w:val="21"/>
                    </w:rPr>
                  </w:pPr>
                  <w:r>
                    <w:rPr>
                      <w:rFonts w:hint="eastAsia"/>
                      <w:sz w:val="21"/>
                      <w:szCs w:val="21"/>
                    </w:rPr>
                    <w:t>58.03</w:t>
                  </w:r>
                </w:p>
              </w:tc>
              <w:tc>
                <w:tcPr>
                  <w:tcW w:w="689" w:type="dxa"/>
                  <w:vAlign w:val="center"/>
                </w:tcPr>
                <w:p>
                  <w:pPr>
                    <w:widowControl/>
                    <w:spacing w:line="320" w:lineRule="exact"/>
                    <w:jc w:val="center"/>
                    <w:rPr>
                      <w:sz w:val="21"/>
                      <w:szCs w:val="21"/>
                    </w:rPr>
                  </w:pPr>
                  <w:r>
                    <w:rPr>
                      <w:rFonts w:hint="eastAsia"/>
                      <w:sz w:val="21"/>
                      <w:szCs w:val="21"/>
                    </w:rPr>
                    <w:t>47.31</w:t>
                  </w:r>
                </w:p>
              </w:tc>
              <w:tc>
                <w:tcPr>
                  <w:tcW w:w="598" w:type="dxa"/>
                  <w:vAlign w:val="center"/>
                </w:tcPr>
                <w:p>
                  <w:pPr>
                    <w:widowControl/>
                    <w:spacing w:line="320" w:lineRule="exact"/>
                    <w:jc w:val="center"/>
                    <w:rPr>
                      <w:sz w:val="21"/>
                      <w:szCs w:val="21"/>
                    </w:rPr>
                  </w:pPr>
                  <w:r>
                    <w:rPr>
                      <w:rFonts w:hint="eastAsia"/>
                      <w:sz w:val="21"/>
                      <w:szCs w:val="21"/>
                    </w:rPr>
                    <w:t>达标</w:t>
                  </w:r>
                </w:p>
              </w:tc>
              <w:tc>
                <w:tcPr>
                  <w:tcW w:w="602" w:type="dxa"/>
                  <w:vAlign w:val="center"/>
                </w:tcPr>
                <w:p>
                  <w:pPr>
                    <w:widowControl/>
                    <w:spacing w:line="320" w:lineRule="exact"/>
                    <w:jc w:val="center"/>
                    <w:rPr>
                      <w:sz w:val="21"/>
                      <w:szCs w:val="21"/>
                    </w:rPr>
                  </w:pPr>
                  <w:r>
                    <w:rPr>
                      <w:rFonts w:hint="eastAsia"/>
                      <w:sz w:val="21"/>
                      <w:szCs w:val="21"/>
                    </w:rPr>
                    <w:t>达标</w:t>
                  </w:r>
                </w:p>
              </w:tc>
            </w:tr>
          </w:tbl>
          <w:p>
            <w:pPr>
              <w:pStyle w:val="13"/>
              <w:spacing w:line="360" w:lineRule="auto"/>
              <w:ind w:left="0" w:leftChars="0" w:firstLine="420" w:firstLineChars="200"/>
              <w:rPr>
                <w:sz w:val="21"/>
                <w:szCs w:val="21"/>
              </w:rPr>
            </w:pPr>
            <w:r>
              <w:rPr>
                <w:sz w:val="21"/>
                <w:szCs w:val="21"/>
              </w:rPr>
              <w:t>根据上述预测结果，厂界噪声均能满足《工业企业厂界环境噪声排放标准》（GB12348-2008）2类标准</w:t>
            </w:r>
            <w:r>
              <w:rPr>
                <w:rFonts w:hint="eastAsia"/>
                <w:sz w:val="21"/>
                <w:szCs w:val="21"/>
              </w:rPr>
              <w:t>和4a类标准。</w:t>
            </w:r>
          </w:p>
          <w:p>
            <w:pPr>
              <w:pStyle w:val="13"/>
              <w:spacing w:line="360" w:lineRule="auto"/>
              <w:ind w:left="0" w:leftChars="0" w:firstLine="420" w:firstLineChars="200"/>
              <w:rPr>
                <w:sz w:val="21"/>
                <w:szCs w:val="21"/>
              </w:rPr>
            </w:pPr>
            <w:r>
              <w:rPr>
                <w:sz w:val="21"/>
                <w:szCs w:val="21"/>
              </w:rPr>
              <w:t>噪声排放标准、监测要求见下表所示：</w:t>
            </w:r>
          </w:p>
          <w:p>
            <w:pPr>
              <w:pStyle w:val="13"/>
              <w:ind w:left="0" w:leftChars="0"/>
              <w:jc w:val="center"/>
              <w:rPr>
                <w:b/>
                <w:bCs/>
                <w:sz w:val="21"/>
                <w:szCs w:val="21"/>
              </w:rPr>
            </w:pPr>
            <w:r>
              <w:rPr>
                <w:b/>
                <w:bCs/>
                <w:sz w:val="21"/>
                <w:szCs w:val="21"/>
              </w:rPr>
              <w:t>表</w:t>
            </w:r>
            <w:r>
              <w:rPr>
                <w:rFonts w:hint="eastAsia"/>
                <w:b/>
                <w:bCs/>
                <w:sz w:val="21"/>
                <w:szCs w:val="21"/>
              </w:rPr>
              <w:t>4-</w:t>
            </w:r>
            <w:r>
              <w:rPr>
                <w:rFonts w:hint="eastAsia"/>
                <w:b/>
                <w:bCs/>
                <w:sz w:val="21"/>
                <w:szCs w:val="21"/>
                <w:lang w:val="en-US" w:eastAsia="zh-CN"/>
              </w:rPr>
              <w:t>8</w:t>
            </w:r>
            <w:r>
              <w:rPr>
                <w:b/>
                <w:bCs/>
                <w:sz w:val="21"/>
                <w:szCs w:val="21"/>
              </w:rPr>
              <w:t xml:space="preserve"> 噪声排放标准、监测要求一览表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138"/>
              <w:gridCol w:w="1124"/>
              <w:gridCol w:w="1094"/>
              <w:gridCol w:w="3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pPr>
                    <w:pStyle w:val="13"/>
                    <w:spacing w:line="320" w:lineRule="exact"/>
                    <w:ind w:left="0" w:leftChars="0"/>
                    <w:jc w:val="center"/>
                    <w:rPr>
                      <w:b/>
                      <w:bCs/>
                      <w:sz w:val="21"/>
                      <w:szCs w:val="21"/>
                    </w:rPr>
                  </w:pPr>
                  <w:r>
                    <w:rPr>
                      <w:b/>
                      <w:bCs/>
                      <w:sz w:val="21"/>
                      <w:szCs w:val="21"/>
                    </w:rPr>
                    <w:t>排放源</w:t>
                  </w:r>
                </w:p>
              </w:tc>
              <w:tc>
                <w:tcPr>
                  <w:tcW w:w="721" w:type="pct"/>
                  <w:vAlign w:val="center"/>
                </w:tcPr>
                <w:p>
                  <w:pPr>
                    <w:pStyle w:val="13"/>
                    <w:spacing w:line="320" w:lineRule="exact"/>
                    <w:ind w:left="0" w:leftChars="0"/>
                    <w:jc w:val="center"/>
                    <w:rPr>
                      <w:b/>
                      <w:bCs/>
                      <w:sz w:val="21"/>
                      <w:szCs w:val="21"/>
                    </w:rPr>
                  </w:pPr>
                  <w:r>
                    <w:rPr>
                      <w:b/>
                      <w:bCs/>
                      <w:sz w:val="21"/>
                      <w:szCs w:val="21"/>
                    </w:rPr>
                    <w:t>监测点位</w:t>
                  </w:r>
                </w:p>
              </w:tc>
              <w:tc>
                <w:tcPr>
                  <w:tcW w:w="712" w:type="pct"/>
                  <w:vAlign w:val="center"/>
                </w:tcPr>
                <w:p>
                  <w:pPr>
                    <w:pStyle w:val="13"/>
                    <w:spacing w:line="320" w:lineRule="exact"/>
                    <w:ind w:left="0" w:leftChars="0"/>
                    <w:jc w:val="center"/>
                    <w:rPr>
                      <w:b/>
                      <w:bCs/>
                      <w:sz w:val="21"/>
                      <w:szCs w:val="21"/>
                    </w:rPr>
                  </w:pPr>
                  <w:r>
                    <w:rPr>
                      <w:b/>
                      <w:bCs/>
                      <w:sz w:val="21"/>
                      <w:szCs w:val="21"/>
                    </w:rPr>
                    <w:t>监测因子</w:t>
                  </w:r>
                </w:p>
              </w:tc>
              <w:tc>
                <w:tcPr>
                  <w:tcW w:w="693" w:type="pct"/>
                  <w:vAlign w:val="center"/>
                </w:tcPr>
                <w:p>
                  <w:pPr>
                    <w:pStyle w:val="13"/>
                    <w:spacing w:line="320" w:lineRule="exact"/>
                    <w:ind w:left="0" w:leftChars="0"/>
                    <w:jc w:val="center"/>
                    <w:rPr>
                      <w:b/>
                      <w:bCs/>
                      <w:sz w:val="21"/>
                      <w:szCs w:val="21"/>
                    </w:rPr>
                  </w:pPr>
                  <w:r>
                    <w:rPr>
                      <w:b/>
                      <w:bCs/>
                      <w:sz w:val="21"/>
                      <w:szCs w:val="21"/>
                    </w:rPr>
                    <w:t>监测时间</w:t>
                  </w:r>
                </w:p>
              </w:tc>
              <w:tc>
                <w:tcPr>
                  <w:tcW w:w="2137" w:type="pct"/>
                  <w:vAlign w:val="center"/>
                </w:tcPr>
                <w:p>
                  <w:pPr>
                    <w:pStyle w:val="13"/>
                    <w:spacing w:line="320" w:lineRule="exact"/>
                    <w:ind w:left="0" w:leftChars="0"/>
                    <w:jc w:val="center"/>
                    <w:rPr>
                      <w:b/>
                      <w:bCs/>
                      <w:sz w:val="21"/>
                      <w:szCs w:val="21"/>
                    </w:rPr>
                  </w:pPr>
                  <w:r>
                    <w:rPr>
                      <w:b/>
                      <w:bCs/>
                      <w:sz w:val="21"/>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Align w:val="center"/>
                </w:tcPr>
                <w:p>
                  <w:pPr>
                    <w:pStyle w:val="13"/>
                    <w:spacing w:line="320" w:lineRule="exact"/>
                    <w:ind w:left="0" w:leftChars="0"/>
                    <w:jc w:val="center"/>
                    <w:rPr>
                      <w:sz w:val="21"/>
                      <w:szCs w:val="21"/>
                    </w:rPr>
                  </w:pPr>
                  <w:r>
                    <w:rPr>
                      <w:sz w:val="21"/>
                      <w:szCs w:val="21"/>
                    </w:rPr>
                    <w:t>院界噪声</w:t>
                  </w:r>
                </w:p>
              </w:tc>
              <w:tc>
                <w:tcPr>
                  <w:tcW w:w="721" w:type="pct"/>
                  <w:vAlign w:val="center"/>
                </w:tcPr>
                <w:p>
                  <w:pPr>
                    <w:pStyle w:val="13"/>
                    <w:spacing w:line="320" w:lineRule="exact"/>
                    <w:ind w:left="0" w:leftChars="0"/>
                    <w:jc w:val="center"/>
                    <w:rPr>
                      <w:sz w:val="21"/>
                      <w:szCs w:val="21"/>
                    </w:rPr>
                  </w:pPr>
                  <w:r>
                    <w:rPr>
                      <w:sz w:val="21"/>
                      <w:szCs w:val="21"/>
                    </w:rPr>
                    <w:t>院界四周</w:t>
                  </w:r>
                </w:p>
              </w:tc>
              <w:tc>
                <w:tcPr>
                  <w:tcW w:w="712" w:type="pct"/>
                  <w:vAlign w:val="center"/>
                </w:tcPr>
                <w:p>
                  <w:pPr>
                    <w:pStyle w:val="13"/>
                    <w:spacing w:line="320" w:lineRule="exact"/>
                    <w:ind w:left="0" w:leftChars="0"/>
                    <w:jc w:val="center"/>
                    <w:rPr>
                      <w:sz w:val="21"/>
                      <w:szCs w:val="21"/>
                    </w:rPr>
                  </w:pPr>
                  <w:r>
                    <w:rPr>
                      <w:sz w:val="21"/>
                      <w:szCs w:val="21"/>
                    </w:rPr>
                    <w:t>LAeq</w:t>
                  </w:r>
                </w:p>
              </w:tc>
              <w:tc>
                <w:tcPr>
                  <w:tcW w:w="693" w:type="pct"/>
                  <w:vAlign w:val="center"/>
                </w:tcPr>
                <w:p>
                  <w:pPr>
                    <w:pStyle w:val="13"/>
                    <w:spacing w:line="320" w:lineRule="exact"/>
                    <w:ind w:left="0" w:leftChars="0"/>
                    <w:jc w:val="center"/>
                    <w:rPr>
                      <w:sz w:val="21"/>
                      <w:szCs w:val="21"/>
                    </w:rPr>
                  </w:pPr>
                  <w:r>
                    <w:rPr>
                      <w:sz w:val="21"/>
                      <w:szCs w:val="21"/>
                    </w:rPr>
                    <w:t>1次/季度</w:t>
                  </w:r>
                </w:p>
              </w:tc>
              <w:tc>
                <w:tcPr>
                  <w:tcW w:w="2137" w:type="pct"/>
                  <w:vAlign w:val="center"/>
                </w:tcPr>
                <w:p>
                  <w:pPr>
                    <w:pStyle w:val="13"/>
                    <w:spacing w:line="320" w:lineRule="exact"/>
                    <w:ind w:left="0" w:leftChars="0"/>
                    <w:jc w:val="center"/>
                    <w:rPr>
                      <w:sz w:val="21"/>
                      <w:szCs w:val="21"/>
                    </w:rPr>
                  </w:pPr>
                  <w:r>
                    <w:rPr>
                      <w:sz w:val="21"/>
                      <w:szCs w:val="21"/>
                    </w:rPr>
                    <w:t>南、西、</w:t>
                  </w:r>
                  <w:r>
                    <w:rPr>
                      <w:rFonts w:hint="eastAsia"/>
                      <w:sz w:val="21"/>
                      <w:szCs w:val="21"/>
                    </w:rPr>
                    <w:t>东</w:t>
                  </w:r>
                  <w:r>
                    <w:rPr>
                      <w:sz w:val="21"/>
                      <w:szCs w:val="21"/>
                    </w:rPr>
                    <w:t>侧院界执行《工业企业厂界环境噪声排放标准》（GB12348-2008）中2类标准，</w:t>
                  </w:r>
                  <w:r>
                    <w:rPr>
                      <w:rFonts w:hint="eastAsia"/>
                      <w:sz w:val="21"/>
                      <w:szCs w:val="21"/>
                    </w:rPr>
                    <w:t>北</w:t>
                  </w:r>
                  <w:r>
                    <w:rPr>
                      <w:sz w:val="21"/>
                      <w:szCs w:val="21"/>
                    </w:rPr>
                    <w:t>侧院界执行 4</w:t>
                  </w:r>
                  <w:r>
                    <w:rPr>
                      <w:rFonts w:hint="eastAsia"/>
                      <w:sz w:val="21"/>
                      <w:szCs w:val="21"/>
                    </w:rPr>
                    <w:t>a</w:t>
                  </w:r>
                  <w:r>
                    <w:rPr>
                      <w:sz w:val="21"/>
                      <w:szCs w:val="21"/>
                    </w:rPr>
                    <w:t xml:space="preserve"> 类标准</w:t>
                  </w:r>
                </w:p>
              </w:tc>
            </w:tr>
          </w:tbl>
          <w:p>
            <w:pPr>
              <w:pStyle w:val="13"/>
              <w:spacing w:line="360" w:lineRule="auto"/>
              <w:ind w:left="0" w:leftChars="0" w:firstLine="420" w:firstLineChars="200"/>
              <w:rPr>
                <w:sz w:val="21"/>
                <w:szCs w:val="21"/>
              </w:rPr>
            </w:pPr>
            <w:r>
              <w:rPr>
                <w:sz w:val="21"/>
                <w:szCs w:val="21"/>
              </w:rPr>
              <w:t>（2）噪声污染影响分析</w:t>
            </w:r>
          </w:p>
          <w:p>
            <w:pPr>
              <w:pStyle w:val="13"/>
              <w:spacing w:line="360" w:lineRule="auto"/>
              <w:ind w:left="0" w:leftChars="0" w:firstLine="420" w:firstLineChars="200"/>
              <w:rPr>
                <w:sz w:val="21"/>
                <w:szCs w:val="21"/>
              </w:rPr>
            </w:pPr>
            <w:r>
              <w:rPr>
                <w:sz w:val="21"/>
                <w:szCs w:val="21"/>
              </w:rPr>
              <w:t>根据分析，本项目本身为敏感点，且离最近</w:t>
            </w:r>
            <w:r>
              <w:rPr>
                <w:rFonts w:hint="eastAsia"/>
                <w:sz w:val="21"/>
                <w:szCs w:val="21"/>
              </w:rPr>
              <w:t>小区滦河新区B区</w:t>
            </w:r>
            <w:r>
              <w:rPr>
                <w:sz w:val="21"/>
                <w:szCs w:val="21"/>
              </w:rPr>
              <w:t>，为确保院内外有一个良好的声环境，项目拟采用室内布置设备、基础减振、消声等措施降低噪声影响，经采取有效措施后，预计</w:t>
            </w:r>
            <w:r>
              <w:rPr>
                <w:rFonts w:hint="eastAsia"/>
                <w:sz w:val="21"/>
                <w:szCs w:val="21"/>
              </w:rPr>
              <w:t>北</w:t>
            </w:r>
            <w:r>
              <w:rPr>
                <w:sz w:val="21"/>
                <w:szCs w:val="21"/>
              </w:rPr>
              <w:t>侧院界噪声排放能符合《工业企业厂界环境噪声排放标准》（GB12348-2008）中4a类标准要求，其余院界噪声均能符合《工业企业厂界环境噪声排放标准》（GB12348-2008）中2类标准要求，声环境保护目标也可维持原有声环境功能区要求。总体上，项目的正常运营预计不会对周围环境产生明显影响。</w:t>
            </w:r>
          </w:p>
          <w:p>
            <w:pPr>
              <w:pStyle w:val="13"/>
              <w:spacing w:line="360" w:lineRule="auto"/>
              <w:ind w:left="0" w:leftChars="0" w:firstLine="420" w:firstLineChars="200"/>
              <w:rPr>
                <w:sz w:val="21"/>
                <w:szCs w:val="21"/>
              </w:rPr>
            </w:pPr>
            <w:r>
              <w:rPr>
                <w:sz w:val="21"/>
                <w:szCs w:val="21"/>
              </w:rPr>
              <w:t>4、运营期固废</w:t>
            </w:r>
          </w:p>
          <w:p>
            <w:pPr>
              <w:spacing w:line="360" w:lineRule="auto"/>
              <w:ind w:firstLine="420" w:firstLineChars="200"/>
              <w:rPr>
                <w:rFonts w:hint="eastAsia"/>
                <w:b w:val="0"/>
                <w:bCs w:val="0"/>
                <w:sz w:val="21"/>
                <w:szCs w:val="21"/>
                <w:lang w:val="en-US" w:eastAsia="zh-CN"/>
              </w:rPr>
            </w:pPr>
            <w:r>
              <w:rPr>
                <w:rFonts w:hint="eastAsia"/>
                <w:b w:val="0"/>
                <w:bCs w:val="0"/>
                <w:sz w:val="21"/>
                <w:szCs w:val="21"/>
                <w:lang w:val="en-US" w:eastAsia="zh-CN"/>
              </w:rPr>
              <w:t>（1）固体废物产生环节、名称、属性、主要有毒有害物质名称、物理性状、环境危险特性、年度产生量、贮存方式、处置方式和去向、利用或处置量</w:t>
            </w:r>
          </w:p>
          <w:p>
            <w:pPr>
              <w:spacing w:line="360" w:lineRule="auto"/>
              <w:ind w:firstLine="420" w:firstLineChars="200"/>
              <w:rPr>
                <w:rFonts w:hint="default" w:eastAsia="宋体"/>
                <w:sz w:val="21"/>
                <w:szCs w:val="21"/>
                <w:lang w:val="en-US" w:eastAsia="zh-CN"/>
              </w:rPr>
            </w:pPr>
            <w:r>
              <w:rPr>
                <w:rFonts w:hint="eastAsia"/>
                <w:sz w:val="21"/>
                <w:szCs w:val="21"/>
                <w:lang w:val="en-US" w:eastAsia="zh-CN"/>
              </w:rPr>
              <w:t>本项目</w:t>
            </w:r>
            <w:r>
              <w:rPr>
                <w:rFonts w:hint="default" w:ascii="Times New Roman" w:hAnsi="Times New Roman" w:cs="Times New Roman"/>
                <w:color w:val="auto"/>
              </w:rPr>
              <w:t>生产运行阶段产生的固体废物包括</w:t>
            </w:r>
            <w:r>
              <w:rPr>
                <w:rFonts w:hint="eastAsia"/>
                <w:sz w:val="21"/>
                <w:szCs w:val="21"/>
              </w:rPr>
              <w:t>医疗废物</w:t>
            </w:r>
            <w:r>
              <w:rPr>
                <w:rFonts w:hint="eastAsia"/>
                <w:sz w:val="21"/>
                <w:szCs w:val="21"/>
                <w:lang w:eastAsia="zh-CN"/>
              </w:rPr>
              <w:t>、</w:t>
            </w:r>
            <w:r>
              <w:rPr>
                <w:rFonts w:hint="eastAsia"/>
                <w:sz w:val="21"/>
                <w:szCs w:val="21"/>
              </w:rPr>
              <w:t>污水处理站产生的栅渣和污泥</w:t>
            </w:r>
            <w:r>
              <w:rPr>
                <w:rFonts w:hint="eastAsia"/>
                <w:sz w:val="21"/>
                <w:szCs w:val="21"/>
                <w:lang w:val="en-US" w:eastAsia="zh-CN"/>
              </w:rPr>
              <w:t>及生活垃圾。</w:t>
            </w:r>
          </w:p>
          <w:p>
            <w:pPr>
              <w:spacing w:line="360" w:lineRule="auto"/>
              <w:ind w:firstLine="420" w:firstLineChars="200"/>
              <w:rPr>
                <w:rFonts w:ascii="Times New Roman" w:cs="Times New Roman"/>
                <w:color w:val="auto"/>
                <w:sz w:val="21"/>
                <w:szCs w:val="21"/>
              </w:rPr>
            </w:pPr>
            <w:r>
              <w:rPr>
                <w:rFonts w:ascii="Times New Roman" w:cs="Times New Roman"/>
                <w:color w:val="auto"/>
                <w:sz w:val="21"/>
                <w:szCs w:val="21"/>
              </w:rPr>
              <w:t>固体废物</w:t>
            </w:r>
            <w:r>
              <w:rPr>
                <w:rFonts w:hint="eastAsia" w:ascii="Times New Roman" w:cs="Times New Roman"/>
                <w:color w:val="auto"/>
                <w:sz w:val="21"/>
                <w:szCs w:val="21"/>
                <w:lang w:val="en-US" w:eastAsia="zh-CN"/>
              </w:rPr>
              <w:t>产生环节、名称、属性</w:t>
            </w:r>
            <w:r>
              <w:rPr>
                <w:rFonts w:ascii="Times New Roman" w:cs="Times New Roman"/>
                <w:color w:val="auto"/>
                <w:sz w:val="21"/>
                <w:szCs w:val="21"/>
              </w:rPr>
              <w:t>情况如下：</w:t>
            </w:r>
          </w:p>
          <w:p>
            <w:pPr>
              <w:pStyle w:val="23"/>
              <w:spacing w:line="240" w:lineRule="auto"/>
              <w:jc w:val="center"/>
              <w:rPr>
                <w:rFonts w:hint="eastAsia" w:ascii="Times New Roman" w:cs="Times New Roman"/>
                <w:color w:val="auto"/>
                <w:sz w:val="21"/>
                <w:szCs w:val="21"/>
              </w:rPr>
            </w:pPr>
            <w:r>
              <w:rPr>
                <w:rFonts w:ascii="Times New Roman" w:cs="Times New Roman"/>
                <w:b/>
                <w:bCs/>
                <w:color w:val="auto"/>
                <w:sz w:val="21"/>
                <w:szCs w:val="21"/>
              </w:rPr>
              <w:t>表4-</w:t>
            </w:r>
            <w:r>
              <w:rPr>
                <w:rFonts w:hint="eastAsia" w:ascii="Times New Roman" w:cs="Times New Roman"/>
                <w:b/>
                <w:bCs/>
                <w:color w:val="auto"/>
                <w:sz w:val="21"/>
                <w:szCs w:val="21"/>
                <w:lang w:val="en-US" w:eastAsia="zh-CN"/>
              </w:rPr>
              <w:t>9</w:t>
            </w:r>
            <w:r>
              <w:rPr>
                <w:rFonts w:ascii="Times New Roman" w:cs="Times New Roman"/>
                <w:b/>
                <w:bCs/>
                <w:color w:val="auto"/>
                <w:sz w:val="21"/>
                <w:szCs w:val="21"/>
              </w:rPr>
              <w:t>固废产生情况一览表</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666"/>
              <w:gridCol w:w="451"/>
              <w:gridCol w:w="1196"/>
              <w:gridCol w:w="835"/>
              <w:gridCol w:w="461"/>
              <w:gridCol w:w="570"/>
              <w:gridCol w:w="1004"/>
              <w:gridCol w:w="427"/>
              <w:gridCol w:w="637"/>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402" w:type="pct"/>
                  <w:tcBorders>
                    <w:tl2br w:val="nil"/>
                    <w:tr2bl w:val="nil"/>
                  </w:tcBorders>
                  <w:noWrap w:val="0"/>
                  <w:vAlign w:val="center"/>
                </w:tcPr>
                <w:p>
                  <w:pPr>
                    <w:bidi w:val="0"/>
                    <w:jc w:val="center"/>
                    <w:rPr>
                      <w:b/>
                      <w:bCs/>
                      <w:sz w:val="21"/>
                      <w:szCs w:val="21"/>
                    </w:rPr>
                  </w:pPr>
                  <w:r>
                    <w:rPr>
                      <w:b/>
                      <w:bCs/>
                      <w:sz w:val="21"/>
                      <w:szCs w:val="21"/>
                    </w:rPr>
                    <w:t>产生环节</w:t>
                  </w:r>
                </w:p>
              </w:tc>
              <w:tc>
                <w:tcPr>
                  <w:tcW w:w="491" w:type="pct"/>
                  <w:tcBorders>
                    <w:tl2br w:val="nil"/>
                    <w:tr2bl w:val="nil"/>
                  </w:tcBorders>
                  <w:noWrap w:val="0"/>
                  <w:vAlign w:val="center"/>
                </w:tcPr>
                <w:p>
                  <w:pPr>
                    <w:bidi w:val="0"/>
                    <w:jc w:val="center"/>
                    <w:rPr>
                      <w:b/>
                      <w:bCs/>
                      <w:sz w:val="21"/>
                      <w:szCs w:val="21"/>
                    </w:rPr>
                  </w:pPr>
                  <w:r>
                    <w:rPr>
                      <w:b/>
                      <w:bCs/>
                      <w:sz w:val="21"/>
                      <w:szCs w:val="21"/>
                    </w:rPr>
                    <w:t>名称</w:t>
                  </w:r>
                </w:p>
              </w:tc>
              <w:tc>
                <w:tcPr>
                  <w:tcW w:w="355" w:type="pct"/>
                  <w:tcBorders>
                    <w:tl2br w:val="nil"/>
                    <w:tr2bl w:val="nil"/>
                  </w:tcBorders>
                  <w:noWrap w:val="0"/>
                  <w:vAlign w:val="center"/>
                </w:tcPr>
                <w:p>
                  <w:pPr>
                    <w:bidi w:val="0"/>
                    <w:jc w:val="center"/>
                    <w:rPr>
                      <w:b/>
                      <w:bCs/>
                      <w:sz w:val="21"/>
                      <w:szCs w:val="21"/>
                    </w:rPr>
                  </w:pPr>
                  <w:r>
                    <w:rPr>
                      <w:b/>
                      <w:bCs/>
                      <w:sz w:val="21"/>
                      <w:szCs w:val="21"/>
                    </w:rPr>
                    <w:t>属性</w:t>
                  </w:r>
                </w:p>
              </w:tc>
              <w:tc>
                <w:tcPr>
                  <w:tcW w:w="757" w:type="pct"/>
                  <w:tcBorders>
                    <w:tl2br w:val="nil"/>
                    <w:tr2bl w:val="nil"/>
                  </w:tcBorders>
                  <w:noWrap w:val="0"/>
                  <w:vAlign w:val="center"/>
                </w:tcPr>
                <w:p>
                  <w:pPr>
                    <w:bidi w:val="0"/>
                    <w:jc w:val="center"/>
                    <w:rPr>
                      <w:b/>
                      <w:bCs/>
                      <w:sz w:val="21"/>
                      <w:szCs w:val="21"/>
                    </w:rPr>
                  </w:pPr>
                  <w:r>
                    <w:rPr>
                      <w:b/>
                      <w:bCs/>
                      <w:sz w:val="21"/>
                      <w:szCs w:val="21"/>
                    </w:rPr>
                    <w:t>编码</w:t>
                  </w:r>
                </w:p>
              </w:tc>
              <w:tc>
                <w:tcPr>
                  <w:tcW w:w="651" w:type="pct"/>
                  <w:tcBorders>
                    <w:tl2br w:val="nil"/>
                    <w:tr2bl w:val="nil"/>
                  </w:tcBorders>
                  <w:noWrap w:val="0"/>
                  <w:vAlign w:val="center"/>
                </w:tcPr>
                <w:p>
                  <w:pPr>
                    <w:bidi w:val="0"/>
                    <w:jc w:val="center"/>
                    <w:rPr>
                      <w:b/>
                      <w:bCs/>
                      <w:sz w:val="21"/>
                      <w:szCs w:val="21"/>
                    </w:rPr>
                  </w:pPr>
                  <w:r>
                    <w:rPr>
                      <w:b/>
                      <w:bCs/>
                      <w:sz w:val="21"/>
                      <w:szCs w:val="21"/>
                    </w:rPr>
                    <w:t>主要有毒有害物质名称</w:t>
                  </w:r>
                </w:p>
              </w:tc>
              <w:tc>
                <w:tcPr>
                  <w:tcW w:w="361" w:type="pct"/>
                  <w:tcBorders>
                    <w:tl2br w:val="nil"/>
                    <w:tr2bl w:val="nil"/>
                  </w:tcBorders>
                  <w:noWrap w:val="0"/>
                  <w:vAlign w:val="center"/>
                </w:tcPr>
                <w:p>
                  <w:pPr>
                    <w:bidi w:val="0"/>
                    <w:jc w:val="center"/>
                    <w:rPr>
                      <w:b/>
                      <w:bCs/>
                      <w:sz w:val="21"/>
                      <w:szCs w:val="21"/>
                    </w:rPr>
                  </w:pPr>
                  <w:r>
                    <w:rPr>
                      <w:b/>
                      <w:bCs/>
                      <w:sz w:val="21"/>
                      <w:szCs w:val="21"/>
                    </w:rPr>
                    <w:t>物理性状</w:t>
                  </w:r>
                </w:p>
              </w:tc>
              <w:tc>
                <w:tcPr>
                  <w:tcW w:w="430" w:type="pct"/>
                  <w:tcBorders>
                    <w:tl2br w:val="nil"/>
                    <w:tr2bl w:val="nil"/>
                  </w:tcBorders>
                  <w:noWrap w:val="0"/>
                  <w:vAlign w:val="center"/>
                </w:tcPr>
                <w:p>
                  <w:pPr>
                    <w:bidi w:val="0"/>
                    <w:jc w:val="center"/>
                    <w:rPr>
                      <w:b/>
                      <w:bCs/>
                      <w:sz w:val="21"/>
                      <w:szCs w:val="21"/>
                    </w:rPr>
                  </w:pPr>
                  <w:r>
                    <w:rPr>
                      <w:b/>
                      <w:bCs/>
                      <w:sz w:val="21"/>
                      <w:szCs w:val="21"/>
                    </w:rPr>
                    <w:t>环境危险特性</w:t>
                  </w:r>
                </w:p>
              </w:tc>
              <w:tc>
                <w:tcPr>
                  <w:tcW w:w="404" w:type="pct"/>
                  <w:tcBorders>
                    <w:tl2br w:val="nil"/>
                    <w:tr2bl w:val="nil"/>
                  </w:tcBorders>
                  <w:noWrap w:val="0"/>
                  <w:vAlign w:val="center"/>
                </w:tcPr>
                <w:p>
                  <w:pPr>
                    <w:bidi w:val="0"/>
                    <w:jc w:val="center"/>
                    <w:rPr>
                      <w:rFonts w:hint="default"/>
                      <w:b/>
                      <w:bCs/>
                      <w:sz w:val="21"/>
                      <w:szCs w:val="21"/>
                      <w:lang w:val="en-US" w:eastAsia="zh-CN"/>
                    </w:rPr>
                  </w:pPr>
                  <w:r>
                    <w:rPr>
                      <w:b/>
                      <w:bCs/>
                      <w:sz w:val="21"/>
                      <w:szCs w:val="21"/>
                    </w:rPr>
                    <w:t>年度产生量</w:t>
                  </w:r>
                  <w:r>
                    <w:rPr>
                      <w:rFonts w:hint="eastAsia"/>
                      <w:b/>
                      <w:bCs/>
                      <w:sz w:val="21"/>
                      <w:szCs w:val="21"/>
                      <w:lang w:val="en-US" w:eastAsia="zh-CN"/>
                    </w:rPr>
                    <w:t>t/a</w:t>
                  </w:r>
                </w:p>
              </w:tc>
              <w:tc>
                <w:tcPr>
                  <w:tcW w:w="300" w:type="pct"/>
                  <w:tcBorders>
                    <w:tl2br w:val="nil"/>
                    <w:tr2bl w:val="nil"/>
                  </w:tcBorders>
                  <w:noWrap w:val="0"/>
                  <w:vAlign w:val="center"/>
                </w:tcPr>
                <w:p>
                  <w:pPr>
                    <w:bidi w:val="0"/>
                    <w:jc w:val="center"/>
                    <w:rPr>
                      <w:b/>
                      <w:bCs/>
                      <w:sz w:val="21"/>
                      <w:szCs w:val="21"/>
                    </w:rPr>
                  </w:pPr>
                  <w:r>
                    <w:rPr>
                      <w:b/>
                      <w:bCs/>
                      <w:sz w:val="21"/>
                      <w:szCs w:val="21"/>
                    </w:rPr>
                    <w:t>贮存方式</w:t>
                  </w:r>
                </w:p>
              </w:tc>
              <w:tc>
                <w:tcPr>
                  <w:tcW w:w="404" w:type="pct"/>
                  <w:tcBorders>
                    <w:tl2br w:val="nil"/>
                    <w:tr2bl w:val="nil"/>
                  </w:tcBorders>
                  <w:noWrap w:val="0"/>
                  <w:vAlign w:val="center"/>
                </w:tcPr>
                <w:p>
                  <w:pPr>
                    <w:bidi w:val="0"/>
                    <w:jc w:val="center"/>
                    <w:rPr>
                      <w:b/>
                      <w:bCs/>
                      <w:sz w:val="21"/>
                      <w:szCs w:val="21"/>
                    </w:rPr>
                  </w:pPr>
                  <w:r>
                    <w:rPr>
                      <w:b/>
                      <w:bCs/>
                      <w:sz w:val="21"/>
                      <w:szCs w:val="21"/>
                    </w:rPr>
                    <w:t>处置方式及去向</w:t>
                  </w:r>
                </w:p>
              </w:tc>
              <w:tc>
                <w:tcPr>
                  <w:tcW w:w="440" w:type="pct"/>
                  <w:tcBorders>
                    <w:tl2br w:val="nil"/>
                    <w:tr2bl w:val="nil"/>
                  </w:tcBorders>
                  <w:noWrap w:val="0"/>
                  <w:vAlign w:val="center"/>
                </w:tcPr>
                <w:p>
                  <w:pPr>
                    <w:bidi w:val="0"/>
                    <w:jc w:val="center"/>
                    <w:rPr>
                      <w:rFonts w:hint="default"/>
                      <w:b/>
                      <w:bCs/>
                      <w:sz w:val="21"/>
                      <w:szCs w:val="21"/>
                      <w:lang w:val="en-US" w:eastAsia="zh-CN"/>
                    </w:rPr>
                  </w:pPr>
                  <w:r>
                    <w:rPr>
                      <w:rFonts w:hint="eastAsia"/>
                      <w:b/>
                      <w:bCs/>
                      <w:sz w:val="21"/>
                      <w:szCs w:val="21"/>
                      <w:lang w:val="en-US" w:eastAsia="zh-CN"/>
                    </w:rPr>
                    <w:t>利</w:t>
                  </w:r>
                  <w:r>
                    <w:rPr>
                      <w:b/>
                      <w:bCs/>
                      <w:sz w:val="21"/>
                      <w:szCs w:val="21"/>
                    </w:rPr>
                    <w:t>用或处置量</w:t>
                  </w:r>
                  <w:r>
                    <w:rPr>
                      <w:rFonts w:hint="eastAsia"/>
                      <w:b/>
                      <w:bCs/>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402" w:type="pct"/>
                  <w:vMerge w:val="restart"/>
                  <w:tcBorders>
                    <w:tl2br w:val="nil"/>
                    <w:tr2bl w:val="nil"/>
                  </w:tcBorders>
                  <w:noWrap w:val="0"/>
                  <w:vAlign w:val="center"/>
                </w:tcPr>
                <w:p>
                  <w:pPr>
                    <w:bidi w:val="0"/>
                    <w:jc w:val="center"/>
                    <w:rPr>
                      <w:rFonts w:hint="default"/>
                      <w:sz w:val="21"/>
                      <w:szCs w:val="21"/>
                      <w:lang w:val="en-US" w:eastAsia="zh-CN"/>
                    </w:rPr>
                  </w:pPr>
                  <w:r>
                    <w:rPr>
                      <w:rFonts w:hint="eastAsia"/>
                      <w:sz w:val="21"/>
                      <w:szCs w:val="21"/>
                      <w:lang w:val="en-US" w:eastAsia="zh-CN"/>
                    </w:rPr>
                    <w:t>医疗过程</w:t>
                  </w:r>
                </w:p>
              </w:tc>
              <w:tc>
                <w:tcPr>
                  <w:tcW w:w="491" w:type="pct"/>
                  <w:vMerge w:val="restart"/>
                  <w:tcBorders>
                    <w:tl2br w:val="nil"/>
                    <w:tr2bl w:val="nil"/>
                  </w:tcBorders>
                  <w:noWrap w:val="0"/>
                  <w:vAlign w:val="center"/>
                </w:tcPr>
                <w:p>
                  <w:pPr>
                    <w:bidi w:val="0"/>
                    <w:jc w:val="center"/>
                    <w:rPr>
                      <w:rFonts w:hint="default"/>
                      <w:sz w:val="21"/>
                      <w:szCs w:val="21"/>
                      <w:lang w:val="en-US" w:eastAsia="zh-CN"/>
                    </w:rPr>
                  </w:pPr>
                  <w:r>
                    <w:rPr>
                      <w:rFonts w:hint="eastAsia"/>
                      <w:sz w:val="21"/>
                      <w:szCs w:val="21"/>
                      <w:lang w:val="en-US" w:eastAsia="zh-CN"/>
                    </w:rPr>
                    <w:t>医疗废物</w:t>
                  </w:r>
                </w:p>
              </w:tc>
              <w:tc>
                <w:tcPr>
                  <w:tcW w:w="355" w:type="pct"/>
                  <w:vMerge w:val="restart"/>
                  <w:tcBorders>
                    <w:tl2br w:val="nil"/>
                    <w:tr2bl w:val="nil"/>
                  </w:tcBorders>
                  <w:noWrap w:val="0"/>
                  <w:vAlign w:val="center"/>
                </w:tcPr>
                <w:p>
                  <w:pPr>
                    <w:bidi w:val="0"/>
                    <w:jc w:val="center"/>
                    <w:rPr>
                      <w:rFonts w:hint="eastAsia"/>
                      <w:sz w:val="21"/>
                      <w:szCs w:val="21"/>
                      <w:lang w:val="en-US" w:eastAsia="zh-CN"/>
                    </w:rPr>
                  </w:pPr>
                  <w:r>
                    <w:rPr>
                      <w:rFonts w:hint="eastAsia"/>
                      <w:sz w:val="21"/>
                      <w:szCs w:val="21"/>
                      <w:lang w:val="en-US" w:eastAsia="zh-CN"/>
                    </w:rPr>
                    <w:t>危险废物</w:t>
                  </w:r>
                </w:p>
              </w:tc>
              <w:tc>
                <w:tcPr>
                  <w:tcW w:w="757" w:type="pct"/>
                  <w:tcBorders>
                    <w:tl2br w:val="nil"/>
                    <w:tr2bl w:val="nil"/>
                  </w:tcBorders>
                  <w:noWrap w:val="0"/>
                  <w:vAlign w:val="center"/>
                </w:tcPr>
                <w:p>
                  <w:pPr>
                    <w:bidi w:val="0"/>
                    <w:jc w:val="center"/>
                    <w:rPr>
                      <w:rFonts w:hint="default"/>
                      <w:sz w:val="21"/>
                      <w:szCs w:val="21"/>
                      <w:lang w:val="en-US" w:eastAsia="zh-CN"/>
                    </w:rPr>
                  </w:pPr>
                  <w:r>
                    <w:rPr>
                      <w:rFonts w:hint="default"/>
                      <w:sz w:val="21"/>
                      <w:szCs w:val="21"/>
                    </w:rPr>
                    <w:t>841-001-01</w:t>
                  </w:r>
                </w:p>
              </w:tc>
              <w:tc>
                <w:tcPr>
                  <w:tcW w:w="651" w:type="pct"/>
                  <w:vMerge w:val="restart"/>
                  <w:tcBorders>
                    <w:tl2br w:val="nil"/>
                    <w:tr2bl w:val="nil"/>
                  </w:tcBorders>
                  <w:noWrap w:val="0"/>
                  <w:vAlign w:val="center"/>
                </w:tcPr>
                <w:p>
                  <w:pPr>
                    <w:bidi w:val="0"/>
                    <w:jc w:val="center"/>
                    <w:rPr>
                      <w:rFonts w:hint="default"/>
                      <w:sz w:val="21"/>
                      <w:szCs w:val="21"/>
                      <w:lang w:val="en-US" w:eastAsia="zh-CN"/>
                    </w:rPr>
                  </w:pPr>
                  <w:r>
                    <w:rPr>
                      <w:rFonts w:hint="default"/>
                      <w:sz w:val="21"/>
                      <w:szCs w:val="21"/>
                    </w:rPr>
                    <w:t>感染性废物</w:t>
                  </w:r>
                </w:p>
                <w:p>
                  <w:pPr>
                    <w:bidi w:val="0"/>
                    <w:jc w:val="center"/>
                    <w:rPr>
                      <w:sz w:val="21"/>
                      <w:szCs w:val="21"/>
                    </w:rPr>
                  </w:pPr>
                </w:p>
              </w:tc>
              <w:tc>
                <w:tcPr>
                  <w:tcW w:w="361" w:type="pct"/>
                  <w:vMerge w:val="restart"/>
                  <w:tcBorders>
                    <w:tl2br w:val="nil"/>
                    <w:tr2bl w:val="nil"/>
                  </w:tcBorders>
                  <w:noWrap w:val="0"/>
                  <w:vAlign w:val="center"/>
                </w:tcPr>
                <w:p>
                  <w:pPr>
                    <w:bidi w:val="0"/>
                    <w:jc w:val="center"/>
                    <w:rPr>
                      <w:rFonts w:hint="eastAsia"/>
                      <w:sz w:val="21"/>
                      <w:szCs w:val="21"/>
                      <w:lang w:val="en-US" w:eastAsia="zh-CN"/>
                    </w:rPr>
                  </w:pPr>
                  <w:r>
                    <w:rPr>
                      <w:rFonts w:hint="eastAsia"/>
                      <w:sz w:val="21"/>
                      <w:szCs w:val="21"/>
                      <w:lang w:val="en-US" w:eastAsia="zh-CN"/>
                    </w:rPr>
                    <w:t>固态</w:t>
                  </w:r>
                </w:p>
              </w:tc>
              <w:tc>
                <w:tcPr>
                  <w:tcW w:w="430" w:type="pct"/>
                  <w:vMerge w:val="restart"/>
                  <w:tcBorders>
                    <w:tl2br w:val="nil"/>
                    <w:tr2bl w:val="nil"/>
                  </w:tcBorders>
                  <w:noWrap w:val="0"/>
                  <w:vAlign w:val="center"/>
                </w:tcPr>
                <w:p>
                  <w:pPr>
                    <w:bidi w:val="0"/>
                    <w:jc w:val="center"/>
                    <w:rPr>
                      <w:rFonts w:hint="eastAsia"/>
                      <w:sz w:val="21"/>
                      <w:szCs w:val="21"/>
                      <w:lang w:val="en-US" w:eastAsia="zh-CN"/>
                    </w:rPr>
                  </w:pPr>
                  <w:r>
                    <w:rPr>
                      <w:rFonts w:hint="eastAsia"/>
                      <w:sz w:val="21"/>
                      <w:szCs w:val="21"/>
                      <w:lang w:val="en-US" w:eastAsia="zh-CN"/>
                    </w:rPr>
                    <w:t>/</w:t>
                  </w:r>
                </w:p>
              </w:tc>
              <w:tc>
                <w:tcPr>
                  <w:tcW w:w="404" w:type="pct"/>
                  <w:vMerge w:val="restart"/>
                  <w:tcBorders>
                    <w:tl2br w:val="nil"/>
                    <w:tr2bl w:val="nil"/>
                  </w:tcBorders>
                  <w:noWrap w:val="0"/>
                  <w:vAlign w:val="center"/>
                </w:tcPr>
                <w:p>
                  <w:pPr>
                    <w:bidi w:val="0"/>
                    <w:jc w:val="center"/>
                    <w:rPr>
                      <w:sz w:val="21"/>
                      <w:szCs w:val="21"/>
                    </w:rPr>
                  </w:pPr>
                  <w:r>
                    <w:rPr>
                      <w:rFonts w:hint="default"/>
                      <w:sz w:val="21"/>
                      <w:szCs w:val="21"/>
                    </w:rPr>
                    <w:t>22.995</w:t>
                  </w:r>
                </w:p>
              </w:tc>
              <w:tc>
                <w:tcPr>
                  <w:tcW w:w="300" w:type="pct"/>
                  <w:vMerge w:val="restart"/>
                  <w:tcBorders>
                    <w:tl2br w:val="nil"/>
                    <w:tr2bl w:val="nil"/>
                  </w:tcBorders>
                  <w:noWrap w:val="0"/>
                  <w:vAlign w:val="center"/>
                </w:tcPr>
                <w:p>
                  <w:pPr>
                    <w:bidi w:val="0"/>
                    <w:jc w:val="center"/>
                    <w:rPr>
                      <w:rFonts w:hint="eastAsia"/>
                      <w:sz w:val="21"/>
                      <w:szCs w:val="21"/>
                      <w:lang w:val="en-US" w:eastAsia="zh-CN"/>
                    </w:rPr>
                  </w:pPr>
                  <w:r>
                    <w:rPr>
                      <w:rFonts w:hint="eastAsia"/>
                      <w:sz w:val="21"/>
                      <w:szCs w:val="21"/>
                      <w:lang w:val="en-US" w:eastAsia="zh-CN"/>
                    </w:rPr>
                    <w:t>危废间</w:t>
                  </w:r>
                </w:p>
              </w:tc>
              <w:tc>
                <w:tcPr>
                  <w:tcW w:w="404" w:type="pct"/>
                  <w:vMerge w:val="restart"/>
                  <w:tcBorders>
                    <w:tl2br w:val="nil"/>
                    <w:tr2bl w:val="nil"/>
                  </w:tcBorders>
                  <w:noWrap w:val="0"/>
                  <w:vAlign w:val="center"/>
                </w:tcPr>
                <w:p>
                  <w:pPr>
                    <w:bidi w:val="0"/>
                    <w:jc w:val="center"/>
                    <w:rPr>
                      <w:rFonts w:hint="default"/>
                      <w:sz w:val="21"/>
                      <w:szCs w:val="21"/>
                    </w:rPr>
                  </w:pPr>
                  <w:r>
                    <w:rPr>
                      <w:rFonts w:hint="default"/>
                      <w:sz w:val="21"/>
                      <w:szCs w:val="21"/>
                    </w:rPr>
                    <w:t>委托</w:t>
                  </w:r>
                  <w:r>
                    <w:rPr>
                      <w:rFonts w:hint="default"/>
                      <w:sz w:val="21"/>
                      <w:szCs w:val="21"/>
                      <w:lang w:val="en-US" w:eastAsia="zh-CN"/>
                    </w:rPr>
                    <w:t>承德嘉恒医疗废弃物处置有限公司</w:t>
                  </w:r>
                  <w:r>
                    <w:rPr>
                      <w:rFonts w:hint="default"/>
                      <w:sz w:val="21"/>
                      <w:szCs w:val="21"/>
                    </w:rPr>
                    <w:t>处理。</w:t>
                  </w:r>
                </w:p>
                <w:p>
                  <w:pPr>
                    <w:bidi w:val="0"/>
                    <w:jc w:val="center"/>
                    <w:rPr>
                      <w:sz w:val="21"/>
                      <w:szCs w:val="21"/>
                    </w:rPr>
                  </w:pPr>
                </w:p>
              </w:tc>
              <w:tc>
                <w:tcPr>
                  <w:tcW w:w="440" w:type="pct"/>
                  <w:vMerge w:val="restart"/>
                  <w:tcBorders>
                    <w:tl2br w:val="nil"/>
                    <w:tr2bl w:val="nil"/>
                  </w:tcBorders>
                  <w:noWrap w:val="0"/>
                  <w:vAlign w:val="center"/>
                </w:tcPr>
                <w:p>
                  <w:pPr>
                    <w:bidi w:val="0"/>
                    <w:jc w:val="center"/>
                    <w:rPr>
                      <w:rFonts w:hint="eastAsia"/>
                      <w:sz w:val="21"/>
                      <w:szCs w:val="21"/>
                      <w:lang w:val="en-US" w:eastAsia="zh-CN"/>
                    </w:rPr>
                  </w:pPr>
                  <w:r>
                    <w:rPr>
                      <w:rFonts w:hint="default"/>
                      <w:sz w:val="21"/>
                      <w:szCs w:val="21"/>
                    </w:rPr>
                    <w:t>22.995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02" w:type="pct"/>
                  <w:vMerge w:val="continue"/>
                  <w:tcBorders>
                    <w:tl2br w:val="nil"/>
                    <w:tr2bl w:val="nil"/>
                  </w:tcBorders>
                  <w:noWrap w:val="0"/>
                  <w:vAlign w:val="center"/>
                </w:tcPr>
                <w:p>
                  <w:pPr>
                    <w:bidi w:val="0"/>
                    <w:jc w:val="center"/>
                    <w:rPr>
                      <w:sz w:val="21"/>
                      <w:szCs w:val="21"/>
                    </w:rPr>
                  </w:pPr>
                </w:p>
              </w:tc>
              <w:tc>
                <w:tcPr>
                  <w:tcW w:w="491" w:type="pct"/>
                  <w:vMerge w:val="continue"/>
                  <w:tcBorders>
                    <w:tl2br w:val="nil"/>
                    <w:tr2bl w:val="nil"/>
                  </w:tcBorders>
                  <w:noWrap w:val="0"/>
                  <w:vAlign w:val="center"/>
                </w:tcPr>
                <w:p>
                  <w:pPr>
                    <w:bidi w:val="0"/>
                    <w:jc w:val="center"/>
                    <w:rPr>
                      <w:sz w:val="21"/>
                      <w:szCs w:val="21"/>
                    </w:rPr>
                  </w:pPr>
                </w:p>
              </w:tc>
              <w:tc>
                <w:tcPr>
                  <w:tcW w:w="355" w:type="pct"/>
                  <w:vMerge w:val="continue"/>
                  <w:tcBorders>
                    <w:tl2br w:val="nil"/>
                    <w:tr2bl w:val="nil"/>
                  </w:tcBorders>
                  <w:noWrap w:val="0"/>
                  <w:vAlign w:val="center"/>
                </w:tcPr>
                <w:p>
                  <w:pPr>
                    <w:bidi w:val="0"/>
                    <w:jc w:val="center"/>
                    <w:rPr>
                      <w:sz w:val="21"/>
                      <w:szCs w:val="21"/>
                    </w:rPr>
                  </w:pPr>
                </w:p>
              </w:tc>
              <w:tc>
                <w:tcPr>
                  <w:tcW w:w="757" w:type="pct"/>
                  <w:tcBorders>
                    <w:tl2br w:val="nil"/>
                    <w:tr2bl w:val="nil"/>
                  </w:tcBorders>
                  <w:noWrap w:val="0"/>
                  <w:vAlign w:val="center"/>
                </w:tcPr>
                <w:p>
                  <w:pPr>
                    <w:bidi w:val="0"/>
                    <w:jc w:val="center"/>
                    <w:rPr>
                      <w:rFonts w:hint="default"/>
                      <w:sz w:val="21"/>
                      <w:szCs w:val="21"/>
                      <w:lang w:val="en-US" w:eastAsia="zh-CN"/>
                    </w:rPr>
                  </w:pPr>
                  <w:r>
                    <w:rPr>
                      <w:rFonts w:hint="default"/>
                      <w:sz w:val="21"/>
                      <w:szCs w:val="21"/>
                    </w:rPr>
                    <w:t>841-002-01</w:t>
                  </w:r>
                </w:p>
              </w:tc>
              <w:tc>
                <w:tcPr>
                  <w:tcW w:w="651" w:type="pct"/>
                  <w:vMerge w:val="continue"/>
                  <w:tcBorders>
                    <w:tl2br w:val="nil"/>
                    <w:tr2bl w:val="nil"/>
                  </w:tcBorders>
                  <w:noWrap w:val="0"/>
                  <w:vAlign w:val="center"/>
                </w:tcPr>
                <w:p>
                  <w:pPr>
                    <w:bidi w:val="0"/>
                    <w:jc w:val="center"/>
                    <w:rPr>
                      <w:sz w:val="21"/>
                      <w:szCs w:val="21"/>
                    </w:rPr>
                  </w:pPr>
                </w:p>
              </w:tc>
              <w:tc>
                <w:tcPr>
                  <w:tcW w:w="361" w:type="pct"/>
                  <w:vMerge w:val="continue"/>
                  <w:tcBorders>
                    <w:tl2br w:val="nil"/>
                    <w:tr2bl w:val="nil"/>
                  </w:tcBorders>
                  <w:noWrap w:val="0"/>
                  <w:vAlign w:val="center"/>
                </w:tcPr>
                <w:p>
                  <w:pPr>
                    <w:bidi w:val="0"/>
                    <w:jc w:val="center"/>
                    <w:rPr>
                      <w:sz w:val="21"/>
                      <w:szCs w:val="21"/>
                    </w:rPr>
                  </w:pPr>
                </w:p>
              </w:tc>
              <w:tc>
                <w:tcPr>
                  <w:tcW w:w="430" w:type="pct"/>
                  <w:vMerge w:val="continue"/>
                  <w:tcBorders>
                    <w:tl2br w:val="nil"/>
                    <w:tr2bl w:val="nil"/>
                  </w:tcBorders>
                  <w:noWrap w:val="0"/>
                  <w:vAlign w:val="center"/>
                </w:tcPr>
                <w:p>
                  <w:pPr>
                    <w:bidi w:val="0"/>
                    <w:jc w:val="center"/>
                    <w:rPr>
                      <w:sz w:val="21"/>
                      <w:szCs w:val="21"/>
                    </w:rPr>
                  </w:pPr>
                </w:p>
              </w:tc>
              <w:tc>
                <w:tcPr>
                  <w:tcW w:w="404" w:type="pct"/>
                  <w:vMerge w:val="continue"/>
                  <w:tcBorders>
                    <w:tl2br w:val="nil"/>
                    <w:tr2bl w:val="nil"/>
                  </w:tcBorders>
                  <w:noWrap w:val="0"/>
                  <w:vAlign w:val="center"/>
                </w:tcPr>
                <w:p>
                  <w:pPr>
                    <w:bidi w:val="0"/>
                    <w:jc w:val="center"/>
                    <w:rPr>
                      <w:sz w:val="21"/>
                      <w:szCs w:val="21"/>
                    </w:rPr>
                  </w:pPr>
                </w:p>
              </w:tc>
              <w:tc>
                <w:tcPr>
                  <w:tcW w:w="300" w:type="pct"/>
                  <w:vMerge w:val="continue"/>
                  <w:tcBorders>
                    <w:tl2br w:val="nil"/>
                    <w:tr2bl w:val="nil"/>
                  </w:tcBorders>
                  <w:noWrap w:val="0"/>
                  <w:vAlign w:val="center"/>
                </w:tcPr>
                <w:p>
                  <w:pPr>
                    <w:bidi w:val="0"/>
                    <w:jc w:val="center"/>
                    <w:rPr>
                      <w:sz w:val="21"/>
                      <w:szCs w:val="21"/>
                    </w:rPr>
                  </w:pPr>
                </w:p>
              </w:tc>
              <w:tc>
                <w:tcPr>
                  <w:tcW w:w="404" w:type="pct"/>
                  <w:vMerge w:val="continue"/>
                  <w:tcBorders>
                    <w:tl2br w:val="nil"/>
                    <w:tr2bl w:val="nil"/>
                  </w:tcBorders>
                  <w:noWrap w:val="0"/>
                  <w:vAlign w:val="center"/>
                </w:tcPr>
                <w:p>
                  <w:pPr>
                    <w:bidi w:val="0"/>
                    <w:jc w:val="center"/>
                    <w:rPr>
                      <w:sz w:val="21"/>
                      <w:szCs w:val="21"/>
                    </w:rPr>
                  </w:pPr>
                </w:p>
              </w:tc>
              <w:tc>
                <w:tcPr>
                  <w:tcW w:w="440" w:type="pct"/>
                  <w:vMerge w:val="continue"/>
                  <w:tcBorders>
                    <w:tl2br w:val="nil"/>
                    <w:tr2bl w:val="nil"/>
                  </w:tcBorders>
                  <w:noWrap w:val="0"/>
                  <w:vAlign w:val="center"/>
                </w:tcPr>
                <w:p>
                  <w:pPr>
                    <w:bidi w:val="0"/>
                    <w:jc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02" w:type="pct"/>
                  <w:vMerge w:val="continue"/>
                  <w:tcBorders>
                    <w:tl2br w:val="nil"/>
                    <w:tr2bl w:val="nil"/>
                  </w:tcBorders>
                  <w:noWrap w:val="0"/>
                  <w:vAlign w:val="center"/>
                </w:tcPr>
                <w:p>
                  <w:pPr>
                    <w:bidi w:val="0"/>
                    <w:jc w:val="center"/>
                    <w:rPr>
                      <w:sz w:val="21"/>
                      <w:szCs w:val="21"/>
                    </w:rPr>
                  </w:pPr>
                </w:p>
              </w:tc>
              <w:tc>
                <w:tcPr>
                  <w:tcW w:w="491" w:type="pct"/>
                  <w:vMerge w:val="continue"/>
                  <w:tcBorders>
                    <w:tl2br w:val="nil"/>
                    <w:tr2bl w:val="nil"/>
                  </w:tcBorders>
                  <w:noWrap w:val="0"/>
                  <w:vAlign w:val="center"/>
                </w:tcPr>
                <w:p>
                  <w:pPr>
                    <w:bidi w:val="0"/>
                    <w:jc w:val="center"/>
                    <w:rPr>
                      <w:sz w:val="21"/>
                      <w:szCs w:val="21"/>
                    </w:rPr>
                  </w:pPr>
                </w:p>
              </w:tc>
              <w:tc>
                <w:tcPr>
                  <w:tcW w:w="355" w:type="pct"/>
                  <w:vMerge w:val="continue"/>
                  <w:tcBorders>
                    <w:tl2br w:val="nil"/>
                    <w:tr2bl w:val="nil"/>
                  </w:tcBorders>
                  <w:noWrap w:val="0"/>
                  <w:vAlign w:val="center"/>
                </w:tcPr>
                <w:p>
                  <w:pPr>
                    <w:bidi w:val="0"/>
                    <w:jc w:val="center"/>
                    <w:rPr>
                      <w:sz w:val="21"/>
                      <w:szCs w:val="21"/>
                    </w:rPr>
                  </w:pPr>
                </w:p>
              </w:tc>
              <w:tc>
                <w:tcPr>
                  <w:tcW w:w="757" w:type="pct"/>
                  <w:tcBorders>
                    <w:tl2br w:val="nil"/>
                    <w:tr2bl w:val="nil"/>
                  </w:tcBorders>
                  <w:noWrap w:val="0"/>
                  <w:vAlign w:val="center"/>
                </w:tcPr>
                <w:p>
                  <w:pPr>
                    <w:bidi w:val="0"/>
                    <w:jc w:val="center"/>
                    <w:rPr>
                      <w:rFonts w:hint="default"/>
                      <w:sz w:val="21"/>
                      <w:szCs w:val="21"/>
                      <w:lang w:val="en-US" w:eastAsia="zh-CN"/>
                    </w:rPr>
                  </w:pPr>
                  <w:r>
                    <w:rPr>
                      <w:rFonts w:hint="default"/>
                      <w:sz w:val="21"/>
                      <w:szCs w:val="21"/>
                    </w:rPr>
                    <w:t>841-003-01</w:t>
                  </w:r>
                </w:p>
              </w:tc>
              <w:tc>
                <w:tcPr>
                  <w:tcW w:w="651" w:type="pct"/>
                  <w:vMerge w:val="continue"/>
                  <w:tcBorders>
                    <w:tl2br w:val="nil"/>
                    <w:tr2bl w:val="nil"/>
                  </w:tcBorders>
                  <w:noWrap w:val="0"/>
                  <w:vAlign w:val="center"/>
                </w:tcPr>
                <w:p>
                  <w:pPr>
                    <w:bidi w:val="0"/>
                    <w:jc w:val="center"/>
                    <w:rPr>
                      <w:sz w:val="21"/>
                      <w:szCs w:val="21"/>
                    </w:rPr>
                  </w:pPr>
                </w:p>
              </w:tc>
              <w:tc>
                <w:tcPr>
                  <w:tcW w:w="361" w:type="pct"/>
                  <w:vMerge w:val="continue"/>
                  <w:tcBorders>
                    <w:tl2br w:val="nil"/>
                    <w:tr2bl w:val="nil"/>
                  </w:tcBorders>
                  <w:noWrap w:val="0"/>
                  <w:vAlign w:val="center"/>
                </w:tcPr>
                <w:p>
                  <w:pPr>
                    <w:bidi w:val="0"/>
                    <w:jc w:val="center"/>
                    <w:rPr>
                      <w:sz w:val="21"/>
                      <w:szCs w:val="21"/>
                    </w:rPr>
                  </w:pPr>
                </w:p>
              </w:tc>
              <w:tc>
                <w:tcPr>
                  <w:tcW w:w="430" w:type="pct"/>
                  <w:vMerge w:val="continue"/>
                  <w:tcBorders>
                    <w:tl2br w:val="nil"/>
                    <w:tr2bl w:val="nil"/>
                  </w:tcBorders>
                  <w:noWrap w:val="0"/>
                  <w:vAlign w:val="center"/>
                </w:tcPr>
                <w:p>
                  <w:pPr>
                    <w:bidi w:val="0"/>
                    <w:jc w:val="center"/>
                    <w:rPr>
                      <w:sz w:val="21"/>
                      <w:szCs w:val="21"/>
                    </w:rPr>
                  </w:pPr>
                </w:p>
              </w:tc>
              <w:tc>
                <w:tcPr>
                  <w:tcW w:w="404" w:type="pct"/>
                  <w:vMerge w:val="continue"/>
                  <w:tcBorders>
                    <w:tl2br w:val="nil"/>
                    <w:tr2bl w:val="nil"/>
                  </w:tcBorders>
                  <w:noWrap w:val="0"/>
                  <w:vAlign w:val="center"/>
                </w:tcPr>
                <w:p>
                  <w:pPr>
                    <w:bidi w:val="0"/>
                    <w:jc w:val="center"/>
                    <w:rPr>
                      <w:sz w:val="21"/>
                      <w:szCs w:val="21"/>
                    </w:rPr>
                  </w:pPr>
                </w:p>
              </w:tc>
              <w:tc>
                <w:tcPr>
                  <w:tcW w:w="300" w:type="pct"/>
                  <w:vMerge w:val="continue"/>
                  <w:tcBorders>
                    <w:tl2br w:val="nil"/>
                    <w:tr2bl w:val="nil"/>
                  </w:tcBorders>
                  <w:noWrap w:val="0"/>
                  <w:vAlign w:val="center"/>
                </w:tcPr>
                <w:p>
                  <w:pPr>
                    <w:bidi w:val="0"/>
                    <w:jc w:val="center"/>
                    <w:rPr>
                      <w:sz w:val="21"/>
                      <w:szCs w:val="21"/>
                    </w:rPr>
                  </w:pPr>
                </w:p>
              </w:tc>
              <w:tc>
                <w:tcPr>
                  <w:tcW w:w="404" w:type="pct"/>
                  <w:vMerge w:val="continue"/>
                  <w:tcBorders>
                    <w:tl2br w:val="nil"/>
                    <w:tr2bl w:val="nil"/>
                  </w:tcBorders>
                  <w:noWrap w:val="0"/>
                  <w:vAlign w:val="center"/>
                </w:tcPr>
                <w:p>
                  <w:pPr>
                    <w:bidi w:val="0"/>
                    <w:jc w:val="center"/>
                    <w:rPr>
                      <w:sz w:val="21"/>
                      <w:szCs w:val="21"/>
                    </w:rPr>
                  </w:pPr>
                </w:p>
              </w:tc>
              <w:tc>
                <w:tcPr>
                  <w:tcW w:w="440" w:type="pct"/>
                  <w:vMerge w:val="continue"/>
                  <w:tcBorders>
                    <w:tl2br w:val="nil"/>
                    <w:tr2bl w:val="nil"/>
                  </w:tcBorders>
                  <w:noWrap w:val="0"/>
                  <w:vAlign w:val="center"/>
                </w:tcPr>
                <w:p>
                  <w:pPr>
                    <w:bidi w:val="0"/>
                    <w:jc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02" w:type="pct"/>
                  <w:vMerge w:val="continue"/>
                  <w:tcBorders>
                    <w:tl2br w:val="nil"/>
                    <w:tr2bl w:val="nil"/>
                  </w:tcBorders>
                  <w:noWrap w:val="0"/>
                  <w:vAlign w:val="center"/>
                </w:tcPr>
                <w:p>
                  <w:pPr>
                    <w:bidi w:val="0"/>
                    <w:jc w:val="center"/>
                    <w:rPr>
                      <w:sz w:val="21"/>
                      <w:szCs w:val="21"/>
                    </w:rPr>
                  </w:pPr>
                </w:p>
              </w:tc>
              <w:tc>
                <w:tcPr>
                  <w:tcW w:w="491" w:type="pct"/>
                  <w:vMerge w:val="continue"/>
                  <w:tcBorders>
                    <w:tl2br w:val="nil"/>
                    <w:tr2bl w:val="nil"/>
                  </w:tcBorders>
                  <w:noWrap w:val="0"/>
                  <w:vAlign w:val="center"/>
                </w:tcPr>
                <w:p>
                  <w:pPr>
                    <w:bidi w:val="0"/>
                    <w:jc w:val="center"/>
                    <w:rPr>
                      <w:sz w:val="21"/>
                      <w:szCs w:val="21"/>
                    </w:rPr>
                  </w:pPr>
                </w:p>
              </w:tc>
              <w:tc>
                <w:tcPr>
                  <w:tcW w:w="355" w:type="pct"/>
                  <w:vMerge w:val="continue"/>
                  <w:tcBorders>
                    <w:tl2br w:val="nil"/>
                    <w:tr2bl w:val="nil"/>
                  </w:tcBorders>
                  <w:noWrap w:val="0"/>
                  <w:vAlign w:val="center"/>
                </w:tcPr>
                <w:p>
                  <w:pPr>
                    <w:bidi w:val="0"/>
                    <w:jc w:val="center"/>
                    <w:rPr>
                      <w:sz w:val="21"/>
                      <w:szCs w:val="21"/>
                    </w:rPr>
                  </w:pPr>
                </w:p>
              </w:tc>
              <w:tc>
                <w:tcPr>
                  <w:tcW w:w="757" w:type="pct"/>
                  <w:tcBorders>
                    <w:tl2br w:val="nil"/>
                    <w:tr2bl w:val="nil"/>
                  </w:tcBorders>
                  <w:noWrap w:val="0"/>
                  <w:vAlign w:val="center"/>
                </w:tcPr>
                <w:p>
                  <w:pPr>
                    <w:bidi w:val="0"/>
                    <w:jc w:val="both"/>
                    <w:rPr>
                      <w:rFonts w:hint="default"/>
                      <w:sz w:val="21"/>
                      <w:szCs w:val="21"/>
                      <w:lang w:val="en-US" w:eastAsia="zh-CN"/>
                    </w:rPr>
                  </w:pPr>
                  <w:r>
                    <w:rPr>
                      <w:rFonts w:hint="default"/>
                      <w:sz w:val="21"/>
                      <w:szCs w:val="21"/>
                    </w:rPr>
                    <w:t>841-004-01</w:t>
                  </w:r>
                </w:p>
              </w:tc>
              <w:tc>
                <w:tcPr>
                  <w:tcW w:w="651" w:type="pct"/>
                  <w:vMerge w:val="continue"/>
                  <w:tcBorders>
                    <w:tl2br w:val="nil"/>
                    <w:tr2bl w:val="nil"/>
                  </w:tcBorders>
                  <w:noWrap w:val="0"/>
                  <w:vAlign w:val="center"/>
                </w:tcPr>
                <w:p>
                  <w:pPr>
                    <w:bidi w:val="0"/>
                    <w:jc w:val="center"/>
                    <w:rPr>
                      <w:sz w:val="21"/>
                      <w:szCs w:val="21"/>
                    </w:rPr>
                  </w:pPr>
                </w:p>
              </w:tc>
              <w:tc>
                <w:tcPr>
                  <w:tcW w:w="361" w:type="pct"/>
                  <w:vMerge w:val="continue"/>
                  <w:tcBorders>
                    <w:tl2br w:val="nil"/>
                    <w:tr2bl w:val="nil"/>
                  </w:tcBorders>
                  <w:noWrap w:val="0"/>
                  <w:vAlign w:val="center"/>
                </w:tcPr>
                <w:p>
                  <w:pPr>
                    <w:bidi w:val="0"/>
                    <w:jc w:val="center"/>
                    <w:rPr>
                      <w:sz w:val="21"/>
                      <w:szCs w:val="21"/>
                    </w:rPr>
                  </w:pPr>
                </w:p>
              </w:tc>
              <w:tc>
                <w:tcPr>
                  <w:tcW w:w="430" w:type="pct"/>
                  <w:vMerge w:val="continue"/>
                  <w:tcBorders>
                    <w:tl2br w:val="nil"/>
                    <w:tr2bl w:val="nil"/>
                  </w:tcBorders>
                  <w:noWrap w:val="0"/>
                  <w:vAlign w:val="center"/>
                </w:tcPr>
                <w:p>
                  <w:pPr>
                    <w:bidi w:val="0"/>
                    <w:jc w:val="center"/>
                    <w:rPr>
                      <w:sz w:val="21"/>
                      <w:szCs w:val="21"/>
                    </w:rPr>
                  </w:pPr>
                </w:p>
              </w:tc>
              <w:tc>
                <w:tcPr>
                  <w:tcW w:w="404" w:type="pct"/>
                  <w:vMerge w:val="continue"/>
                  <w:tcBorders>
                    <w:tl2br w:val="nil"/>
                    <w:tr2bl w:val="nil"/>
                  </w:tcBorders>
                  <w:noWrap w:val="0"/>
                  <w:vAlign w:val="center"/>
                </w:tcPr>
                <w:p>
                  <w:pPr>
                    <w:bidi w:val="0"/>
                    <w:jc w:val="center"/>
                    <w:rPr>
                      <w:sz w:val="21"/>
                      <w:szCs w:val="21"/>
                    </w:rPr>
                  </w:pPr>
                </w:p>
              </w:tc>
              <w:tc>
                <w:tcPr>
                  <w:tcW w:w="300" w:type="pct"/>
                  <w:vMerge w:val="continue"/>
                  <w:tcBorders>
                    <w:tl2br w:val="nil"/>
                    <w:tr2bl w:val="nil"/>
                  </w:tcBorders>
                  <w:noWrap w:val="0"/>
                  <w:vAlign w:val="center"/>
                </w:tcPr>
                <w:p>
                  <w:pPr>
                    <w:bidi w:val="0"/>
                    <w:jc w:val="center"/>
                    <w:rPr>
                      <w:sz w:val="21"/>
                      <w:szCs w:val="21"/>
                    </w:rPr>
                  </w:pPr>
                </w:p>
              </w:tc>
              <w:tc>
                <w:tcPr>
                  <w:tcW w:w="404" w:type="pct"/>
                  <w:vMerge w:val="continue"/>
                  <w:tcBorders>
                    <w:tl2br w:val="nil"/>
                    <w:tr2bl w:val="nil"/>
                  </w:tcBorders>
                  <w:noWrap w:val="0"/>
                  <w:vAlign w:val="center"/>
                </w:tcPr>
                <w:p>
                  <w:pPr>
                    <w:bidi w:val="0"/>
                    <w:jc w:val="center"/>
                    <w:rPr>
                      <w:sz w:val="21"/>
                      <w:szCs w:val="21"/>
                    </w:rPr>
                  </w:pPr>
                </w:p>
              </w:tc>
              <w:tc>
                <w:tcPr>
                  <w:tcW w:w="440" w:type="pct"/>
                  <w:vMerge w:val="continue"/>
                  <w:tcBorders>
                    <w:tl2br w:val="nil"/>
                    <w:tr2bl w:val="nil"/>
                  </w:tcBorders>
                  <w:noWrap w:val="0"/>
                  <w:vAlign w:val="center"/>
                </w:tcPr>
                <w:p>
                  <w:pPr>
                    <w:bidi w:val="0"/>
                    <w:jc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02" w:type="pct"/>
                  <w:vMerge w:val="continue"/>
                  <w:tcBorders>
                    <w:tl2br w:val="nil"/>
                    <w:tr2bl w:val="nil"/>
                  </w:tcBorders>
                  <w:noWrap w:val="0"/>
                  <w:vAlign w:val="center"/>
                </w:tcPr>
                <w:p>
                  <w:pPr>
                    <w:bidi w:val="0"/>
                    <w:jc w:val="center"/>
                    <w:rPr>
                      <w:sz w:val="21"/>
                      <w:szCs w:val="21"/>
                    </w:rPr>
                  </w:pPr>
                </w:p>
              </w:tc>
              <w:tc>
                <w:tcPr>
                  <w:tcW w:w="491" w:type="pct"/>
                  <w:vMerge w:val="continue"/>
                  <w:tcBorders>
                    <w:tl2br w:val="nil"/>
                    <w:tr2bl w:val="nil"/>
                  </w:tcBorders>
                  <w:noWrap w:val="0"/>
                  <w:vAlign w:val="center"/>
                </w:tcPr>
                <w:p>
                  <w:pPr>
                    <w:bidi w:val="0"/>
                    <w:jc w:val="center"/>
                    <w:rPr>
                      <w:sz w:val="21"/>
                      <w:szCs w:val="21"/>
                    </w:rPr>
                  </w:pPr>
                </w:p>
              </w:tc>
              <w:tc>
                <w:tcPr>
                  <w:tcW w:w="355" w:type="pct"/>
                  <w:vMerge w:val="continue"/>
                  <w:tcBorders>
                    <w:tl2br w:val="nil"/>
                    <w:tr2bl w:val="nil"/>
                  </w:tcBorders>
                  <w:noWrap w:val="0"/>
                  <w:vAlign w:val="center"/>
                </w:tcPr>
                <w:p>
                  <w:pPr>
                    <w:bidi w:val="0"/>
                    <w:jc w:val="center"/>
                    <w:rPr>
                      <w:sz w:val="21"/>
                      <w:szCs w:val="21"/>
                    </w:rPr>
                  </w:pPr>
                </w:p>
              </w:tc>
              <w:tc>
                <w:tcPr>
                  <w:tcW w:w="757" w:type="pct"/>
                  <w:tcBorders>
                    <w:tl2br w:val="nil"/>
                    <w:tr2bl w:val="nil"/>
                  </w:tcBorders>
                  <w:noWrap w:val="0"/>
                  <w:vAlign w:val="center"/>
                </w:tcPr>
                <w:p>
                  <w:pPr>
                    <w:bidi w:val="0"/>
                    <w:jc w:val="both"/>
                    <w:rPr>
                      <w:rFonts w:hint="default"/>
                      <w:sz w:val="21"/>
                      <w:szCs w:val="21"/>
                      <w:lang w:val="en-US" w:eastAsia="zh-CN"/>
                    </w:rPr>
                  </w:pPr>
                  <w:r>
                    <w:rPr>
                      <w:rFonts w:hint="default"/>
                      <w:sz w:val="21"/>
                      <w:szCs w:val="21"/>
                    </w:rPr>
                    <w:t>841-005-01</w:t>
                  </w:r>
                </w:p>
              </w:tc>
              <w:tc>
                <w:tcPr>
                  <w:tcW w:w="651" w:type="pct"/>
                  <w:vMerge w:val="continue"/>
                  <w:tcBorders>
                    <w:tl2br w:val="nil"/>
                    <w:tr2bl w:val="nil"/>
                  </w:tcBorders>
                  <w:noWrap w:val="0"/>
                  <w:vAlign w:val="center"/>
                </w:tcPr>
                <w:p>
                  <w:pPr>
                    <w:bidi w:val="0"/>
                    <w:jc w:val="center"/>
                    <w:rPr>
                      <w:sz w:val="21"/>
                      <w:szCs w:val="21"/>
                    </w:rPr>
                  </w:pPr>
                </w:p>
              </w:tc>
              <w:tc>
                <w:tcPr>
                  <w:tcW w:w="361" w:type="pct"/>
                  <w:vMerge w:val="continue"/>
                  <w:tcBorders>
                    <w:tl2br w:val="nil"/>
                    <w:tr2bl w:val="nil"/>
                  </w:tcBorders>
                  <w:noWrap w:val="0"/>
                  <w:vAlign w:val="center"/>
                </w:tcPr>
                <w:p>
                  <w:pPr>
                    <w:bidi w:val="0"/>
                    <w:jc w:val="center"/>
                    <w:rPr>
                      <w:sz w:val="21"/>
                      <w:szCs w:val="21"/>
                    </w:rPr>
                  </w:pPr>
                </w:p>
              </w:tc>
              <w:tc>
                <w:tcPr>
                  <w:tcW w:w="430" w:type="pct"/>
                  <w:vMerge w:val="continue"/>
                  <w:tcBorders>
                    <w:tl2br w:val="nil"/>
                    <w:tr2bl w:val="nil"/>
                  </w:tcBorders>
                  <w:noWrap w:val="0"/>
                  <w:vAlign w:val="center"/>
                </w:tcPr>
                <w:p>
                  <w:pPr>
                    <w:bidi w:val="0"/>
                    <w:jc w:val="center"/>
                    <w:rPr>
                      <w:sz w:val="21"/>
                      <w:szCs w:val="21"/>
                    </w:rPr>
                  </w:pPr>
                </w:p>
              </w:tc>
              <w:tc>
                <w:tcPr>
                  <w:tcW w:w="404" w:type="pct"/>
                  <w:vMerge w:val="continue"/>
                  <w:tcBorders>
                    <w:tl2br w:val="nil"/>
                    <w:tr2bl w:val="nil"/>
                  </w:tcBorders>
                  <w:noWrap w:val="0"/>
                  <w:vAlign w:val="center"/>
                </w:tcPr>
                <w:p>
                  <w:pPr>
                    <w:bidi w:val="0"/>
                    <w:jc w:val="center"/>
                    <w:rPr>
                      <w:sz w:val="21"/>
                      <w:szCs w:val="21"/>
                    </w:rPr>
                  </w:pPr>
                </w:p>
              </w:tc>
              <w:tc>
                <w:tcPr>
                  <w:tcW w:w="300" w:type="pct"/>
                  <w:vMerge w:val="continue"/>
                  <w:tcBorders>
                    <w:tl2br w:val="nil"/>
                    <w:tr2bl w:val="nil"/>
                  </w:tcBorders>
                  <w:noWrap w:val="0"/>
                  <w:vAlign w:val="center"/>
                </w:tcPr>
                <w:p>
                  <w:pPr>
                    <w:bidi w:val="0"/>
                    <w:jc w:val="center"/>
                    <w:rPr>
                      <w:sz w:val="21"/>
                      <w:szCs w:val="21"/>
                    </w:rPr>
                  </w:pPr>
                </w:p>
              </w:tc>
              <w:tc>
                <w:tcPr>
                  <w:tcW w:w="404" w:type="pct"/>
                  <w:vMerge w:val="continue"/>
                  <w:tcBorders>
                    <w:tl2br w:val="nil"/>
                    <w:tr2bl w:val="nil"/>
                  </w:tcBorders>
                  <w:noWrap w:val="0"/>
                  <w:vAlign w:val="center"/>
                </w:tcPr>
                <w:p>
                  <w:pPr>
                    <w:bidi w:val="0"/>
                    <w:jc w:val="center"/>
                    <w:rPr>
                      <w:sz w:val="21"/>
                      <w:szCs w:val="21"/>
                    </w:rPr>
                  </w:pPr>
                </w:p>
              </w:tc>
              <w:tc>
                <w:tcPr>
                  <w:tcW w:w="440" w:type="pct"/>
                  <w:vMerge w:val="continue"/>
                  <w:tcBorders>
                    <w:tl2br w:val="nil"/>
                    <w:tr2bl w:val="nil"/>
                  </w:tcBorders>
                  <w:noWrap w:val="0"/>
                  <w:vAlign w:val="center"/>
                </w:tcPr>
                <w:p>
                  <w:pPr>
                    <w:bidi w:val="0"/>
                    <w:jc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402" w:type="pct"/>
                  <w:tcBorders>
                    <w:tl2br w:val="nil"/>
                    <w:tr2bl w:val="nil"/>
                  </w:tcBorders>
                  <w:noWrap w:val="0"/>
                  <w:vAlign w:val="center"/>
                </w:tcPr>
                <w:p>
                  <w:pPr>
                    <w:bidi w:val="0"/>
                    <w:jc w:val="center"/>
                    <w:rPr>
                      <w:rFonts w:hint="default"/>
                      <w:sz w:val="21"/>
                      <w:szCs w:val="21"/>
                      <w:lang w:val="en-US" w:eastAsia="zh-CN"/>
                    </w:rPr>
                  </w:pPr>
                  <w:r>
                    <w:rPr>
                      <w:rFonts w:hint="eastAsia"/>
                      <w:sz w:val="21"/>
                      <w:szCs w:val="21"/>
                      <w:lang w:val="en-US" w:eastAsia="zh-CN"/>
                    </w:rPr>
                    <w:t>污水处理</w:t>
                  </w:r>
                </w:p>
              </w:tc>
              <w:tc>
                <w:tcPr>
                  <w:tcW w:w="491" w:type="pct"/>
                  <w:tcBorders>
                    <w:tl2br w:val="nil"/>
                    <w:tr2bl w:val="nil"/>
                  </w:tcBorders>
                  <w:noWrap w:val="0"/>
                  <w:vAlign w:val="center"/>
                </w:tcPr>
                <w:p>
                  <w:pPr>
                    <w:bidi w:val="0"/>
                    <w:jc w:val="center"/>
                    <w:rPr>
                      <w:sz w:val="21"/>
                      <w:szCs w:val="21"/>
                    </w:rPr>
                  </w:pPr>
                  <w:r>
                    <w:rPr>
                      <w:rFonts w:hint="default"/>
                      <w:sz w:val="21"/>
                      <w:szCs w:val="21"/>
                    </w:rPr>
                    <w:t>化粪池底泥、污水处理站栅渣和污泥</w:t>
                  </w:r>
                </w:p>
              </w:tc>
              <w:tc>
                <w:tcPr>
                  <w:tcW w:w="355" w:type="pct"/>
                  <w:tcBorders>
                    <w:tl2br w:val="nil"/>
                    <w:tr2bl w:val="nil"/>
                  </w:tcBorders>
                  <w:noWrap w:val="0"/>
                  <w:vAlign w:val="center"/>
                </w:tcPr>
                <w:p>
                  <w:pPr>
                    <w:bidi w:val="0"/>
                    <w:jc w:val="center"/>
                    <w:rPr>
                      <w:sz w:val="21"/>
                      <w:szCs w:val="21"/>
                    </w:rPr>
                  </w:pPr>
                  <w:r>
                    <w:rPr>
                      <w:rFonts w:hint="eastAsia"/>
                      <w:sz w:val="21"/>
                      <w:szCs w:val="21"/>
                      <w:lang w:val="en-US" w:eastAsia="zh-CN"/>
                    </w:rPr>
                    <w:t>危险废物</w:t>
                  </w:r>
                </w:p>
              </w:tc>
              <w:tc>
                <w:tcPr>
                  <w:tcW w:w="757" w:type="pct"/>
                  <w:tcBorders>
                    <w:tl2br w:val="nil"/>
                    <w:tr2bl w:val="nil"/>
                  </w:tcBorders>
                  <w:noWrap w:val="0"/>
                  <w:vAlign w:val="center"/>
                </w:tcPr>
                <w:p>
                  <w:pPr>
                    <w:bidi w:val="0"/>
                    <w:jc w:val="center"/>
                    <w:rPr>
                      <w:sz w:val="21"/>
                      <w:szCs w:val="21"/>
                    </w:rPr>
                  </w:pPr>
                  <w:r>
                    <w:rPr>
                      <w:rFonts w:hint="default"/>
                      <w:sz w:val="21"/>
                      <w:szCs w:val="21"/>
                    </w:rPr>
                    <w:t>841-001-01</w:t>
                  </w:r>
                </w:p>
              </w:tc>
              <w:tc>
                <w:tcPr>
                  <w:tcW w:w="651" w:type="pct"/>
                  <w:tcBorders>
                    <w:tl2br w:val="nil"/>
                    <w:tr2bl w:val="nil"/>
                  </w:tcBorders>
                  <w:noWrap w:val="0"/>
                  <w:vAlign w:val="center"/>
                </w:tcPr>
                <w:p>
                  <w:pPr>
                    <w:bidi w:val="0"/>
                    <w:jc w:val="center"/>
                    <w:rPr>
                      <w:sz w:val="21"/>
                      <w:szCs w:val="21"/>
                    </w:rPr>
                  </w:pPr>
                  <w:r>
                    <w:rPr>
                      <w:rFonts w:hint="default"/>
                      <w:sz w:val="21"/>
                      <w:szCs w:val="21"/>
                    </w:rPr>
                    <w:t>细菌、药品等</w:t>
                  </w:r>
                </w:p>
              </w:tc>
              <w:tc>
                <w:tcPr>
                  <w:tcW w:w="361" w:type="pct"/>
                  <w:tcBorders>
                    <w:tl2br w:val="nil"/>
                    <w:tr2bl w:val="nil"/>
                  </w:tcBorders>
                  <w:noWrap w:val="0"/>
                  <w:vAlign w:val="center"/>
                </w:tcPr>
                <w:p>
                  <w:pPr>
                    <w:bidi w:val="0"/>
                    <w:jc w:val="center"/>
                    <w:rPr>
                      <w:rFonts w:hint="eastAsia"/>
                      <w:sz w:val="21"/>
                      <w:szCs w:val="21"/>
                      <w:lang w:val="en-US" w:eastAsia="zh-CN"/>
                    </w:rPr>
                  </w:pPr>
                  <w:r>
                    <w:rPr>
                      <w:rFonts w:hint="eastAsia"/>
                      <w:sz w:val="21"/>
                      <w:szCs w:val="21"/>
                      <w:lang w:val="en-US" w:eastAsia="zh-CN"/>
                    </w:rPr>
                    <w:t>固态</w:t>
                  </w:r>
                </w:p>
              </w:tc>
              <w:tc>
                <w:tcPr>
                  <w:tcW w:w="430" w:type="pct"/>
                  <w:tcBorders>
                    <w:tl2br w:val="nil"/>
                    <w:tr2bl w:val="nil"/>
                  </w:tcBorders>
                  <w:noWrap w:val="0"/>
                  <w:vAlign w:val="center"/>
                </w:tcPr>
                <w:p>
                  <w:pPr>
                    <w:bidi w:val="0"/>
                    <w:jc w:val="center"/>
                    <w:rPr>
                      <w:rFonts w:hint="eastAsia"/>
                      <w:sz w:val="21"/>
                      <w:szCs w:val="21"/>
                      <w:lang w:val="en-US" w:eastAsia="zh-CN"/>
                    </w:rPr>
                  </w:pPr>
                  <w:r>
                    <w:rPr>
                      <w:rFonts w:hint="eastAsia"/>
                      <w:sz w:val="21"/>
                      <w:szCs w:val="21"/>
                      <w:lang w:val="en-US" w:eastAsia="zh-CN"/>
                    </w:rPr>
                    <w:t>/</w:t>
                  </w:r>
                </w:p>
              </w:tc>
              <w:tc>
                <w:tcPr>
                  <w:tcW w:w="404" w:type="pct"/>
                  <w:tcBorders>
                    <w:tl2br w:val="nil"/>
                    <w:tr2bl w:val="nil"/>
                  </w:tcBorders>
                  <w:noWrap w:val="0"/>
                  <w:vAlign w:val="center"/>
                </w:tcPr>
                <w:p>
                  <w:pPr>
                    <w:bidi w:val="0"/>
                    <w:jc w:val="center"/>
                    <w:rPr>
                      <w:sz w:val="21"/>
                      <w:szCs w:val="21"/>
                    </w:rPr>
                  </w:pPr>
                  <w:r>
                    <w:rPr>
                      <w:rFonts w:hint="default"/>
                      <w:sz w:val="21"/>
                      <w:szCs w:val="21"/>
                    </w:rPr>
                    <w:t>2.0586t/a</w:t>
                  </w:r>
                </w:p>
              </w:tc>
              <w:tc>
                <w:tcPr>
                  <w:tcW w:w="300" w:type="pct"/>
                  <w:vMerge w:val="continue"/>
                  <w:tcBorders>
                    <w:tl2br w:val="nil"/>
                    <w:tr2bl w:val="nil"/>
                  </w:tcBorders>
                  <w:noWrap w:val="0"/>
                  <w:vAlign w:val="center"/>
                </w:tcPr>
                <w:p>
                  <w:pPr>
                    <w:bidi w:val="0"/>
                    <w:jc w:val="center"/>
                    <w:rPr>
                      <w:sz w:val="21"/>
                      <w:szCs w:val="21"/>
                    </w:rPr>
                  </w:pPr>
                </w:p>
              </w:tc>
              <w:tc>
                <w:tcPr>
                  <w:tcW w:w="404" w:type="pct"/>
                  <w:vMerge w:val="continue"/>
                  <w:tcBorders>
                    <w:tl2br w:val="nil"/>
                    <w:tr2bl w:val="nil"/>
                  </w:tcBorders>
                  <w:noWrap w:val="0"/>
                  <w:vAlign w:val="center"/>
                </w:tcPr>
                <w:p>
                  <w:pPr>
                    <w:bidi w:val="0"/>
                    <w:jc w:val="center"/>
                    <w:rPr>
                      <w:sz w:val="21"/>
                      <w:szCs w:val="21"/>
                    </w:rPr>
                  </w:pPr>
                </w:p>
              </w:tc>
              <w:tc>
                <w:tcPr>
                  <w:tcW w:w="440" w:type="pct"/>
                  <w:tcBorders>
                    <w:tl2br w:val="nil"/>
                    <w:tr2bl w:val="nil"/>
                  </w:tcBorders>
                  <w:noWrap w:val="0"/>
                  <w:vAlign w:val="center"/>
                </w:tcPr>
                <w:p>
                  <w:pPr>
                    <w:bidi w:val="0"/>
                    <w:jc w:val="center"/>
                    <w:rPr>
                      <w:rFonts w:hint="eastAsia"/>
                      <w:sz w:val="21"/>
                      <w:szCs w:val="21"/>
                      <w:lang w:val="en-US" w:eastAsia="zh-CN"/>
                    </w:rPr>
                  </w:pPr>
                  <w:r>
                    <w:rPr>
                      <w:rFonts w:hint="default"/>
                      <w:sz w:val="21"/>
                      <w:szCs w:val="21"/>
                    </w:rPr>
                    <w:t>2.0586t/a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402" w:type="pct"/>
                  <w:tcBorders>
                    <w:tl2br w:val="nil"/>
                    <w:tr2bl w:val="nil"/>
                  </w:tcBorders>
                  <w:noWrap w:val="0"/>
                  <w:vAlign w:val="center"/>
                </w:tcPr>
                <w:p>
                  <w:pPr>
                    <w:bidi w:val="0"/>
                    <w:jc w:val="center"/>
                    <w:rPr>
                      <w:sz w:val="21"/>
                      <w:szCs w:val="21"/>
                    </w:rPr>
                  </w:pPr>
                  <w:r>
                    <w:rPr>
                      <w:rFonts w:hint="default"/>
                      <w:sz w:val="21"/>
                      <w:szCs w:val="21"/>
                    </w:rPr>
                    <w:t>职工、病人生活</w:t>
                  </w:r>
                </w:p>
              </w:tc>
              <w:tc>
                <w:tcPr>
                  <w:tcW w:w="491" w:type="pct"/>
                  <w:tcBorders>
                    <w:tl2br w:val="nil"/>
                    <w:tr2bl w:val="nil"/>
                  </w:tcBorders>
                  <w:noWrap w:val="0"/>
                  <w:vAlign w:val="center"/>
                </w:tcPr>
                <w:p>
                  <w:pPr>
                    <w:bidi w:val="0"/>
                    <w:jc w:val="center"/>
                    <w:rPr>
                      <w:sz w:val="21"/>
                      <w:szCs w:val="21"/>
                    </w:rPr>
                  </w:pPr>
                  <w:r>
                    <w:rPr>
                      <w:rFonts w:hint="default"/>
                      <w:sz w:val="21"/>
                      <w:szCs w:val="21"/>
                    </w:rPr>
                    <w:t>生活垃圾</w:t>
                  </w:r>
                </w:p>
              </w:tc>
              <w:tc>
                <w:tcPr>
                  <w:tcW w:w="1113" w:type="pct"/>
                  <w:gridSpan w:val="2"/>
                  <w:tcBorders>
                    <w:tl2br w:val="nil"/>
                    <w:tr2bl w:val="nil"/>
                  </w:tcBorders>
                  <w:noWrap w:val="0"/>
                  <w:vAlign w:val="center"/>
                </w:tcPr>
                <w:p>
                  <w:pPr>
                    <w:bidi w:val="0"/>
                    <w:jc w:val="center"/>
                    <w:rPr>
                      <w:sz w:val="21"/>
                      <w:szCs w:val="21"/>
                    </w:rPr>
                  </w:pPr>
                  <w:r>
                    <w:rPr>
                      <w:rFonts w:hint="eastAsia"/>
                      <w:sz w:val="21"/>
                      <w:szCs w:val="21"/>
                      <w:lang w:val="en-US" w:eastAsia="zh-CN"/>
                    </w:rPr>
                    <w:t>/</w:t>
                  </w:r>
                </w:p>
              </w:tc>
              <w:tc>
                <w:tcPr>
                  <w:tcW w:w="651" w:type="pct"/>
                  <w:tcBorders>
                    <w:tl2br w:val="nil"/>
                    <w:tr2bl w:val="nil"/>
                  </w:tcBorders>
                  <w:noWrap w:val="0"/>
                  <w:vAlign w:val="center"/>
                </w:tcPr>
                <w:p>
                  <w:pPr>
                    <w:bidi w:val="0"/>
                    <w:jc w:val="center"/>
                    <w:rPr>
                      <w:rFonts w:hint="eastAsia"/>
                      <w:sz w:val="21"/>
                      <w:szCs w:val="21"/>
                      <w:lang w:val="en-US" w:eastAsia="zh-CN"/>
                    </w:rPr>
                  </w:pPr>
                  <w:r>
                    <w:rPr>
                      <w:rFonts w:hint="eastAsia"/>
                      <w:sz w:val="21"/>
                      <w:szCs w:val="21"/>
                      <w:lang w:val="en-US" w:eastAsia="zh-CN"/>
                    </w:rPr>
                    <w:t>/</w:t>
                  </w:r>
                </w:p>
              </w:tc>
              <w:tc>
                <w:tcPr>
                  <w:tcW w:w="361" w:type="pct"/>
                  <w:tcBorders>
                    <w:tl2br w:val="nil"/>
                    <w:tr2bl w:val="nil"/>
                  </w:tcBorders>
                  <w:noWrap w:val="0"/>
                  <w:vAlign w:val="center"/>
                </w:tcPr>
                <w:p>
                  <w:pPr>
                    <w:bidi w:val="0"/>
                    <w:jc w:val="center"/>
                    <w:rPr>
                      <w:rFonts w:hint="eastAsia"/>
                      <w:sz w:val="21"/>
                      <w:szCs w:val="21"/>
                      <w:lang w:val="en-US" w:eastAsia="zh-CN"/>
                    </w:rPr>
                  </w:pPr>
                  <w:r>
                    <w:rPr>
                      <w:rFonts w:hint="eastAsia"/>
                      <w:sz w:val="21"/>
                      <w:szCs w:val="21"/>
                      <w:lang w:val="en-US" w:eastAsia="zh-CN"/>
                    </w:rPr>
                    <w:t>固态</w:t>
                  </w:r>
                </w:p>
              </w:tc>
              <w:tc>
                <w:tcPr>
                  <w:tcW w:w="430" w:type="pct"/>
                  <w:tcBorders>
                    <w:tl2br w:val="nil"/>
                    <w:tr2bl w:val="nil"/>
                  </w:tcBorders>
                  <w:noWrap w:val="0"/>
                  <w:vAlign w:val="center"/>
                </w:tcPr>
                <w:p>
                  <w:pPr>
                    <w:bidi w:val="0"/>
                    <w:jc w:val="center"/>
                    <w:rPr>
                      <w:rFonts w:hint="eastAsia"/>
                      <w:sz w:val="21"/>
                      <w:szCs w:val="21"/>
                      <w:lang w:val="en-US" w:eastAsia="zh-CN"/>
                    </w:rPr>
                  </w:pPr>
                  <w:r>
                    <w:rPr>
                      <w:rFonts w:hint="eastAsia"/>
                      <w:sz w:val="21"/>
                      <w:szCs w:val="21"/>
                      <w:lang w:val="en-US" w:eastAsia="zh-CN"/>
                    </w:rPr>
                    <w:t>/</w:t>
                  </w:r>
                </w:p>
              </w:tc>
              <w:tc>
                <w:tcPr>
                  <w:tcW w:w="404" w:type="pct"/>
                  <w:tcBorders>
                    <w:tl2br w:val="nil"/>
                    <w:tr2bl w:val="nil"/>
                  </w:tcBorders>
                  <w:noWrap w:val="0"/>
                  <w:vAlign w:val="center"/>
                </w:tcPr>
                <w:p>
                  <w:pPr>
                    <w:bidi w:val="0"/>
                    <w:jc w:val="center"/>
                    <w:rPr>
                      <w:sz w:val="21"/>
                      <w:szCs w:val="21"/>
                    </w:rPr>
                  </w:pPr>
                  <w:r>
                    <w:rPr>
                      <w:rFonts w:hint="default"/>
                      <w:sz w:val="21"/>
                      <w:szCs w:val="21"/>
                    </w:rPr>
                    <w:t>76.65t/a</w:t>
                  </w:r>
                </w:p>
              </w:tc>
              <w:tc>
                <w:tcPr>
                  <w:tcW w:w="704" w:type="pct"/>
                  <w:gridSpan w:val="2"/>
                  <w:tcBorders>
                    <w:tl2br w:val="nil"/>
                    <w:tr2bl w:val="nil"/>
                  </w:tcBorders>
                  <w:noWrap w:val="0"/>
                  <w:vAlign w:val="center"/>
                </w:tcPr>
                <w:p>
                  <w:pPr>
                    <w:bidi w:val="0"/>
                    <w:jc w:val="center"/>
                    <w:rPr>
                      <w:sz w:val="21"/>
                      <w:szCs w:val="21"/>
                    </w:rPr>
                  </w:pPr>
                  <w:r>
                    <w:rPr>
                      <w:rFonts w:hint="default"/>
                      <w:sz w:val="21"/>
                      <w:szCs w:val="21"/>
                    </w:rPr>
                    <w:t>集中收集后交由环卫部门统一清运处理</w:t>
                  </w:r>
                </w:p>
              </w:tc>
              <w:tc>
                <w:tcPr>
                  <w:tcW w:w="440" w:type="pct"/>
                  <w:tcBorders>
                    <w:tl2br w:val="nil"/>
                    <w:tr2bl w:val="nil"/>
                  </w:tcBorders>
                  <w:noWrap w:val="0"/>
                  <w:vAlign w:val="center"/>
                </w:tcPr>
                <w:p>
                  <w:pPr>
                    <w:bidi w:val="0"/>
                    <w:jc w:val="center"/>
                    <w:rPr>
                      <w:rFonts w:hint="eastAsia"/>
                      <w:sz w:val="21"/>
                      <w:szCs w:val="21"/>
                      <w:lang w:val="en-US" w:eastAsia="zh-CN"/>
                    </w:rPr>
                  </w:pPr>
                  <w:r>
                    <w:rPr>
                      <w:rFonts w:hint="default"/>
                      <w:sz w:val="21"/>
                      <w:szCs w:val="21"/>
                    </w:rPr>
                    <w:t>76.65t/a</w:t>
                  </w:r>
                </w:p>
              </w:tc>
            </w:tr>
          </w:tbl>
          <w:p>
            <w:pPr>
              <w:spacing w:line="360" w:lineRule="auto"/>
              <w:ind w:firstLine="420" w:firstLineChars="200"/>
              <w:rPr>
                <w:bCs/>
                <w:sz w:val="21"/>
                <w:szCs w:val="21"/>
              </w:rPr>
            </w:pPr>
            <w:r>
              <w:rPr>
                <w:rFonts w:hint="eastAsia"/>
                <w:bCs/>
                <w:sz w:val="21"/>
                <w:szCs w:val="21"/>
              </w:rPr>
              <w:t>注：①产生源强计算依据：医疗垃圾根据</w:t>
            </w:r>
            <w:r>
              <w:rPr>
                <w:bCs/>
                <w:sz w:val="21"/>
                <w:szCs w:val="21"/>
              </w:rPr>
              <w:t>0.42kg/</w:t>
            </w:r>
            <w:r>
              <w:rPr>
                <w:rFonts w:hint="eastAsia"/>
                <w:bCs/>
                <w:sz w:val="21"/>
                <w:szCs w:val="21"/>
              </w:rPr>
              <w:t>床</w:t>
            </w:r>
            <w:r>
              <w:rPr>
                <w:bCs/>
                <w:sz w:val="21"/>
                <w:szCs w:val="21"/>
              </w:rPr>
              <w:t>·</w:t>
            </w:r>
            <w:r>
              <w:rPr>
                <w:rFonts w:hint="eastAsia"/>
                <w:bCs/>
                <w:sz w:val="21"/>
                <w:szCs w:val="21"/>
              </w:rPr>
              <w:t>日计。②污泥产生量为废水处理量的0.01%，污泥含水率80%。③生活垃圾按住院、医护人员</w:t>
            </w:r>
            <w:r>
              <w:rPr>
                <w:bCs/>
                <w:sz w:val="21"/>
                <w:szCs w:val="21"/>
              </w:rPr>
              <w:t>1kg/</w:t>
            </w:r>
            <w:r>
              <w:rPr>
                <w:rFonts w:hint="eastAsia"/>
                <w:bCs/>
                <w:sz w:val="21"/>
                <w:szCs w:val="21"/>
              </w:rPr>
              <w:t>人·天，门诊</w:t>
            </w:r>
            <w:r>
              <w:rPr>
                <w:bCs/>
                <w:sz w:val="21"/>
                <w:szCs w:val="21"/>
              </w:rPr>
              <w:t>0.2kg/</w:t>
            </w:r>
            <w:r>
              <w:rPr>
                <w:rFonts w:hint="eastAsia"/>
                <w:bCs/>
                <w:sz w:val="21"/>
                <w:szCs w:val="21"/>
              </w:rPr>
              <w:t xml:space="preserve">人·天计。④各类固体废物经外送处理后排放量均为零。 </w:t>
            </w:r>
          </w:p>
          <w:p>
            <w:pPr>
              <w:spacing w:line="360" w:lineRule="auto"/>
              <w:ind w:firstLine="420" w:firstLineChars="200"/>
              <w:rPr>
                <w:bCs/>
                <w:sz w:val="21"/>
                <w:szCs w:val="21"/>
              </w:rPr>
            </w:pPr>
            <w:r>
              <w:rPr>
                <w:rFonts w:hint="eastAsia"/>
                <w:bCs/>
                <w:sz w:val="21"/>
                <w:szCs w:val="21"/>
              </w:rPr>
              <w:t xml:space="preserve">医院产生的医疗垃圾种类繁多，具体分类如下： </w:t>
            </w:r>
          </w:p>
          <w:p>
            <w:pPr>
              <w:spacing w:line="360" w:lineRule="auto"/>
              <w:ind w:firstLine="420" w:firstLineChars="200"/>
              <w:rPr>
                <w:bCs/>
                <w:sz w:val="21"/>
                <w:szCs w:val="21"/>
              </w:rPr>
            </w:pPr>
            <w:r>
              <w:rPr>
                <w:rFonts w:hint="eastAsia"/>
                <w:bCs/>
                <w:sz w:val="21"/>
                <w:szCs w:val="21"/>
              </w:rPr>
              <w:t>①感染性废物：</w:t>
            </w:r>
            <w:r>
              <w:rPr>
                <w:bCs/>
                <w:sz w:val="21"/>
                <w:szCs w:val="21"/>
              </w:rPr>
              <w:t>1</w:t>
            </w:r>
            <w:r>
              <w:rPr>
                <w:rFonts w:hint="eastAsia"/>
                <w:bCs/>
                <w:sz w:val="21"/>
                <w:szCs w:val="21"/>
              </w:rPr>
              <w:t>）被病人血液、体液、排泄物污染的物品，包括：棉球、棉签、引流棉条、纱布及其他各种敷料；使用后的一次性使用卫生用品、一次性使用医疗用品及一次性医疗器械；废弃的被服；其他被病人血液、体液、排泄物污染的物品。</w:t>
            </w:r>
            <w:r>
              <w:rPr>
                <w:bCs/>
                <w:sz w:val="21"/>
                <w:szCs w:val="21"/>
              </w:rPr>
              <w:t>2</w:t>
            </w:r>
            <w:r>
              <w:rPr>
                <w:rFonts w:hint="eastAsia"/>
                <w:bCs/>
                <w:sz w:val="21"/>
                <w:szCs w:val="21"/>
              </w:rPr>
              <w:t>）病原体的培养基、各种废弃的医学标本和菌种、毒种保存液。</w:t>
            </w:r>
            <w:r>
              <w:rPr>
                <w:bCs/>
                <w:sz w:val="21"/>
                <w:szCs w:val="21"/>
              </w:rPr>
              <w:t>3</w:t>
            </w:r>
            <w:r>
              <w:rPr>
                <w:rFonts w:hint="eastAsia"/>
                <w:bCs/>
                <w:sz w:val="21"/>
                <w:szCs w:val="21"/>
              </w:rPr>
              <w:t xml:space="preserve">）废弃的血液、血清。 </w:t>
            </w:r>
          </w:p>
          <w:p>
            <w:pPr>
              <w:spacing w:line="360" w:lineRule="auto"/>
              <w:ind w:firstLine="420" w:firstLineChars="200"/>
              <w:rPr>
                <w:bCs/>
                <w:sz w:val="21"/>
                <w:szCs w:val="21"/>
              </w:rPr>
            </w:pPr>
            <w:r>
              <w:rPr>
                <w:rFonts w:hint="eastAsia"/>
                <w:bCs/>
                <w:sz w:val="21"/>
                <w:szCs w:val="21"/>
              </w:rPr>
              <w:t>②病理性废物：诊疗过程中产生的人体废弃物等。</w:t>
            </w:r>
            <w:r>
              <w:rPr>
                <w:bCs/>
                <w:sz w:val="21"/>
                <w:szCs w:val="21"/>
              </w:rPr>
              <w:t>1</w:t>
            </w:r>
            <w:r>
              <w:rPr>
                <w:rFonts w:hint="eastAsia"/>
                <w:bCs/>
                <w:sz w:val="21"/>
                <w:szCs w:val="21"/>
              </w:rPr>
              <w:t>）手术及其他诊疗过程中产生的废弃的人体组织、器官等。</w:t>
            </w:r>
            <w:r>
              <w:rPr>
                <w:bCs/>
                <w:sz w:val="21"/>
                <w:szCs w:val="21"/>
              </w:rPr>
              <w:t>2</w:t>
            </w:r>
            <w:r>
              <w:rPr>
                <w:rFonts w:hint="eastAsia"/>
                <w:bCs/>
                <w:sz w:val="21"/>
                <w:szCs w:val="21"/>
              </w:rPr>
              <w:t xml:space="preserve">）病理切片后废弃的人体组织、病理腊块等。 </w:t>
            </w:r>
          </w:p>
          <w:p>
            <w:pPr>
              <w:spacing w:line="360" w:lineRule="auto"/>
              <w:ind w:firstLine="420" w:firstLineChars="200"/>
              <w:rPr>
                <w:bCs/>
                <w:sz w:val="21"/>
                <w:szCs w:val="21"/>
              </w:rPr>
            </w:pPr>
            <w:r>
              <w:rPr>
                <w:rFonts w:hint="eastAsia"/>
                <w:bCs/>
                <w:sz w:val="21"/>
                <w:szCs w:val="21"/>
              </w:rPr>
              <w:t>③损伤性废物：能够刺伤或者割伤人体的废弃的医用锐器。</w:t>
            </w:r>
            <w:r>
              <w:rPr>
                <w:bCs/>
                <w:sz w:val="21"/>
                <w:szCs w:val="21"/>
              </w:rPr>
              <w:t>1</w:t>
            </w:r>
            <w:r>
              <w:rPr>
                <w:rFonts w:hint="eastAsia"/>
                <w:bCs/>
                <w:sz w:val="21"/>
                <w:szCs w:val="21"/>
              </w:rPr>
              <w:t>）医用针头、缝合针。</w:t>
            </w:r>
            <w:r>
              <w:rPr>
                <w:bCs/>
                <w:sz w:val="21"/>
                <w:szCs w:val="21"/>
              </w:rPr>
              <w:t>2</w:t>
            </w:r>
            <w:r>
              <w:rPr>
                <w:rFonts w:hint="eastAsia"/>
                <w:bCs/>
                <w:sz w:val="21"/>
                <w:szCs w:val="21"/>
              </w:rPr>
              <w:t>）各类医用锐器，包括：解剖刀、手术刀、备皮刀、手术锯等。</w:t>
            </w:r>
            <w:r>
              <w:rPr>
                <w:bCs/>
                <w:sz w:val="21"/>
                <w:szCs w:val="21"/>
              </w:rPr>
              <w:t>3</w:t>
            </w:r>
            <w:r>
              <w:rPr>
                <w:rFonts w:hint="eastAsia"/>
                <w:bCs/>
                <w:sz w:val="21"/>
                <w:szCs w:val="21"/>
              </w:rPr>
              <w:t>）载玻片、玻璃试管、玻璃安瓿等。</w:t>
            </w:r>
            <w:r>
              <w:rPr>
                <w:bCs/>
                <w:sz w:val="21"/>
                <w:szCs w:val="21"/>
              </w:rPr>
              <w:t xml:space="preserve"> </w:t>
            </w:r>
          </w:p>
          <w:p>
            <w:pPr>
              <w:spacing w:line="360" w:lineRule="auto"/>
              <w:ind w:firstLine="420" w:firstLineChars="200"/>
              <w:rPr>
                <w:bCs/>
                <w:sz w:val="21"/>
                <w:szCs w:val="21"/>
              </w:rPr>
            </w:pPr>
            <w:r>
              <w:rPr>
                <w:rFonts w:hint="eastAsia"/>
                <w:bCs/>
                <w:sz w:val="21"/>
                <w:szCs w:val="21"/>
              </w:rPr>
              <w:t>④药物性废物：过期、淘汰、变质或者被污染的废弃的药品。</w:t>
            </w:r>
            <w:r>
              <w:rPr>
                <w:bCs/>
                <w:sz w:val="21"/>
                <w:szCs w:val="21"/>
              </w:rPr>
              <w:t>1</w:t>
            </w:r>
            <w:r>
              <w:rPr>
                <w:rFonts w:hint="eastAsia"/>
                <w:bCs/>
                <w:sz w:val="21"/>
                <w:szCs w:val="21"/>
              </w:rPr>
              <w:t>）废弃的一般性药品，如：抗生素、非处方类药品等。</w:t>
            </w:r>
            <w:r>
              <w:rPr>
                <w:bCs/>
                <w:sz w:val="21"/>
                <w:szCs w:val="21"/>
              </w:rPr>
              <w:t>2</w:t>
            </w:r>
            <w:r>
              <w:rPr>
                <w:rFonts w:hint="eastAsia"/>
                <w:bCs/>
                <w:sz w:val="21"/>
                <w:szCs w:val="21"/>
              </w:rPr>
              <w:t>）废弃的细胞毒性药物和遗传毒性药物 。</w:t>
            </w:r>
            <w:r>
              <w:rPr>
                <w:bCs/>
                <w:sz w:val="21"/>
                <w:szCs w:val="21"/>
              </w:rPr>
              <w:t>3</w:t>
            </w:r>
            <w:r>
              <w:rPr>
                <w:rFonts w:hint="eastAsia"/>
                <w:bCs/>
                <w:sz w:val="21"/>
                <w:szCs w:val="21"/>
              </w:rPr>
              <w:t xml:space="preserve">）废弃的疫苗、血液制品等。 </w:t>
            </w:r>
          </w:p>
          <w:p>
            <w:pPr>
              <w:spacing w:line="360" w:lineRule="auto"/>
              <w:ind w:firstLine="420" w:firstLineChars="200"/>
              <w:rPr>
                <w:rFonts w:hint="eastAsia"/>
                <w:bCs/>
                <w:sz w:val="21"/>
                <w:szCs w:val="21"/>
              </w:rPr>
            </w:pPr>
            <w:r>
              <w:rPr>
                <w:rFonts w:hint="eastAsia"/>
                <w:bCs/>
                <w:sz w:val="21"/>
                <w:szCs w:val="21"/>
              </w:rPr>
              <w:t>⑤化学性废物：具有毒性、腐蚀性、易燃易爆性的废弃的化学物品。</w:t>
            </w:r>
            <w:r>
              <w:rPr>
                <w:bCs/>
                <w:sz w:val="21"/>
                <w:szCs w:val="21"/>
              </w:rPr>
              <w:t>1</w:t>
            </w:r>
            <w:r>
              <w:rPr>
                <w:rFonts w:hint="eastAsia"/>
                <w:bCs/>
                <w:sz w:val="21"/>
                <w:szCs w:val="21"/>
              </w:rPr>
              <w:t>）医学影像室、实验室废弃的化学试剂。</w:t>
            </w:r>
            <w:r>
              <w:rPr>
                <w:bCs/>
                <w:sz w:val="21"/>
                <w:szCs w:val="21"/>
              </w:rPr>
              <w:t>2</w:t>
            </w:r>
            <w:r>
              <w:rPr>
                <w:rFonts w:hint="eastAsia"/>
                <w:bCs/>
                <w:sz w:val="21"/>
                <w:szCs w:val="21"/>
              </w:rPr>
              <w:t>）废弃的过氧乙酸、戊二醛等化学消毒剂。</w:t>
            </w:r>
            <w:r>
              <w:rPr>
                <w:bCs/>
                <w:sz w:val="21"/>
                <w:szCs w:val="21"/>
              </w:rPr>
              <w:t>3</w:t>
            </w:r>
            <w:r>
              <w:rPr>
                <w:rFonts w:hint="eastAsia"/>
                <w:bCs/>
                <w:sz w:val="21"/>
                <w:szCs w:val="21"/>
              </w:rPr>
              <w:t>）废弃的汞血压计、汞温度计。</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20" w:firstLineChars="200"/>
              <w:textAlignment w:val="auto"/>
              <w:rPr>
                <w:rFonts w:hint="eastAsia"/>
                <w:b w:val="0"/>
                <w:bCs w:val="0"/>
                <w:lang w:val="en-US" w:eastAsia="zh-CN"/>
              </w:rPr>
            </w:pPr>
            <w:r>
              <w:rPr>
                <w:rFonts w:hint="eastAsia"/>
                <w:b w:val="0"/>
                <w:bCs w:val="0"/>
                <w:lang w:val="en-US" w:eastAsia="zh-CN"/>
              </w:rPr>
              <w:t>危险废物分析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eastAsia="zh-CN"/>
              </w:rPr>
            </w:pPr>
            <w:r>
              <w:rPr>
                <w:rFonts w:hint="eastAsia"/>
                <w:lang w:val="en-US" w:eastAsia="zh-CN"/>
              </w:rPr>
              <w:t>1</w:t>
            </w:r>
            <w:r>
              <w:rPr>
                <w:rFonts w:hint="eastAsia"/>
                <w:lang w:eastAsia="zh-CN"/>
              </w:rPr>
              <w:t>）</w:t>
            </w:r>
            <w:r>
              <w:rPr>
                <w:rFonts w:hint="default"/>
                <w:lang w:eastAsia="zh-CN"/>
              </w:rPr>
              <w:t>危险废物判定及汇总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eastAsia="zh-CN"/>
              </w:rPr>
            </w:pPr>
            <w:r>
              <w:rPr>
                <w:rFonts w:hint="eastAsia"/>
                <w:lang w:val="en-US" w:eastAsia="zh-CN"/>
              </w:rPr>
              <w:t>工</w:t>
            </w:r>
            <w:r>
              <w:rPr>
                <w:rFonts w:hint="default"/>
                <w:lang w:eastAsia="zh-CN"/>
              </w:rPr>
              <w:t>程分析应结合建设项目主辅工程的原辅材料使用情况及生产工艺，全面分析各类固体废物的产生环节、主要成分、有害成分、理化性质及其产生、利用和处置量。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eastAsia="zh-CN"/>
              </w:rPr>
            </w:pPr>
            <w:r>
              <w:rPr>
                <w:rFonts w:hint="default"/>
                <w:lang w:eastAsia="zh-CN"/>
              </w:rPr>
              <w:t>由本项目工艺流程分析可知</w:t>
            </w:r>
            <w:r>
              <w:rPr>
                <w:rFonts w:hint="eastAsia"/>
                <w:lang w:eastAsia="zh-CN"/>
              </w:rPr>
              <w:t>，</w:t>
            </w:r>
            <w:r>
              <w:rPr>
                <w:rFonts w:hint="eastAsia"/>
                <w:lang w:val="en-US" w:eastAsia="zh-CN"/>
              </w:rPr>
              <w:t>医疗过程中会产生含感染成分的医疗废物，处置不当会对周围环境产生较大影响，项目应认真贯彻执行《中华人民共和国传染病防治法》、《中华人民共和国固体废物污染环境防治法》、《医疗废物管理条例》、《医疗废物分类目录》和《医疗卫生机构医疗废物管理办法》的相关条例，要求把一次性医疗器具的规范化管理作为防治感染的重要环节来抓，从合法的渠道采购，建立采购、保管、使用和处置登记册，一次性医疗器具使用后必须消毒、去除针头、当场毁型，集中放入专用的容器或袋内由具有资质的单位处置，不得交由其它任何单位和个人处置。根据《医疗卫生机构医疗废物管理办法》的规定，项目应安排专人做好每天产生的医疗固体废物的收集、管理工作，按规定对医疗废物进行初级处理，并进行分类、包装，储放在分割明显、交通便利、防风雨、防渗漏、防失窃并设有明显标志的场地；污水处理过程中会产生化粪池底泥、污水处理站栅渣和污泥等固体废物，成分含有细菌及药品，项目应</w:t>
            </w:r>
            <w:r>
              <w:rPr>
                <w:rFonts w:hint="eastAsia"/>
              </w:rPr>
              <w:t>投加消毒剂后，定期清掏暂存于危废间</w:t>
            </w:r>
            <w:r>
              <w:rPr>
                <w:rFonts w:hint="eastAsia"/>
                <w:lang w:eastAsia="zh-CN"/>
              </w:rPr>
              <w:t>，所有危险废物定期委托承德嘉恒医疗废弃物处置有限公司处理。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sz w:val="21"/>
                <w:szCs w:val="21"/>
              </w:rPr>
              <w:t>根据工艺流程分析及企业提供的相关资料，结合《固体废物鉴别标准通则》（GB34330-2017）、《国家危险废物名录》（2021年版）</w:t>
            </w:r>
            <w:r>
              <w:t>可知：本项目产生的危险废物为</w:t>
            </w:r>
            <w:r>
              <w:rPr>
                <w:rFonts w:hint="eastAsia"/>
                <w:lang w:val="en-US" w:eastAsia="zh-CN"/>
              </w:rPr>
              <w:t>医疗废物、化粪池底泥、污水处理站栅渣和污泥。</w:t>
            </w:r>
          </w:p>
          <w:p>
            <w:pPr>
              <w:jc w:val="center"/>
              <w:rPr>
                <w:rFonts w:hint="default"/>
                <w:b/>
                <w:bCs/>
                <w:sz w:val="21"/>
                <w:szCs w:val="21"/>
                <w:lang w:val="en-US"/>
              </w:rPr>
            </w:pPr>
            <w:r>
              <w:rPr>
                <w:rFonts w:hint="eastAsia"/>
                <w:b/>
                <w:bCs/>
                <w:sz w:val="21"/>
                <w:szCs w:val="21"/>
              </w:rPr>
              <w:t>表4-1</w:t>
            </w:r>
            <w:r>
              <w:rPr>
                <w:rFonts w:hint="eastAsia"/>
                <w:b/>
                <w:bCs/>
                <w:sz w:val="21"/>
                <w:szCs w:val="21"/>
                <w:lang w:val="en-US" w:eastAsia="zh-CN"/>
              </w:rPr>
              <w:t>0危险废物汇总表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636"/>
              <w:gridCol w:w="776"/>
              <w:gridCol w:w="1196"/>
              <w:gridCol w:w="1004"/>
              <w:gridCol w:w="427"/>
              <w:gridCol w:w="427"/>
              <w:gridCol w:w="431"/>
              <w:gridCol w:w="636"/>
              <w:gridCol w:w="427"/>
              <w:gridCol w:w="870"/>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67" w:type="pct"/>
                  <w:vAlign w:val="center"/>
                </w:tcPr>
                <w:p>
                  <w:pPr>
                    <w:pStyle w:val="23"/>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序号</w:t>
                  </w:r>
                </w:p>
              </w:tc>
              <w:tc>
                <w:tcPr>
                  <w:tcW w:w="411" w:type="pct"/>
                  <w:vAlign w:val="center"/>
                </w:tcPr>
                <w:p>
                  <w:pPr>
                    <w:pStyle w:val="23"/>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废物名称</w:t>
                  </w:r>
                </w:p>
              </w:tc>
              <w:tc>
                <w:tcPr>
                  <w:tcW w:w="434" w:type="pct"/>
                  <w:vAlign w:val="center"/>
                </w:tcPr>
                <w:p>
                  <w:pPr>
                    <w:pStyle w:val="23"/>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危险废物类别</w:t>
                  </w:r>
                </w:p>
              </w:tc>
              <w:tc>
                <w:tcPr>
                  <w:tcW w:w="695" w:type="pct"/>
                  <w:vAlign w:val="center"/>
                </w:tcPr>
                <w:p>
                  <w:pPr>
                    <w:pStyle w:val="23"/>
                    <w:jc w:val="center"/>
                    <w:rPr>
                      <w:rFonts w:hint="default" w:ascii="Times New Roman" w:hAnsi="Times New Roman" w:cs="Times New Roman"/>
                      <w:b/>
                      <w:bCs/>
                      <w:sz w:val="21"/>
                      <w:szCs w:val="21"/>
                      <w:vertAlign w:val="baseline"/>
                    </w:rPr>
                  </w:pPr>
                  <w:r>
                    <w:rPr>
                      <w:rFonts w:hint="default" w:ascii="Times New Roman" w:hAnsi="Times New Roman" w:cs="Times New Roman"/>
                      <w:b/>
                      <w:bCs/>
                      <w:sz w:val="21"/>
                      <w:szCs w:val="21"/>
                      <w:vertAlign w:val="baseline"/>
                      <w:lang w:val="en-US" w:eastAsia="zh-CN"/>
                    </w:rPr>
                    <w:t>危险废物代码</w:t>
                  </w:r>
                </w:p>
              </w:tc>
              <w:tc>
                <w:tcPr>
                  <w:tcW w:w="266" w:type="pct"/>
                  <w:vAlign w:val="center"/>
                </w:tcPr>
                <w:p>
                  <w:pPr>
                    <w:pStyle w:val="23"/>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产生量</w:t>
                  </w:r>
                </w:p>
              </w:tc>
              <w:tc>
                <w:tcPr>
                  <w:tcW w:w="417" w:type="pct"/>
                  <w:vAlign w:val="center"/>
                </w:tcPr>
                <w:p>
                  <w:pPr>
                    <w:pStyle w:val="23"/>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产生工序</w:t>
                  </w:r>
                </w:p>
              </w:tc>
              <w:tc>
                <w:tcPr>
                  <w:tcW w:w="415" w:type="pct"/>
                  <w:vAlign w:val="center"/>
                </w:tcPr>
                <w:p>
                  <w:pPr>
                    <w:pStyle w:val="23"/>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形态</w:t>
                  </w:r>
                </w:p>
              </w:tc>
              <w:tc>
                <w:tcPr>
                  <w:tcW w:w="425" w:type="pct"/>
                  <w:vAlign w:val="center"/>
                </w:tcPr>
                <w:p>
                  <w:pPr>
                    <w:pStyle w:val="23"/>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主要成分</w:t>
                  </w:r>
                </w:p>
              </w:tc>
              <w:tc>
                <w:tcPr>
                  <w:tcW w:w="415" w:type="pct"/>
                  <w:vAlign w:val="center"/>
                </w:tcPr>
                <w:p>
                  <w:pPr>
                    <w:pStyle w:val="23"/>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有害成分</w:t>
                  </w:r>
                </w:p>
              </w:tc>
              <w:tc>
                <w:tcPr>
                  <w:tcW w:w="415" w:type="pct"/>
                  <w:vAlign w:val="center"/>
                </w:tcPr>
                <w:p>
                  <w:pPr>
                    <w:pStyle w:val="23"/>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产废周期</w:t>
                  </w:r>
                </w:p>
              </w:tc>
              <w:tc>
                <w:tcPr>
                  <w:tcW w:w="425" w:type="pct"/>
                  <w:vAlign w:val="center"/>
                </w:tcPr>
                <w:p>
                  <w:pPr>
                    <w:pStyle w:val="23"/>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危险性</w:t>
                  </w:r>
                </w:p>
              </w:tc>
              <w:tc>
                <w:tcPr>
                  <w:tcW w:w="408" w:type="pct"/>
                  <w:vAlign w:val="center"/>
                </w:tcPr>
                <w:p>
                  <w:pPr>
                    <w:pStyle w:val="23"/>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restart"/>
                  <w:vAlign w:val="center"/>
                </w:tcPr>
                <w:p>
                  <w:pPr>
                    <w:pStyle w:val="23"/>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1</w:t>
                  </w:r>
                </w:p>
              </w:tc>
              <w:tc>
                <w:tcPr>
                  <w:tcW w:w="411" w:type="pct"/>
                  <w:vMerge w:val="restart"/>
                  <w:vAlign w:val="center"/>
                </w:tcPr>
                <w:p>
                  <w:pPr>
                    <w:pStyle w:val="23"/>
                    <w:jc w:val="center"/>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医疗废物</w:t>
                  </w:r>
                </w:p>
              </w:tc>
              <w:tc>
                <w:tcPr>
                  <w:tcW w:w="434" w:type="pct"/>
                  <w:vMerge w:val="restart"/>
                  <w:vAlign w:val="center"/>
                </w:tcPr>
                <w:p>
                  <w:pPr>
                    <w:pStyle w:val="23"/>
                    <w:jc w:val="center"/>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HW01</w:t>
                  </w:r>
                </w:p>
                <w:p>
                  <w:pPr>
                    <w:pStyle w:val="23"/>
                    <w:jc w:val="center"/>
                    <w:rPr>
                      <w:rFonts w:hint="default" w:ascii="Times New Roman" w:hAnsi="Times New Roman" w:cs="Times New Roman"/>
                      <w:b w:val="0"/>
                      <w:bCs w:val="0"/>
                      <w:sz w:val="21"/>
                      <w:szCs w:val="21"/>
                      <w:vertAlign w:val="baseline"/>
                    </w:rPr>
                  </w:pPr>
                </w:p>
              </w:tc>
              <w:tc>
                <w:tcPr>
                  <w:tcW w:w="695" w:type="pct"/>
                  <w:vAlign w:val="center"/>
                </w:tcPr>
                <w:p>
                  <w:pPr>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sz w:val="21"/>
                      <w:szCs w:val="21"/>
                    </w:rPr>
                    <w:t>841-001-01</w:t>
                  </w:r>
                </w:p>
              </w:tc>
              <w:tc>
                <w:tcPr>
                  <w:tcW w:w="266" w:type="pct"/>
                  <w:vMerge w:val="restart"/>
                  <w:vAlign w:val="center"/>
                </w:tcPr>
                <w:p>
                  <w:pPr>
                    <w:pStyle w:val="23"/>
                    <w:jc w:val="center"/>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22.995t/a</w:t>
                  </w:r>
                </w:p>
              </w:tc>
              <w:tc>
                <w:tcPr>
                  <w:tcW w:w="417" w:type="pct"/>
                  <w:vMerge w:val="restart"/>
                  <w:vAlign w:val="center"/>
                </w:tcPr>
                <w:p>
                  <w:pPr>
                    <w:pStyle w:val="23"/>
                    <w:jc w:val="center"/>
                    <w:rPr>
                      <w:rFonts w:hint="default" w:ascii="Times New Roman" w:hAnsi="Times New Roman" w:cs="Times New Roman"/>
                      <w:b w:val="0"/>
                      <w:bCs w:val="0"/>
                      <w:sz w:val="21"/>
                      <w:szCs w:val="21"/>
                      <w:vertAlign w:val="baseline"/>
                    </w:rPr>
                  </w:pPr>
                  <w:r>
                    <w:rPr>
                      <w:rFonts w:hint="default" w:ascii="Times New Roman" w:hAnsi="Times New Roman" w:eastAsia="宋体" w:cs="Times New Roman"/>
                      <w:b w:val="0"/>
                      <w:bCs w:val="0"/>
                      <w:color w:val="000000"/>
                      <w:sz w:val="21"/>
                      <w:szCs w:val="21"/>
                    </w:rPr>
                    <w:t>医疗过程</w:t>
                  </w:r>
                </w:p>
              </w:tc>
              <w:tc>
                <w:tcPr>
                  <w:tcW w:w="415" w:type="pct"/>
                  <w:vMerge w:val="restart"/>
                  <w:vAlign w:val="center"/>
                </w:tcPr>
                <w:p>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固态</w:t>
                  </w:r>
                </w:p>
                <w:p>
                  <w:pPr>
                    <w:jc w:val="center"/>
                    <w:rPr>
                      <w:rFonts w:hint="default" w:ascii="Times New Roman" w:hAnsi="Times New Roman" w:cs="Times New Roman"/>
                      <w:b w:val="0"/>
                      <w:bCs w:val="0"/>
                    </w:rPr>
                  </w:pPr>
                </w:p>
              </w:tc>
              <w:tc>
                <w:tcPr>
                  <w:tcW w:w="425" w:type="pct"/>
                  <w:vMerge w:val="restart"/>
                  <w:vAlign w:val="center"/>
                </w:tcPr>
                <w:p>
                  <w:pPr>
                    <w:pStyle w:val="33"/>
                    <w:spacing w:line="240" w:lineRule="auto"/>
                    <w:jc w:val="center"/>
                    <w:rPr>
                      <w:rFonts w:hint="default" w:ascii="Times New Roman" w:hAnsi="Times New Roman" w:cs="Times New Roman"/>
                      <w:b w:val="0"/>
                      <w:bCs w:val="0"/>
                      <w:sz w:val="21"/>
                      <w:szCs w:val="21"/>
                      <w:vertAlign w:val="baseline"/>
                    </w:rPr>
                  </w:pPr>
                  <w:r>
                    <w:rPr>
                      <w:rFonts w:hint="default" w:ascii="Times New Roman" w:hAnsi="Times New Roman" w:eastAsia="宋体" w:cs="Times New Roman"/>
                      <w:b w:val="0"/>
                      <w:bCs w:val="0"/>
                      <w:color w:val="000000"/>
                      <w:sz w:val="21"/>
                      <w:szCs w:val="21"/>
                    </w:rPr>
                    <w:t>含各种病菌废物</w:t>
                  </w:r>
                </w:p>
              </w:tc>
              <w:tc>
                <w:tcPr>
                  <w:tcW w:w="415" w:type="pct"/>
                  <w:vMerge w:val="restart"/>
                  <w:vAlign w:val="center"/>
                </w:tcPr>
                <w:p>
                  <w:pPr>
                    <w:pStyle w:val="33"/>
                    <w:spacing w:line="240" w:lineRule="auto"/>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感染性废物</w:t>
                  </w:r>
                </w:p>
                <w:p>
                  <w:pPr>
                    <w:pStyle w:val="23"/>
                    <w:jc w:val="center"/>
                    <w:rPr>
                      <w:rFonts w:hint="default" w:ascii="Times New Roman" w:hAnsi="Times New Roman" w:cs="Times New Roman"/>
                      <w:b w:val="0"/>
                      <w:bCs w:val="0"/>
                      <w:sz w:val="21"/>
                      <w:szCs w:val="21"/>
                      <w:vertAlign w:val="baseline"/>
                    </w:rPr>
                  </w:pPr>
                </w:p>
              </w:tc>
              <w:tc>
                <w:tcPr>
                  <w:tcW w:w="415" w:type="pct"/>
                  <w:vMerge w:val="restart"/>
                  <w:vAlign w:val="center"/>
                </w:tcPr>
                <w:p>
                  <w:pPr>
                    <w:pStyle w:val="23"/>
                    <w:jc w:val="center"/>
                    <w:rPr>
                      <w:rFonts w:hint="eastAsia" w:ascii="Times New Roman" w:hAnsi="Times New Roman" w:eastAsia="宋体" w:cs="Times New Roman"/>
                      <w:b w:val="0"/>
                      <w:bCs w:val="0"/>
                      <w:sz w:val="21"/>
                      <w:szCs w:val="21"/>
                      <w:vertAlign w:val="baseline"/>
                      <w:lang w:val="en-US" w:eastAsia="zh-CN"/>
                    </w:rPr>
                  </w:pPr>
                  <w:r>
                    <w:rPr>
                      <w:rFonts w:hint="eastAsia" w:ascii="Times New Roman" w:cs="Times New Roman"/>
                      <w:b w:val="0"/>
                      <w:bCs w:val="0"/>
                      <w:sz w:val="21"/>
                      <w:szCs w:val="21"/>
                      <w:vertAlign w:val="baseline"/>
                      <w:lang w:val="en-US" w:eastAsia="zh-CN"/>
                    </w:rPr>
                    <w:t>1天</w:t>
                  </w:r>
                </w:p>
              </w:tc>
              <w:tc>
                <w:tcPr>
                  <w:tcW w:w="425" w:type="pct"/>
                  <w:vAlign w:val="center"/>
                </w:tcPr>
                <w:p>
                  <w:pPr>
                    <w:pStyle w:val="33"/>
                    <w:spacing w:line="240" w:lineRule="auto"/>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In</w:t>
                  </w:r>
                </w:p>
              </w:tc>
              <w:tc>
                <w:tcPr>
                  <w:tcW w:w="408" w:type="pct"/>
                  <w:vMerge w:val="restart"/>
                  <w:vAlign w:val="center"/>
                </w:tcPr>
                <w:p>
                  <w:pPr>
                    <w:pStyle w:val="23"/>
                    <w:jc w:val="center"/>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color w:val="000000"/>
                      <w:sz w:val="21"/>
                      <w:szCs w:val="21"/>
                    </w:rPr>
                    <w:t>暂存于现有医废暂存间内委托</w:t>
                  </w:r>
                  <w:r>
                    <w:rPr>
                      <w:rFonts w:hint="default" w:ascii="Times New Roman" w:hAnsi="Times New Roman" w:cs="Times New Roman"/>
                      <w:b w:val="0"/>
                      <w:bCs w:val="0"/>
                      <w:color w:val="000000"/>
                      <w:sz w:val="21"/>
                      <w:szCs w:val="21"/>
                      <w:lang w:val="en-US" w:eastAsia="zh-CN"/>
                    </w:rPr>
                    <w:t>承德嘉恒医疗废弃物处置有限公司</w:t>
                  </w:r>
                  <w:r>
                    <w:rPr>
                      <w:rFonts w:hint="default" w:ascii="Times New Roman" w:hAnsi="Times New Roman" w:cs="Times New Roman"/>
                      <w:b w:val="0"/>
                      <w:bCs w:val="0"/>
                      <w:color w:val="000000"/>
                      <w:sz w:val="21"/>
                      <w:szCs w:val="21"/>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vAlign w:val="center"/>
                </w:tcPr>
                <w:p>
                  <w:pPr>
                    <w:pStyle w:val="23"/>
                    <w:jc w:val="center"/>
                    <w:rPr>
                      <w:rFonts w:hint="default" w:ascii="Times New Roman" w:hAnsi="Times New Roman" w:cs="Times New Roman"/>
                      <w:b/>
                      <w:bCs/>
                      <w:sz w:val="21"/>
                      <w:szCs w:val="21"/>
                      <w:vertAlign w:val="baseline"/>
                    </w:rPr>
                  </w:pPr>
                </w:p>
              </w:tc>
              <w:tc>
                <w:tcPr>
                  <w:tcW w:w="411"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34"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695" w:type="pct"/>
                  <w:vAlign w:val="center"/>
                </w:tcPr>
                <w:p>
                  <w:pPr>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sz w:val="21"/>
                      <w:szCs w:val="21"/>
                    </w:rPr>
                    <w:t>841-002-01</w:t>
                  </w:r>
                </w:p>
              </w:tc>
              <w:tc>
                <w:tcPr>
                  <w:tcW w:w="266"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17"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15"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25"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15"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15"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25" w:type="pct"/>
                  <w:vAlign w:val="center"/>
                </w:tcPr>
                <w:p>
                  <w:pPr>
                    <w:pStyle w:val="33"/>
                    <w:spacing w:line="240" w:lineRule="auto"/>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In</w:t>
                  </w:r>
                </w:p>
              </w:tc>
              <w:tc>
                <w:tcPr>
                  <w:tcW w:w="408" w:type="pct"/>
                  <w:vMerge w:val="continue"/>
                  <w:vAlign w:val="center"/>
                </w:tcPr>
                <w:p>
                  <w:pPr>
                    <w:pStyle w:val="23"/>
                    <w:jc w:val="center"/>
                    <w:rPr>
                      <w:rFonts w:hint="default" w:ascii="Times New Roman" w:hAnsi="Times New Roman" w:cs="Times New Roman"/>
                      <w:b w:val="0"/>
                      <w:bCs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vAlign w:val="center"/>
                </w:tcPr>
                <w:p>
                  <w:pPr>
                    <w:pStyle w:val="23"/>
                    <w:jc w:val="center"/>
                    <w:rPr>
                      <w:rFonts w:hint="default" w:ascii="Times New Roman" w:hAnsi="Times New Roman" w:cs="Times New Roman"/>
                      <w:b/>
                      <w:bCs/>
                      <w:sz w:val="21"/>
                      <w:szCs w:val="21"/>
                      <w:vertAlign w:val="baseline"/>
                    </w:rPr>
                  </w:pPr>
                </w:p>
              </w:tc>
              <w:tc>
                <w:tcPr>
                  <w:tcW w:w="411"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34"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695" w:type="pct"/>
                  <w:vAlign w:val="center"/>
                </w:tcPr>
                <w:p>
                  <w:pPr>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sz w:val="21"/>
                      <w:szCs w:val="21"/>
                    </w:rPr>
                    <w:t>841-003-01</w:t>
                  </w:r>
                </w:p>
              </w:tc>
              <w:tc>
                <w:tcPr>
                  <w:tcW w:w="266"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17"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15"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25"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15"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15"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25" w:type="pct"/>
                  <w:vAlign w:val="center"/>
                </w:tcPr>
                <w:p>
                  <w:pPr>
                    <w:pStyle w:val="33"/>
                    <w:spacing w:line="240" w:lineRule="auto"/>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In</w:t>
                  </w:r>
                </w:p>
              </w:tc>
              <w:tc>
                <w:tcPr>
                  <w:tcW w:w="408" w:type="pct"/>
                  <w:vMerge w:val="continue"/>
                  <w:vAlign w:val="center"/>
                </w:tcPr>
                <w:p>
                  <w:pPr>
                    <w:pStyle w:val="23"/>
                    <w:jc w:val="center"/>
                    <w:rPr>
                      <w:rFonts w:hint="default" w:ascii="Times New Roman" w:hAnsi="Times New Roman" w:cs="Times New Roman"/>
                      <w:b w:val="0"/>
                      <w:bCs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67" w:type="pct"/>
                  <w:vMerge w:val="continue"/>
                  <w:vAlign w:val="center"/>
                </w:tcPr>
                <w:p>
                  <w:pPr>
                    <w:pStyle w:val="23"/>
                    <w:jc w:val="center"/>
                    <w:rPr>
                      <w:rFonts w:hint="default" w:ascii="Times New Roman" w:hAnsi="Times New Roman" w:cs="Times New Roman"/>
                      <w:b/>
                      <w:bCs/>
                      <w:sz w:val="21"/>
                      <w:szCs w:val="21"/>
                      <w:vertAlign w:val="baseline"/>
                    </w:rPr>
                  </w:pPr>
                </w:p>
              </w:tc>
              <w:tc>
                <w:tcPr>
                  <w:tcW w:w="411"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34"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695" w:type="pct"/>
                  <w:vAlign w:val="center"/>
                </w:tcPr>
                <w:p>
                  <w:pPr>
                    <w:jc w:val="both"/>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sz w:val="21"/>
                      <w:szCs w:val="21"/>
                    </w:rPr>
                    <w:t>841-004-01</w:t>
                  </w:r>
                </w:p>
              </w:tc>
              <w:tc>
                <w:tcPr>
                  <w:tcW w:w="266"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17"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15"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25"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15"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15"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25" w:type="pct"/>
                  <w:vAlign w:val="center"/>
                </w:tcPr>
                <w:p>
                  <w:pPr>
                    <w:pStyle w:val="33"/>
                    <w:spacing w:line="240" w:lineRule="auto"/>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T/C/I/R</w:t>
                  </w:r>
                </w:p>
              </w:tc>
              <w:tc>
                <w:tcPr>
                  <w:tcW w:w="408" w:type="pct"/>
                  <w:vMerge w:val="continue"/>
                  <w:vAlign w:val="center"/>
                </w:tcPr>
                <w:p>
                  <w:pPr>
                    <w:pStyle w:val="23"/>
                    <w:jc w:val="center"/>
                    <w:rPr>
                      <w:rFonts w:hint="default" w:ascii="Times New Roman" w:hAnsi="Times New Roman" w:cs="Times New Roman"/>
                      <w:b w:val="0"/>
                      <w:bCs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67" w:type="pct"/>
                  <w:vMerge w:val="continue"/>
                  <w:vAlign w:val="center"/>
                </w:tcPr>
                <w:p>
                  <w:pPr>
                    <w:pStyle w:val="23"/>
                    <w:jc w:val="center"/>
                    <w:rPr>
                      <w:rFonts w:hint="default" w:ascii="Times New Roman" w:hAnsi="Times New Roman" w:cs="Times New Roman"/>
                      <w:b/>
                      <w:bCs/>
                      <w:sz w:val="21"/>
                      <w:szCs w:val="21"/>
                      <w:vertAlign w:val="baseline"/>
                    </w:rPr>
                  </w:pPr>
                </w:p>
              </w:tc>
              <w:tc>
                <w:tcPr>
                  <w:tcW w:w="411"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34"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695" w:type="pct"/>
                  <w:vAlign w:val="center"/>
                </w:tcPr>
                <w:p>
                  <w:pPr>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sz w:val="21"/>
                      <w:szCs w:val="21"/>
                    </w:rPr>
                    <w:t>841-005-01</w:t>
                  </w:r>
                </w:p>
              </w:tc>
              <w:tc>
                <w:tcPr>
                  <w:tcW w:w="266"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17"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15"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25"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15"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15" w:type="pct"/>
                  <w:vMerge w:val="continue"/>
                  <w:vAlign w:val="center"/>
                </w:tcPr>
                <w:p>
                  <w:pPr>
                    <w:pStyle w:val="23"/>
                    <w:jc w:val="center"/>
                    <w:rPr>
                      <w:rFonts w:hint="default" w:ascii="Times New Roman" w:hAnsi="Times New Roman" w:cs="Times New Roman"/>
                      <w:b w:val="0"/>
                      <w:bCs w:val="0"/>
                      <w:sz w:val="21"/>
                      <w:szCs w:val="21"/>
                      <w:vertAlign w:val="baseline"/>
                    </w:rPr>
                  </w:pPr>
                </w:p>
              </w:tc>
              <w:tc>
                <w:tcPr>
                  <w:tcW w:w="425" w:type="pct"/>
                  <w:vAlign w:val="center"/>
                </w:tcPr>
                <w:p>
                  <w:pPr>
                    <w:pStyle w:val="33"/>
                    <w:spacing w:line="240" w:lineRule="auto"/>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T</w:t>
                  </w:r>
                </w:p>
              </w:tc>
              <w:tc>
                <w:tcPr>
                  <w:tcW w:w="408" w:type="pct"/>
                  <w:vMerge w:val="continue"/>
                  <w:vAlign w:val="center"/>
                </w:tcPr>
                <w:p>
                  <w:pPr>
                    <w:pStyle w:val="23"/>
                    <w:jc w:val="center"/>
                    <w:rPr>
                      <w:rFonts w:hint="default" w:ascii="Times New Roman" w:hAnsi="Times New Roman" w:cs="Times New Roman"/>
                      <w:b w:val="0"/>
                      <w:bCs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23"/>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2</w:t>
                  </w:r>
                </w:p>
              </w:tc>
              <w:tc>
                <w:tcPr>
                  <w:tcW w:w="411" w:type="pct"/>
                  <w:vAlign w:val="center"/>
                </w:tcPr>
                <w:p>
                  <w:pPr>
                    <w:pStyle w:val="23"/>
                    <w:jc w:val="center"/>
                    <w:rPr>
                      <w:rFonts w:hint="default" w:ascii="Times New Roman" w:hAnsi="Times New Roman" w:cs="Times New Roman"/>
                      <w:b w:val="0"/>
                      <w:bCs w:val="0"/>
                      <w:sz w:val="21"/>
                      <w:szCs w:val="21"/>
                      <w:vertAlign w:val="baseline"/>
                    </w:rPr>
                  </w:pPr>
                  <w:r>
                    <w:rPr>
                      <w:rFonts w:hint="default"/>
                      <w:sz w:val="21"/>
                      <w:szCs w:val="21"/>
                    </w:rPr>
                    <w:t>化粪池底泥、污水处理站栅渣和污泥</w:t>
                  </w:r>
                </w:p>
              </w:tc>
              <w:tc>
                <w:tcPr>
                  <w:tcW w:w="434" w:type="pct"/>
                  <w:vAlign w:val="center"/>
                </w:tcPr>
                <w:p>
                  <w:pPr>
                    <w:pStyle w:val="23"/>
                    <w:jc w:val="center"/>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HW01</w:t>
                  </w:r>
                </w:p>
                <w:p>
                  <w:pPr>
                    <w:pStyle w:val="23"/>
                    <w:jc w:val="center"/>
                    <w:rPr>
                      <w:rFonts w:hint="default" w:ascii="Times New Roman" w:hAnsi="Times New Roman" w:cs="Times New Roman"/>
                      <w:b w:val="0"/>
                      <w:bCs w:val="0"/>
                      <w:sz w:val="21"/>
                      <w:szCs w:val="21"/>
                      <w:vertAlign w:val="baseline"/>
                    </w:rPr>
                  </w:pPr>
                </w:p>
              </w:tc>
              <w:tc>
                <w:tcPr>
                  <w:tcW w:w="695" w:type="pct"/>
                  <w:vAlign w:val="center"/>
                </w:tcPr>
                <w:p>
                  <w:pPr>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sz w:val="21"/>
                      <w:szCs w:val="21"/>
                    </w:rPr>
                    <w:t>841-001-01</w:t>
                  </w:r>
                </w:p>
              </w:tc>
              <w:tc>
                <w:tcPr>
                  <w:tcW w:w="266" w:type="pct"/>
                  <w:vAlign w:val="center"/>
                </w:tcPr>
                <w:p>
                  <w:pPr>
                    <w:pStyle w:val="23"/>
                    <w:jc w:val="center"/>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2.0586t/a</w:t>
                  </w:r>
                </w:p>
              </w:tc>
              <w:tc>
                <w:tcPr>
                  <w:tcW w:w="417" w:type="pct"/>
                  <w:vAlign w:val="center"/>
                </w:tcPr>
                <w:p>
                  <w:pPr>
                    <w:pStyle w:val="23"/>
                    <w:jc w:val="center"/>
                    <w:rPr>
                      <w:rFonts w:hint="default" w:ascii="Times New Roman" w:hAnsi="Times New Roman" w:cs="Times New Roman"/>
                      <w:b w:val="0"/>
                      <w:bCs w:val="0"/>
                      <w:sz w:val="21"/>
                      <w:szCs w:val="21"/>
                      <w:vertAlign w:val="baseline"/>
                    </w:rPr>
                  </w:pPr>
                  <w:r>
                    <w:rPr>
                      <w:rFonts w:hint="default" w:ascii="Times New Roman" w:hAnsi="Times New Roman" w:eastAsia="宋体" w:cs="Times New Roman"/>
                      <w:b w:val="0"/>
                      <w:bCs w:val="0"/>
                      <w:color w:val="000000"/>
                      <w:sz w:val="21"/>
                      <w:szCs w:val="21"/>
                    </w:rPr>
                    <w:t>污水处理</w:t>
                  </w:r>
                </w:p>
              </w:tc>
              <w:tc>
                <w:tcPr>
                  <w:tcW w:w="415" w:type="pct"/>
                  <w:vAlign w:val="center"/>
                </w:tcPr>
                <w:p>
                  <w:pPr>
                    <w:jc w:val="center"/>
                    <w:rPr>
                      <w:rFonts w:hint="default" w:ascii="Times New Roman" w:hAnsi="Times New Roman" w:cs="Times New Roman"/>
                      <w:b w:val="0"/>
                      <w:bCs w:val="0"/>
                      <w:sz w:val="21"/>
                      <w:szCs w:val="21"/>
                      <w:vertAlign w:val="baseline"/>
                    </w:rPr>
                  </w:pPr>
                  <w:r>
                    <w:rPr>
                      <w:rFonts w:hint="default" w:ascii="Times New Roman" w:hAnsi="Times New Roman" w:eastAsia="宋体" w:cs="Times New Roman"/>
                      <w:b w:val="0"/>
                      <w:bCs w:val="0"/>
                      <w:color w:val="000000"/>
                      <w:sz w:val="21"/>
                      <w:szCs w:val="21"/>
                    </w:rPr>
                    <w:t>固态</w:t>
                  </w:r>
                </w:p>
              </w:tc>
              <w:tc>
                <w:tcPr>
                  <w:tcW w:w="425" w:type="pct"/>
                  <w:vAlign w:val="center"/>
                </w:tcPr>
                <w:p>
                  <w:pPr>
                    <w:pStyle w:val="33"/>
                    <w:spacing w:line="240" w:lineRule="auto"/>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污泥</w:t>
                  </w:r>
                </w:p>
              </w:tc>
              <w:tc>
                <w:tcPr>
                  <w:tcW w:w="415" w:type="pct"/>
                  <w:vAlign w:val="center"/>
                </w:tcPr>
                <w:p>
                  <w:pPr>
                    <w:pStyle w:val="33"/>
                    <w:spacing w:line="240" w:lineRule="auto"/>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细菌、药品等</w:t>
                  </w:r>
                </w:p>
              </w:tc>
              <w:tc>
                <w:tcPr>
                  <w:tcW w:w="415" w:type="pct"/>
                  <w:vAlign w:val="center"/>
                </w:tcPr>
                <w:p>
                  <w:pPr>
                    <w:pStyle w:val="23"/>
                    <w:jc w:val="center"/>
                    <w:rPr>
                      <w:rFonts w:hint="eastAsia" w:ascii="Times New Roman" w:hAnsi="Times New Roman" w:eastAsia="宋体" w:cs="Times New Roman"/>
                      <w:b w:val="0"/>
                      <w:bCs w:val="0"/>
                      <w:sz w:val="21"/>
                      <w:szCs w:val="21"/>
                      <w:vertAlign w:val="baseline"/>
                      <w:lang w:val="en-US" w:eastAsia="zh-CN"/>
                    </w:rPr>
                  </w:pPr>
                  <w:r>
                    <w:rPr>
                      <w:rFonts w:hint="eastAsia" w:ascii="Times New Roman" w:cs="Times New Roman"/>
                      <w:b w:val="0"/>
                      <w:bCs w:val="0"/>
                      <w:sz w:val="21"/>
                      <w:szCs w:val="21"/>
                      <w:vertAlign w:val="baseline"/>
                      <w:lang w:val="en-US" w:eastAsia="zh-CN"/>
                    </w:rPr>
                    <w:t>半年</w:t>
                  </w:r>
                </w:p>
              </w:tc>
              <w:tc>
                <w:tcPr>
                  <w:tcW w:w="425" w:type="pct"/>
                  <w:vAlign w:val="center"/>
                </w:tcPr>
                <w:p>
                  <w:pPr>
                    <w:pStyle w:val="33"/>
                    <w:spacing w:line="240" w:lineRule="auto"/>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In</w:t>
                  </w:r>
                </w:p>
              </w:tc>
              <w:tc>
                <w:tcPr>
                  <w:tcW w:w="408" w:type="pct"/>
                  <w:vMerge w:val="continue"/>
                  <w:vAlign w:val="center"/>
                </w:tcPr>
                <w:p>
                  <w:pPr>
                    <w:pStyle w:val="23"/>
                    <w:jc w:val="center"/>
                    <w:rPr>
                      <w:rFonts w:hint="default" w:ascii="Times New Roman" w:hAnsi="Times New Roman" w:cs="Times New Roman"/>
                      <w:b w:val="0"/>
                      <w:bCs w:val="0"/>
                      <w:sz w:val="21"/>
                      <w:szCs w:val="21"/>
                      <w:vertAlign w:val="baseline"/>
                    </w:rPr>
                  </w:pPr>
                </w:p>
              </w:tc>
            </w:tr>
          </w:tbl>
          <w:p>
            <w:pPr>
              <w:spacing w:line="360" w:lineRule="auto"/>
              <w:ind w:firstLine="420" w:firstLineChars="200"/>
              <w:rPr>
                <w:b w:val="0"/>
                <w:bCs/>
                <w:sz w:val="21"/>
                <w:szCs w:val="21"/>
              </w:rPr>
            </w:pPr>
            <w:r>
              <w:rPr>
                <w:b w:val="0"/>
                <w:bCs/>
                <w:sz w:val="21"/>
                <w:szCs w:val="21"/>
              </w:rPr>
              <w:t>2</w:t>
            </w:r>
            <w:r>
              <w:rPr>
                <w:rFonts w:hint="eastAsia"/>
                <w:b w:val="0"/>
                <w:bCs/>
                <w:sz w:val="21"/>
                <w:szCs w:val="21"/>
              </w:rPr>
              <w:t>）</w:t>
            </w:r>
            <w:r>
              <w:rPr>
                <w:rFonts w:ascii="Times New Roman" w:cs="Times New Roman"/>
                <w:b w:val="0"/>
                <w:bCs/>
                <w:color w:val="auto"/>
                <w:sz w:val="21"/>
                <w:szCs w:val="21"/>
              </w:rPr>
              <w:t>危险废物贮存场所（设施）</w:t>
            </w:r>
          </w:p>
          <w:p>
            <w:pPr>
              <w:spacing w:line="360" w:lineRule="auto"/>
              <w:ind w:firstLine="420" w:firstLineChars="200"/>
              <w:rPr>
                <w:sz w:val="21"/>
                <w:szCs w:val="21"/>
              </w:rPr>
            </w:pPr>
            <w:r>
              <w:rPr>
                <w:rFonts w:hint="eastAsia"/>
                <w:bCs/>
                <w:sz w:val="21"/>
                <w:szCs w:val="21"/>
              </w:rPr>
              <w:t>根据《医疗卫生机构医疗废物管理办法》的规定，项目应安排专人做好每天产生的医疗固体废物的收集、管理工作，按规定对医疗废物进行初级处理，并进行分类、包装，储放在分割明显、交通便利、防风雨、防渗漏、防失窃并设有明显标志的场地。与此同时，项目应做好医疗固体废物储存场地的消毒、灭菌工作</w:t>
            </w:r>
            <w:r>
              <w:rPr>
                <w:rFonts w:hint="eastAsia" w:ascii="宋体" w:hAnsi="宋体" w:cs="宋体"/>
                <w:color w:val="000000"/>
                <w:kern w:val="0"/>
                <w:sz w:val="21"/>
                <w:szCs w:val="21"/>
                <w:lang w:bidi="ar"/>
              </w:rPr>
              <w:t xml:space="preserve">。 </w:t>
            </w:r>
          </w:p>
          <w:p>
            <w:pPr>
              <w:spacing w:line="360" w:lineRule="auto"/>
              <w:ind w:firstLine="420" w:firstLineChars="200"/>
              <w:rPr>
                <w:bCs/>
                <w:sz w:val="21"/>
                <w:szCs w:val="21"/>
              </w:rPr>
            </w:pPr>
            <w:r>
              <w:rPr>
                <w:bCs/>
                <w:sz w:val="21"/>
                <w:szCs w:val="21"/>
              </w:rPr>
              <w:t>根据《中华人民共和国固体废物污染环境防治法》规定，本项目建设须按照《危险废物贮存污染控制标准》（GB</w:t>
            </w:r>
            <w:r>
              <w:rPr>
                <w:rFonts w:hint="eastAsia"/>
                <w:bCs/>
                <w:sz w:val="21"/>
                <w:szCs w:val="21"/>
              </w:rPr>
              <w:t>18597-2020</w:t>
            </w:r>
            <w:r>
              <w:rPr>
                <w:bCs/>
                <w:sz w:val="21"/>
                <w:szCs w:val="21"/>
              </w:rPr>
              <w:t>）要求设置危险废物暂存间，具体如下：</w:t>
            </w:r>
          </w:p>
          <w:p>
            <w:pPr>
              <w:spacing w:line="360" w:lineRule="auto"/>
              <w:ind w:firstLine="420" w:firstLineChars="200"/>
              <w:rPr>
                <w:bCs/>
                <w:sz w:val="21"/>
                <w:szCs w:val="21"/>
              </w:rPr>
            </w:pPr>
            <w:r>
              <w:rPr>
                <w:bCs/>
                <w:sz w:val="21"/>
                <w:szCs w:val="21"/>
              </w:rPr>
              <w:t>①危险废物贮存设施的选址、设计、建设、运行管理应满足GB18597、GBZ1和GBZ2的有关要求。</w:t>
            </w:r>
          </w:p>
          <w:p>
            <w:pPr>
              <w:spacing w:line="360" w:lineRule="auto"/>
              <w:ind w:firstLine="420" w:firstLineChars="200"/>
              <w:rPr>
                <w:bCs/>
                <w:sz w:val="21"/>
                <w:szCs w:val="21"/>
              </w:rPr>
            </w:pPr>
            <w:r>
              <w:rPr>
                <w:bCs/>
                <w:sz w:val="21"/>
                <w:szCs w:val="21"/>
              </w:rPr>
              <w:t>②危险废物贮存设施配备通讯设备、照明设施和消防设施。</w:t>
            </w:r>
          </w:p>
          <w:p>
            <w:pPr>
              <w:spacing w:line="360" w:lineRule="auto"/>
              <w:ind w:firstLine="420" w:firstLineChars="200"/>
              <w:rPr>
                <w:bCs/>
                <w:sz w:val="21"/>
                <w:szCs w:val="21"/>
              </w:rPr>
            </w:pPr>
            <w:r>
              <w:rPr>
                <w:bCs/>
                <w:sz w:val="21"/>
                <w:szCs w:val="21"/>
              </w:rPr>
              <w:t>③存放液体危险废物的区域设置堵截泄漏的裙脚，地面与裙脚所围建的容积不低于堵截最大容器的最大储量或总储量的1/5，防渗系数不小于10</w:t>
            </w:r>
            <w:r>
              <w:rPr>
                <w:bCs/>
                <w:sz w:val="21"/>
                <w:szCs w:val="21"/>
                <w:vertAlign w:val="superscript"/>
              </w:rPr>
              <w:t>-10</w:t>
            </w:r>
            <w:r>
              <w:rPr>
                <w:bCs/>
                <w:sz w:val="21"/>
                <w:szCs w:val="21"/>
              </w:rPr>
              <w:t>cm/s。</w:t>
            </w:r>
          </w:p>
          <w:p>
            <w:pPr>
              <w:spacing w:line="360" w:lineRule="auto"/>
              <w:ind w:firstLine="420" w:firstLineChars="200"/>
              <w:rPr>
                <w:bCs/>
                <w:sz w:val="21"/>
                <w:szCs w:val="21"/>
              </w:rPr>
            </w:pPr>
            <w:r>
              <w:rPr>
                <w:bCs/>
                <w:sz w:val="21"/>
                <w:szCs w:val="21"/>
              </w:rPr>
              <w:t>④贮存危险废物时按危险废物的种类和特性进行分区贮存，每个贮存区域之间宜设置挡墙间隔，并设置防风、防雨、防晒、防渗（渗透系数≤10</w:t>
            </w:r>
            <w:r>
              <w:rPr>
                <w:bCs/>
                <w:sz w:val="21"/>
                <w:szCs w:val="21"/>
                <w:vertAlign w:val="superscript"/>
              </w:rPr>
              <w:t>-10</w:t>
            </w:r>
            <w:r>
              <w:rPr>
                <w:bCs/>
                <w:sz w:val="21"/>
                <w:szCs w:val="21"/>
              </w:rPr>
              <w:t>cm/s）。</w:t>
            </w:r>
          </w:p>
          <w:p>
            <w:pPr>
              <w:spacing w:line="360" w:lineRule="auto"/>
              <w:ind w:firstLine="420" w:firstLineChars="200"/>
              <w:rPr>
                <w:bCs/>
                <w:sz w:val="21"/>
                <w:szCs w:val="21"/>
              </w:rPr>
            </w:pPr>
            <w:r>
              <w:rPr>
                <w:bCs/>
                <w:sz w:val="21"/>
                <w:szCs w:val="21"/>
              </w:rPr>
              <w:t>⑤危险废物贮存间设置泄露液体收集装置，如导流槽、收集池，防渗系数不小于10</w:t>
            </w:r>
            <w:r>
              <w:rPr>
                <w:bCs/>
                <w:sz w:val="21"/>
                <w:szCs w:val="21"/>
                <w:vertAlign w:val="superscript"/>
              </w:rPr>
              <w:t>-10</w:t>
            </w:r>
            <w:r>
              <w:rPr>
                <w:bCs/>
                <w:sz w:val="21"/>
                <w:szCs w:val="21"/>
              </w:rPr>
              <w:t>cm/s。</w:t>
            </w:r>
          </w:p>
          <w:p>
            <w:pPr>
              <w:spacing w:line="360" w:lineRule="auto"/>
              <w:ind w:firstLine="420" w:firstLineChars="200"/>
              <w:rPr>
                <w:bCs/>
                <w:sz w:val="21"/>
                <w:szCs w:val="21"/>
              </w:rPr>
            </w:pPr>
            <w:r>
              <w:rPr>
                <w:bCs/>
                <w:sz w:val="21"/>
                <w:szCs w:val="21"/>
              </w:rPr>
              <w:t>⑥危险废物贮存期限按《中华人民共和国固体废物污染环境防治法》的有关规定，及时交由资质单位集中处置。</w:t>
            </w:r>
          </w:p>
          <w:p>
            <w:pPr>
              <w:spacing w:line="360" w:lineRule="auto"/>
              <w:ind w:firstLine="420" w:firstLineChars="200"/>
              <w:rPr>
                <w:bCs/>
                <w:sz w:val="21"/>
                <w:szCs w:val="21"/>
              </w:rPr>
            </w:pPr>
            <w:r>
              <w:rPr>
                <w:bCs/>
                <w:sz w:val="21"/>
                <w:szCs w:val="21"/>
              </w:rPr>
              <w:t>⑦危险废物贮存单位建立危险废物贮存的台帐制度，并做好危险废物出入库交接记录。</w:t>
            </w:r>
          </w:p>
          <w:p>
            <w:pPr>
              <w:spacing w:line="360" w:lineRule="auto"/>
              <w:ind w:firstLine="420" w:firstLineChars="200"/>
              <w:rPr>
                <w:bCs/>
                <w:sz w:val="21"/>
                <w:szCs w:val="21"/>
              </w:rPr>
            </w:pPr>
            <w:r>
              <w:rPr>
                <w:bCs/>
                <w:sz w:val="21"/>
                <w:szCs w:val="21"/>
              </w:rPr>
              <w:t>⑧存放装载液体、半固体危险废物容器位置，有耐腐蚀的硬化地面，且表面无裂隙。</w:t>
            </w:r>
          </w:p>
          <w:p>
            <w:pPr>
              <w:spacing w:line="360" w:lineRule="auto"/>
              <w:ind w:firstLine="420" w:firstLineChars="200"/>
              <w:rPr>
                <w:bCs/>
                <w:sz w:val="21"/>
                <w:szCs w:val="21"/>
              </w:rPr>
            </w:pPr>
            <w:r>
              <w:rPr>
                <w:bCs/>
                <w:sz w:val="21"/>
                <w:szCs w:val="21"/>
              </w:rPr>
              <w:t>⑨危险废物暂存场所设置符合《环境保护图形标志</w:t>
            </w:r>
            <w:r>
              <w:rPr>
                <w:rFonts w:hint="eastAsia"/>
                <w:bCs/>
                <w:sz w:val="21"/>
                <w:szCs w:val="21"/>
              </w:rPr>
              <w:t>-</w:t>
            </w:r>
            <w:r>
              <w:rPr>
                <w:bCs/>
                <w:sz w:val="21"/>
                <w:szCs w:val="21"/>
              </w:rPr>
              <w:t>固体废物贮存（处置）场》（GB15562.2-1995）的专用标志。</w:t>
            </w:r>
          </w:p>
          <w:p>
            <w:pPr>
              <w:spacing w:line="360" w:lineRule="auto"/>
              <w:ind w:firstLine="420" w:firstLineChars="200"/>
              <w:rPr>
                <w:bCs/>
                <w:sz w:val="21"/>
                <w:szCs w:val="21"/>
              </w:rPr>
            </w:pPr>
            <w:r>
              <w:rPr>
                <w:bCs/>
                <w:sz w:val="21"/>
                <w:szCs w:val="21"/>
              </w:rPr>
              <w:t>⑩定期对所贮存的危险废物包装容器及贮存设施进行检查，发现破损，应及时采取措施清理更换。</w:t>
            </w:r>
          </w:p>
          <w:p>
            <w:pPr>
              <w:spacing w:line="360" w:lineRule="auto"/>
              <w:ind w:firstLine="420" w:firstLineChars="200"/>
              <w:rPr>
                <w:rFonts w:hint="eastAsia"/>
                <w:bCs/>
                <w:sz w:val="21"/>
                <w:szCs w:val="21"/>
              </w:rPr>
            </w:pPr>
            <w:r>
              <w:rPr>
                <w:bCs/>
                <w:sz w:val="21"/>
                <w:szCs w:val="21"/>
              </w:rPr>
              <w:t>⑪</w:t>
            </w:r>
            <w:r>
              <w:rPr>
                <w:rFonts w:hint="eastAsia"/>
                <w:bCs/>
                <w:sz w:val="21"/>
                <w:szCs w:val="21"/>
              </w:rPr>
              <w:t>医院产生的临床废物，必须当日消毒，消毒后装入容器。常温下贮存期不得超过一天，于5摄氏度以下冷藏的，不得超过7天。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b w:val="0"/>
                <w:bCs w:val="0"/>
              </w:rPr>
            </w:pPr>
            <w:r>
              <w:rPr>
                <w:b w:val="0"/>
                <w:bCs w:val="0"/>
              </w:rPr>
              <w:t>（3）运输过程的环境影响分析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项目危险废物运输由建设单位委托</w:t>
            </w:r>
            <w:r>
              <w:rPr>
                <w:rFonts w:hint="eastAsia"/>
              </w:rPr>
              <w:t>有资质单位</w:t>
            </w:r>
            <w:r>
              <w:t>进行运输，建设单位按照国家《危险废物环境影响评价指南》、《危险废物转移联单管理办法》的规定</w:t>
            </w:r>
            <w:r>
              <w:rPr>
                <w:rFonts w:hint="eastAsia"/>
                <w:lang w:eastAsia="zh-CN"/>
              </w:rPr>
              <w:t>，</w:t>
            </w:r>
            <w:r>
              <w:t>在转移危险废物前，报批危险废物转移计划，申请领取联单。在转移前三日内报告当地生态环境局，每转移一次同类危险废物，填写一份联单。每次有多类危险废物时，分别填写联单，并加盖公章。交付运输单位核实验收签字后，将联单第一联副联自留存档，将联单第二联交环保主管部门</w:t>
            </w:r>
            <w:r>
              <w:rPr>
                <w:rFonts w:hint="eastAsia"/>
                <w:lang w:eastAsia="zh-CN"/>
              </w:rPr>
              <w:t>。</w:t>
            </w:r>
            <w:r>
              <w:t>建设单位应配合运输单位员工进行危险废物中转作业，中转装卸及运输过程应遵守如下技术要求：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①装卸危险废物的工作人员应熟悉危险废物的属性，并配备适当的个人防护装备，装卸剧毒废物应配备特殊的防护装备。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②装卸区应配备必要的消防设备和设施，并设置明显的指示标志。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③危险废物装卸区应设置必要的隔离设施，液态废物卸载区应设置收集槽和缓冲罐等必要的应急设施。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b w:val="0"/>
                <w:bCs w:val="0"/>
              </w:rPr>
            </w:pPr>
            <w:r>
              <w:rPr>
                <w:b w:val="0"/>
                <w:bCs w:val="0"/>
              </w:rPr>
              <w:t>（4）危险废物收集、储存、转运过程应急预案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危险废物收集、储存、转运过程应编制相应的应急预案，应急预案的编制可参照《危险废物经营单位编制应急预案指南》，针对危险废物收集、储运、中转过程产生的事故易发环节应定期组织应急演练。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危险废物收集、储运、中转过程一旦发生意外事故，建设单位应根据风险应急预案立即采取如下措施：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①设立事故警戒线，启动应急预案，并按要求向环保主管部门进行报告。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②对事故受到污染的土壤和水体等进行相应的清理和修复。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③清理过程产生的所有废物均应按危险废物进行管理和处置。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④进入现场清理和包装危险废物的人员应受过专业培训，穿着防护服，佩戴防护用具。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一般工业固废储存场所建设应符合《一般工业固体废物贮存和填埋污染控制标准》（GB 18599-2020）。</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危险废物储存满足《危险废物贮存污染控制标准》（GB18597-2001）及环境保护部公告2013年第36号国家污染物控制标准修改单。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b w:val="0"/>
                <w:bCs w:val="0"/>
              </w:rPr>
            </w:pPr>
            <w:r>
              <w:rPr>
                <w:b w:val="0"/>
                <w:bCs w:val="0"/>
              </w:rPr>
              <w:t>（5）固体废物环境管理要求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①项目运营期固体废物的产生、贮存、利用和处置全过程应严格遵守国家有关建设项目环境保护管理的规定。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②项目运营期产生、收集、贮存、运输、利用、处置固体废物时，应当采取防扬散、防流失、防渗漏或者其他纺织污染环境的措施，不得擅自倾倒、堆放、丢弃、遗撒固体废物；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③建设单位运营期应当建立健全工业固体废物和危险废物产生、收集、贮存、运输、利用、处置全过程的污染环境纺织责任制度，建立工业固体废物和危险废物管理台账，如实记录产生工业固体废物的种类、数量、流向、贮存、利用、处置等信息，实现工业固体废物和危险废物可追溯，可查询，并采取防治工业固体废物和危险废物污染环境的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④企业对收集、贮存、运输、处置一般工业固体废物和危险废物的设施、设备和场所，应当加强管理和维护，保证其正常运行和使用。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⑤严禁将生活垃圾与一般工业固体废物、危险废物混合处置。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cs="Times New Roman"/>
                <w:color w:val="auto"/>
                <w:szCs w:val="21"/>
              </w:rPr>
            </w:pPr>
            <w:r>
              <w:t>⑥项目运营期间需要终止生产的，应当事先对工业固体废物和危险废物的贮存、处</w:t>
            </w:r>
            <w:r>
              <w:rPr>
                <w:rFonts w:ascii="Times New Roman" w:cs="Times New Roman"/>
                <w:color w:val="auto"/>
                <w:szCs w:val="21"/>
              </w:rPr>
              <w:t>置设施、场所采取污染防治措施，并对未处置的工业固体废物和危险废物作出妥善处置，防止污染环境。</w:t>
            </w:r>
          </w:p>
          <w:p>
            <w:pPr>
              <w:pStyle w:val="23"/>
              <w:spacing w:line="360" w:lineRule="auto"/>
              <w:ind w:firstLine="420" w:firstLineChars="200"/>
              <w:rPr>
                <w:rFonts w:ascii="Times New Roman" w:cs="Times New Roman"/>
                <w:b w:val="0"/>
                <w:bCs w:val="0"/>
                <w:color w:val="auto"/>
                <w:sz w:val="21"/>
                <w:szCs w:val="21"/>
              </w:rPr>
            </w:pPr>
            <w:r>
              <w:rPr>
                <w:rFonts w:ascii="Times New Roman" w:cs="Times New Roman"/>
                <w:b w:val="0"/>
                <w:bCs w:val="0"/>
                <w:color w:val="auto"/>
                <w:sz w:val="21"/>
                <w:szCs w:val="21"/>
              </w:rPr>
              <w:t>（6）污染防治措施技术经济论证</w:t>
            </w:r>
          </w:p>
          <w:p>
            <w:pPr>
              <w:pStyle w:val="23"/>
              <w:spacing w:line="360" w:lineRule="auto"/>
              <w:ind w:firstLine="420" w:firstLineChars="200"/>
              <w:rPr>
                <w:rFonts w:ascii="Times New Roman" w:cs="Times New Roman"/>
                <w:color w:val="auto"/>
                <w:sz w:val="21"/>
                <w:szCs w:val="21"/>
              </w:rPr>
            </w:pPr>
            <w:r>
              <w:rPr>
                <w:rFonts w:ascii="Times New Roman" w:cs="Times New Roman"/>
                <w:color w:val="auto"/>
                <w:sz w:val="21"/>
                <w:szCs w:val="21"/>
              </w:rPr>
              <w:t>1）本项目危险废物贮存间按照《危险废物贮存污染控制标准》（GB18597-2001）要求进行建设，总投资</w:t>
            </w:r>
            <w:r>
              <w:rPr>
                <w:rFonts w:ascii="Times New Roman" w:cs="Times New Roman"/>
                <w:color w:val="auto"/>
                <w:sz w:val="21"/>
                <w:szCs w:val="21"/>
                <w:highlight w:val="none"/>
              </w:rPr>
              <w:t>约</w:t>
            </w:r>
            <w:r>
              <w:rPr>
                <w:rFonts w:hint="eastAsia" w:ascii="Times New Roman" w:cs="Times New Roman"/>
                <w:color w:val="auto"/>
                <w:sz w:val="21"/>
                <w:szCs w:val="21"/>
                <w:highlight w:val="none"/>
                <w:lang w:val="en-US" w:eastAsia="zh-CN"/>
              </w:rPr>
              <w:t>5</w:t>
            </w:r>
            <w:r>
              <w:rPr>
                <w:rFonts w:ascii="Times New Roman" w:cs="Times New Roman"/>
                <w:color w:val="auto"/>
                <w:sz w:val="21"/>
                <w:szCs w:val="21"/>
                <w:highlight w:val="none"/>
              </w:rPr>
              <w:t>万</w:t>
            </w:r>
            <w:r>
              <w:rPr>
                <w:rFonts w:ascii="Times New Roman" w:cs="Times New Roman"/>
                <w:color w:val="auto"/>
                <w:sz w:val="21"/>
                <w:szCs w:val="21"/>
              </w:rPr>
              <w:t>元，可通过企业自筹方式得到资金保障，经济可行。</w:t>
            </w:r>
          </w:p>
          <w:p>
            <w:pPr>
              <w:pStyle w:val="23"/>
              <w:spacing w:line="360" w:lineRule="auto"/>
              <w:ind w:firstLine="420" w:firstLineChars="200"/>
              <w:rPr>
                <w:rFonts w:ascii="Times New Roman" w:cs="Times New Roman"/>
                <w:color w:val="auto"/>
                <w:sz w:val="21"/>
                <w:szCs w:val="21"/>
              </w:rPr>
            </w:pPr>
            <w:r>
              <w:rPr>
                <w:rFonts w:ascii="Times New Roman" w:cs="Times New Roman"/>
                <w:color w:val="auto"/>
                <w:sz w:val="21"/>
                <w:szCs w:val="21"/>
              </w:rPr>
              <w:t>2）依据《危险废物贮存污染控制标准》（GB18597-2001）中关于危险废物贮存设施的规定，本项目危险废物贮存间应符合如下要求：</w:t>
            </w:r>
          </w:p>
          <w:p>
            <w:pPr>
              <w:pStyle w:val="23"/>
              <w:spacing w:line="360" w:lineRule="auto"/>
              <w:ind w:firstLine="420" w:firstLineChars="200"/>
              <w:rPr>
                <w:rFonts w:ascii="Times New Roman" w:cs="Times New Roman"/>
                <w:color w:val="auto"/>
                <w:sz w:val="21"/>
                <w:szCs w:val="21"/>
              </w:rPr>
            </w:pPr>
            <w:r>
              <w:rPr>
                <w:rFonts w:ascii="Times New Roman" w:cs="Times New Roman"/>
                <w:color w:val="auto"/>
                <w:sz w:val="21"/>
                <w:szCs w:val="21"/>
              </w:rPr>
              <w:t>①危险废物贮存间应进行防风、防雨、防晒、防渗漏建设。基础必须进行防渗处理，防渗层为至少1m厚粘土层（渗透系数≤10</w:t>
            </w:r>
            <w:r>
              <w:rPr>
                <w:rFonts w:ascii="Times New Roman" w:cs="Times New Roman"/>
                <w:color w:val="auto"/>
                <w:sz w:val="21"/>
                <w:szCs w:val="21"/>
                <w:vertAlign w:val="superscript"/>
              </w:rPr>
              <w:t>-10</w:t>
            </w:r>
            <w:r>
              <w:rPr>
                <w:rFonts w:ascii="Times New Roman" w:cs="Times New Roman"/>
                <w:color w:val="auto"/>
                <w:sz w:val="21"/>
                <w:szCs w:val="21"/>
              </w:rPr>
              <w:t>cm/s），或2mm厚高密度聚乙烯，或至少2mm厚的其它人工材料，渗透系数≤10</w:t>
            </w:r>
            <w:r>
              <w:rPr>
                <w:rFonts w:ascii="Times New Roman" w:cs="Times New Roman"/>
                <w:color w:val="auto"/>
                <w:sz w:val="21"/>
                <w:szCs w:val="21"/>
                <w:vertAlign w:val="superscript"/>
              </w:rPr>
              <w:t>-10</w:t>
            </w:r>
            <w:r>
              <w:rPr>
                <w:rFonts w:ascii="Times New Roman" w:cs="Times New Roman"/>
                <w:color w:val="auto"/>
                <w:sz w:val="21"/>
                <w:szCs w:val="21"/>
              </w:rPr>
              <w:t>cm/s。衬里要能够覆盖危险废物或其溶出物可能涉及到的范围，衬里材料与堆放危险废物相容。</w:t>
            </w:r>
          </w:p>
          <w:p>
            <w:pPr>
              <w:pStyle w:val="23"/>
              <w:spacing w:line="360" w:lineRule="auto"/>
              <w:ind w:firstLine="420" w:firstLineChars="200"/>
              <w:rPr>
                <w:rFonts w:ascii="Times New Roman" w:cs="Times New Roman"/>
                <w:color w:val="auto"/>
                <w:sz w:val="21"/>
                <w:szCs w:val="21"/>
              </w:rPr>
            </w:pPr>
            <w:r>
              <w:rPr>
                <w:rFonts w:ascii="Times New Roman" w:cs="Times New Roman"/>
                <w:color w:val="auto"/>
                <w:sz w:val="21"/>
                <w:szCs w:val="21"/>
              </w:rPr>
              <w:t>②堆放危险废物的高度应根据地面承载能力确定。</w:t>
            </w:r>
          </w:p>
          <w:p>
            <w:pPr>
              <w:pStyle w:val="23"/>
              <w:spacing w:line="360" w:lineRule="auto"/>
              <w:ind w:firstLine="420" w:firstLineChars="200"/>
              <w:rPr>
                <w:rFonts w:ascii="Times New Roman" w:cs="Times New Roman"/>
                <w:color w:val="auto"/>
                <w:sz w:val="21"/>
                <w:szCs w:val="21"/>
              </w:rPr>
            </w:pPr>
            <w:r>
              <w:rPr>
                <w:rFonts w:ascii="Times New Roman" w:cs="Times New Roman"/>
                <w:color w:val="auto"/>
                <w:sz w:val="21"/>
                <w:szCs w:val="21"/>
              </w:rPr>
              <w:t>③应当使用符合标准的容器盛装危险废物。装载危险废物的容器及材质要满足相应的强度要求；装载危险废物的容器必须完好无损；盛装危险废物的容器材质和衬里要与危险废物相容（不相互反应）。</w:t>
            </w:r>
          </w:p>
          <w:p>
            <w:pPr>
              <w:pStyle w:val="23"/>
              <w:spacing w:line="360" w:lineRule="auto"/>
              <w:ind w:firstLine="420" w:firstLineChars="200"/>
              <w:rPr>
                <w:rFonts w:ascii="Times New Roman" w:cs="Times New Roman"/>
                <w:color w:val="auto"/>
                <w:sz w:val="21"/>
                <w:szCs w:val="21"/>
              </w:rPr>
            </w:pPr>
            <w:r>
              <w:rPr>
                <w:rFonts w:ascii="Times New Roman" w:cs="Times New Roman"/>
                <w:color w:val="auto"/>
                <w:sz w:val="21"/>
                <w:szCs w:val="21"/>
              </w:rPr>
              <w:t>④危险废物贮存间内必须有泄露液体收集装置；要有安全照明设施和观察窗口。</w:t>
            </w:r>
          </w:p>
          <w:p>
            <w:pPr>
              <w:pStyle w:val="23"/>
              <w:spacing w:line="360" w:lineRule="auto"/>
              <w:ind w:firstLine="420" w:firstLineChars="200"/>
              <w:rPr>
                <w:rFonts w:ascii="Times New Roman" w:cs="Times New Roman"/>
                <w:color w:val="auto"/>
                <w:sz w:val="21"/>
                <w:szCs w:val="21"/>
              </w:rPr>
            </w:pPr>
            <w:r>
              <w:rPr>
                <w:rFonts w:ascii="Times New Roman" w:cs="Times New Roman"/>
                <w:color w:val="auto"/>
                <w:sz w:val="21"/>
                <w:szCs w:val="21"/>
              </w:rPr>
              <w:t>⑤用以存放装载液体、半固体危险废物容器的地方，必须有耐腐蚀的硬化地面，且表面无裂痕。</w:t>
            </w:r>
          </w:p>
          <w:p>
            <w:pPr>
              <w:pStyle w:val="23"/>
              <w:spacing w:line="360" w:lineRule="auto"/>
              <w:ind w:firstLine="420" w:firstLineChars="200"/>
              <w:rPr>
                <w:rFonts w:ascii="Times New Roman" w:cs="Times New Roman"/>
                <w:color w:val="auto"/>
                <w:sz w:val="21"/>
                <w:szCs w:val="21"/>
              </w:rPr>
            </w:pPr>
            <w:r>
              <w:rPr>
                <w:rFonts w:ascii="Times New Roman" w:cs="Times New Roman"/>
                <w:color w:val="auto"/>
                <w:sz w:val="21"/>
                <w:szCs w:val="21"/>
              </w:rPr>
              <w:t>⑥应设计堵截泄露的裙脚，地面与裙脚所围建的容积不低于堵截最大容器的最大储量或总储量的1/5。</w:t>
            </w:r>
          </w:p>
          <w:p>
            <w:pPr>
              <w:pStyle w:val="23"/>
              <w:spacing w:line="360" w:lineRule="auto"/>
              <w:ind w:firstLine="420" w:firstLineChars="200"/>
              <w:rPr>
                <w:rFonts w:ascii="Times New Roman" w:cs="Times New Roman"/>
                <w:color w:val="auto"/>
                <w:sz w:val="21"/>
                <w:szCs w:val="21"/>
              </w:rPr>
            </w:pPr>
            <w:r>
              <w:rPr>
                <w:rFonts w:ascii="Times New Roman" w:cs="Times New Roman"/>
                <w:color w:val="auto"/>
                <w:sz w:val="21"/>
                <w:szCs w:val="21"/>
              </w:rPr>
              <w:t>⑦不相容的危险废物必须分开存放，并设有隔离间隔断。</w:t>
            </w:r>
          </w:p>
          <w:p>
            <w:pPr>
              <w:pStyle w:val="23"/>
              <w:spacing w:line="360" w:lineRule="auto"/>
              <w:ind w:firstLine="420" w:firstLineChars="200"/>
              <w:rPr>
                <w:rFonts w:ascii="Times New Roman" w:cs="Times New Roman"/>
                <w:color w:val="auto"/>
                <w:sz w:val="21"/>
                <w:szCs w:val="21"/>
              </w:rPr>
            </w:pPr>
            <w:r>
              <w:rPr>
                <w:rFonts w:ascii="Times New Roman" w:cs="Times New Roman"/>
                <w:color w:val="auto"/>
                <w:sz w:val="21"/>
                <w:szCs w:val="21"/>
              </w:rPr>
              <w:t>⑧危险废物贮存设施必须按GB15562.2的规定设置警示标志；盛装危险废物的容器上必须粘贴符合《危险废物贮存污染控制标准》（GB18597-2001）附录A所示的标签</w:t>
            </w:r>
          </w:p>
          <w:p>
            <w:pPr>
              <w:pStyle w:val="23"/>
              <w:spacing w:line="360" w:lineRule="auto"/>
              <w:ind w:firstLine="420" w:firstLineChars="200"/>
              <w:rPr>
                <w:rFonts w:ascii="Times New Roman" w:cs="Times New Roman"/>
                <w:color w:val="auto"/>
                <w:sz w:val="21"/>
                <w:szCs w:val="21"/>
              </w:rPr>
            </w:pPr>
            <w:r>
              <w:rPr>
                <w:rFonts w:ascii="Times New Roman" w:cs="Times New Roman"/>
                <w:color w:val="auto"/>
                <w:sz w:val="21"/>
                <w:szCs w:val="21"/>
              </w:rPr>
              <w:t>⑨《危险废物贮存污染控制标准》（GB18597-2001）规定的与本项目有关的其他要求。</w:t>
            </w:r>
          </w:p>
          <w:p>
            <w:pPr>
              <w:pStyle w:val="23"/>
              <w:spacing w:line="360" w:lineRule="auto"/>
              <w:ind w:firstLine="420" w:firstLineChars="200"/>
              <w:rPr>
                <w:rFonts w:ascii="Times New Roman" w:cs="Times New Roman"/>
                <w:color w:val="auto"/>
                <w:sz w:val="21"/>
                <w:szCs w:val="21"/>
              </w:rPr>
            </w:pPr>
            <w:r>
              <w:rPr>
                <w:rFonts w:ascii="Times New Roman" w:cs="Times New Roman"/>
                <w:color w:val="auto"/>
                <w:sz w:val="21"/>
                <w:szCs w:val="21"/>
              </w:rPr>
              <w:t>3）本项目危险废物直接由危险废物产生地点运至危险废物贮存间内，运输距离较短；本项目危险废物利用专用容器进行收集、转运，转运过程中各危险废物均进行封闭处理，利用厂区员工进行运输；厂区配备了灭火器、消防沙、铁锨等应急物资，若厂内运输过程中发生泄露事故，能够及时利用现有应急物资进行应急处置，且厂区地面为水泥混凝土硬化地面，散落的危险废物不会立即下渗。本项目危险废物厂内运输、厂外转运及处置的措施合理、可行。</w:t>
            </w:r>
          </w:p>
          <w:p>
            <w:pPr>
              <w:pStyle w:val="23"/>
              <w:spacing w:line="360" w:lineRule="auto"/>
              <w:ind w:firstLine="420" w:firstLineChars="200"/>
              <w:rPr>
                <w:rFonts w:ascii="Times New Roman" w:cs="Times New Roman"/>
                <w:color w:val="auto"/>
                <w:sz w:val="21"/>
                <w:szCs w:val="21"/>
              </w:rPr>
            </w:pPr>
            <w:r>
              <w:rPr>
                <w:rFonts w:ascii="Times New Roman" w:cs="Times New Roman"/>
                <w:color w:val="auto"/>
                <w:sz w:val="21"/>
                <w:szCs w:val="21"/>
              </w:rPr>
              <w:t>4）建设项目危险废物贮存场所基本情况见</w:t>
            </w:r>
            <w:r>
              <w:rPr>
                <w:rFonts w:hint="eastAsia" w:ascii="Times New Roman" w:cs="Times New Roman"/>
                <w:color w:val="auto"/>
                <w:sz w:val="21"/>
                <w:szCs w:val="21"/>
              </w:rPr>
              <w:t>下</w:t>
            </w:r>
            <w:r>
              <w:rPr>
                <w:rFonts w:ascii="Times New Roman" w:cs="Times New Roman"/>
                <w:color w:val="auto"/>
                <w:sz w:val="21"/>
                <w:szCs w:val="21"/>
              </w:rPr>
              <w:t>表。</w:t>
            </w:r>
          </w:p>
          <w:p>
            <w:pPr>
              <w:widowControl/>
              <w:jc w:val="center"/>
              <w:rPr>
                <w:color w:val="auto"/>
              </w:rPr>
            </w:pPr>
            <w:r>
              <w:rPr>
                <w:b/>
                <w:bCs/>
                <w:color w:val="auto"/>
              </w:rPr>
              <w:t>表4-</w:t>
            </w:r>
            <w:r>
              <w:rPr>
                <w:rFonts w:hint="eastAsia"/>
                <w:b/>
                <w:bCs/>
                <w:color w:val="auto"/>
                <w:lang w:val="en-US" w:eastAsia="zh-CN"/>
              </w:rPr>
              <w:t>11</w:t>
            </w:r>
            <w:r>
              <w:rPr>
                <w:b/>
                <w:bCs/>
                <w:color w:val="auto"/>
              </w:rPr>
              <w:t>危险废物贮存场所基本情况</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606"/>
              <w:gridCol w:w="652"/>
              <w:gridCol w:w="776"/>
              <w:gridCol w:w="1197"/>
              <w:gridCol w:w="567"/>
              <w:gridCol w:w="595"/>
              <w:gridCol w:w="1527"/>
              <w:gridCol w:w="535"/>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1" w:type="pct"/>
                  <w:tcBorders>
                    <w:tl2br w:val="nil"/>
                    <w:tr2bl w:val="nil"/>
                  </w:tcBorders>
                  <w:noWrap w:val="0"/>
                  <w:vAlign w:val="center"/>
                </w:tcPr>
                <w:p>
                  <w:pPr>
                    <w:widowControl/>
                    <w:jc w:val="center"/>
                    <w:rPr>
                      <w:b/>
                      <w:bCs/>
                      <w:color w:val="auto"/>
                      <w:sz w:val="18"/>
                      <w:szCs w:val="18"/>
                    </w:rPr>
                  </w:pPr>
                  <w:r>
                    <w:rPr>
                      <w:b/>
                      <w:bCs/>
                      <w:color w:val="auto"/>
                      <w:sz w:val="18"/>
                      <w:szCs w:val="18"/>
                    </w:rPr>
                    <w:t>序号</w:t>
                  </w:r>
                </w:p>
              </w:tc>
              <w:tc>
                <w:tcPr>
                  <w:tcW w:w="384" w:type="pct"/>
                  <w:tcBorders>
                    <w:tl2br w:val="nil"/>
                    <w:tr2bl w:val="nil"/>
                  </w:tcBorders>
                  <w:noWrap w:val="0"/>
                  <w:vAlign w:val="center"/>
                </w:tcPr>
                <w:p>
                  <w:pPr>
                    <w:widowControl/>
                    <w:jc w:val="center"/>
                    <w:rPr>
                      <w:b/>
                      <w:bCs/>
                      <w:color w:val="auto"/>
                      <w:sz w:val="18"/>
                      <w:szCs w:val="18"/>
                    </w:rPr>
                  </w:pPr>
                  <w:r>
                    <w:rPr>
                      <w:b/>
                      <w:bCs/>
                      <w:color w:val="auto"/>
                      <w:sz w:val="18"/>
                      <w:szCs w:val="18"/>
                    </w:rPr>
                    <w:t>贮存场所名称</w:t>
                  </w:r>
                </w:p>
              </w:tc>
              <w:tc>
                <w:tcPr>
                  <w:tcW w:w="413" w:type="pct"/>
                  <w:tcBorders>
                    <w:tl2br w:val="nil"/>
                    <w:tr2bl w:val="nil"/>
                  </w:tcBorders>
                  <w:noWrap w:val="0"/>
                  <w:vAlign w:val="center"/>
                </w:tcPr>
                <w:p>
                  <w:pPr>
                    <w:widowControl/>
                    <w:jc w:val="center"/>
                    <w:rPr>
                      <w:b/>
                      <w:bCs/>
                      <w:color w:val="auto"/>
                      <w:sz w:val="18"/>
                      <w:szCs w:val="18"/>
                    </w:rPr>
                  </w:pPr>
                  <w:r>
                    <w:rPr>
                      <w:b/>
                      <w:bCs/>
                      <w:color w:val="auto"/>
                      <w:sz w:val="18"/>
                      <w:szCs w:val="18"/>
                    </w:rPr>
                    <w:t>危险废物名称</w:t>
                  </w:r>
                </w:p>
              </w:tc>
              <w:tc>
                <w:tcPr>
                  <w:tcW w:w="491" w:type="pct"/>
                  <w:tcBorders>
                    <w:tl2br w:val="nil"/>
                    <w:tr2bl w:val="nil"/>
                  </w:tcBorders>
                  <w:noWrap w:val="0"/>
                  <w:vAlign w:val="center"/>
                </w:tcPr>
                <w:p>
                  <w:pPr>
                    <w:widowControl/>
                    <w:jc w:val="center"/>
                    <w:rPr>
                      <w:b/>
                      <w:bCs/>
                      <w:color w:val="auto"/>
                      <w:sz w:val="18"/>
                      <w:szCs w:val="18"/>
                    </w:rPr>
                  </w:pPr>
                  <w:r>
                    <w:rPr>
                      <w:b/>
                      <w:bCs/>
                      <w:color w:val="auto"/>
                      <w:sz w:val="18"/>
                      <w:szCs w:val="18"/>
                    </w:rPr>
                    <w:t>危险废物类别</w:t>
                  </w:r>
                </w:p>
              </w:tc>
              <w:tc>
                <w:tcPr>
                  <w:tcW w:w="758" w:type="pct"/>
                  <w:tcBorders>
                    <w:tl2br w:val="nil"/>
                    <w:tr2bl w:val="nil"/>
                  </w:tcBorders>
                  <w:noWrap w:val="0"/>
                  <w:vAlign w:val="center"/>
                </w:tcPr>
                <w:p>
                  <w:pPr>
                    <w:widowControl/>
                    <w:jc w:val="center"/>
                    <w:rPr>
                      <w:b/>
                      <w:bCs/>
                      <w:color w:val="auto"/>
                      <w:sz w:val="18"/>
                      <w:szCs w:val="18"/>
                    </w:rPr>
                  </w:pPr>
                  <w:r>
                    <w:rPr>
                      <w:b/>
                      <w:bCs/>
                      <w:color w:val="auto"/>
                      <w:sz w:val="18"/>
                      <w:szCs w:val="18"/>
                    </w:rPr>
                    <w:t>危险废物代码</w:t>
                  </w:r>
                </w:p>
              </w:tc>
              <w:tc>
                <w:tcPr>
                  <w:tcW w:w="359" w:type="pct"/>
                  <w:tcBorders>
                    <w:tl2br w:val="nil"/>
                    <w:tr2bl w:val="nil"/>
                  </w:tcBorders>
                  <w:noWrap w:val="0"/>
                  <w:vAlign w:val="center"/>
                </w:tcPr>
                <w:p>
                  <w:pPr>
                    <w:widowControl/>
                    <w:jc w:val="center"/>
                    <w:rPr>
                      <w:b/>
                      <w:bCs/>
                      <w:color w:val="auto"/>
                      <w:sz w:val="18"/>
                      <w:szCs w:val="18"/>
                    </w:rPr>
                  </w:pPr>
                  <w:r>
                    <w:rPr>
                      <w:b/>
                      <w:bCs/>
                      <w:color w:val="auto"/>
                      <w:sz w:val="18"/>
                      <w:szCs w:val="18"/>
                    </w:rPr>
                    <w:t>位置</w:t>
                  </w:r>
                </w:p>
              </w:tc>
              <w:tc>
                <w:tcPr>
                  <w:tcW w:w="377" w:type="pct"/>
                  <w:tcBorders>
                    <w:tl2br w:val="nil"/>
                    <w:tr2bl w:val="nil"/>
                  </w:tcBorders>
                  <w:noWrap w:val="0"/>
                  <w:vAlign w:val="center"/>
                </w:tcPr>
                <w:p>
                  <w:pPr>
                    <w:widowControl/>
                    <w:jc w:val="center"/>
                    <w:rPr>
                      <w:b/>
                      <w:bCs/>
                      <w:color w:val="auto"/>
                      <w:sz w:val="18"/>
                      <w:szCs w:val="18"/>
                    </w:rPr>
                  </w:pPr>
                  <w:r>
                    <w:rPr>
                      <w:b/>
                      <w:bCs/>
                      <w:color w:val="auto"/>
                      <w:sz w:val="18"/>
                      <w:szCs w:val="18"/>
                    </w:rPr>
                    <w:t>占地面积</w:t>
                  </w:r>
                </w:p>
              </w:tc>
              <w:tc>
                <w:tcPr>
                  <w:tcW w:w="967" w:type="pct"/>
                  <w:tcBorders>
                    <w:tl2br w:val="nil"/>
                    <w:tr2bl w:val="nil"/>
                  </w:tcBorders>
                  <w:noWrap w:val="0"/>
                  <w:vAlign w:val="center"/>
                </w:tcPr>
                <w:p>
                  <w:pPr>
                    <w:widowControl/>
                    <w:jc w:val="center"/>
                    <w:rPr>
                      <w:b/>
                      <w:bCs/>
                      <w:color w:val="auto"/>
                      <w:sz w:val="18"/>
                      <w:szCs w:val="18"/>
                    </w:rPr>
                  </w:pPr>
                  <w:r>
                    <w:rPr>
                      <w:b/>
                      <w:bCs/>
                      <w:color w:val="auto"/>
                      <w:sz w:val="18"/>
                      <w:szCs w:val="18"/>
                    </w:rPr>
                    <w:t>贮存</w:t>
                  </w:r>
                </w:p>
                <w:p>
                  <w:pPr>
                    <w:widowControl/>
                    <w:jc w:val="center"/>
                    <w:rPr>
                      <w:b/>
                      <w:bCs/>
                      <w:color w:val="auto"/>
                      <w:sz w:val="18"/>
                      <w:szCs w:val="18"/>
                    </w:rPr>
                  </w:pPr>
                  <w:r>
                    <w:rPr>
                      <w:b/>
                      <w:bCs/>
                      <w:color w:val="auto"/>
                      <w:sz w:val="18"/>
                      <w:szCs w:val="18"/>
                    </w:rPr>
                    <w:t>方式</w:t>
                  </w:r>
                </w:p>
              </w:tc>
              <w:tc>
                <w:tcPr>
                  <w:tcW w:w="339" w:type="pct"/>
                  <w:tcBorders>
                    <w:tl2br w:val="nil"/>
                    <w:tr2bl w:val="nil"/>
                  </w:tcBorders>
                  <w:noWrap w:val="0"/>
                  <w:vAlign w:val="center"/>
                </w:tcPr>
                <w:p>
                  <w:pPr>
                    <w:widowControl/>
                    <w:jc w:val="center"/>
                    <w:rPr>
                      <w:b/>
                      <w:bCs/>
                      <w:color w:val="auto"/>
                      <w:sz w:val="18"/>
                      <w:szCs w:val="18"/>
                    </w:rPr>
                  </w:pPr>
                  <w:r>
                    <w:rPr>
                      <w:b/>
                      <w:bCs/>
                      <w:color w:val="auto"/>
                      <w:sz w:val="18"/>
                      <w:szCs w:val="18"/>
                    </w:rPr>
                    <w:t>贮存能力</w:t>
                  </w:r>
                </w:p>
              </w:tc>
              <w:tc>
                <w:tcPr>
                  <w:tcW w:w="656" w:type="pct"/>
                  <w:tcBorders>
                    <w:tl2br w:val="nil"/>
                    <w:tr2bl w:val="nil"/>
                  </w:tcBorders>
                  <w:noWrap w:val="0"/>
                  <w:vAlign w:val="center"/>
                </w:tcPr>
                <w:p>
                  <w:pPr>
                    <w:widowControl/>
                    <w:jc w:val="center"/>
                    <w:rPr>
                      <w:b/>
                      <w:bCs/>
                      <w:color w:val="auto"/>
                      <w:sz w:val="18"/>
                      <w:szCs w:val="18"/>
                    </w:rPr>
                  </w:pPr>
                  <w:r>
                    <w:rPr>
                      <w:b/>
                      <w:bCs/>
                      <w:color w:val="auto"/>
                      <w:sz w:val="18"/>
                      <w:szCs w:val="18"/>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1" w:type="pct"/>
                  <w:vMerge w:val="restart"/>
                  <w:tcBorders>
                    <w:tl2br w:val="nil"/>
                    <w:tr2bl w:val="nil"/>
                  </w:tcBorders>
                  <w:noWrap w:val="0"/>
                  <w:vAlign w:val="center"/>
                </w:tcPr>
                <w:p>
                  <w:pPr>
                    <w:widowControl/>
                    <w:jc w:val="center"/>
                    <w:rPr>
                      <w:rFonts w:hint="eastAsia"/>
                      <w:b w:val="0"/>
                      <w:bCs w:val="0"/>
                      <w:color w:val="auto"/>
                      <w:sz w:val="18"/>
                      <w:szCs w:val="18"/>
                      <w:lang w:val="en-US" w:eastAsia="zh-CN"/>
                    </w:rPr>
                  </w:pPr>
                  <w:r>
                    <w:rPr>
                      <w:rFonts w:hint="eastAsia"/>
                      <w:b w:val="0"/>
                      <w:bCs w:val="0"/>
                      <w:color w:val="auto"/>
                      <w:sz w:val="18"/>
                      <w:szCs w:val="18"/>
                      <w:lang w:val="en-US" w:eastAsia="zh-CN"/>
                    </w:rPr>
                    <w:t>1</w:t>
                  </w:r>
                </w:p>
                <w:p>
                  <w:pPr>
                    <w:widowControl/>
                    <w:jc w:val="center"/>
                    <w:rPr>
                      <w:rFonts w:hint="eastAsia" w:eastAsia="宋体"/>
                      <w:b w:val="0"/>
                      <w:bCs w:val="0"/>
                      <w:color w:val="auto"/>
                      <w:sz w:val="18"/>
                      <w:szCs w:val="18"/>
                      <w:lang w:val="en-US" w:eastAsia="zh-CN"/>
                    </w:rPr>
                  </w:pPr>
                </w:p>
              </w:tc>
              <w:tc>
                <w:tcPr>
                  <w:tcW w:w="384" w:type="pct"/>
                  <w:vMerge w:val="restart"/>
                  <w:tcBorders>
                    <w:tl2br w:val="nil"/>
                    <w:tr2bl w:val="nil"/>
                  </w:tcBorders>
                  <w:noWrap w:val="0"/>
                  <w:vAlign w:val="center"/>
                </w:tcPr>
                <w:p>
                  <w:pPr>
                    <w:widowControl/>
                    <w:jc w:val="center"/>
                    <w:rPr>
                      <w:rFonts w:hint="eastAsia" w:eastAsia="宋体"/>
                      <w:b w:val="0"/>
                      <w:bCs w:val="0"/>
                      <w:color w:val="auto"/>
                      <w:sz w:val="18"/>
                      <w:szCs w:val="18"/>
                      <w:lang w:val="en-US" w:eastAsia="zh-CN"/>
                    </w:rPr>
                  </w:pPr>
                  <w:r>
                    <w:rPr>
                      <w:rFonts w:hint="eastAsia"/>
                      <w:b w:val="0"/>
                      <w:bCs w:val="0"/>
                      <w:color w:val="auto"/>
                      <w:sz w:val="18"/>
                      <w:szCs w:val="18"/>
                      <w:lang w:val="en-US" w:eastAsia="zh-CN"/>
                    </w:rPr>
                    <w:t>危废间</w:t>
                  </w:r>
                </w:p>
              </w:tc>
              <w:tc>
                <w:tcPr>
                  <w:tcW w:w="413" w:type="pct"/>
                  <w:vMerge w:val="restart"/>
                  <w:tcBorders>
                    <w:tl2br w:val="nil"/>
                    <w:tr2bl w:val="nil"/>
                  </w:tcBorders>
                  <w:noWrap w:val="0"/>
                  <w:vAlign w:val="center"/>
                </w:tcPr>
                <w:p>
                  <w:pPr>
                    <w:pStyle w:val="23"/>
                    <w:jc w:val="center"/>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cs="Times New Roman"/>
                      <w:b w:val="0"/>
                      <w:bCs w:val="0"/>
                      <w:sz w:val="21"/>
                      <w:szCs w:val="21"/>
                      <w:vertAlign w:val="baseline"/>
                    </w:rPr>
                    <w:t>医疗废物</w:t>
                  </w:r>
                </w:p>
              </w:tc>
              <w:tc>
                <w:tcPr>
                  <w:tcW w:w="491" w:type="pct"/>
                  <w:vMerge w:val="restart"/>
                  <w:tcBorders>
                    <w:tl2br w:val="nil"/>
                    <w:tr2bl w:val="nil"/>
                  </w:tcBorders>
                  <w:noWrap w:val="0"/>
                  <w:vAlign w:val="center"/>
                </w:tcPr>
                <w:p>
                  <w:pPr>
                    <w:pStyle w:val="23"/>
                    <w:jc w:val="center"/>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HW01</w:t>
                  </w:r>
                </w:p>
                <w:p>
                  <w:pPr>
                    <w:pStyle w:val="23"/>
                    <w:jc w:val="center"/>
                    <w:rPr>
                      <w:rFonts w:hint="default" w:ascii="Times New Roman" w:hAnsi="Times New Roman" w:eastAsia="宋体" w:cs="Times New Roman"/>
                      <w:b w:val="0"/>
                      <w:bCs w:val="0"/>
                      <w:color w:val="000000"/>
                      <w:kern w:val="2"/>
                      <w:sz w:val="21"/>
                      <w:szCs w:val="21"/>
                      <w:vertAlign w:val="baseline"/>
                      <w:lang w:val="en-US" w:eastAsia="zh-CN" w:bidi="ar-SA"/>
                    </w:rPr>
                  </w:pPr>
                </w:p>
              </w:tc>
              <w:tc>
                <w:tcPr>
                  <w:tcW w:w="758" w:type="pct"/>
                  <w:tcBorders>
                    <w:tl2br w:val="nil"/>
                    <w:tr2bl w:val="nil"/>
                  </w:tcBorders>
                  <w:noWrap w:val="0"/>
                  <w:vAlign w:val="center"/>
                </w:tcPr>
                <w:p>
                  <w:pPr>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sz w:val="21"/>
                      <w:szCs w:val="21"/>
                    </w:rPr>
                    <w:t>841-001-01</w:t>
                  </w:r>
                </w:p>
              </w:tc>
              <w:tc>
                <w:tcPr>
                  <w:tcW w:w="359" w:type="pct"/>
                  <w:vMerge w:val="restart"/>
                  <w:tcBorders>
                    <w:tl2br w:val="nil"/>
                    <w:tr2bl w:val="nil"/>
                  </w:tcBorders>
                  <w:noWrap w:val="0"/>
                  <w:vAlign w:val="center"/>
                </w:tcPr>
                <w:p>
                  <w:pPr>
                    <w:widowControl/>
                    <w:jc w:val="center"/>
                    <w:rPr>
                      <w:rFonts w:hint="eastAsia" w:eastAsia="宋体"/>
                      <w:b w:val="0"/>
                      <w:bCs w:val="0"/>
                      <w:color w:val="auto"/>
                      <w:sz w:val="18"/>
                      <w:szCs w:val="18"/>
                      <w:lang w:val="en-US" w:eastAsia="zh-CN"/>
                    </w:rPr>
                  </w:pPr>
                  <w:r>
                    <w:rPr>
                      <w:rFonts w:hint="eastAsia"/>
                      <w:b w:val="0"/>
                      <w:bCs w:val="0"/>
                      <w:color w:val="auto"/>
                      <w:sz w:val="18"/>
                      <w:szCs w:val="18"/>
                      <w:highlight w:val="none"/>
                      <w:lang w:val="en-US" w:eastAsia="zh-CN"/>
                    </w:rPr>
                    <w:t>地下一层</w:t>
                  </w:r>
                </w:p>
              </w:tc>
              <w:tc>
                <w:tcPr>
                  <w:tcW w:w="377" w:type="pct"/>
                  <w:vMerge w:val="restart"/>
                  <w:tcBorders>
                    <w:tl2br w:val="nil"/>
                    <w:tr2bl w:val="nil"/>
                  </w:tcBorders>
                  <w:noWrap w:val="0"/>
                  <w:vAlign w:val="center"/>
                </w:tcPr>
                <w:p>
                  <w:pPr>
                    <w:widowControl/>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10m</w:t>
                  </w:r>
                  <w:r>
                    <w:rPr>
                      <w:rFonts w:hint="eastAsia"/>
                      <w:b w:val="0"/>
                      <w:bCs w:val="0"/>
                      <w:color w:val="auto"/>
                      <w:sz w:val="18"/>
                      <w:szCs w:val="18"/>
                      <w:vertAlign w:val="superscript"/>
                      <w:lang w:val="en-US" w:eastAsia="zh-CN"/>
                    </w:rPr>
                    <w:t>2</w:t>
                  </w:r>
                </w:p>
              </w:tc>
              <w:tc>
                <w:tcPr>
                  <w:tcW w:w="967" w:type="pct"/>
                  <w:vMerge w:val="restart"/>
                  <w:tcBorders>
                    <w:tl2br w:val="nil"/>
                    <w:tr2bl w:val="nil"/>
                  </w:tcBorders>
                  <w:noWrap w:val="0"/>
                  <w:vAlign w:val="center"/>
                </w:tcPr>
                <w:p>
                  <w:pPr>
                    <w:widowControl/>
                    <w:jc w:val="center"/>
                    <w:rPr>
                      <w:b w:val="0"/>
                      <w:bCs w:val="0"/>
                      <w:color w:val="auto"/>
                      <w:sz w:val="18"/>
                      <w:szCs w:val="18"/>
                    </w:rPr>
                  </w:pPr>
                  <w:r>
                    <w:rPr>
                      <w:b w:val="0"/>
                      <w:bCs w:val="0"/>
                      <w:color w:val="auto"/>
                      <w:sz w:val="18"/>
                      <w:szCs w:val="18"/>
                    </w:rPr>
                    <w:t>危险废物集中收集后，分区暂存于危险废物贮存间内</w:t>
                  </w:r>
                </w:p>
              </w:tc>
              <w:tc>
                <w:tcPr>
                  <w:tcW w:w="339" w:type="pct"/>
                  <w:vMerge w:val="restart"/>
                  <w:tcBorders>
                    <w:tl2br w:val="nil"/>
                    <w:tr2bl w:val="nil"/>
                  </w:tcBorders>
                  <w:noWrap w:val="0"/>
                  <w:vAlign w:val="center"/>
                </w:tcPr>
                <w:p>
                  <w:pPr>
                    <w:widowControl/>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1t</w:t>
                  </w:r>
                </w:p>
              </w:tc>
              <w:tc>
                <w:tcPr>
                  <w:tcW w:w="656" w:type="pct"/>
                  <w:vMerge w:val="restart"/>
                  <w:tcBorders>
                    <w:tl2br w:val="nil"/>
                    <w:tr2bl w:val="nil"/>
                  </w:tcBorders>
                  <w:noWrap w:val="0"/>
                  <w:vAlign w:val="center"/>
                </w:tcPr>
                <w:p>
                  <w:pPr>
                    <w:widowControl/>
                    <w:jc w:val="center"/>
                    <w:rPr>
                      <w:rFonts w:hint="default" w:eastAsia="宋体"/>
                      <w:b/>
                      <w:bCs/>
                      <w:color w:val="auto"/>
                      <w:sz w:val="18"/>
                      <w:szCs w:val="18"/>
                      <w:lang w:val="en-US" w:eastAsia="zh-CN"/>
                    </w:rPr>
                  </w:pPr>
                  <w:r>
                    <w:rPr>
                      <w:rFonts w:hint="eastAsia"/>
                      <w:b w:val="0"/>
                      <w:bCs w:val="0"/>
                      <w:color w:val="auto"/>
                      <w:sz w:val="18"/>
                      <w:szCs w:val="18"/>
                      <w:lang w:val="en-US" w:eastAsia="zh-CN"/>
                    </w:rPr>
                    <w:t>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1" w:type="pct"/>
                  <w:vMerge w:val="continue"/>
                  <w:tcBorders>
                    <w:tl2br w:val="nil"/>
                    <w:tr2bl w:val="nil"/>
                  </w:tcBorders>
                  <w:noWrap w:val="0"/>
                  <w:vAlign w:val="center"/>
                </w:tcPr>
                <w:p>
                  <w:pPr>
                    <w:widowControl/>
                    <w:jc w:val="center"/>
                    <w:rPr>
                      <w:rFonts w:hint="eastAsia" w:eastAsia="宋体"/>
                      <w:b/>
                      <w:bCs/>
                      <w:color w:val="auto"/>
                      <w:sz w:val="18"/>
                      <w:szCs w:val="18"/>
                      <w:lang w:val="en-US" w:eastAsia="zh-CN"/>
                    </w:rPr>
                  </w:pPr>
                </w:p>
              </w:tc>
              <w:tc>
                <w:tcPr>
                  <w:tcW w:w="384" w:type="pct"/>
                  <w:vMerge w:val="continue"/>
                  <w:tcBorders>
                    <w:tl2br w:val="nil"/>
                    <w:tr2bl w:val="nil"/>
                  </w:tcBorders>
                  <w:noWrap w:val="0"/>
                  <w:vAlign w:val="center"/>
                </w:tcPr>
                <w:p>
                  <w:pPr>
                    <w:widowControl/>
                    <w:jc w:val="center"/>
                    <w:rPr>
                      <w:b/>
                      <w:bCs/>
                      <w:color w:val="auto"/>
                      <w:sz w:val="18"/>
                      <w:szCs w:val="18"/>
                    </w:rPr>
                  </w:pPr>
                </w:p>
              </w:tc>
              <w:tc>
                <w:tcPr>
                  <w:tcW w:w="413" w:type="pct"/>
                  <w:vMerge w:val="continue"/>
                  <w:tcBorders>
                    <w:tl2br w:val="nil"/>
                    <w:tr2bl w:val="nil"/>
                  </w:tcBorders>
                  <w:noWrap w:val="0"/>
                  <w:vAlign w:val="center"/>
                </w:tcPr>
                <w:p>
                  <w:pPr>
                    <w:widowControl/>
                    <w:jc w:val="center"/>
                    <w:rPr>
                      <w:b/>
                      <w:bCs/>
                      <w:color w:val="auto"/>
                      <w:sz w:val="18"/>
                      <w:szCs w:val="18"/>
                    </w:rPr>
                  </w:pPr>
                </w:p>
              </w:tc>
              <w:tc>
                <w:tcPr>
                  <w:tcW w:w="491" w:type="pct"/>
                  <w:vMerge w:val="continue"/>
                  <w:tcBorders>
                    <w:tl2br w:val="nil"/>
                    <w:tr2bl w:val="nil"/>
                  </w:tcBorders>
                  <w:noWrap w:val="0"/>
                  <w:vAlign w:val="center"/>
                </w:tcPr>
                <w:p>
                  <w:pPr>
                    <w:widowControl/>
                    <w:jc w:val="center"/>
                    <w:rPr>
                      <w:b/>
                      <w:bCs/>
                      <w:color w:val="auto"/>
                      <w:sz w:val="18"/>
                      <w:szCs w:val="18"/>
                    </w:rPr>
                  </w:pPr>
                </w:p>
              </w:tc>
              <w:tc>
                <w:tcPr>
                  <w:tcW w:w="758" w:type="pct"/>
                  <w:tcBorders>
                    <w:tl2br w:val="nil"/>
                    <w:tr2bl w:val="nil"/>
                  </w:tcBorders>
                  <w:noWrap w:val="0"/>
                  <w:vAlign w:val="center"/>
                </w:tcPr>
                <w:p>
                  <w:pPr>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sz w:val="21"/>
                      <w:szCs w:val="21"/>
                    </w:rPr>
                    <w:t>841-002-01</w:t>
                  </w:r>
                </w:p>
              </w:tc>
              <w:tc>
                <w:tcPr>
                  <w:tcW w:w="359" w:type="pct"/>
                  <w:vMerge w:val="continue"/>
                  <w:tcBorders>
                    <w:tl2br w:val="nil"/>
                    <w:tr2bl w:val="nil"/>
                  </w:tcBorders>
                  <w:noWrap w:val="0"/>
                  <w:vAlign w:val="center"/>
                </w:tcPr>
                <w:p>
                  <w:pPr>
                    <w:widowControl/>
                    <w:jc w:val="center"/>
                    <w:rPr>
                      <w:b/>
                      <w:bCs/>
                      <w:color w:val="auto"/>
                      <w:sz w:val="18"/>
                      <w:szCs w:val="18"/>
                    </w:rPr>
                  </w:pPr>
                </w:p>
              </w:tc>
              <w:tc>
                <w:tcPr>
                  <w:tcW w:w="377" w:type="pct"/>
                  <w:vMerge w:val="continue"/>
                  <w:tcBorders>
                    <w:tl2br w:val="nil"/>
                    <w:tr2bl w:val="nil"/>
                  </w:tcBorders>
                  <w:noWrap w:val="0"/>
                  <w:vAlign w:val="center"/>
                </w:tcPr>
                <w:p>
                  <w:pPr>
                    <w:widowControl/>
                    <w:jc w:val="center"/>
                    <w:rPr>
                      <w:b/>
                      <w:bCs/>
                      <w:color w:val="auto"/>
                      <w:sz w:val="18"/>
                      <w:szCs w:val="18"/>
                    </w:rPr>
                  </w:pPr>
                </w:p>
              </w:tc>
              <w:tc>
                <w:tcPr>
                  <w:tcW w:w="967" w:type="pct"/>
                  <w:vMerge w:val="continue"/>
                  <w:tcBorders>
                    <w:tl2br w:val="nil"/>
                    <w:tr2bl w:val="nil"/>
                  </w:tcBorders>
                  <w:noWrap w:val="0"/>
                  <w:vAlign w:val="center"/>
                </w:tcPr>
                <w:p>
                  <w:pPr>
                    <w:widowControl/>
                    <w:jc w:val="center"/>
                    <w:rPr>
                      <w:b/>
                      <w:bCs/>
                      <w:color w:val="auto"/>
                      <w:sz w:val="18"/>
                      <w:szCs w:val="18"/>
                    </w:rPr>
                  </w:pPr>
                </w:p>
              </w:tc>
              <w:tc>
                <w:tcPr>
                  <w:tcW w:w="339" w:type="pct"/>
                  <w:vMerge w:val="continue"/>
                  <w:tcBorders>
                    <w:tl2br w:val="nil"/>
                    <w:tr2bl w:val="nil"/>
                  </w:tcBorders>
                  <w:noWrap w:val="0"/>
                  <w:vAlign w:val="center"/>
                </w:tcPr>
                <w:p>
                  <w:pPr>
                    <w:widowControl/>
                    <w:jc w:val="center"/>
                    <w:rPr>
                      <w:b w:val="0"/>
                      <w:bCs w:val="0"/>
                      <w:color w:val="auto"/>
                      <w:sz w:val="18"/>
                      <w:szCs w:val="18"/>
                    </w:rPr>
                  </w:pPr>
                </w:p>
              </w:tc>
              <w:tc>
                <w:tcPr>
                  <w:tcW w:w="656" w:type="pct"/>
                  <w:vMerge w:val="continue"/>
                  <w:tcBorders>
                    <w:tl2br w:val="nil"/>
                    <w:tr2bl w:val="nil"/>
                  </w:tcBorders>
                  <w:noWrap w:val="0"/>
                  <w:vAlign w:val="center"/>
                </w:tcPr>
                <w:p>
                  <w:pPr>
                    <w:widowControl/>
                    <w:jc w:val="center"/>
                    <w:rPr>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1" w:type="pct"/>
                  <w:vMerge w:val="continue"/>
                  <w:tcBorders>
                    <w:tl2br w:val="nil"/>
                    <w:tr2bl w:val="nil"/>
                  </w:tcBorders>
                  <w:noWrap w:val="0"/>
                  <w:vAlign w:val="center"/>
                </w:tcPr>
                <w:p>
                  <w:pPr>
                    <w:widowControl/>
                    <w:jc w:val="center"/>
                    <w:rPr>
                      <w:b/>
                      <w:bCs/>
                      <w:color w:val="auto"/>
                      <w:sz w:val="18"/>
                      <w:szCs w:val="18"/>
                    </w:rPr>
                  </w:pPr>
                </w:p>
              </w:tc>
              <w:tc>
                <w:tcPr>
                  <w:tcW w:w="384" w:type="pct"/>
                  <w:vMerge w:val="continue"/>
                  <w:tcBorders>
                    <w:tl2br w:val="nil"/>
                    <w:tr2bl w:val="nil"/>
                  </w:tcBorders>
                  <w:noWrap w:val="0"/>
                  <w:vAlign w:val="center"/>
                </w:tcPr>
                <w:p>
                  <w:pPr>
                    <w:widowControl/>
                    <w:jc w:val="center"/>
                    <w:rPr>
                      <w:b/>
                      <w:bCs/>
                      <w:color w:val="auto"/>
                      <w:sz w:val="18"/>
                      <w:szCs w:val="18"/>
                    </w:rPr>
                  </w:pPr>
                </w:p>
              </w:tc>
              <w:tc>
                <w:tcPr>
                  <w:tcW w:w="413" w:type="pct"/>
                  <w:vMerge w:val="continue"/>
                  <w:tcBorders>
                    <w:tl2br w:val="nil"/>
                    <w:tr2bl w:val="nil"/>
                  </w:tcBorders>
                  <w:noWrap w:val="0"/>
                  <w:vAlign w:val="center"/>
                </w:tcPr>
                <w:p>
                  <w:pPr>
                    <w:widowControl/>
                    <w:jc w:val="center"/>
                    <w:rPr>
                      <w:b/>
                      <w:bCs/>
                      <w:color w:val="auto"/>
                      <w:sz w:val="18"/>
                      <w:szCs w:val="18"/>
                    </w:rPr>
                  </w:pPr>
                </w:p>
              </w:tc>
              <w:tc>
                <w:tcPr>
                  <w:tcW w:w="491" w:type="pct"/>
                  <w:vMerge w:val="continue"/>
                  <w:tcBorders>
                    <w:tl2br w:val="nil"/>
                    <w:tr2bl w:val="nil"/>
                  </w:tcBorders>
                  <w:noWrap w:val="0"/>
                  <w:vAlign w:val="center"/>
                </w:tcPr>
                <w:p>
                  <w:pPr>
                    <w:widowControl/>
                    <w:jc w:val="center"/>
                    <w:rPr>
                      <w:b/>
                      <w:bCs/>
                      <w:color w:val="auto"/>
                      <w:sz w:val="18"/>
                      <w:szCs w:val="18"/>
                    </w:rPr>
                  </w:pPr>
                </w:p>
              </w:tc>
              <w:tc>
                <w:tcPr>
                  <w:tcW w:w="758" w:type="pct"/>
                  <w:tcBorders>
                    <w:tl2br w:val="nil"/>
                    <w:tr2bl w:val="nil"/>
                  </w:tcBorders>
                  <w:noWrap w:val="0"/>
                  <w:vAlign w:val="center"/>
                </w:tcPr>
                <w:p>
                  <w:pPr>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sz w:val="21"/>
                      <w:szCs w:val="21"/>
                    </w:rPr>
                    <w:t>841-003-01</w:t>
                  </w:r>
                </w:p>
              </w:tc>
              <w:tc>
                <w:tcPr>
                  <w:tcW w:w="359" w:type="pct"/>
                  <w:vMerge w:val="continue"/>
                  <w:tcBorders>
                    <w:tl2br w:val="nil"/>
                    <w:tr2bl w:val="nil"/>
                  </w:tcBorders>
                  <w:noWrap w:val="0"/>
                  <w:vAlign w:val="center"/>
                </w:tcPr>
                <w:p>
                  <w:pPr>
                    <w:widowControl/>
                    <w:jc w:val="center"/>
                    <w:rPr>
                      <w:b/>
                      <w:bCs/>
                      <w:color w:val="auto"/>
                      <w:sz w:val="18"/>
                      <w:szCs w:val="18"/>
                    </w:rPr>
                  </w:pPr>
                </w:p>
              </w:tc>
              <w:tc>
                <w:tcPr>
                  <w:tcW w:w="377" w:type="pct"/>
                  <w:vMerge w:val="continue"/>
                  <w:tcBorders>
                    <w:tl2br w:val="nil"/>
                    <w:tr2bl w:val="nil"/>
                  </w:tcBorders>
                  <w:noWrap w:val="0"/>
                  <w:vAlign w:val="center"/>
                </w:tcPr>
                <w:p>
                  <w:pPr>
                    <w:widowControl/>
                    <w:jc w:val="center"/>
                    <w:rPr>
                      <w:b/>
                      <w:bCs/>
                      <w:color w:val="auto"/>
                      <w:sz w:val="18"/>
                      <w:szCs w:val="18"/>
                    </w:rPr>
                  </w:pPr>
                </w:p>
              </w:tc>
              <w:tc>
                <w:tcPr>
                  <w:tcW w:w="967" w:type="pct"/>
                  <w:vMerge w:val="continue"/>
                  <w:tcBorders>
                    <w:tl2br w:val="nil"/>
                    <w:tr2bl w:val="nil"/>
                  </w:tcBorders>
                  <w:noWrap w:val="0"/>
                  <w:vAlign w:val="center"/>
                </w:tcPr>
                <w:p>
                  <w:pPr>
                    <w:widowControl/>
                    <w:jc w:val="center"/>
                    <w:rPr>
                      <w:b/>
                      <w:bCs/>
                      <w:color w:val="auto"/>
                      <w:sz w:val="18"/>
                      <w:szCs w:val="18"/>
                    </w:rPr>
                  </w:pPr>
                </w:p>
              </w:tc>
              <w:tc>
                <w:tcPr>
                  <w:tcW w:w="339" w:type="pct"/>
                  <w:vMerge w:val="continue"/>
                  <w:tcBorders>
                    <w:tl2br w:val="nil"/>
                    <w:tr2bl w:val="nil"/>
                  </w:tcBorders>
                  <w:noWrap w:val="0"/>
                  <w:vAlign w:val="center"/>
                </w:tcPr>
                <w:p>
                  <w:pPr>
                    <w:widowControl/>
                    <w:jc w:val="center"/>
                    <w:rPr>
                      <w:b w:val="0"/>
                      <w:bCs w:val="0"/>
                      <w:color w:val="auto"/>
                      <w:sz w:val="18"/>
                      <w:szCs w:val="18"/>
                    </w:rPr>
                  </w:pPr>
                </w:p>
              </w:tc>
              <w:tc>
                <w:tcPr>
                  <w:tcW w:w="656" w:type="pct"/>
                  <w:vMerge w:val="continue"/>
                  <w:tcBorders>
                    <w:tl2br w:val="nil"/>
                    <w:tr2bl w:val="nil"/>
                  </w:tcBorders>
                  <w:noWrap w:val="0"/>
                  <w:vAlign w:val="center"/>
                </w:tcPr>
                <w:p>
                  <w:pPr>
                    <w:widowControl/>
                    <w:jc w:val="center"/>
                    <w:rPr>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1" w:type="pct"/>
                  <w:vMerge w:val="continue"/>
                  <w:tcBorders>
                    <w:tl2br w:val="nil"/>
                    <w:tr2bl w:val="nil"/>
                  </w:tcBorders>
                  <w:noWrap w:val="0"/>
                  <w:vAlign w:val="center"/>
                </w:tcPr>
                <w:p>
                  <w:pPr>
                    <w:widowControl/>
                    <w:jc w:val="center"/>
                    <w:rPr>
                      <w:b/>
                      <w:bCs/>
                      <w:color w:val="auto"/>
                      <w:sz w:val="18"/>
                      <w:szCs w:val="18"/>
                    </w:rPr>
                  </w:pPr>
                </w:p>
              </w:tc>
              <w:tc>
                <w:tcPr>
                  <w:tcW w:w="384" w:type="pct"/>
                  <w:vMerge w:val="continue"/>
                  <w:tcBorders>
                    <w:tl2br w:val="nil"/>
                    <w:tr2bl w:val="nil"/>
                  </w:tcBorders>
                  <w:noWrap w:val="0"/>
                  <w:vAlign w:val="center"/>
                </w:tcPr>
                <w:p>
                  <w:pPr>
                    <w:widowControl/>
                    <w:jc w:val="center"/>
                    <w:rPr>
                      <w:b/>
                      <w:bCs/>
                      <w:color w:val="auto"/>
                      <w:sz w:val="18"/>
                      <w:szCs w:val="18"/>
                    </w:rPr>
                  </w:pPr>
                </w:p>
              </w:tc>
              <w:tc>
                <w:tcPr>
                  <w:tcW w:w="413" w:type="pct"/>
                  <w:vMerge w:val="continue"/>
                  <w:tcBorders>
                    <w:tl2br w:val="nil"/>
                    <w:tr2bl w:val="nil"/>
                  </w:tcBorders>
                  <w:noWrap w:val="0"/>
                  <w:vAlign w:val="center"/>
                </w:tcPr>
                <w:p>
                  <w:pPr>
                    <w:widowControl/>
                    <w:jc w:val="center"/>
                    <w:rPr>
                      <w:b/>
                      <w:bCs/>
                      <w:color w:val="auto"/>
                      <w:sz w:val="18"/>
                      <w:szCs w:val="18"/>
                    </w:rPr>
                  </w:pPr>
                </w:p>
              </w:tc>
              <w:tc>
                <w:tcPr>
                  <w:tcW w:w="491" w:type="pct"/>
                  <w:vMerge w:val="continue"/>
                  <w:tcBorders>
                    <w:tl2br w:val="nil"/>
                    <w:tr2bl w:val="nil"/>
                  </w:tcBorders>
                  <w:noWrap w:val="0"/>
                  <w:vAlign w:val="center"/>
                </w:tcPr>
                <w:p>
                  <w:pPr>
                    <w:widowControl/>
                    <w:jc w:val="center"/>
                    <w:rPr>
                      <w:b/>
                      <w:bCs/>
                      <w:color w:val="auto"/>
                      <w:sz w:val="18"/>
                      <w:szCs w:val="18"/>
                    </w:rPr>
                  </w:pPr>
                </w:p>
              </w:tc>
              <w:tc>
                <w:tcPr>
                  <w:tcW w:w="758" w:type="pct"/>
                  <w:tcBorders>
                    <w:tl2br w:val="nil"/>
                    <w:tr2bl w:val="nil"/>
                  </w:tcBorders>
                  <w:noWrap w:val="0"/>
                  <w:vAlign w:val="center"/>
                </w:tcPr>
                <w:p>
                  <w:pPr>
                    <w:jc w:val="both"/>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sz w:val="21"/>
                      <w:szCs w:val="21"/>
                    </w:rPr>
                    <w:t>841-004-01</w:t>
                  </w:r>
                </w:p>
              </w:tc>
              <w:tc>
                <w:tcPr>
                  <w:tcW w:w="359" w:type="pct"/>
                  <w:vMerge w:val="continue"/>
                  <w:tcBorders>
                    <w:tl2br w:val="nil"/>
                    <w:tr2bl w:val="nil"/>
                  </w:tcBorders>
                  <w:noWrap w:val="0"/>
                  <w:vAlign w:val="center"/>
                </w:tcPr>
                <w:p>
                  <w:pPr>
                    <w:widowControl/>
                    <w:jc w:val="center"/>
                    <w:rPr>
                      <w:b/>
                      <w:bCs/>
                      <w:color w:val="auto"/>
                      <w:sz w:val="18"/>
                      <w:szCs w:val="18"/>
                    </w:rPr>
                  </w:pPr>
                </w:p>
              </w:tc>
              <w:tc>
                <w:tcPr>
                  <w:tcW w:w="377" w:type="pct"/>
                  <w:vMerge w:val="continue"/>
                  <w:tcBorders>
                    <w:tl2br w:val="nil"/>
                    <w:tr2bl w:val="nil"/>
                  </w:tcBorders>
                  <w:noWrap w:val="0"/>
                  <w:vAlign w:val="center"/>
                </w:tcPr>
                <w:p>
                  <w:pPr>
                    <w:widowControl/>
                    <w:jc w:val="center"/>
                    <w:rPr>
                      <w:b/>
                      <w:bCs/>
                      <w:color w:val="auto"/>
                      <w:sz w:val="18"/>
                      <w:szCs w:val="18"/>
                    </w:rPr>
                  </w:pPr>
                </w:p>
              </w:tc>
              <w:tc>
                <w:tcPr>
                  <w:tcW w:w="967" w:type="pct"/>
                  <w:vMerge w:val="continue"/>
                  <w:tcBorders>
                    <w:tl2br w:val="nil"/>
                    <w:tr2bl w:val="nil"/>
                  </w:tcBorders>
                  <w:noWrap w:val="0"/>
                  <w:vAlign w:val="center"/>
                </w:tcPr>
                <w:p>
                  <w:pPr>
                    <w:widowControl/>
                    <w:jc w:val="center"/>
                    <w:rPr>
                      <w:b/>
                      <w:bCs/>
                      <w:color w:val="auto"/>
                      <w:sz w:val="18"/>
                      <w:szCs w:val="18"/>
                    </w:rPr>
                  </w:pPr>
                </w:p>
              </w:tc>
              <w:tc>
                <w:tcPr>
                  <w:tcW w:w="339" w:type="pct"/>
                  <w:vMerge w:val="continue"/>
                  <w:tcBorders>
                    <w:tl2br w:val="nil"/>
                    <w:tr2bl w:val="nil"/>
                  </w:tcBorders>
                  <w:noWrap w:val="0"/>
                  <w:vAlign w:val="center"/>
                </w:tcPr>
                <w:p>
                  <w:pPr>
                    <w:widowControl/>
                    <w:jc w:val="center"/>
                    <w:rPr>
                      <w:b w:val="0"/>
                      <w:bCs w:val="0"/>
                      <w:color w:val="auto"/>
                      <w:sz w:val="18"/>
                      <w:szCs w:val="18"/>
                    </w:rPr>
                  </w:pPr>
                </w:p>
              </w:tc>
              <w:tc>
                <w:tcPr>
                  <w:tcW w:w="656" w:type="pct"/>
                  <w:vMerge w:val="continue"/>
                  <w:tcBorders>
                    <w:tl2br w:val="nil"/>
                    <w:tr2bl w:val="nil"/>
                  </w:tcBorders>
                  <w:noWrap w:val="0"/>
                  <w:vAlign w:val="center"/>
                </w:tcPr>
                <w:p>
                  <w:pPr>
                    <w:widowControl/>
                    <w:jc w:val="center"/>
                    <w:rPr>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1" w:type="pct"/>
                  <w:vMerge w:val="continue"/>
                  <w:tcBorders>
                    <w:tl2br w:val="nil"/>
                    <w:tr2bl w:val="nil"/>
                  </w:tcBorders>
                  <w:noWrap w:val="0"/>
                  <w:vAlign w:val="center"/>
                </w:tcPr>
                <w:p>
                  <w:pPr>
                    <w:widowControl/>
                    <w:jc w:val="center"/>
                    <w:rPr>
                      <w:b/>
                      <w:bCs/>
                      <w:color w:val="auto"/>
                      <w:sz w:val="18"/>
                      <w:szCs w:val="18"/>
                    </w:rPr>
                  </w:pPr>
                </w:p>
              </w:tc>
              <w:tc>
                <w:tcPr>
                  <w:tcW w:w="384" w:type="pct"/>
                  <w:vMerge w:val="continue"/>
                  <w:tcBorders>
                    <w:tl2br w:val="nil"/>
                    <w:tr2bl w:val="nil"/>
                  </w:tcBorders>
                  <w:noWrap w:val="0"/>
                  <w:vAlign w:val="center"/>
                </w:tcPr>
                <w:p>
                  <w:pPr>
                    <w:widowControl/>
                    <w:jc w:val="center"/>
                    <w:rPr>
                      <w:b/>
                      <w:bCs/>
                      <w:color w:val="auto"/>
                      <w:sz w:val="18"/>
                      <w:szCs w:val="18"/>
                    </w:rPr>
                  </w:pPr>
                </w:p>
              </w:tc>
              <w:tc>
                <w:tcPr>
                  <w:tcW w:w="413" w:type="pct"/>
                  <w:vMerge w:val="continue"/>
                  <w:tcBorders>
                    <w:tl2br w:val="nil"/>
                    <w:tr2bl w:val="nil"/>
                  </w:tcBorders>
                  <w:noWrap w:val="0"/>
                  <w:vAlign w:val="center"/>
                </w:tcPr>
                <w:p>
                  <w:pPr>
                    <w:widowControl/>
                    <w:jc w:val="center"/>
                    <w:rPr>
                      <w:b/>
                      <w:bCs/>
                      <w:color w:val="auto"/>
                      <w:sz w:val="18"/>
                      <w:szCs w:val="18"/>
                    </w:rPr>
                  </w:pPr>
                </w:p>
              </w:tc>
              <w:tc>
                <w:tcPr>
                  <w:tcW w:w="491" w:type="pct"/>
                  <w:vMerge w:val="continue"/>
                  <w:tcBorders>
                    <w:tl2br w:val="nil"/>
                    <w:tr2bl w:val="nil"/>
                  </w:tcBorders>
                  <w:noWrap w:val="0"/>
                  <w:vAlign w:val="center"/>
                </w:tcPr>
                <w:p>
                  <w:pPr>
                    <w:widowControl/>
                    <w:jc w:val="center"/>
                    <w:rPr>
                      <w:b/>
                      <w:bCs/>
                      <w:color w:val="auto"/>
                      <w:sz w:val="18"/>
                      <w:szCs w:val="18"/>
                    </w:rPr>
                  </w:pPr>
                </w:p>
              </w:tc>
              <w:tc>
                <w:tcPr>
                  <w:tcW w:w="758" w:type="pct"/>
                  <w:tcBorders>
                    <w:tl2br w:val="nil"/>
                    <w:tr2bl w:val="nil"/>
                  </w:tcBorders>
                  <w:noWrap w:val="0"/>
                  <w:vAlign w:val="center"/>
                </w:tcPr>
                <w:p>
                  <w:pPr>
                    <w:jc w:val="both"/>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sz w:val="21"/>
                      <w:szCs w:val="21"/>
                    </w:rPr>
                    <w:t>841-005-01</w:t>
                  </w:r>
                </w:p>
              </w:tc>
              <w:tc>
                <w:tcPr>
                  <w:tcW w:w="359" w:type="pct"/>
                  <w:vMerge w:val="continue"/>
                  <w:tcBorders>
                    <w:tl2br w:val="nil"/>
                    <w:tr2bl w:val="nil"/>
                  </w:tcBorders>
                  <w:noWrap w:val="0"/>
                  <w:vAlign w:val="center"/>
                </w:tcPr>
                <w:p>
                  <w:pPr>
                    <w:widowControl/>
                    <w:jc w:val="center"/>
                    <w:rPr>
                      <w:b/>
                      <w:bCs/>
                      <w:color w:val="auto"/>
                      <w:sz w:val="18"/>
                      <w:szCs w:val="18"/>
                    </w:rPr>
                  </w:pPr>
                </w:p>
              </w:tc>
              <w:tc>
                <w:tcPr>
                  <w:tcW w:w="377" w:type="pct"/>
                  <w:vMerge w:val="continue"/>
                  <w:tcBorders>
                    <w:tl2br w:val="nil"/>
                    <w:tr2bl w:val="nil"/>
                  </w:tcBorders>
                  <w:noWrap w:val="0"/>
                  <w:vAlign w:val="center"/>
                </w:tcPr>
                <w:p>
                  <w:pPr>
                    <w:widowControl/>
                    <w:jc w:val="center"/>
                    <w:rPr>
                      <w:b/>
                      <w:bCs/>
                      <w:color w:val="auto"/>
                      <w:sz w:val="18"/>
                      <w:szCs w:val="18"/>
                    </w:rPr>
                  </w:pPr>
                </w:p>
              </w:tc>
              <w:tc>
                <w:tcPr>
                  <w:tcW w:w="967" w:type="pct"/>
                  <w:vMerge w:val="continue"/>
                  <w:tcBorders>
                    <w:tl2br w:val="nil"/>
                    <w:tr2bl w:val="nil"/>
                  </w:tcBorders>
                  <w:noWrap w:val="0"/>
                  <w:vAlign w:val="center"/>
                </w:tcPr>
                <w:p>
                  <w:pPr>
                    <w:widowControl/>
                    <w:jc w:val="center"/>
                    <w:rPr>
                      <w:b/>
                      <w:bCs/>
                      <w:color w:val="auto"/>
                      <w:sz w:val="18"/>
                      <w:szCs w:val="18"/>
                    </w:rPr>
                  </w:pPr>
                </w:p>
              </w:tc>
              <w:tc>
                <w:tcPr>
                  <w:tcW w:w="339" w:type="pct"/>
                  <w:vMerge w:val="continue"/>
                  <w:tcBorders>
                    <w:tl2br w:val="nil"/>
                    <w:tr2bl w:val="nil"/>
                  </w:tcBorders>
                  <w:noWrap w:val="0"/>
                  <w:vAlign w:val="center"/>
                </w:tcPr>
                <w:p>
                  <w:pPr>
                    <w:widowControl/>
                    <w:jc w:val="center"/>
                    <w:rPr>
                      <w:b w:val="0"/>
                      <w:bCs w:val="0"/>
                      <w:color w:val="auto"/>
                      <w:sz w:val="18"/>
                      <w:szCs w:val="18"/>
                    </w:rPr>
                  </w:pPr>
                </w:p>
              </w:tc>
              <w:tc>
                <w:tcPr>
                  <w:tcW w:w="656" w:type="pct"/>
                  <w:vMerge w:val="continue"/>
                  <w:tcBorders>
                    <w:tl2br w:val="nil"/>
                    <w:tr2bl w:val="nil"/>
                  </w:tcBorders>
                  <w:noWrap w:val="0"/>
                  <w:vAlign w:val="center"/>
                </w:tcPr>
                <w:p>
                  <w:pPr>
                    <w:widowControl/>
                    <w:jc w:val="center"/>
                    <w:rPr>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1" w:type="pct"/>
                  <w:tcBorders>
                    <w:tl2br w:val="nil"/>
                    <w:tr2bl w:val="nil"/>
                  </w:tcBorders>
                  <w:noWrap w:val="0"/>
                  <w:vAlign w:val="center"/>
                </w:tcPr>
                <w:p>
                  <w:pPr>
                    <w:widowControl/>
                    <w:jc w:val="center"/>
                    <w:rPr>
                      <w:rFonts w:hint="eastAsia" w:eastAsia="宋体"/>
                      <w:b/>
                      <w:bCs/>
                      <w:color w:val="auto"/>
                      <w:sz w:val="18"/>
                      <w:szCs w:val="18"/>
                      <w:lang w:val="en-US" w:eastAsia="zh-CN"/>
                    </w:rPr>
                  </w:pPr>
                  <w:r>
                    <w:rPr>
                      <w:rFonts w:hint="eastAsia"/>
                      <w:b w:val="0"/>
                      <w:bCs w:val="0"/>
                      <w:color w:val="auto"/>
                      <w:sz w:val="18"/>
                      <w:szCs w:val="18"/>
                      <w:lang w:val="en-US" w:eastAsia="zh-CN"/>
                    </w:rPr>
                    <w:t>2</w:t>
                  </w:r>
                </w:p>
              </w:tc>
              <w:tc>
                <w:tcPr>
                  <w:tcW w:w="384" w:type="pct"/>
                  <w:vMerge w:val="continue"/>
                  <w:tcBorders>
                    <w:tl2br w:val="nil"/>
                    <w:tr2bl w:val="nil"/>
                  </w:tcBorders>
                  <w:noWrap w:val="0"/>
                  <w:vAlign w:val="center"/>
                </w:tcPr>
                <w:p>
                  <w:pPr>
                    <w:widowControl/>
                    <w:jc w:val="center"/>
                    <w:rPr>
                      <w:b/>
                      <w:bCs/>
                      <w:color w:val="auto"/>
                      <w:sz w:val="18"/>
                      <w:szCs w:val="18"/>
                    </w:rPr>
                  </w:pPr>
                </w:p>
              </w:tc>
              <w:tc>
                <w:tcPr>
                  <w:tcW w:w="413" w:type="pct"/>
                  <w:tcBorders>
                    <w:tl2br w:val="nil"/>
                    <w:tr2bl w:val="nil"/>
                  </w:tcBorders>
                  <w:noWrap w:val="0"/>
                  <w:vAlign w:val="center"/>
                </w:tcPr>
                <w:p>
                  <w:pPr>
                    <w:pStyle w:val="23"/>
                    <w:jc w:val="center"/>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sz w:val="21"/>
                      <w:szCs w:val="21"/>
                    </w:rPr>
                    <w:t>化粪池底泥、污水处理站栅渣和污泥</w:t>
                  </w:r>
                </w:p>
              </w:tc>
              <w:tc>
                <w:tcPr>
                  <w:tcW w:w="491" w:type="pct"/>
                  <w:tcBorders>
                    <w:tl2br w:val="nil"/>
                    <w:tr2bl w:val="nil"/>
                  </w:tcBorders>
                  <w:noWrap w:val="0"/>
                  <w:vAlign w:val="center"/>
                </w:tcPr>
                <w:p>
                  <w:pPr>
                    <w:pStyle w:val="23"/>
                    <w:jc w:val="center"/>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HW01</w:t>
                  </w:r>
                </w:p>
                <w:p>
                  <w:pPr>
                    <w:pStyle w:val="23"/>
                    <w:jc w:val="center"/>
                    <w:rPr>
                      <w:rFonts w:hint="default" w:ascii="Times New Roman" w:hAnsi="Times New Roman" w:eastAsia="宋体" w:cs="Times New Roman"/>
                      <w:b w:val="0"/>
                      <w:bCs w:val="0"/>
                      <w:color w:val="000000"/>
                      <w:kern w:val="2"/>
                      <w:sz w:val="21"/>
                      <w:szCs w:val="21"/>
                      <w:vertAlign w:val="baseline"/>
                      <w:lang w:val="en-US" w:eastAsia="zh-CN" w:bidi="ar-SA"/>
                    </w:rPr>
                  </w:pPr>
                </w:p>
              </w:tc>
              <w:tc>
                <w:tcPr>
                  <w:tcW w:w="758" w:type="pct"/>
                  <w:tcBorders>
                    <w:tl2br w:val="nil"/>
                    <w:tr2bl w:val="nil"/>
                  </w:tcBorders>
                  <w:noWrap w:val="0"/>
                  <w:vAlign w:val="center"/>
                </w:tcPr>
                <w:p>
                  <w:pPr>
                    <w:jc w:val="both"/>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sz w:val="21"/>
                      <w:szCs w:val="21"/>
                    </w:rPr>
                    <w:t>841-001-01</w:t>
                  </w:r>
                </w:p>
              </w:tc>
              <w:tc>
                <w:tcPr>
                  <w:tcW w:w="359" w:type="pct"/>
                  <w:vMerge w:val="continue"/>
                  <w:tcBorders>
                    <w:tl2br w:val="nil"/>
                    <w:tr2bl w:val="nil"/>
                  </w:tcBorders>
                  <w:noWrap w:val="0"/>
                  <w:vAlign w:val="center"/>
                </w:tcPr>
                <w:p>
                  <w:pPr>
                    <w:widowControl/>
                    <w:jc w:val="center"/>
                    <w:rPr>
                      <w:b/>
                      <w:bCs/>
                      <w:color w:val="auto"/>
                      <w:sz w:val="18"/>
                      <w:szCs w:val="18"/>
                    </w:rPr>
                  </w:pPr>
                </w:p>
              </w:tc>
              <w:tc>
                <w:tcPr>
                  <w:tcW w:w="377" w:type="pct"/>
                  <w:vMerge w:val="continue"/>
                  <w:tcBorders>
                    <w:tl2br w:val="nil"/>
                    <w:tr2bl w:val="nil"/>
                  </w:tcBorders>
                  <w:noWrap w:val="0"/>
                  <w:vAlign w:val="center"/>
                </w:tcPr>
                <w:p>
                  <w:pPr>
                    <w:widowControl/>
                    <w:jc w:val="center"/>
                    <w:rPr>
                      <w:b/>
                      <w:bCs/>
                      <w:color w:val="auto"/>
                      <w:sz w:val="18"/>
                      <w:szCs w:val="18"/>
                    </w:rPr>
                  </w:pPr>
                </w:p>
              </w:tc>
              <w:tc>
                <w:tcPr>
                  <w:tcW w:w="967" w:type="pct"/>
                  <w:vMerge w:val="continue"/>
                  <w:tcBorders>
                    <w:tl2br w:val="nil"/>
                    <w:tr2bl w:val="nil"/>
                  </w:tcBorders>
                  <w:noWrap w:val="0"/>
                  <w:vAlign w:val="center"/>
                </w:tcPr>
                <w:p>
                  <w:pPr>
                    <w:widowControl/>
                    <w:jc w:val="center"/>
                    <w:rPr>
                      <w:b/>
                      <w:bCs/>
                      <w:color w:val="auto"/>
                      <w:sz w:val="18"/>
                      <w:szCs w:val="18"/>
                    </w:rPr>
                  </w:pPr>
                </w:p>
              </w:tc>
              <w:tc>
                <w:tcPr>
                  <w:tcW w:w="339" w:type="pct"/>
                  <w:tcBorders>
                    <w:tl2br w:val="nil"/>
                    <w:tr2bl w:val="nil"/>
                  </w:tcBorders>
                  <w:noWrap w:val="0"/>
                  <w:vAlign w:val="center"/>
                </w:tcPr>
                <w:p>
                  <w:pPr>
                    <w:widowControl/>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2t</w:t>
                  </w:r>
                </w:p>
              </w:tc>
              <w:tc>
                <w:tcPr>
                  <w:tcW w:w="656" w:type="pct"/>
                  <w:tcBorders>
                    <w:tl2br w:val="nil"/>
                    <w:tr2bl w:val="nil"/>
                  </w:tcBorders>
                  <w:noWrap w:val="0"/>
                  <w:vAlign w:val="center"/>
                </w:tcPr>
                <w:p>
                  <w:pPr>
                    <w:widowControl/>
                    <w:jc w:val="center"/>
                    <w:rPr>
                      <w:rFonts w:hint="eastAsia" w:eastAsia="宋体"/>
                      <w:b/>
                      <w:bCs/>
                      <w:color w:val="auto"/>
                      <w:sz w:val="18"/>
                      <w:szCs w:val="18"/>
                      <w:lang w:val="en-US" w:eastAsia="zh-CN"/>
                    </w:rPr>
                  </w:pPr>
                  <w:r>
                    <w:rPr>
                      <w:rFonts w:hint="eastAsia"/>
                      <w:b w:val="0"/>
                      <w:bCs w:val="0"/>
                      <w:color w:val="auto"/>
                      <w:sz w:val="18"/>
                      <w:szCs w:val="18"/>
                      <w:lang w:val="en-US" w:eastAsia="zh-CN"/>
                    </w:rPr>
                    <w:t>半年</w:t>
                  </w:r>
                </w:p>
              </w:tc>
            </w:tr>
          </w:tbl>
          <w:p>
            <w:pPr>
              <w:pStyle w:val="23"/>
              <w:spacing w:line="360" w:lineRule="auto"/>
              <w:ind w:firstLine="420" w:firstLineChars="200"/>
              <w:rPr>
                <w:rFonts w:ascii="Times New Roman" w:cs="Times New Roman"/>
                <w:b w:val="0"/>
                <w:bCs w:val="0"/>
                <w:color w:val="auto"/>
                <w:sz w:val="21"/>
                <w:szCs w:val="21"/>
              </w:rPr>
            </w:pPr>
            <w:r>
              <w:rPr>
                <w:rFonts w:ascii="Times New Roman" w:cs="Times New Roman"/>
                <w:b w:val="0"/>
                <w:bCs w:val="0"/>
                <w:color w:val="auto"/>
                <w:sz w:val="21"/>
                <w:szCs w:val="21"/>
              </w:rPr>
              <w:t>（7）风险防范措施及应急预案的制定</w:t>
            </w:r>
          </w:p>
          <w:p>
            <w:pPr>
              <w:widowControl/>
              <w:spacing w:line="360" w:lineRule="auto"/>
              <w:ind w:firstLine="420" w:firstLineChars="200"/>
              <w:rPr>
                <w:color w:val="auto"/>
              </w:rPr>
            </w:pPr>
            <w:r>
              <w:rPr>
                <w:color w:val="auto"/>
              </w:rPr>
              <w:t>（一）风险防范措施</w:t>
            </w:r>
          </w:p>
          <w:p>
            <w:pPr>
              <w:widowControl/>
              <w:spacing w:line="360" w:lineRule="auto"/>
              <w:ind w:firstLine="420" w:firstLineChars="200"/>
              <w:rPr>
                <w:color w:val="auto"/>
              </w:rPr>
            </w:pPr>
            <w:r>
              <w:rPr>
                <w:color w:val="auto"/>
              </w:rPr>
              <w:t>根据《建设项目环境风险评价技术导则》（HJ169-2018）以及本项目的特点，本报告提出的环境风险防范措施主要有以下几点：</w:t>
            </w:r>
          </w:p>
          <w:p>
            <w:pPr>
              <w:widowControl/>
              <w:spacing w:line="360" w:lineRule="auto"/>
              <w:ind w:firstLine="420" w:firstLineChars="200"/>
              <w:rPr>
                <w:color w:val="auto"/>
              </w:rPr>
            </w:pPr>
            <w:r>
              <w:rPr>
                <w:color w:val="auto"/>
              </w:rPr>
              <w:t>①按照《危险废物贮存污染控制标准》（GB18597-2001）要求建设危险废物贮存间。</w:t>
            </w:r>
          </w:p>
          <w:p>
            <w:pPr>
              <w:widowControl/>
              <w:spacing w:line="360" w:lineRule="auto"/>
              <w:ind w:firstLine="420" w:firstLineChars="200"/>
              <w:rPr>
                <w:color w:val="auto"/>
              </w:rPr>
            </w:pPr>
            <w:r>
              <w:rPr>
                <w:color w:val="auto"/>
              </w:rPr>
              <w:t>②危险废物利用符合规范要求的容器进行盛装，分区存放于危险废物贮存间内。</w:t>
            </w:r>
          </w:p>
          <w:p>
            <w:pPr>
              <w:widowControl/>
              <w:spacing w:line="360" w:lineRule="auto"/>
              <w:ind w:firstLine="420" w:firstLineChars="200"/>
              <w:rPr>
                <w:color w:val="auto"/>
              </w:rPr>
            </w:pPr>
            <w:r>
              <w:rPr>
                <w:color w:val="auto"/>
              </w:rPr>
              <w:t>③危险废物转运及暂存过程要做到轻拿轻放，避免因磕碰等原因造成危险废物遗洒或泄露。</w:t>
            </w:r>
          </w:p>
          <w:p>
            <w:pPr>
              <w:widowControl/>
              <w:spacing w:line="360" w:lineRule="auto"/>
              <w:ind w:firstLine="420" w:firstLineChars="200"/>
              <w:rPr>
                <w:color w:val="auto"/>
              </w:rPr>
            </w:pPr>
            <w:r>
              <w:rPr>
                <w:color w:val="auto"/>
              </w:rPr>
              <w:t>④危险废物暂存区应配套设置消防沙，并配置消防灭火器及铲子若干。</w:t>
            </w:r>
          </w:p>
          <w:p>
            <w:pPr>
              <w:widowControl/>
              <w:spacing w:line="360" w:lineRule="auto"/>
              <w:ind w:firstLine="420" w:firstLineChars="200"/>
              <w:rPr>
                <w:color w:val="auto"/>
              </w:rPr>
            </w:pPr>
            <w:r>
              <w:rPr>
                <w:color w:val="auto"/>
              </w:rPr>
              <w:t>⑤安排厂区职工对危险废物贮存间进行定期巡视，发现破损立即修复。</w:t>
            </w:r>
          </w:p>
          <w:p>
            <w:pPr>
              <w:widowControl/>
              <w:spacing w:line="360" w:lineRule="auto"/>
              <w:ind w:firstLine="420" w:firstLineChars="200"/>
              <w:rPr>
                <w:color w:val="auto"/>
              </w:rPr>
            </w:pPr>
            <w:r>
              <w:rPr>
                <w:color w:val="auto"/>
              </w:rPr>
              <w:t>（二）应急预案的制定</w:t>
            </w:r>
          </w:p>
          <w:p>
            <w:pPr>
              <w:widowControl/>
              <w:spacing w:line="360" w:lineRule="auto"/>
              <w:ind w:firstLine="420" w:firstLineChars="200"/>
              <w:rPr>
                <w:color w:val="auto"/>
              </w:rPr>
            </w:pPr>
            <w:r>
              <w:rPr>
                <w:color w:val="auto"/>
              </w:rPr>
              <w:t>根据《建设项目环境风险评价技术导则》（HJ/T169-2018）的要求，为确保本项目的安全运行、防止突发事件的发生、并保证能够在发生意外时通过事故鉴别及时采取具有针对性的措施控制事故的进一步发展、把事故造成的损失和对环境的污染降到最低程度，应制定风险事故应急预案。</w:t>
            </w:r>
          </w:p>
          <w:p>
            <w:pPr>
              <w:widowControl/>
              <w:spacing w:line="360" w:lineRule="auto"/>
              <w:ind w:firstLine="420" w:firstLineChars="200"/>
              <w:rPr>
                <w:color w:val="auto"/>
              </w:rPr>
            </w:pPr>
            <w:r>
              <w:rPr>
                <w:color w:val="auto"/>
              </w:rPr>
              <w:t>应急预案应包含的主要内容见</w:t>
            </w:r>
            <w:r>
              <w:rPr>
                <w:rFonts w:hint="eastAsia"/>
                <w:color w:val="auto"/>
              </w:rPr>
              <w:t>下</w:t>
            </w:r>
            <w:r>
              <w:rPr>
                <w:color w:val="auto"/>
              </w:rPr>
              <w:t>表。</w:t>
            </w:r>
          </w:p>
          <w:p>
            <w:pPr>
              <w:widowControl/>
              <w:jc w:val="center"/>
              <w:rPr>
                <w:color w:val="auto"/>
              </w:rPr>
            </w:pPr>
            <w:r>
              <w:rPr>
                <w:b/>
                <w:color w:val="auto"/>
                <w:szCs w:val="21"/>
              </w:rPr>
              <w:t>表</w:t>
            </w:r>
            <w:r>
              <w:rPr>
                <w:rFonts w:hint="eastAsia"/>
                <w:b/>
                <w:color w:val="auto"/>
                <w:szCs w:val="21"/>
              </w:rPr>
              <w:t>4-</w:t>
            </w:r>
            <w:r>
              <w:rPr>
                <w:rFonts w:hint="eastAsia"/>
                <w:b/>
                <w:color w:val="auto"/>
                <w:szCs w:val="21"/>
                <w:lang w:val="en-US" w:eastAsia="zh-CN"/>
              </w:rPr>
              <w:t>12</w:t>
            </w:r>
            <w:r>
              <w:rPr>
                <w:b/>
                <w:color w:val="auto"/>
                <w:szCs w:val="21"/>
              </w:rPr>
              <w:t>应急预案应包含的主要内容</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0"/>
              <w:gridCol w:w="2125"/>
              <w:gridCol w:w="5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355" w:type="pct"/>
                  <w:tcBorders>
                    <w:tl2br w:val="nil"/>
                    <w:tr2bl w:val="nil"/>
                  </w:tcBorders>
                  <w:noWrap w:val="0"/>
                  <w:vAlign w:val="center"/>
                </w:tcPr>
                <w:p>
                  <w:pPr>
                    <w:widowControl/>
                    <w:jc w:val="center"/>
                    <w:rPr>
                      <w:b/>
                      <w:bCs/>
                      <w:color w:val="auto"/>
                      <w:sz w:val="18"/>
                      <w:szCs w:val="18"/>
                    </w:rPr>
                  </w:pPr>
                  <w:r>
                    <w:rPr>
                      <w:b/>
                      <w:bCs/>
                      <w:color w:val="auto"/>
                      <w:sz w:val="18"/>
                      <w:szCs w:val="18"/>
                    </w:rPr>
                    <w:t>序号</w:t>
                  </w:r>
                </w:p>
              </w:tc>
              <w:tc>
                <w:tcPr>
                  <w:tcW w:w="1346" w:type="pct"/>
                  <w:tcBorders>
                    <w:tl2br w:val="nil"/>
                    <w:tr2bl w:val="nil"/>
                  </w:tcBorders>
                  <w:noWrap w:val="0"/>
                  <w:vAlign w:val="center"/>
                </w:tcPr>
                <w:p>
                  <w:pPr>
                    <w:widowControl/>
                    <w:jc w:val="center"/>
                    <w:rPr>
                      <w:b/>
                      <w:bCs/>
                      <w:color w:val="auto"/>
                      <w:sz w:val="18"/>
                      <w:szCs w:val="18"/>
                    </w:rPr>
                  </w:pPr>
                  <w:r>
                    <w:rPr>
                      <w:b/>
                      <w:bCs/>
                      <w:color w:val="auto"/>
                      <w:sz w:val="18"/>
                      <w:szCs w:val="18"/>
                    </w:rPr>
                    <w:t>项目</w:t>
                  </w:r>
                </w:p>
              </w:tc>
              <w:tc>
                <w:tcPr>
                  <w:tcW w:w="3298" w:type="pct"/>
                  <w:tcBorders>
                    <w:tl2br w:val="nil"/>
                    <w:tr2bl w:val="nil"/>
                  </w:tcBorders>
                  <w:noWrap w:val="0"/>
                  <w:vAlign w:val="center"/>
                </w:tcPr>
                <w:p>
                  <w:pPr>
                    <w:widowControl/>
                    <w:jc w:val="center"/>
                    <w:rPr>
                      <w:b/>
                      <w:bCs/>
                      <w:color w:val="auto"/>
                      <w:sz w:val="18"/>
                      <w:szCs w:val="18"/>
                    </w:rPr>
                  </w:pPr>
                  <w:r>
                    <w:rPr>
                      <w:b/>
                      <w:bCs/>
                      <w:color w:val="auto"/>
                      <w:sz w:val="18"/>
                      <w:szCs w:val="18"/>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355" w:type="pct"/>
                  <w:tcBorders>
                    <w:tl2br w:val="nil"/>
                    <w:tr2bl w:val="nil"/>
                  </w:tcBorders>
                  <w:noWrap w:val="0"/>
                  <w:vAlign w:val="center"/>
                </w:tcPr>
                <w:p>
                  <w:pPr>
                    <w:widowControl/>
                    <w:jc w:val="center"/>
                    <w:rPr>
                      <w:color w:val="auto"/>
                      <w:sz w:val="18"/>
                      <w:szCs w:val="18"/>
                    </w:rPr>
                  </w:pPr>
                  <w:r>
                    <w:rPr>
                      <w:color w:val="auto"/>
                      <w:sz w:val="18"/>
                      <w:szCs w:val="18"/>
                    </w:rPr>
                    <w:t>1</w:t>
                  </w:r>
                </w:p>
              </w:tc>
              <w:tc>
                <w:tcPr>
                  <w:tcW w:w="1346" w:type="pct"/>
                  <w:tcBorders>
                    <w:tl2br w:val="nil"/>
                    <w:tr2bl w:val="nil"/>
                  </w:tcBorders>
                  <w:noWrap w:val="0"/>
                  <w:vAlign w:val="center"/>
                </w:tcPr>
                <w:p>
                  <w:pPr>
                    <w:widowControl/>
                    <w:jc w:val="center"/>
                    <w:rPr>
                      <w:color w:val="auto"/>
                      <w:sz w:val="18"/>
                      <w:szCs w:val="18"/>
                    </w:rPr>
                  </w:pPr>
                  <w:r>
                    <w:rPr>
                      <w:color w:val="auto"/>
                      <w:sz w:val="18"/>
                      <w:szCs w:val="18"/>
                    </w:rPr>
                    <w:t>应急计划区</w:t>
                  </w:r>
                </w:p>
              </w:tc>
              <w:tc>
                <w:tcPr>
                  <w:tcW w:w="3298" w:type="pct"/>
                  <w:tcBorders>
                    <w:tl2br w:val="nil"/>
                    <w:tr2bl w:val="nil"/>
                  </w:tcBorders>
                  <w:noWrap w:val="0"/>
                  <w:vAlign w:val="center"/>
                </w:tcPr>
                <w:p>
                  <w:pPr>
                    <w:widowControl/>
                    <w:jc w:val="left"/>
                    <w:rPr>
                      <w:color w:val="auto"/>
                      <w:sz w:val="18"/>
                      <w:szCs w:val="18"/>
                    </w:rPr>
                  </w:pPr>
                  <w:r>
                    <w:rPr>
                      <w:color w:val="auto"/>
                      <w:sz w:val="18"/>
                      <w:szCs w:val="18"/>
                    </w:rPr>
                    <w:t>废物运输路线及敏感路段（如人口密集区、敏感水体）、项目所在地周围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355" w:type="pct"/>
                  <w:tcBorders>
                    <w:tl2br w:val="nil"/>
                    <w:tr2bl w:val="nil"/>
                  </w:tcBorders>
                  <w:noWrap w:val="0"/>
                  <w:vAlign w:val="center"/>
                </w:tcPr>
                <w:p>
                  <w:pPr>
                    <w:widowControl/>
                    <w:jc w:val="center"/>
                    <w:rPr>
                      <w:color w:val="auto"/>
                      <w:sz w:val="18"/>
                      <w:szCs w:val="18"/>
                    </w:rPr>
                  </w:pPr>
                  <w:r>
                    <w:rPr>
                      <w:color w:val="auto"/>
                      <w:sz w:val="18"/>
                      <w:szCs w:val="18"/>
                    </w:rPr>
                    <w:t>2</w:t>
                  </w:r>
                </w:p>
              </w:tc>
              <w:tc>
                <w:tcPr>
                  <w:tcW w:w="1346" w:type="pct"/>
                  <w:tcBorders>
                    <w:tl2br w:val="nil"/>
                    <w:tr2bl w:val="nil"/>
                  </w:tcBorders>
                  <w:noWrap w:val="0"/>
                  <w:vAlign w:val="center"/>
                </w:tcPr>
                <w:p>
                  <w:pPr>
                    <w:widowControl/>
                    <w:jc w:val="center"/>
                    <w:rPr>
                      <w:color w:val="auto"/>
                      <w:sz w:val="18"/>
                      <w:szCs w:val="18"/>
                    </w:rPr>
                  </w:pPr>
                  <w:r>
                    <w:rPr>
                      <w:color w:val="auto"/>
                      <w:sz w:val="18"/>
                      <w:szCs w:val="18"/>
                    </w:rPr>
                    <w:t>应急组织机构、人员</w:t>
                  </w:r>
                </w:p>
              </w:tc>
              <w:tc>
                <w:tcPr>
                  <w:tcW w:w="3298" w:type="pct"/>
                  <w:tcBorders>
                    <w:tl2br w:val="nil"/>
                    <w:tr2bl w:val="nil"/>
                  </w:tcBorders>
                  <w:noWrap w:val="0"/>
                  <w:vAlign w:val="center"/>
                </w:tcPr>
                <w:p>
                  <w:pPr>
                    <w:widowControl/>
                    <w:jc w:val="left"/>
                    <w:rPr>
                      <w:color w:val="auto"/>
                      <w:sz w:val="18"/>
                      <w:szCs w:val="18"/>
                    </w:rPr>
                  </w:pPr>
                  <w:r>
                    <w:rPr>
                      <w:color w:val="auto"/>
                      <w:sz w:val="18"/>
                      <w:szCs w:val="18"/>
                    </w:rPr>
                    <w:t>当地有关部门、本项目建设单位和运营单位、地区应急组织等机构及其人员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355" w:type="pct"/>
                  <w:tcBorders>
                    <w:tl2br w:val="nil"/>
                    <w:tr2bl w:val="nil"/>
                  </w:tcBorders>
                  <w:noWrap w:val="0"/>
                  <w:vAlign w:val="center"/>
                </w:tcPr>
                <w:p>
                  <w:pPr>
                    <w:widowControl/>
                    <w:jc w:val="center"/>
                    <w:rPr>
                      <w:color w:val="auto"/>
                      <w:sz w:val="18"/>
                      <w:szCs w:val="18"/>
                    </w:rPr>
                  </w:pPr>
                  <w:r>
                    <w:rPr>
                      <w:color w:val="auto"/>
                      <w:sz w:val="18"/>
                      <w:szCs w:val="18"/>
                    </w:rPr>
                    <w:t>3</w:t>
                  </w:r>
                </w:p>
              </w:tc>
              <w:tc>
                <w:tcPr>
                  <w:tcW w:w="1346" w:type="pct"/>
                  <w:tcBorders>
                    <w:tl2br w:val="nil"/>
                    <w:tr2bl w:val="nil"/>
                  </w:tcBorders>
                  <w:noWrap w:val="0"/>
                  <w:vAlign w:val="center"/>
                </w:tcPr>
                <w:p>
                  <w:pPr>
                    <w:widowControl/>
                    <w:jc w:val="center"/>
                    <w:rPr>
                      <w:color w:val="auto"/>
                      <w:sz w:val="18"/>
                      <w:szCs w:val="18"/>
                    </w:rPr>
                  </w:pPr>
                  <w:r>
                    <w:rPr>
                      <w:color w:val="auto"/>
                      <w:sz w:val="18"/>
                      <w:szCs w:val="18"/>
                    </w:rPr>
                    <w:t>预案分级相应条件</w:t>
                  </w:r>
                </w:p>
              </w:tc>
              <w:tc>
                <w:tcPr>
                  <w:tcW w:w="3298" w:type="pct"/>
                  <w:tcBorders>
                    <w:tl2br w:val="nil"/>
                    <w:tr2bl w:val="nil"/>
                  </w:tcBorders>
                  <w:noWrap w:val="0"/>
                  <w:vAlign w:val="center"/>
                </w:tcPr>
                <w:p>
                  <w:pPr>
                    <w:widowControl/>
                    <w:jc w:val="left"/>
                    <w:rPr>
                      <w:color w:val="auto"/>
                      <w:sz w:val="18"/>
                      <w:szCs w:val="18"/>
                    </w:rPr>
                  </w:pPr>
                  <w:r>
                    <w:rPr>
                      <w:color w:val="auto"/>
                      <w:sz w:val="18"/>
                      <w:szCs w:val="18"/>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355" w:type="pct"/>
                  <w:tcBorders>
                    <w:tl2br w:val="nil"/>
                    <w:tr2bl w:val="nil"/>
                  </w:tcBorders>
                  <w:noWrap w:val="0"/>
                  <w:vAlign w:val="center"/>
                </w:tcPr>
                <w:p>
                  <w:pPr>
                    <w:widowControl/>
                    <w:jc w:val="center"/>
                    <w:rPr>
                      <w:color w:val="auto"/>
                      <w:sz w:val="18"/>
                      <w:szCs w:val="18"/>
                    </w:rPr>
                  </w:pPr>
                  <w:r>
                    <w:rPr>
                      <w:color w:val="auto"/>
                      <w:sz w:val="18"/>
                      <w:szCs w:val="18"/>
                    </w:rPr>
                    <w:t>4</w:t>
                  </w:r>
                </w:p>
              </w:tc>
              <w:tc>
                <w:tcPr>
                  <w:tcW w:w="1346" w:type="pct"/>
                  <w:tcBorders>
                    <w:tl2br w:val="nil"/>
                    <w:tr2bl w:val="nil"/>
                  </w:tcBorders>
                  <w:noWrap w:val="0"/>
                  <w:vAlign w:val="center"/>
                </w:tcPr>
                <w:p>
                  <w:pPr>
                    <w:widowControl/>
                    <w:jc w:val="center"/>
                    <w:rPr>
                      <w:color w:val="auto"/>
                      <w:sz w:val="18"/>
                      <w:szCs w:val="18"/>
                    </w:rPr>
                  </w:pPr>
                  <w:r>
                    <w:rPr>
                      <w:color w:val="auto"/>
                      <w:sz w:val="18"/>
                      <w:szCs w:val="18"/>
                    </w:rPr>
                    <w:t>应急救援保障</w:t>
                  </w:r>
                </w:p>
              </w:tc>
              <w:tc>
                <w:tcPr>
                  <w:tcW w:w="3298" w:type="pct"/>
                  <w:tcBorders>
                    <w:tl2br w:val="nil"/>
                    <w:tr2bl w:val="nil"/>
                  </w:tcBorders>
                  <w:noWrap w:val="0"/>
                  <w:vAlign w:val="center"/>
                </w:tcPr>
                <w:p>
                  <w:pPr>
                    <w:widowControl/>
                    <w:jc w:val="left"/>
                    <w:rPr>
                      <w:color w:val="auto"/>
                      <w:sz w:val="18"/>
                      <w:szCs w:val="18"/>
                    </w:rPr>
                  </w:pPr>
                  <w:r>
                    <w:rPr>
                      <w:color w:val="auto"/>
                      <w:sz w:val="18"/>
                      <w:szCs w:val="18"/>
                    </w:rPr>
                    <w:t>应急设施，设备与器材等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355" w:type="pct"/>
                  <w:tcBorders>
                    <w:tl2br w:val="nil"/>
                    <w:tr2bl w:val="nil"/>
                  </w:tcBorders>
                  <w:noWrap w:val="0"/>
                  <w:vAlign w:val="center"/>
                </w:tcPr>
                <w:p>
                  <w:pPr>
                    <w:widowControl/>
                    <w:jc w:val="center"/>
                    <w:rPr>
                      <w:color w:val="auto"/>
                      <w:sz w:val="18"/>
                      <w:szCs w:val="18"/>
                    </w:rPr>
                  </w:pPr>
                  <w:r>
                    <w:rPr>
                      <w:color w:val="auto"/>
                      <w:sz w:val="18"/>
                      <w:szCs w:val="18"/>
                    </w:rPr>
                    <w:t>5</w:t>
                  </w:r>
                </w:p>
              </w:tc>
              <w:tc>
                <w:tcPr>
                  <w:tcW w:w="1346" w:type="pct"/>
                  <w:tcBorders>
                    <w:tl2br w:val="nil"/>
                    <w:tr2bl w:val="nil"/>
                  </w:tcBorders>
                  <w:noWrap w:val="0"/>
                  <w:vAlign w:val="center"/>
                </w:tcPr>
                <w:p>
                  <w:pPr>
                    <w:widowControl/>
                    <w:jc w:val="center"/>
                    <w:rPr>
                      <w:color w:val="auto"/>
                      <w:sz w:val="18"/>
                      <w:szCs w:val="18"/>
                    </w:rPr>
                  </w:pPr>
                  <w:r>
                    <w:rPr>
                      <w:color w:val="auto"/>
                      <w:sz w:val="18"/>
                      <w:szCs w:val="18"/>
                    </w:rPr>
                    <w:t>报警、通讯联络方式</w:t>
                  </w:r>
                </w:p>
              </w:tc>
              <w:tc>
                <w:tcPr>
                  <w:tcW w:w="3298" w:type="pct"/>
                  <w:tcBorders>
                    <w:tl2br w:val="nil"/>
                    <w:tr2bl w:val="nil"/>
                  </w:tcBorders>
                  <w:noWrap w:val="0"/>
                  <w:vAlign w:val="center"/>
                </w:tcPr>
                <w:p>
                  <w:pPr>
                    <w:widowControl/>
                    <w:jc w:val="left"/>
                    <w:rPr>
                      <w:color w:val="auto"/>
                      <w:sz w:val="18"/>
                      <w:szCs w:val="18"/>
                    </w:rPr>
                  </w:pPr>
                  <w:r>
                    <w:rPr>
                      <w:color w:val="auto"/>
                      <w:sz w:val="18"/>
                      <w:szCs w:val="18"/>
                    </w:rPr>
                    <w:t>规定应急状态下的报警通讯方式、通知方式和交通保障、管制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355" w:type="pct"/>
                  <w:tcBorders>
                    <w:tl2br w:val="nil"/>
                    <w:tr2bl w:val="nil"/>
                  </w:tcBorders>
                  <w:noWrap w:val="0"/>
                  <w:vAlign w:val="center"/>
                </w:tcPr>
                <w:p>
                  <w:pPr>
                    <w:widowControl/>
                    <w:jc w:val="center"/>
                    <w:rPr>
                      <w:color w:val="auto"/>
                      <w:sz w:val="18"/>
                      <w:szCs w:val="18"/>
                    </w:rPr>
                  </w:pPr>
                  <w:r>
                    <w:rPr>
                      <w:color w:val="auto"/>
                      <w:sz w:val="18"/>
                      <w:szCs w:val="18"/>
                    </w:rPr>
                    <w:t>6</w:t>
                  </w:r>
                </w:p>
              </w:tc>
              <w:tc>
                <w:tcPr>
                  <w:tcW w:w="1346" w:type="pct"/>
                  <w:tcBorders>
                    <w:tl2br w:val="nil"/>
                    <w:tr2bl w:val="nil"/>
                  </w:tcBorders>
                  <w:noWrap w:val="0"/>
                  <w:vAlign w:val="center"/>
                </w:tcPr>
                <w:p>
                  <w:pPr>
                    <w:widowControl/>
                    <w:jc w:val="center"/>
                    <w:rPr>
                      <w:color w:val="auto"/>
                      <w:sz w:val="18"/>
                      <w:szCs w:val="18"/>
                    </w:rPr>
                  </w:pPr>
                  <w:r>
                    <w:rPr>
                      <w:color w:val="auto"/>
                      <w:sz w:val="18"/>
                      <w:szCs w:val="18"/>
                    </w:rPr>
                    <w:t>应急环境监测、抢险、救援及控制措施</w:t>
                  </w:r>
                </w:p>
              </w:tc>
              <w:tc>
                <w:tcPr>
                  <w:tcW w:w="3298" w:type="pct"/>
                  <w:tcBorders>
                    <w:tl2br w:val="nil"/>
                    <w:tr2bl w:val="nil"/>
                  </w:tcBorders>
                  <w:noWrap w:val="0"/>
                  <w:vAlign w:val="center"/>
                </w:tcPr>
                <w:p>
                  <w:pPr>
                    <w:widowControl/>
                    <w:jc w:val="left"/>
                    <w:rPr>
                      <w:color w:val="auto"/>
                      <w:sz w:val="18"/>
                      <w:szCs w:val="18"/>
                    </w:rPr>
                  </w:pPr>
                  <w:r>
                    <w:rPr>
                      <w:color w:val="auto"/>
                      <w:sz w:val="18"/>
                      <w:szCs w:val="18"/>
                    </w:rPr>
                    <w:t>由专业队伍负责对事故现场进行侦查监测，对事故性质、参数与后果进行评估，为指挥部门提供决策依据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355" w:type="pct"/>
                  <w:tcBorders>
                    <w:tl2br w:val="nil"/>
                    <w:tr2bl w:val="nil"/>
                  </w:tcBorders>
                  <w:noWrap w:val="0"/>
                  <w:vAlign w:val="center"/>
                </w:tcPr>
                <w:p>
                  <w:pPr>
                    <w:widowControl/>
                    <w:jc w:val="center"/>
                    <w:rPr>
                      <w:color w:val="auto"/>
                      <w:sz w:val="18"/>
                      <w:szCs w:val="18"/>
                    </w:rPr>
                  </w:pPr>
                  <w:r>
                    <w:rPr>
                      <w:color w:val="auto"/>
                      <w:sz w:val="18"/>
                      <w:szCs w:val="18"/>
                    </w:rPr>
                    <w:t>7</w:t>
                  </w:r>
                </w:p>
              </w:tc>
              <w:tc>
                <w:tcPr>
                  <w:tcW w:w="1346" w:type="pct"/>
                  <w:tcBorders>
                    <w:tl2br w:val="nil"/>
                    <w:tr2bl w:val="nil"/>
                  </w:tcBorders>
                  <w:noWrap w:val="0"/>
                  <w:vAlign w:val="center"/>
                </w:tcPr>
                <w:p>
                  <w:pPr>
                    <w:widowControl/>
                    <w:jc w:val="center"/>
                    <w:rPr>
                      <w:color w:val="auto"/>
                      <w:sz w:val="18"/>
                      <w:szCs w:val="18"/>
                    </w:rPr>
                  </w:pPr>
                  <w:r>
                    <w:rPr>
                      <w:color w:val="auto"/>
                      <w:sz w:val="18"/>
                      <w:szCs w:val="18"/>
                    </w:rPr>
                    <w:t>应急检测、防护措施、清除泄漏措施和器材</w:t>
                  </w:r>
                </w:p>
              </w:tc>
              <w:tc>
                <w:tcPr>
                  <w:tcW w:w="3298" w:type="pct"/>
                  <w:tcBorders>
                    <w:tl2br w:val="nil"/>
                    <w:tr2bl w:val="nil"/>
                  </w:tcBorders>
                  <w:noWrap w:val="0"/>
                  <w:vAlign w:val="center"/>
                </w:tcPr>
                <w:p>
                  <w:pPr>
                    <w:widowControl/>
                    <w:jc w:val="left"/>
                    <w:rPr>
                      <w:color w:val="auto"/>
                      <w:sz w:val="18"/>
                      <w:szCs w:val="18"/>
                    </w:rPr>
                  </w:pPr>
                  <w:r>
                    <w:rPr>
                      <w:color w:val="auto"/>
                      <w:sz w:val="18"/>
                      <w:szCs w:val="18"/>
                    </w:rPr>
                    <w:t>事故现场、邻近区域、空置房或区域，控制和清除污染的措施及相应设备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355" w:type="pct"/>
                  <w:tcBorders>
                    <w:tl2br w:val="nil"/>
                    <w:tr2bl w:val="nil"/>
                  </w:tcBorders>
                  <w:noWrap w:val="0"/>
                  <w:vAlign w:val="center"/>
                </w:tcPr>
                <w:p>
                  <w:pPr>
                    <w:widowControl/>
                    <w:jc w:val="center"/>
                    <w:rPr>
                      <w:color w:val="auto"/>
                      <w:sz w:val="18"/>
                      <w:szCs w:val="18"/>
                    </w:rPr>
                  </w:pPr>
                  <w:r>
                    <w:rPr>
                      <w:color w:val="auto"/>
                      <w:sz w:val="18"/>
                      <w:szCs w:val="18"/>
                    </w:rPr>
                    <w:t>8</w:t>
                  </w:r>
                </w:p>
              </w:tc>
              <w:tc>
                <w:tcPr>
                  <w:tcW w:w="1346" w:type="pct"/>
                  <w:tcBorders>
                    <w:tl2br w:val="nil"/>
                    <w:tr2bl w:val="nil"/>
                  </w:tcBorders>
                  <w:noWrap w:val="0"/>
                  <w:vAlign w:val="center"/>
                </w:tcPr>
                <w:p>
                  <w:pPr>
                    <w:widowControl/>
                    <w:jc w:val="center"/>
                    <w:rPr>
                      <w:color w:val="auto"/>
                      <w:sz w:val="18"/>
                      <w:szCs w:val="18"/>
                    </w:rPr>
                  </w:pPr>
                  <w:r>
                    <w:rPr>
                      <w:color w:val="auto"/>
                      <w:sz w:val="18"/>
                      <w:szCs w:val="18"/>
                    </w:rPr>
                    <w:t>人员紧急撤离、疏散、应急控制、撤离组织计划</w:t>
                  </w:r>
                </w:p>
              </w:tc>
              <w:tc>
                <w:tcPr>
                  <w:tcW w:w="3298" w:type="pct"/>
                  <w:tcBorders>
                    <w:tl2br w:val="nil"/>
                    <w:tr2bl w:val="nil"/>
                  </w:tcBorders>
                  <w:noWrap w:val="0"/>
                  <w:vAlign w:val="center"/>
                </w:tcPr>
                <w:p>
                  <w:pPr>
                    <w:widowControl/>
                    <w:jc w:val="left"/>
                    <w:rPr>
                      <w:color w:val="auto"/>
                      <w:sz w:val="18"/>
                      <w:szCs w:val="18"/>
                    </w:rPr>
                  </w:pPr>
                  <w:r>
                    <w:rPr>
                      <w:color w:val="auto"/>
                      <w:sz w:val="18"/>
                      <w:szCs w:val="18"/>
                    </w:rPr>
                    <w:t>事故现场及邻近区域受事故影响的区域人员，撤离组织计划及救护，医疗救护与公众安全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355" w:type="pct"/>
                  <w:tcBorders>
                    <w:tl2br w:val="nil"/>
                    <w:tr2bl w:val="nil"/>
                  </w:tcBorders>
                  <w:noWrap w:val="0"/>
                  <w:vAlign w:val="center"/>
                </w:tcPr>
                <w:p>
                  <w:pPr>
                    <w:widowControl/>
                    <w:jc w:val="center"/>
                    <w:rPr>
                      <w:color w:val="auto"/>
                      <w:sz w:val="18"/>
                      <w:szCs w:val="18"/>
                    </w:rPr>
                  </w:pPr>
                  <w:r>
                    <w:rPr>
                      <w:color w:val="auto"/>
                      <w:sz w:val="18"/>
                      <w:szCs w:val="18"/>
                    </w:rPr>
                    <w:t>9</w:t>
                  </w:r>
                </w:p>
              </w:tc>
              <w:tc>
                <w:tcPr>
                  <w:tcW w:w="1346" w:type="pct"/>
                  <w:tcBorders>
                    <w:tl2br w:val="nil"/>
                    <w:tr2bl w:val="nil"/>
                  </w:tcBorders>
                  <w:noWrap w:val="0"/>
                  <w:vAlign w:val="center"/>
                </w:tcPr>
                <w:p>
                  <w:pPr>
                    <w:widowControl/>
                    <w:jc w:val="center"/>
                    <w:rPr>
                      <w:color w:val="auto"/>
                      <w:sz w:val="18"/>
                      <w:szCs w:val="18"/>
                    </w:rPr>
                  </w:pPr>
                  <w:r>
                    <w:rPr>
                      <w:color w:val="auto"/>
                      <w:sz w:val="18"/>
                      <w:szCs w:val="18"/>
                    </w:rPr>
                    <w:t>事故应急救援关闭程序与恢复措施</w:t>
                  </w:r>
                </w:p>
              </w:tc>
              <w:tc>
                <w:tcPr>
                  <w:tcW w:w="3298" w:type="pct"/>
                  <w:tcBorders>
                    <w:tl2br w:val="nil"/>
                    <w:tr2bl w:val="nil"/>
                  </w:tcBorders>
                  <w:noWrap w:val="0"/>
                  <w:vAlign w:val="center"/>
                </w:tcPr>
                <w:p>
                  <w:pPr>
                    <w:widowControl/>
                    <w:jc w:val="left"/>
                    <w:rPr>
                      <w:color w:val="auto"/>
                      <w:sz w:val="18"/>
                      <w:szCs w:val="18"/>
                    </w:rPr>
                  </w:pPr>
                  <w:r>
                    <w:rPr>
                      <w:color w:val="auto"/>
                      <w:sz w:val="18"/>
                      <w:szCs w:val="18"/>
                    </w:rPr>
                    <w:t>规定应急状态终止程序；事故现场善后处理措施；邻近区域接触事故警戒与善后恢复措施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355" w:type="pct"/>
                  <w:tcBorders>
                    <w:tl2br w:val="nil"/>
                    <w:tr2bl w:val="nil"/>
                  </w:tcBorders>
                  <w:noWrap w:val="0"/>
                  <w:vAlign w:val="center"/>
                </w:tcPr>
                <w:p>
                  <w:pPr>
                    <w:widowControl/>
                    <w:jc w:val="center"/>
                    <w:rPr>
                      <w:color w:val="auto"/>
                      <w:sz w:val="18"/>
                      <w:szCs w:val="18"/>
                    </w:rPr>
                  </w:pPr>
                  <w:r>
                    <w:rPr>
                      <w:color w:val="auto"/>
                      <w:sz w:val="18"/>
                      <w:szCs w:val="18"/>
                    </w:rPr>
                    <w:t>10</w:t>
                  </w:r>
                </w:p>
              </w:tc>
              <w:tc>
                <w:tcPr>
                  <w:tcW w:w="1346" w:type="pct"/>
                  <w:tcBorders>
                    <w:tl2br w:val="nil"/>
                    <w:tr2bl w:val="nil"/>
                  </w:tcBorders>
                  <w:noWrap w:val="0"/>
                  <w:vAlign w:val="center"/>
                </w:tcPr>
                <w:p>
                  <w:pPr>
                    <w:widowControl/>
                    <w:jc w:val="center"/>
                    <w:rPr>
                      <w:color w:val="auto"/>
                      <w:sz w:val="18"/>
                      <w:szCs w:val="18"/>
                    </w:rPr>
                  </w:pPr>
                  <w:r>
                    <w:rPr>
                      <w:color w:val="auto"/>
                      <w:sz w:val="18"/>
                      <w:szCs w:val="18"/>
                    </w:rPr>
                    <w:t>应急培训计划</w:t>
                  </w:r>
                </w:p>
              </w:tc>
              <w:tc>
                <w:tcPr>
                  <w:tcW w:w="3298" w:type="pct"/>
                  <w:tcBorders>
                    <w:tl2br w:val="nil"/>
                    <w:tr2bl w:val="nil"/>
                  </w:tcBorders>
                  <w:noWrap w:val="0"/>
                  <w:vAlign w:val="center"/>
                </w:tcPr>
                <w:p>
                  <w:pPr>
                    <w:widowControl/>
                    <w:jc w:val="left"/>
                    <w:rPr>
                      <w:color w:val="auto"/>
                      <w:sz w:val="18"/>
                      <w:szCs w:val="18"/>
                    </w:rPr>
                  </w:pPr>
                  <w:r>
                    <w:rPr>
                      <w:color w:val="auto"/>
                      <w:sz w:val="18"/>
                      <w:szCs w:val="18"/>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355" w:type="pct"/>
                  <w:tcBorders>
                    <w:tl2br w:val="nil"/>
                    <w:tr2bl w:val="nil"/>
                  </w:tcBorders>
                  <w:noWrap w:val="0"/>
                  <w:vAlign w:val="center"/>
                </w:tcPr>
                <w:p>
                  <w:pPr>
                    <w:widowControl/>
                    <w:jc w:val="center"/>
                    <w:rPr>
                      <w:color w:val="auto"/>
                      <w:sz w:val="18"/>
                      <w:szCs w:val="18"/>
                    </w:rPr>
                  </w:pPr>
                  <w:r>
                    <w:rPr>
                      <w:color w:val="auto"/>
                      <w:sz w:val="18"/>
                      <w:szCs w:val="18"/>
                    </w:rPr>
                    <w:t>11</w:t>
                  </w:r>
                </w:p>
              </w:tc>
              <w:tc>
                <w:tcPr>
                  <w:tcW w:w="1346" w:type="pct"/>
                  <w:tcBorders>
                    <w:tl2br w:val="nil"/>
                    <w:tr2bl w:val="nil"/>
                  </w:tcBorders>
                  <w:noWrap w:val="0"/>
                  <w:vAlign w:val="center"/>
                </w:tcPr>
                <w:p>
                  <w:pPr>
                    <w:widowControl/>
                    <w:jc w:val="center"/>
                    <w:rPr>
                      <w:color w:val="auto"/>
                      <w:sz w:val="18"/>
                      <w:szCs w:val="18"/>
                    </w:rPr>
                  </w:pPr>
                  <w:r>
                    <w:rPr>
                      <w:color w:val="auto"/>
                      <w:sz w:val="18"/>
                      <w:szCs w:val="18"/>
                    </w:rPr>
                    <w:t>公众教育和信息</w:t>
                  </w:r>
                </w:p>
              </w:tc>
              <w:tc>
                <w:tcPr>
                  <w:tcW w:w="3298" w:type="pct"/>
                  <w:tcBorders>
                    <w:tl2br w:val="nil"/>
                    <w:tr2bl w:val="nil"/>
                  </w:tcBorders>
                  <w:noWrap w:val="0"/>
                  <w:vAlign w:val="center"/>
                </w:tcPr>
                <w:p>
                  <w:pPr>
                    <w:widowControl/>
                    <w:jc w:val="left"/>
                    <w:rPr>
                      <w:color w:val="auto"/>
                      <w:sz w:val="18"/>
                      <w:szCs w:val="18"/>
                    </w:rPr>
                  </w:pPr>
                  <w:r>
                    <w:rPr>
                      <w:color w:val="auto"/>
                      <w:sz w:val="18"/>
                      <w:szCs w:val="18"/>
                    </w:rPr>
                    <w:t>对收运点及项目所在地开展公众教育、培训和发布有关信息</w:t>
                  </w:r>
                </w:p>
              </w:tc>
            </w:tr>
          </w:tbl>
          <w:p>
            <w:pPr>
              <w:spacing w:line="360" w:lineRule="auto"/>
              <w:ind w:firstLine="420" w:firstLineChars="200"/>
              <w:rPr>
                <w:bCs/>
                <w:sz w:val="21"/>
                <w:szCs w:val="21"/>
              </w:rPr>
            </w:pPr>
            <w:r>
              <w:rPr>
                <w:rFonts w:hint="eastAsia"/>
                <w:bCs/>
                <w:sz w:val="21"/>
                <w:szCs w:val="21"/>
              </w:rPr>
              <w:t>综上，本项目产生固废均能得到妥善处理。</w:t>
            </w:r>
          </w:p>
          <w:p>
            <w:pPr>
              <w:adjustRightInd w:val="0"/>
              <w:snapToGrid w:val="0"/>
              <w:spacing w:line="360" w:lineRule="auto"/>
              <w:rPr>
                <w:b w:val="0"/>
                <w:bCs/>
                <w:sz w:val="21"/>
                <w:szCs w:val="21"/>
              </w:rPr>
            </w:pPr>
            <w:r>
              <w:rPr>
                <w:rFonts w:hint="eastAsia"/>
                <w:b w:val="0"/>
                <w:bCs/>
                <w:sz w:val="21"/>
                <w:szCs w:val="21"/>
              </w:rPr>
              <w:t>5、地下水、土壤</w:t>
            </w:r>
          </w:p>
          <w:p>
            <w:pPr>
              <w:spacing w:line="360" w:lineRule="auto"/>
              <w:ind w:firstLine="420" w:firstLineChars="200"/>
              <w:rPr>
                <w:bCs/>
                <w:sz w:val="21"/>
                <w:szCs w:val="21"/>
              </w:rPr>
            </w:pPr>
            <w:r>
              <w:rPr>
                <w:rFonts w:hint="eastAsia"/>
                <w:bCs/>
                <w:sz w:val="21"/>
                <w:szCs w:val="21"/>
              </w:rPr>
              <w:t>（</w:t>
            </w:r>
            <w:r>
              <w:rPr>
                <w:bCs/>
                <w:sz w:val="21"/>
                <w:szCs w:val="21"/>
              </w:rPr>
              <w:t>1</w:t>
            </w:r>
            <w:r>
              <w:rPr>
                <w:rFonts w:hint="eastAsia"/>
                <w:bCs/>
                <w:sz w:val="21"/>
                <w:szCs w:val="21"/>
              </w:rPr>
              <w:t xml:space="preserve">）污染物类型和污染途径 </w:t>
            </w:r>
          </w:p>
          <w:p>
            <w:pPr>
              <w:spacing w:line="360" w:lineRule="auto"/>
              <w:ind w:firstLine="420" w:firstLineChars="200"/>
              <w:rPr>
                <w:bCs/>
                <w:sz w:val="21"/>
                <w:szCs w:val="21"/>
              </w:rPr>
            </w:pPr>
            <w:r>
              <w:rPr>
                <w:rFonts w:hint="eastAsia"/>
                <w:bCs/>
                <w:sz w:val="21"/>
                <w:szCs w:val="21"/>
              </w:rPr>
              <w:t xml:space="preserve">本项目不涉及土壤盐化、碱化、酸化等影响，故通常来说，地下水、土壤的污染途径分为大气沉降、地面漫流和垂直入渗。本项目污染途径分析如下： </w:t>
            </w:r>
          </w:p>
          <w:p>
            <w:pPr>
              <w:spacing w:line="360" w:lineRule="auto"/>
              <w:ind w:firstLine="420" w:firstLineChars="200"/>
              <w:rPr>
                <w:bCs/>
                <w:sz w:val="21"/>
                <w:szCs w:val="21"/>
              </w:rPr>
            </w:pPr>
            <w:r>
              <w:rPr>
                <w:rFonts w:hint="eastAsia"/>
                <w:bCs/>
                <w:sz w:val="21"/>
                <w:szCs w:val="21"/>
              </w:rPr>
              <w:t xml:space="preserve">本项目排放的废气污染物量较小，故因大气沉降对土壤、地下水的影响较小。 </w:t>
            </w:r>
          </w:p>
          <w:p>
            <w:pPr>
              <w:spacing w:line="360" w:lineRule="auto"/>
              <w:ind w:firstLine="420" w:firstLineChars="200"/>
              <w:rPr>
                <w:bCs/>
                <w:sz w:val="21"/>
                <w:szCs w:val="21"/>
              </w:rPr>
            </w:pPr>
            <w:r>
              <w:rPr>
                <w:rFonts w:hint="eastAsia"/>
                <w:bCs/>
                <w:sz w:val="21"/>
                <w:szCs w:val="21"/>
              </w:rPr>
              <w:t xml:space="preserve">本项目院区雨污水分流，医疗废水经院内污水处理设施处理后进入污水处理厂处理，本项目涉及污水处理站、危险废物暂存间采取防腐防渗措施，防止和降低污染物跑、冒、滴、漏，将污染土壤和地下水的环境风险尽可能降低。各种物料均在设备或包装桶内，不会有物料渗漏至地下的情景发生，因此，本项目不会出现垂直入渗影响。 </w:t>
            </w:r>
          </w:p>
          <w:p>
            <w:pPr>
              <w:spacing w:line="360" w:lineRule="auto"/>
              <w:ind w:firstLine="420" w:firstLineChars="200"/>
              <w:rPr>
                <w:bCs/>
                <w:sz w:val="21"/>
                <w:szCs w:val="21"/>
              </w:rPr>
            </w:pPr>
            <w:r>
              <w:rPr>
                <w:rFonts w:hint="eastAsia"/>
                <w:bCs/>
                <w:sz w:val="21"/>
                <w:szCs w:val="21"/>
              </w:rPr>
              <w:t>（</w:t>
            </w:r>
            <w:r>
              <w:rPr>
                <w:bCs/>
                <w:sz w:val="21"/>
                <w:szCs w:val="21"/>
              </w:rPr>
              <w:t>2</w:t>
            </w:r>
            <w:r>
              <w:rPr>
                <w:rFonts w:hint="eastAsia"/>
                <w:bCs/>
                <w:sz w:val="21"/>
                <w:szCs w:val="21"/>
              </w:rPr>
              <w:t xml:space="preserve">）分区防控要求 </w:t>
            </w:r>
          </w:p>
          <w:p>
            <w:pPr>
              <w:spacing w:line="360" w:lineRule="auto"/>
              <w:ind w:firstLine="420" w:firstLineChars="200"/>
              <w:rPr>
                <w:bCs/>
                <w:sz w:val="21"/>
                <w:szCs w:val="21"/>
              </w:rPr>
            </w:pPr>
            <w:r>
              <w:rPr>
                <w:rFonts w:hint="eastAsia"/>
                <w:bCs/>
                <w:sz w:val="21"/>
                <w:szCs w:val="21"/>
              </w:rPr>
              <w:t>建设单位应对本项目场地内可能泄漏污染物的污染区地面进行防渗处理，如发生事故需及时将洒落、泄漏和渗漏的污染物收集起来进行处理，以有效防止洒落地面的污染物渗入地下。按照《环境影响评价技术导则地下水环境》（</w:t>
            </w:r>
            <w:r>
              <w:rPr>
                <w:bCs/>
                <w:sz w:val="21"/>
                <w:szCs w:val="21"/>
              </w:rPr>
              <w:t>HJ610-2016</w:t>
            </w:r>
            <w:r>
              <w:rPr>
                <w:rFonts w:hint="eastAsia"/>
                <w:bCs/>
                <w:sz w:val="21"/>
                <w:szCs w:val="21"/>
              </w:rPr>
              <w:t xml:space="preserve">）中分区防控措施要求，各区的防渗要求如下表所示： </w:t>
            </w:r>
          </w:p>
          <w:p>
            <w:pPr>
              <w:spacing w:line="360" w:lineRule="auto"/>
              <w:jc w:val="center"/>
              <w:rPr>
                <w:b/>
                <w:bCs/>
                <w:sz w:val="21"/>
                <w:szCs w:val="21"/>
              </w:rPr>
            </w:pPr>
            <w:r>
              <w:rPr>
                <w:b/>
                <w:bCs/>
                <w:kern w:val="0"/>
                <w:sz w:val="21"/>
                <w:szCs w:val="21"/>
              </w:rPr>
              <w:t>表4-</w:t>
            </w:r>
            <w:r>
              <w:rPr>
                <w:rFonts w:hint="eastAsia"/>
                <w:b/>
                <w:bCs/>
                <w:kern w:val="0"/>
                <w:sz w:val="21"/>
                <w:szCs w:val="21"/>
                <w:lang w:val="en-US" w:eastAsia="zh-CN"/>
              </w:rPr>
              <w:t>13</w:t>
            </w:r>
            <w:r>
              <w:rPr>
                <w:b/>
                <w:bCs/>
                <w:kern w:val="0"/>
                <w:sz w:val="21"/>
                <w:szCs w:val="21"/>
              </w:rPr>
              <w:t>项目分区防渗要求</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2152"/>
              <w:gridCol w:w="1359"/>
              <w:gridCol w:w="3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1" w:type="pct"/>
                  <w:vAlign w:val="center"/>
                </w:tcPr>
                <w:p>
                  <w:pPr>
                    <w:jc w:val="center"/>
                    <w:rPr>
                      <w:b/>
                      <w:bCs/>
                      <w:sz w:val="21"/>
                      <w:szCs w:val="21"/>
                    </w:rPr>
                  </w:pPr>
                  <w:r>
                    <w:rPr>
                      <w:rFonts w:hint="eastAsia"/>
                      <w:b/>
                      <w:bCs/>
                      <w:sz w:val="21"/>
                      <w:szCs w:val="21"/>
                    </w:rPr>
                    <w:t>编号</w:t>
                  </w:r>
                </w:p>
              </w:tc>
              <w:tc>
                <w:tcPr>
                  <w:tcW w:w="1363" w:type="pct"/>
                  <w:vAlign w:val="center"/>
                </w:tcPr>
                <w:p>
                  <w:pPr>
                    <w:jc w:val="center"/>
                    <w:rPr>
                      <w:b/>
                      <w:bCs/>
                      <w:sz w:val="21"/>
                      <w:szCs w:val="21"/>
                    </w:rPr>
                  </w:pPr>
                  <w:r>
                    <w:rPr>
                      <w:rFonts w:hint="eastAsia"/>
                      <w:b/>
                      <w:bCs/>
                      <w:sz w:val="21"/>
                      <w:szCs w:val="21"/>
                    </w:rPr>
                    <w:t>装置（单元、设施）名称</w:t>
                  </w:r>
                </w:p>
              </w:tc>
              <w:tc>
                <w:tcPr>
                  <w:tcW w:w="861" w:type="pct"/>
                  <w:vAlign w:val="center"/>
                </w:tcPr>
                <w:p>
                  <w:pPr>
                    <w:jc w:val="center"/>
                    <w:rPr>
                      <w:b/>
                      <w:bCs/>
                      <w:sz w:val="21"/>
                      <w:szCs w:val="21"/>
                    </w:rPr>
                  </w:pPr>
                  <w:r>
                    <w:rPr>
                      <w:rFonts w:hint="eastAsia"/>
                      <w:b/>
                      <w:bCs/>
                      <w:sz w:val="21"/>
                      <w:szCs w:val="21"/>
                    </w:rPr>
                    <w:t>防渗分区</w:t>
                  </w:r>
                </w:p>
              </w:tc>
              <w:tc>
                <w:tcPr>
                  <w:tcW w:w="2394" w:type="pct"/>
                  <w:vAlign w:val="center"/>
                </w:tcPr>
                <w:p>
                  <w:pPr>
                    <w:jc w:val="center"/>
                    <w:rPr>
                      <w:b/>
                      <w:bCs/>
                      <w:sz w:val="21"/>
                      <w:szCs w:val="21"/>
                    </w:rPr>
                  </w:pPr>
                  <w:r>
                    <w:rPr>
                      <w:rFonts w:hint="eastAsia"/>
                      <w:b/>
                      <w:bCs/>
                      <w:sz w:val="21"/>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1" w:type="pct"/>
                  <w:vAlign w:val="center"/>
                </w:tcPr>
                <w:p>
                  <w:pPr>
                    <w:jc w:val="center"/>
                    <w:rPr>
                      <w:bCs/>
                      <w:sz w:val="21"/>
                      <w:szCs w:val="21"/>
                    </w:rPr>
                  </w:pPr>
                  <w:r>
                    <w:rPr>
                      <w:rFonts w:hint="eastAsia"/>
                      <w:bCs/>
                      <w:sz w:val="21"/>
                      <w:szCs w:val="21"/>
                    </w:rPr>
                    <w:t>1</w:t>
                  </w:r>
                </w:p>
              </w:tc>
              <w:tc>
                <w:tcPr>
                  <w:tcW w:w="1363" w:type="pct"/>
                  <w:vAlign w:val="center"/>
                </w:tcPr>
                <w:p>
                  <w:pPr>
                    <w:jc w:val="center"/>
                    <w:rPr>
                      <w:bCs/>
                      <w:sz w:val="21"/>
                      <w:szCs w:val="21"/>
                    </w:rPr>
                  </w:pPr>
                  <w:r>
                    <w:rPr>
                      <w:rFonts w:hint="eastAsia"/>
                      <w:bCs/>
                      <w:sz w:val="21"/>
                      <w:szCs w:val="21"/>
                    </w:rPr>
                    <w:t>污水处理站</w:t>
                  </w:r>
                </w:p>
              </w:tc>
              <w:tc>
                <w:tcPr>
                  <w:tcW w:w="861" w:type="pct"/>
                  <w:vAlign w:val="center"/>
                </w:tcPr>
                <w:p>
                  <w:pPr>
                    <w:jc w:val="center"/>
                    <w:rPr>
                      <w:bCs/>
                      <w:sz w:val="21"/>
                      <w:szCs w:val="21"/>
                    </w:rPr>
                  </w:pPr>
                  <w:r>
                    <w:rPr>
                      <w:rFonts w:hint="eastAsia"/>
                      <w:bCs/>
                      <w:sz w:val="21"/>
                      <w:szCs w:val="21"/>
                    </w:rPr>
                    <w:t>重点防渗区</w:t>
                  </w:r>
                </w:p>
              </w:tc>
              <w:tc>
                <w:tcPr>
                  <w:tcW w:w="2394" w:type="pct"/>
                  <w:vAlign w:val="center"/>
                </w:tcPr>
                <w:p>
                  <w:pPr>
                    <w:jc w:val="center"/>
                    <w:rPr>
                      <w:bCs/>
                      <w:sz w:val="21"/>
                      <w:szCs w:val="21"/>
                    </w:rPr>
                  </w:pPr>
                  <w:r>
                    <w:rPr>
                      <w:rFonts w:hint="eastAsia"/>
                      <w:bCs/>
                      <w:sz w:val="21"/>
                      <w:szCs w:val="21"/>
                    </w:rPr>
                    <w:t>等效黏土防渗层Mb≥</w:t>
                  </w:r>
                  <w:r>
                    <w:rPr>
                      <w:bCs/>
                      <w:sz w:val="21"/>
                      <w:szCs w:val="21"/>
                    </w:rPr>
                    <w:t>6.0m</w:t>
                  </w:r>
                  <w:r>
                    <w:rPr>
                      <w:rFonts w:hint="eastAsia"/>
                      <w:bCs/>
                      <w:sz w:val="21"/>
                      <w:szCs w:val="21"/>
                    </w:rPr>
                    <w:t>；</w:t>
                  </w:r>
                  <w:r>
                    <w:rPr>
                      <w:bCs/>
                      <w:sz w:val="21"/>
                      <w:szCs w:val="21"/>
                    </w:rPr>
                    <w:t>K</w:t>
                  </w:r>
                  <w:r>
                    <w:rPr>
                      <w:rFonts w:hint="eastAsia"/>
                      <w:bCs/>
                      <w:sz w:val="21"/>
                      <w:szCs w:val="21"/>
                    </w:rPr>
                    <w:t>≤</w:t>
                  </w:r>
                  <w:r>
                    <w:rPr>
                      <w:bCs/>
                      <w:sz w:val="21"/>
                      <w:szCs w:val="21"/>
                    </w:rPr>
                    <w:t>1×10</w:t>
                  </w:r>
                  <w:r>
                    <w:rPr>
                      <w:bCs/>
                      <w:sz w:val="21"/>
                      <w:szCs w:val="21"/>
                      <w:vertAlign w:val="superscript"/>
                    </w:rPr>
                    <w:t>-</w:t>
                  </w:r>
                  <w:r>
                    <w:rPr>
                      <w:rFonts w:hint="eastAsia"/>
                      <w:bCs/>
                      <w:sz w:val="21"/>
                      <w:szCs w:val="21"/>
                      <w:vertAlign w:val="superscript"/>
                    </w:rPr>
                    <w:t>10</w:t>
                  </w:r>
                  <w:r>
                    <w:rPr>
                      <w:bCs/>
                      <w:sz w:val="21"/>
                      <w:szCs w:val="21"/>
                      <w:vertAlign w:val="superscript"/>
                    </w:rPr>
                    <w:t xml:space="preserve"> </w:t>
                  </w:r>
                  <w:r>
                    <w:rPr>
                      <w:bCs/>
                      <w:sz w:val="21"/>
                      <w:szCs w:val="21"/>
                    </w:rPr>
                    <w:t>cm/</w:t>
                  </w:r>
                  <w:r>
                    <w:rPr>
                      <w:rFonts w:hint="eastAsia"/>
                      <w:bCs/>
                      <w:sz w:val="21"/>
                      <w:szCs w:val="21"/>
                    </w:rPr>
                    <w:t>s；或参照</w:t>
                  </w:r>
                  <w:r>
                    <w:rPr>
                      <w:bCs/>
                      <w:sz w:val="21"/>
                      <w:szCs w:val="21"/>
                    </w:rPr>
                    <w:t>GB18598</w:t>
                  </w:r>
                  <w:r>
                    <w:rPr>
                      <w:rFonts w:hint="eastAsia"/>
                      <w:bCs/>
                      <w:sz w:val="21"/>
                      <w:szCs w:val="21"/>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1" w:type="pct"/>
                  <w:vAlign w:val="center"/>
                </w:tcPr>
                <w:p>
                  <w:pPr>
                    <w:jc w:val="center"/>
                    <w:rPr>
                      <w:bCs/>
                      <w:sz w:val="21"/>
                      <w:szCs w:val="21"/>
                    </w:rPr>
                  </w:pPr>
                  <w:r>
                    <w:rPr>
                      <w:rFonts w:hint="eastAsia"/>
                      <w:bCs/>
                      <w:sz w:val="21"/>
                      <w:szCs w:val="21"/>
                    </w:rPr>
                    <w:t>2</w:t>
                  </w:r>
                </w:p>
              </w:tc>
              <w:tc>
                <w:tcPr>
                  <w:tcW w:w="1363" w:type="pct"/>
                  <w:vAlign w:val="center"/>
                </w:tcPr>
                <w:p>
                  <w:pPr>
                    <w:jc w:val="center"/>
                    <w:rPr>
                      <w:bCs/>
                      <w:sz w:val="21"/>
                      <w:szCs w:val="21"/>
                    </w:rPr>
                  </w:pPr>
                  <w:r>
                    <w:rPr>
                      <w:rFonts w:hint="eastAsia"/>
                      <w:bCs/>
                      <w:sz w:val="21"/>
                      <w:szCs w:val="21"/>
                    </w:rPr>
                    <w:t>危险废物暂存间</w:t>
                  </w:r>
                </w:p>
              </w:tc>
              <w:tc>
                <w:tcPr>
                  <w:tcW w:w="861" w:type="pct"/>
                  <w:vAlign w:val="center"/>
                </w:tcPr>
                <w:p>
                  <w:pPr>
                    <w:jc w:val="center"/>
                    <w:rPr>
                      <w:bCs/>
                      <w:sz w:val="21"/>
                      <w:szCs w:val="21"/>
                    </w:rPr>
                  </w:pPr>
                  <w:r>
                    <w:rPr>
                      <w:rFonts w:hint="eastAsia"/>
                      <w:bCs/>
                      <w:sz w:val="21"/>
                      <w:szCs w:val="21"/>
                    </w:rPr>
                    <w:t>重点防渗区</w:t>
                  </w:r>
                </w:p>
              </w:tc>
              <w:tc>
                <w:tcPr>
                  <w:tcW w:w="2394" w:type="pct"/>
                  <w:vAlign w:val="center"/>
                </w:tcPr>
                <w:p>
                  <w:pPr>
                    <w:jc w:val="center"/>
                    <w:rPr>
                      <w:bCs/>
                      <w:sz w:val="21"/>
                      <w:szCs w:val="21"/>
                    </w:rPr>
                  </w:pPr>
                  <w:r>
                    <w:rPr>
                      <w:rFonts w:hint="eastAsia"/>
                      <w:bCs/>
                      <w:sz w:val="21"/>
                      <w:szCs w:val="21"/>
                    </w:rPr>
                    <w:t>等效黏土防渗层Mb≥</w:t>
                  </w:r>
                  <w:r>
                    <w:rPr>
                      <w:bCs/>
                      <w:sz w:val="21"/>
                      <w:szCs w:val="21"/>
                    </w:rPr>
                    <w:t>6.0m</w:t>
                  </w:r>
                  <w:r>
                    <w:rPr>
                      <w:rFonts w:hint="eastAsia"/>
                      <w:bCs/>
                      <w:sz w:val="21"/>
                      <w:szCs w:val="21"/>
                    </w:rPr>
                    <w:t>；</w:t>
                  </w:r>
                  <w:r>
                    <w:rPr>
                      <w:bCs/>
                      <w:sz w:val="21"/>
                      <w:szCs w:val="21"/>
                    </w:rPr>
                    <w:t>K</w:t>
                  </w:r>
                  <w:r>
                    <w:rPr>
                      <w:rFonts w:hint="eastAsia"/>
                      <w:bCs/>
                      <w:sz w:val="21"/>
                      <w:szCs w:val="21"/>
                    </w:rPr>
                    <w:t>≤</w:t>
                  </w:r>
                  <w:r>
                    <w:rPr>
                      <w:bCs/>
                      <w:sz w:val="21"/>
                      <w:szCs w:val="21"/>
                    </w:rPr>
                    <w:t>1×10</w:t>
                  </w:r>
                  <w:r>
                    <w:rPr>
                      <w:bCs/>
                      <w:sz w:val="21"/>
                      <w:szCs w:val="21"/>
                      <w:vertAlign w:val="superscript"/>
                    </w:rPr>
                    <w:t>-</w:t>
                  </w:r>
                  <w:r>
                    <w:rPr>
                      <w:rFonts w:hint="eastAsia"/>
                      <w:bCs/>
                      <w:sz w:val="21"/>
                      <w:szCs w:val="21"/>
                      <w:vertAlign w:val="superscript"/>
                    </w:rPr>
                    <w:t>10</w:t>
                  </w:r>
                  <w:r>
                    <w:rPr>
                      <w:bCs/>
                      <w:sz w:val="21"/>
                      <w:szCs w:val="21"/>
                      <w:vertAlign w:val="superscript"/>
                    </w:rPr>
                    <w:t xml:space="preserve"> </w:t>
                  </w:r>
                  <w:r>
                    <w:rPr>
                      <w:bCs/>
                      <w:sz w:val="21"/>
                      <w:szCs w:val="21"/>
                    </w:rPr>
                    <w:t>cm/</w:t>
                  </w:r>
                  <w:r>
                    <w:rPr>
                      <w:rFonts w:hint="eastAsia"/>
                      <w:bCs/>
                      <w:sz w:val="21"/>
                      <w:szCs w:val="21"/>
                    </w:rPr>
                    <w:t>s；或参照</w:t>
                  </w:r>
                  <w:r>
                    <w:rPr>
                      <w:bCs/>
                      <w:sz w:val="21"/>
                      <w:szCs w:val="21"/>
                    </w:rPr>
                    <w:t>GB18598</w:t>
                  </w:r>
                  <w:r>
                    <w:rPr>
                      <w:rFonts w:hint="eastAsia"/>
                      <w:bCs/>
                      <w:sz w:val="21"/>
                      <w:szCs w:val="21"/>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1" w:type="pct"/>
                  <w:vAlign w:val="center"/>
                </w:tcPr>
                <w:p>
                  <w:pPr>
                    <w:jc w:val="center"/>
                    <w:rPr>
                      <w:bCs/>
                      <w:sz w:val="21"/>
                      <w:szCs w:val="21"/>
                    </w:rPr>
                  </w:pPr>
                  <w:r>
                    <w:rPr>
                      <w:rFonts w:hint="eastAsia"/>
                      <w:bCs/>
                      <w:sz w:val="21"/>
                      <w:szCs w:val="21"/>
                    </w:rPr>
                    <w:t>3</w:t>
                  </w:r>
                </w:p>
              </w:tc>
              <w:tc>
                <w:tcPr>
                  <w:tcW w:w="1363" w:type="pct"/>
                  <w:vAlign w:val="center"/>
                </w:tcPr>
                <w:p>
                  <w:pPr>
                    <w:jc w:val="center"/>
                    <w:rPr>
                      <w:bCs/>
                      <w:sz w:val="21"/>
                      <w:szCs w:val="21"/>
                    </w:rPr>
                  </w:pPr>
                  <w:r>
                    <w:rPr>
                      <w:rFonts w:hint="eastAsia"/>
                      <w:bCs/>
                      <w:sz w:val="21"/>
                      <w:szCs w:val="21"/>
                    </w:rPr>
                    <w:t>院区地面</w:t>
                  </w:r>
                </w:p>
              </w:tc>
              <w:tc>
                <w:tcPr>
                  <w:tcW w:w="861" w:type="pct"/>
                  <w:vAlign w:val="center"/>
                </w:tcPr>
                <w:p>
                  <w:pPr>
                    <w:jc w:val="center"/>
                    <w:rPr>
                      <w:bCs/>
                      <w:sz w:val="21"/>
                      <w:szCs w:val="21"/>
                    </w:rPr>
                  </w:pPr>
                  <w:r>
                    <w:rPr>
                      <w:rFonts w:hint="eastAsia"/>
                      <w:bCs/>
                      <w:sz w:val="21"/>
                      <w:szCs w:val="21"/>
                    </w:rPr>
                    <w:t>一般防渗区</w:t>
                  </w:r>
                </w:p>
              </w:tc>
              <w:tc>
                <w:tcPr>
                  <w:tcW w:w="2394" w:type="pct"/>
                  <w:vAlign w:val="center"/>
                </w:tcPr>
                <w:p>
                  <w:pPr>
                    <w:wordWrap w:val="0"/>
                    <w:jc w:val="center"/>
                    <w:rPr>
                      <w:bCs/>
                      <w:sz w:val="21"/>
                      <w:szCs w:val="21"/>
                      <w:vertAlign w:val="superscript"/>
                    </w:rPr>
                  </w:pPr>
                  <w:r>
                    <w:rPr>
                      <w:rFonts w:hint="eastAsia"/>
                      <w:bCs/>
                      <w:sz w:val="21"/>
                      <w:szCs w:val="21"/>
                    </w:rPr>
                    <w:t>等效黏土防渗层</w:t>
                  </w:r>
                  <w:r>
                    <w:rPr>
                      <w:bCs/>
                      <w:sz w:val="21"/>
                      <w:szCs w:val="21"/>
                    </w:rPr>
                    <w:t>Mb≥1.5m</w:t>
                  </w:r>
                  <w:r>
                    <w:rPr>
                      <w:rFonts w:hint="eastAsia"/>
                      <w:bCs/>
                      <w:sz w:val="21"/>
                      <w:szCs w:val="21"/>
                    </w:rPr>
                    <w:t>，</w:t>
                  </w:r>
                  <w:r>
                    <w:rPr>
                      <w:bCs/>
                      <w:sz w:val="21"/>
                      <w:szCs w:val="21"/>
                    </w:rPr>
                    <w:t>K≤1×10</w:t>
                  </w:r>
                  <w:r>
                    <w:rPr>
                      <w:bCs/>
                      <w:sz w:val="21"/>
                      <w:szCs w:val="21"/>
                      <w:vertAlign w:val="superscript"/>
                    </w:rPr>
                    <w:t>-7</w:t>
                  </w:r>
                </w:p>
                <w:p>
                  <w:pPr>
                    <w:wordWrap w:val="0"/>
                    <w:jc w:val="center"/>
                    <w:rPr>
                      <w:bCs/>
                      <w:sz w:val="21"/>
                      <w:szCs w:val="21"/>
                    </w:rPr>
                  </w:pPr>
                  <w:r>
                    <w:rPr>
                      <w:bCs/>
                      <w:sz w:val="21"/>
                      <w:szCs w:val="21"/>
                    </w:rPr>
                    <w:t>cm/s</w:t>
                  </w:r>
                  <w:r>
                    <w:rPr>
                      <w:rFonts w:hint="eastAsia"/>
                      <w:bCs/>
                      <w:sz w:val="21"/>
                      <w:szCs w:val="21"/>
                    </w:rPr>
                    <w:t>；或参照</w:t>
                  </w:r>
                  <w:r>
                    <w:rPr>
                      <w:bCs/>
                      <w:sz w:val="21"/>
                      <w:szCs w:val="21"/>
                    </w:rPr>
                    <w:t>GB16889</w:t>
                  </w:r>
                  <w:r>
                    <w:rPr>
                      <w:rFonts w:hint="eastAsia"/>
                      <w:bCs/>
                      <w:sz w:val="21"/>
                      <w:szCs w:val="21"/>
                    </w:rPr>
                    <w:t>执行</w:t>
                  </w:r>
                </w:p>
              </w:tc>
            </w:tr>
          </w:tbl>
          <w:p>
            <w:pPr>
              <w:spacing w:line="360" w:lineRule="auto"/>
              <w:ind w:firstLine="420" w:firstLineChars="200"/>
              <w:rPr>
                <w:bCs/>
                <w:sz w:val="21"/>
                <w:szCs w:val="21"/>
              </w:rPr>
            </w:pPr>
            <w:r>
              <w:rPr>
                <w:rFonts w:hint="eastAsia"/>
                <w:bCs/>
                <w:sz w:val="21"/>
                <w:szCs w:val="21"/>
              </w:rPr>
              <w:t>（</w:t>
            </w:r>
            <w:r>
              <w:rPr>
                <w:bCs/>
                <w:sz w:val="21"/>
                <w:szCs w:val="21"/>
              </w:rPr>
              <w:t>3</w:t>
            </w:r>
            <w:r>
              <w:rPr>
                <w:rFonts w:hint="eastAsia"/>
                <w:bCs/>
                <w:sz w:val="21"/>
                <w:szCs w:val="21"/>
              </w:rPr>
              <w:t xml:space="preserve">）跟踪监测要求 </w:t>
            </w:r>
          </w:p>
          <w:p>
            <w:pPr>
              <w:spacing w:line="360" w:lineRule="auto"/>
              <w:ind w:firstLine="420" w:firstLineChars="200"/>
              <w:rPr>
                <w:sz w:val="21"/>
                <w:szCs w:val="21"/>
                <w:lang w:bidi="ar"/>
              </w:rPr>
            </w:pPr>
            <w:r>
              <w:rPr>
                <w:rFonts w:hint="eastAsia"/>
                <w:bCs/>
                <w:sz w:val="21"/>
                <w:szCs w:val="21"/>
              </w:rPr>
              <w:t>根据以上分析结果，并根据行业特点等，本项目无需开展地下水、土壤跟踪监测。建议建设单位加强日常环境管理。</w:t>
            </w:r>
          </w:p>
          <w:p>
            <w:pPr>
              <w:adjustRightInd w:val="0"/>
              <w:snapToGrid w:val="0"/>
              <w:spacing w:line="360" w:lineRule="auto"/>
              <w:rPr>
                <w:b w:val="0"/>
                <w:bCs/>
                <w:sz w:val="21"/>
                <w:szCs w:val="21"/>
              </w:rPr>
            </w:pPr>
            <w:r>
              <w:rPr>
                <w:rFonts w:hint="eastAsia"/>
                <w:b w:val="0"/>
                <w:bCs/>
                <w:sz w:val="21"/>
                <w:szCs w:val="21"/>
              </w:rPr>
              <w:t>6、环境风险</w:t>
            </w:r>
          </w:p>
          <w:p>
            <w:pPr>
              <w:spacing w:line="360" w:lineRule="auto"/>
              <w:ind w:firstLine="420" w:firstLineChars="200"/>
              <w:rPr>
                <w:bCs/>
                <w:sz w:val="21"/>
                <w:szCs w:val="21"/>
              </w:rPr>
            </w:pPr>
            <w:r>
              <w:rPr>
                <w:rFonts w:hint="eastAsia"/>
                <w:bCs/>
                <w:sz w:val="21"/>
                <w:szCs w:val="21"/>
              </w:rPr>
              <w:t xml:space="preserve">本项目主要风险源为污水处理站，严禁运行过程中出现污水滴、漏等情况发生，并建立台账管理制度。在做好防腐防渗的前提下，本项目风险可防控。 </w:t>
            </w:r>
          </w:p>
          <w:p>
            <w:pPr>
              <w:spacing w:line="360" w:lineRule="auto"/>
              <w:ind w:firstLine="420" w:firstLineChars="200"/>
              <w:rPr>
                <w:bCs/>
                <w:sz w:val="21"/>
                <w:szCs w:val="21"/>
              </w:rPr>
            </w:pPr>
            <w:r>
              <w:rPr>
                <w:rFonts w:hint="eastAsia"/>
                <w:bCs/>
                <w:sz w:val="21"/>
                <w:szCs w:val="21"/>
              </w:rPr>
              <w:t>（</w:t>
            </w:r>
            <w:r>
              <w:rPr>
                <w:bCs/>
                <w:sz w:val="21"/>
                <w:szCs w:val="21"/>
              </w:rPr>
              <w:t>1</w:t>
            </w:r>
            <w:r>
              <w:rPr>
                <w:rFonts w:hint="eastAsia"/>
                <w:bCs/>
                <w:sz w:val="21"/>
                <w:szCs w:val="21"/>
              </w:rPr>
              <w:t xml:space="preserve">）环境风险源 </w:t>
            </w:r>
          </w:p>
          <w:p>
            <w:pPr>
              <w:spacing w:line="360" w:lineRule="auto"/>
              <w:ind w:firstLine="420" w:firstLineChars="200"/>
              <w:rPr>
                <w:bCs/>
                <w:sz w:val="21"/>
                <w:szCs w:val="21"/>
              </w:rPr>
            </w:pPr>
            <w:r>
              <w:rPr>
                <w:rFonts w:hint="eastAsia"/>
                <w:bCs/>
                <w:sz w:val="21"/>
                <w:szCs w:val="21"/>
              </w:rPr>
              <w:t xml:space="preserve">本项目运行过程主要风险物质为医疗废水。 </w:t>
            </w:r>
          </w:p>
          <w:p>
            <w:pPr>
              <w:spacing w:line="360" w:lineRule="auto"/>
              <w:ind w:firstLine="420" w:firstLineChars="200"/>
              <w:rPr>
                <w:bCs/>
                <w:sz w:val="21"/>
                <w:szCs w:val="21"/>
              </w:rPr>
            </w:pPr>
            <w:r>
              <w:rPr>
                <w:rFonts w:hint="eastAsia"/>
                <w:bCs/>
                <w:sz w:val="21"/>
                <w:szCs w:val="21"/>
              </w:rPr>
              <w:t>（</w:t>
            </w:r>
            <w:r>
              <w:rPr>
                <w:bCs/>
                <w:sz w:val="21"/>
                <w:szCs w:val="21"/>
              </w:rPr>
              <w:t>2</w:t>
            </w:r>
            <w:r>
              <w:rPr>
                <w:rFonts w:hint="eastAsia"/>
                <w:bCs/>
                <w:sz w:val="21"/>
                <w:szCs w:val="21"/>
              </w:rPr>
              <w:t xml:space="preserve">）影响途径 </w:t>
            </w:r>
          </w:p>
          <w:p>
            <w:pPr>
              <w:spacing w:line="360" w:lineRule="auto"/>
              <w:ind w:firstLine="420" w:firstLineChars="200"/>
              <w:rPr>
                <w:bCs/>
                <w:sz w:val="21"/>
                <w:szCs w:val="21"/>
              </w:rPr>
            </w:pPr>
            <w:r>
              <w:rPr>
                <w:rFonts w:hint="eastAsia"/>
                <w:bCs/>
                <w:sz w:val="21"/>
                <w:szCs w:val="21"/>
              </w:rPr>
              <w:t xml:space="preserve">可能存在的影响途径为：污水处理站泄漏。 </w:t>
            </w:r>
          </w:p>
          <w:p>
            <w:pPr>
              <w:spacing w:line="360" w:lineRule="auto"/>
              <w:ind w:firstLine="420" w:firstLineChars="200"/>
              <w:rPr>
                <w:bCs/>
                <w:sz w:val="21"/>
                <w:szCs w:val="21"/>
              </w:rPr>
            </w:pPr>
            <w:r>
              <w:rPr>
                <w:rFonts w:hint="eastAsia"/>
                <w:bCs/>
                <w:sz w:val="21"/>
                <w:szCs w:val="21"/>
              </w:rPr>
              <w:t>（</w:t>
            </w:r>
            <w:r>
              <w:rPr>
                <w:bCs/>
                <w:sz w:val="21"/>
                <w:szCs w:val="21"/>
              </w:rPr>
              <w:t>3</w:t>
            </w:r>
            <w:r>
              <w:rPr>
                <w:rFonts w:hint="eastAsia"/>
                <w:bCs/>
                <w:sz w:val="21"/>
                <w:szCs w:val="21"/>
              </w:rPr>
              <w:t xml:space="preserve">）环境风险防范措施 </w:t>
            </w:r>
          </w:p>
          <w:p>
            <w:pPr>
              <w:pStyle w:val="13"/>
              <w:spacing w:line="360" w:lineRule="auto"/>
              <w:ind w:left="0" w:leftChars="0" w:firstLine="420" w:firstLineChars="200"/>
              <w:rPr>
                <w:sz w:val="21"/>
                <w:szCs w:val="21"/>
              </w:rPr>
            </w:pPr>
            <w:r>
              <w:rPr>
                <w:rFonts w:hint="eastAsia"/>
                <w:bCs/>
                <w:sz w:val="21"/>
                <w:szCs w:val="21"/>
              </w:rPr>
              <w:t xml:space="preserve">要求加强污水处理站巡查，及时发现可能出现的问题；建立完善环境管理制度并编制突发环境事件应急预案。在做好防腐防渗的前提下，本项目风险可防控。 </w:t>
            </w:r>
          </w:p>
          <w:p>
            <w:pPr>
              <w:spacing w:line="360" w:lineRule="auto"/>
              <w:ind w:firstLine="420" w:firstLineChars="200"/>
              <w:rPr>
                <w:bCs/>
                <w:sz w:val="21"/>
                <w:szCs w:val="21"/>
              </w:rPr>
            </w:pPr>
            <w:r>
              <w:rPr>
                <w:rFonts w:hint="eastAsia"/>
                <w:bCs/>
                <w:sz w:val="21"/>
                <w:szCs w:val="21"/>
              </w:rPr>
              <w:t xml:space="preserve"> </w:t>
            </w:r>
          </w:p>
          <w:p>
            <w:pPr>
              <w:pStyle w:val="13"/>
              <w:ind w:left="0" w:leftChars="0"/>
              <w:rPr>
                <w:sz w:val="21"/>
                <w:szCs w:val="21"/>
              </w:rPr>
            </w:pPr>
          </w:p>
        </w:tc>
      </w:tr>
    </w:tbl>
    <w:p>
      <w:pPr>
        <w:pStyle w:val="12"/>
        <w:spacing w:line="360" w:lineRule="auto"/>
        <w:ind w:left="0" w:firstLine="0" w:firstLineChars="0"/>
        <w:jc w:val="center"/>
        <w:outlineLvl w:val="0"/>
        <w:rPr>
          <w:rFonts w:ascii="宋体" w:hAnsi="宋体" w:cs="宋体"/>
          <w:b/>
          <w:bCs/>
          <w:sz w:val="32"/>
          <w:szCs w:val="32"/>
        </w:rPr>
      </w:pPr>
      <w:r>
        <w:rPr>
          <w:rFonts w:hint="eastAsia" w:ascii="宋体" w:hAnsi="宋体" w:cs="宋体"/>
          <w:b/>
          <w:bCs/>
          <w:sz w:val="32"/>
          <w:szCs w:val="32"/>
        </w:rPr>
        <w:t>五、环境保护措施监督检查清单</w:t>
      </w:r>
    </w:p>
    <w:tbl>
      <w:tblPr>
        <w:tblStyle w:val="18"/>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610"/>
        <w:gridCol w:w="1740"/>
        <w:gridCol w:w="19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pPr>
              <w:adjustRightInd w:val="0"/>
              <w:snapToGrid w:val="0"/>
              <w:ind w:firstLine="840"/>
              <w:rPr>
                <w:rFonts w:ascii="宋体" w:hAnsi="宋体" w:cs="宋体"/>
                <w:szCs w:val="21"/>
              </w:rPr>
            </w:pPr>
            <w:r>
              <w:rPr>
                <w:rFonts w:hint="eastAsia" w:ascii="宋体" w:hAnsi="宋体" w:cs="宋体"/>
                <w:szCs w:val="21"/>
              </w:rPr>
              <w:t>内容</w:t>
            </w:r>
          </w:p>
          <w:p>
            <w:pPr>
              <w:adjustRightInd w:val="0"/>
              <w:snapToGrid w:val="0"/>
              <w:rPr>
                <w:rFonts w:ascii="宋体" w:hAnsi="宋体" w:cs="宋体"/>
                <w:szCs w:val="21"/>
              </w:rPr>
            </w:pPr>
            <w:r>
              <w:rPr>
                <w:rFonts w:hint="eastAsia" w:ascii="宋体" w:hAnsi="宋体" w:cs="宋体"/>
                <w:szCs w:val="21"/>
              </w:rPr>
              <w:t>要素</w:t>
            </w:r>
          </w:p>
        </w:tc>
        <w:tc>
          <w:tcPr>
            <w:tcW w:w="1755" w:type="dxa"/>
            <w:vAlign w:val="center"/>
          </w:tcPr>
          <w:p>
            <w:pPr>
              <w:adjustRightInd w:val="0"/>
              <w:snapToGrid w:val="0"/>
              <w:jc w:val="center"/>
              <w:rPr>
                <w:rFonts w:ascii="宋体" w:hAnsi="宋体" w:cs="宋体"/>
                <w:szCs w:val="21"/>
              </w:rPr>
            </w:pPr>
            <w:r>
              <w:rPr>
                <w:rFonts w:hint="eastAsia" w:ascii="宋体" w:hAnsi="宋体" w:cs="宋体"/>
                <w:szCs w:val="21"/>
              </w:rPr>
              <w:t>排放口(编号、</w:t>
            </w:r>
          </w:p>
          <w:p>
            <w:pPr>
              <w:adjustRightInd w:val="0"/>
              <w:snapToGrid w:val="0"/>
              <w:jc w:val="center"/>
              <w:rPr>
                <w:rFonts w:ascii="宋体" w:hAnsi="宋体" w:cs="宋体"/>
                <w:szCs w:val="21"/>
              </w:rPr>
            </w:pPr>
            <w:r>
              <w:rPr>
                <w:rFonts w:hint="eastAsia" w:ascii="宋体" w:hAnsi="宋体" w:cs="宋体"/>
                <w:szCs w:val="21"/>
              </w:rPr>
              <w:t>名称)/污染源</w:t>
            </w:r>
          </w:p>
        </w:tc>
        <w:tc>
          <w:tcPr>
            <w:tcW w:w="1610" w:type="dxa"/>
            <w:vAlign w:val="center"/>
          </w:tcPr>
          <w:p>
            <w:pPr>
              <w:adjustRightInd w:val="0"/>
              <w:snapToGrid w:val="0"/>
              <w:jc w:val="center"/>
              <w:rPr>
                <w:rFonts w:ascii="宋体" w:hAnsi="宋体" w:cs="宋体"/>
                <w:szCs w:val="21"/>
              </w:rPr>
            </w:pPr>
            <w:r>
              <w:rPr>
                <w:rFonts w:hint="eastAsia" w:ascii="宋体" w:hAnsi="宋体" w:cs="宋体"/>
                <w:szCs w:val="21"/>
              </w:rPr>
              <w:t>污染物项目</w:t>
            </w:r>
          </w:p>
        </w:tc>
        <w:tc>
          <w:tcPr>
            <w:tcW w:w="1740" w:type="dxa"/>
            <w:vAlign w:val="center"/>
          </w:tcPr>
          <w:p>
            <w:pPr>
              <w:adjustRightInd w:val="0"/>
              <w:snapToGrid w:val="0"/>
              <w:jc w:val="center"/>
              <w:rPr>
                <w:rFonts w:ascii="宋体" w:hAnsi="宋体" w:cs="宋体"/>
                <w:szCs w:val="21"/>
              </w:rPr>
            </w:pPr>
            <w:r>
              <w:rPr>
                <w:rFonts w:hint="eastAsia" w:ascii="宋体" w:hAnsi="宋体" w:cs="宋体"/>
                <w:szCs w:val="21"/>
              </w:rPr>
              <w:t>环境保护措施</w:t>
            </w:r>
          </w:p>
        </w:tc>
        <w:tc>
          <w:tcPr>
            <w:tcW w:w="1917" w:type="dxa"/>
            <w:vAlign w:val="center"/>
          </w:tcPr>
          <w:p>
            <w:pPr>
              <w:adjustRightInd w:val="0"/>
              <w:snapToGrid w:val="0"/>
              <w:jc w:val="center"/>
              <w:rPr>
                <w:rFonts w:ascii="宋体" w:hAnsi="宋体" w:cs="宋体"/>
                <w:szCs w:val="21"/>
              </w:rPr>
            </w:pPr>
            <w:r>
              <w:rPr>
                <w:rFonts w:hint="eastAsia" w:ascii="宋体" w:hAnsi="宋体" w:cs="宋体"/>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778" w:type="dxa"/>
            <w:vMerge w:val="restart"/>
            <w:vAlign w:val="center"/>
          </w:tcPr>
          <w:p>
            <w:pPr>
              <w:adjustRightInd w:val="0"/>
              <w:snapToGrid w:val="0"/>
              <w:jc w:val="center"/>
              <w:rPr>
                <w:rFonts w:ascii="宋体" w:hAnsi="宋体" w:cs="宋体"/>
                <w:szCs w:val="21"/>
              </w:rPr>
            </w:pPr>
            <w:r>
              <w:rPr>
                <w:rFonts w:hint="eastAsia" w:ascii="宋体" w:hAnsi="宋体" w:cs="宋体"/>
                <w:szCs w:val="21"/>
              </w:rPr>
              <w:t>大气环境</w:t>
            </w:r>
          </w:p>
        </w:tc>
        <w:tc>
          <w:tcPr>
            <w:tcW w:w="1755" w:type="dxa"/>
            <w:vMerge w:val="restart"/>
            <w:vAlign w:val="center"/>
          </w:tcPr>
          <w:p>
            <w:pPr>
              <w:adjustRightInd w:val="0"/>
              <w:snapToGrid w:val="0"/>
              <w:jc w:val="center"/>
              <w:rPr>
                <w:rFonts w:ascii="宋体" w:hAnsi="宋体" w:cs="宋体"/>
                <w:szCs w:val="21"/>
              </w:rPr>
            </w:pPr>
            <w:r>
              <w:rPr>
                <w:rFonts w:hint="eastAsia" w:ascii="宋体" w:hAnsi="宋体" w:cs="宋体"/>
                <w:szCs w:val="21"/>
              </w:rPr>
              <w:t>污水处理站</w:t>
            </w:r>
          </w:p>
        </w:tc>
        <w:tc>
          <w:tcPr>
            <w:tcW w:w="1610" w:type="dxa"/>
            <w:vAlign w:val="center"/>
          </w:tcPr>
          <w:p>
            <w:pPr>
              <w:adjustRightInd w:val="0"/>
              <w:snapToGrid w:val="0"/>
              <w:jc w:val="center"/>
              <w:rPr>
                <w:rFonts w:ascii="宋体" w:hAnsi="宋体" w:cs="宋体"/>
                <w:szCs w:val="21"/>
              </w:rPr>
            </w:pPr>
            <w:r>
              <w:rPr>
                <w:rFonts w:hint="eastAsia"/>
                <w:bCs/>
                <w:szCs w:val="21"/>
              </w:rPr>
              <w:t>氨</w:t>
            </w:r>
          </w:p>
        </w:tc>
        <w:tc>
          <w:tcPr>
            <w:tcW w:w="1740" w:type="dxa"/>
            <w:vMerge w:val="restart"/>
          </w:tcPr>
          <w:p>
            <w:pPr>
              <w:adjustRightInd w:val="0"/>
              <w:snapToGrid w:val="0"/>
              <w:rPr>
                <w:rFonts w:ascii="宋体" w:hAnsi="宋体" w:cs="宋体"/>
                <w:szCs w:val="21"/>
              </w:rPr>
            </w:pPr>
            <w:r>
              <w:rPr>
                <w:rFonts w:hint="eastAsia" w:ascii="宋体" w:hAnsi="宋体" w:cs="宋体"/>
                <w:szCs w:val="21"/>
              </w:rPr>
              <w:t>污水处理站加盖遮蔽、投加除臭剂</w:t>
            </w:r>
          </w:p>
        </w:tc>
        <w:tc>
          <w:tcPr>
            <w:tcW w:w="1917" w:type="dxa"/>
            <w:vMerge w:val="restart"/>
            <w:vAlign w:val="center"/>
          </w:tcPr>
          <w:p>
            <w:pPr>
              <w:adjustRightInd w:val="0"/>
              <w:snapToGrid w:val="0"/>
              <w:jc w:val="center"/>
              <w:rPr>
                <w:rFonts w:ascii="宋体" w:hAnsi="宋体" w:cs="宋体"/>
                <w:szCs w:val="21"/>
              </w:rPr>
            </w:pPr>
            <w:r>
              <w:rPr>
                <w:szCs w:val="21"/>
              </w:rPr>
              <w:t>《医疗机构水污染物排放标准》（GB18466-2005）表3中污水预处理站周边大气污染物最高允许浓度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778" w:type="dxa"/>
            <w:vMerge w:val="continue"/>
            <w:vAlign w:val="center"/>
          </w:tcPr>
          <w:p>
            <w:pPr>
              <w:adjustRightInd w:val="0"/>
              <w:snapToGrid w:val="0"/>
              <w:jc w:val="center"/>
              <w:rPr>
                <w:rFonts w:ascii="宋体" w:hAnsi="宋体" w:cs="宋体"/>
                <w:szCs w:val="21"/>
              </w:rPr>
            </w:pPr>
          </w:p>
        </w:tc>
        <w:tc>
          <w:tcPr>
            <w:tcW w:w="1755" w:type="dxa"/>
            <w:vMerge w:val="continue"/>
            <w:vAlign w:val="center"/>
          </w:tcPr>
          <w:p>
            <w:pPr>
              <w:adjustRightInd w:val="0"/>
              <w:snapToGrid w:val="0"/>
              <w:jc w:val="center"/>
              <w:rPr>
                <w:rFonts w:ascii="宋体" w:hAnsi="宋体" w:cs="宋体"/>
                <w:szCs w:val="21"/>
              </w:rPr>
            </w:pPr>
          </w:p>
        </w:tc>
        <w:tc>
          <w:tcPr>
            <w:tcW w:w="1610" w:type="dxa"/>
            <w:vAlign w:val="center"/>
          </w:tcPr>
          <w:p>
            <w:pPr>
              <w:adjustRightInd w:val="0"/>
              <w:snapToGrid w:val="0"/>
              <w:jc w:val="center"/>
              <w:rPr>
                <w:bCs/>
                <w:szCs w:val="21"/>
              </w:rPr>
            </w:pPr>
            <w:r>
              <w:rPr>
                <w:rFonts w:hint="eastAsia"/>
                <w:bCs/>
                <w:szCs w:val="21"/>
              </w:rPr>
              <w:t>硫化氢</w:t>
            </w:r>
          </w:p>
        </w:tc>
        <w:tc>
          <w:tcPr>
            <w:tcW w:w="1740" w:type="dxa"/>
            <w:vMerge w:val="continue"/>
            <w:vAlign w:val="center"/>
          </w:tcPr>
          <w:p>
            <w:pPr>
              <w:adjustRightInd w:val="0"/>
              <w:snapToGrid w:val="0"/>
              <w:jc w:val="center"/>
              <w:rPr>
                <w:rFonts w:ascii="宋体" w:hAnsi="宋体" w:cs="宋体"/>
                <w:szCs w:val="21"/>
              </w:rPr>
            </w:pPr>
          </w:p>
        </w:tc>
        <w:tc>
          <w:tcPr>
            <w:tcW w:w="1917" w:type="dxa"/>
            <w:vMerge w:val="continue"/>
            <w:vAlign w:val="center"/>
          </w:tcPr>
          <w:p>
            <w:pPr>
              <w:adjustRightInd w:val="0"/>
              <w:snapToGrid w:val="0"/>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778" w:type="dxa"/>
            <w:vMerge w:val="continue"/>
            <w:vAlign w:val="center"/>
          </w:tcPr>
          <w:p>
            <w:pPr>
              <w:adjustRightInd w:val="0"/>
              <w:snapToGrid w:val="0"/>
              <w:jc w:val="center"/>
              <w:rPr>
                <w:rFonts w:ascii="宋体" w:hAnsi="宋体" w:cs="宋体"/>
                <w:szCs w:val="21"/>
              </w:rPr>
            </w:pPr>
          </w:p>
        </w:tc>
        <w:tc>
          <w:tcPr>
            <w:tcW w:w="1755" w:type="dxa"/>
            <w:vMerge w:val="continue"/>
            <w:vAlign w:val="center"/>
          </w:tcPr>
          <w:p>
            <w:pPr>
              <w:adjustRightInd w:val="0"/>
              <w:snapToGrid w:val="0"/>
              <w:jc w:val="center"/>
              <w:rPr>
                <w:rFonts w:ascii="宋体" w:hAnsi="宋体" w:cs="宋体"/>
                <w:szCs w:val="21"/>
              </w:rPr>
            </w:pPr>
          </w:p>
        </w:tc>
        <w:tc>
          <w:tcPr>
            <w:tcW w:w="1610" w:type="dxa"/>
            <w:vAlign w:val="center"/>
          </w:tcPr>
          <w:p>
            <w:pPr>
              <w:adjustRightInd w:val="0"/>
              <w:snapToGrid w:val="0"/>
              <w:jc w:val="center"/>
              <w:rPr>
                <w:bCs/>
                <w:szCs w:val="21"/>
              </w:rPr>
            </w:pPr>
            <w:r>
              <w:rPr>
                <w:rFonts w:hint="eastAsia"/>
                <w:bCs/>
                <w:szCs w:val="21"/>
              </w:rPr>
              <w:t>臭气浓度</w:t>
            </w:r>
          </w:p>
        </w:tc>
        <w:tc>
          <w:tcPr>
            <w:tcW w:w="1740" w:type="dxa"/>
            <w:vMerge w:val="continue"/>
            <w:vAlign w:val="center"/>
          </w:tcPr>
          <w:p>
            <w:pPr>
              <w:adjustRightInd w:val="0"/>
              <w:snapToGrid w:val="0"/>
              <w:jc w:val="center"/>
              <w:rPr>
                <w:rFonts w:ascii="宋体" w:hAnsi="宋体" w:cs="宋体"/>
                <w:szCs w:val="21"/>
              </w:rPr>
            </w:pPr>
          </w:p>
        </w:tc>
        <w:tc>
          <w:tcPr>
            <w:tcW w:w="1917" w:type="dxa"/>
            <w:vMerge w:val="continue"/>
            <w:vAlign w:val="center"/>
          </w:tcPr>
          <w:p>
            <w:pPr>
              <w:adjustRightInd w:val="0"/>
              <w:snapToGrid w:val="0"/>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778" w:type="dxa"/>
            <w:vMerge w:val="continue"/>
            <w:vAlign w:val="center"/>
          </w:tcPr>
          <w:p>
            <w:pPr>
              <w:adjustRightInd w:val="0"/>
              <w:snapToGrid w:val="0"/>
              <w:jc w:val="center"/>
              <w:rPr>
                <w:rFonts w:ascii="宋体" w:hAnsi="宋体" w:cs="宋体"/>
                <w:szCs w:val="21"/>
              </w:rPr>
            </w:pPr>
          </w:p>
        </w:tc>
        <w:tc>
          <w:tcPr>
            <w:tcW w:w="1755" w:type="dxa"/>
            <w:vMerge w:val="continue"/>
            <w:vAlign w:val="center"/>
          </w:tcPr>
          <w:p>
            <w:pPr>
              <w:adjustRightInd w:val="0"/>
              <w:snapToGrid w:val="0"/>
              <w:jc w:val="center"/>
              <w:rPr>
                <w:rFonts w:ascii="宋体" w:hAnsi="宋体" w:cs="宋体"/>
                <w:szCs w:val="21"/>
              </w:rPr>
            </w:pPr>
          </w:p>
        </w:tc>
        <w:tc>
          <w:tcPr>
            <w:tcW w:w="1610" w:type="dxa"/>
            <w:vAlign w:val="center"/>
          </w:tcPr>
          <w:p>
            <w:pPr>
              <w:adjustRightInd w:val="0"/>
              <w:snapToGrid w:val="0"/>
              <w:jc w:val="center"/>
              <w:rPr>
                <w:bCs/>
                <w:szCs w:val="21"/>
              </w:rPr>
            </w:pPr>
            <w:r>
              <w:rPr>
                <w:rFonts w:hint="eastAsia"/>
                <w:bCs/>
                <w:szCs w:val="21"/>
              </w:rPr>
              <w:t>氯气</w:t>
            </w:r>
          </w:p>
        </w:tc>
        <w:tc>
          <w:tcPr>
            <w:tcW w:w="1740" w:type="dxa"/>
            <w:vMerge w:val="restart"/>
            <w:vAlign w:val="center"/>
          </w:tcPr>
          <w:p>
            <w:pPr>
              <w:adjustRightInd w:val="0"/>
              <w:snapToGrid w:val="0"/>
              <w:jc w:val="center"/>
              <w:rPr>
                <w:rFonts w:ascii="宋体" w:hAnsi="宋体" w:cs="宋体"/>
                <w:szCs w:val="21"/>
              </w:rPr>
            </w:pPr>
            <w:r>
              <w:rPr>
                <w:rFonts w:hint="eastAsia" w:ascii="宋体" w:hAnsi="宋体" w:cs="宋体"/>
                <w:szCs w:val="21"/>
              </w:rPr>
              <w:t>生化池、沉淀池、清水池采取地埋一体化，不外排</w:t>
            </w:r>
          </w:p>
        </w:tc>
        <w:tc>
          <w:tcPr>
            <w:tcW w:w="1917" w:type="dxa"/>
            <w:vMerge w:val="continue"/>
            <w:vAlign w:val="center"/>
          </w:tcPr>
          <w:p>
            <w:pPr>
              <w:adjustRightInd w:val="0"/>
              <w:snapToGrid w:val="0"/>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78" w:type="dxa"/>
            <w:vMerge w:val="continue"/>
            <w:vAlign w:val="center"/>
          </w:tcPr>
          <w:p>
            <w:pPr>
              <w:adjustRightInd w:val="0"/>
              <w:snapToGrid w:val="0"/>
              <w:jc w:val="center"/>
              <w:rPr>
                <w:rFonts w:ascii="宋体" w:hAnsi="宋体" w:cs="宋体"/>
                <w:szCs w:val="21"/>
              </w:rPr>
            </w:pPr>
          </w:p>
        </w:tc>
        <w:tc>
          <w:tcPr>
            <w:tcW w:w="1755" w:type="dxa"/>
            <w:vMerge w:val="continue"/>
            <w:vAlign w:val="center"/>
          </w:tcPr>
          <w:p>
            <w:pPr>
              <w:adjustRightInd w:val="0"/>
              <w:snapToGrid w:val="0"/>
              <w:jc w:val="center"/>
              <w:rPr>
                <w:rFonts w:ascii="宋体" w:hAnsi="宋体" w:cs="宋体"/>
                <w:szCs w:val="21"/>
              </w:rPr>
            </w:pPr>
          </w:p>
        </w:tc>
        <w:tc>
          <w:tcPr>
            <w:tcW w:w="1610" w:type="dxa"/>
            <w:vAlign w:val="center"/>
          </w:tcPr>
          <w:p>
            <w:pPr>
              <w:adjustRightInd w:val="0"/>
              <w:snapToGrid w:val="0"/>
              <w:jc w:val="center"/>
              <w:rPr>
                <w:bCs/>
                <w:szCs w:val="21"/>
              </w:rPr>
            </w:pPr>
            <w:r>
              <w:rPr>
                <w:rFonts w:hint="eastAsia"/>
                <w:bCs/>
                <w:szCs w:val="21"/>
              </w:rPr>
              <w:t>甲烷</w:t>
            </w:r>
          </w:p>
        </w:tc>
        <w:tc>
          <w:tcPr>
            <w:tcW w:w="1740" w:type="dxa"/>
            <w:vMerge w:val="continue"/>
            <w:vAlign w:val="center"/>
          </w:tcPr>
          <w:p>
            <w:pPr>
              <w:adjustRightInd w:val="0"/>
              <w:snapToGrid w:val="0"/>
              <w:jc w:val="center"/>
              <w:rPr>
                <w:rFonts w:ascii="宋体" w:hAnsi="宋体" w:cs="宋体"/>
                <w:szCs w:val="21"/>
              </w:rPr>
            </w:pPr>
          </w:p>
        </w:tc>
        <w:tc>
          <w:tcPr>
            <w:tcW w:w="1917" w:type="dxa"/>
            <w:vMerge w:val="continue"/>
            <w:vAlign w:val="center"/>
          </w:tcPr>
          <w:p>
            <w:pPr>
              <w:adjustRightInd w:val="0"/>
              <w:snapToGrid w:val="0"/>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ascii="宋体" w:hAnsi="宋体" w:cs="宋体"/>
                <w:szCs w:val="21"/>
              </w:rPr>
            </w:pPr>
          </w:p>
        </w:tc>
        <w:tc>
          <w:tcPr>
            <w:tcW w:w="1755" w:type="dxa"/>
            <w:vAlign w:val="center"/>
          </w:tcPr>
          <w:p>
            <w:pPr>
              <w:adjustRightInd w:val="0"/>
              <w:snapToGrid w:val="0"/>
              <w:jc w:val="center"/>
              <w:rPr>
                <w:rFonts w:ascii="宋体" w:hAnsi="宋体" w:cs="宋体"/>
                <w:szCs w:val="21"/>
              </w:rPr>
            </w:pPr>
            <w:r>
              <w:rPr>
                <w:rFonts w:hint="eastAsia" w:ascii="宋体" w:hAnsi="宋体" w:cs="宋体"/>
                <w:szCs w:val="21"/>
              </w:rPr>
              <w:t>食堂油烟排放口</w:t>
            </w:r>
          </w:p>
        </w:tc>
        <w:tc>
          <w:tcPr>
            <w:tcW w:w="1610" w:type="dxa"/>
            <w:vAlign w:val="center"/>
          </w:tcPr>
          <w:p>
            <w:pPr>
              <w:adjustRightInd w:val="0"/>
              <w:snapToGrid w:val="0"/>
              <w:jc w:val="center"/>
              <w:rPr>
                <w:rFonts w:ascii="宋体" w:hAnsi="宋体" w:cs="宋体"/>
                <w:szCs w:val="21"/>
              </w:rPr>
            </w:pPr>
            <w:r>
              <w:rPr>
                <w:rFonts w:hint="eastAsia" w:ascii="宋体" w:hAnsi="宋体" w:cs="宋体"/>
                <w:szCs w:val="21"/>
              </w:rPr>
              <w:t>食堂油烟</w:t>
            </w:r>
          </w:p>
        </w:tc>
        <w:tc>
          <w:tcPr>
            <w:tcW w:w="1740" w:type="dxa"/>
            <w:vAlign w:val="center"/>
          </w:tcPr>
          <w:p>
            <w:pPr>
              <w:adjustRightInd w:val="0"/>
              <w:snapToGrid w:val="0"/>
              <w:jc w:val="center"/>
              <w:rPr>
                <w:rFonts w:ascii="宋体" w:hAnsi="宋体" w:cs="宋体"/>
                <w:szCs w:val="21"/>
              </w:rPr>
            </w:pPr>
            <w:r>
              <w:rPr>
                <w:rFonts w:hint="eastAsia" w:ascii="宋体" w:hAnsi="宋体" w:cs="宋体"/>
                <w:szCs w:val="21"/>
              </w:rPr>
              <w:t>油烟净化器</w:t>
            </w:r>
          </w:p>
        </w:tc>
        <w:tc>
          <w:tcPr>
            <w:tcW w:w="1917" w:type="dxa"/>
            <w:vAlign w:val="center"/>
          </w:tcPr>
          <w:p>
            <w:pPr>
              <w:adjustRightInd w:val="0"/>
              <w:snapToGrid w:val="0"/>
              <w:jc w:val="center"/>
              <w:rPr>
                <w:rFonts w:ascii="宋体" w:hAnsi="宋体" w:cs="宋体"/>
                <w:szCs w:val="21"/>
              </w:rPr>
            </w:pPr>
            <w:r>
              <w:rPr>
                <w:rFonts w:hint="eastAsia" w:ascii="宋体" w:hAnsi="宋体" w:cs="宋体"/>
                <w:szCs w:val="21"/>
              </w:rPr>
              <w:t>《饮食业油烟排放标准（试 行）》</w:t>
            </w:r>
            <w:r>
              <w:rPr>
                <w:szCs w:val="21"/>
              </w:rPr>
              <w:t>（GB18483-2001）表2小型标准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jc w:val="center"/>
              <w:rPr>
                <w:rFonts w:ascii="宋体" w:hAnsi="宋体" w:cs="宋体"/>
                <w:szCs w:val="21"/>
              </w:rPr>
            </w:pPr>
            <w:r>
              <w:rPr>
                <w:rFonts w:hint="eastAsia" w:ascii="宋体" w:hAnsi="宋体" w:cs="宋体"/>
                <w:szCs w:val="21"/>
              </w:rPr>
              <w:t>地表水环境</w:t>
            </w:r>
          </w:p>
        </w:tc>
        <w:tc>
          <w:tcPr>
            <w:tcW w:w="1755" w:type="dxa"/>
            <w:vMerge w:val="restart"/>
            <w:vAlign w:val="center"/>
          </w:tcPr>
          <w:p>
            <w:pPr>
              <w:adjustRightInd w:val="0"/>
              <w:snapToGrid w:val="0"/>
              <w:jc w:val="center"/>
              <w:rPr>
                <w:rFonts w:ascii="宋体" w:hAnsi="宋体" w:cs="宋体"/>
                <w:szCs w:val="21"/>
              </w:rPr>
            </w:pPr>
            <w:r>
              <w:rPr>
                <w:szCs w:val="21"/>
              </w:rPr>
              <w:t>DW001/污水处理站出水</w:t>
            </w:r>
          </w:p>
        </w:tc>
        <w:tc>
          <w:tcPr>
            <w:tcW w:w="1610" w:type="dxa"/>
            <w:vAlign w:val="center"/>
          </w:tcPr>
          <w:p>
            <w:pPr>
              <w:adjustRightInd w:val="0"/>
              <w:snapToGrid w:val="0"/>
              <w:jc w:val="center"/>
              <w:rPr>
                <w:rFonts w:ascii="宋体" w:hAnsi="宋体" w:cs="宋体"/>
                <w:szCs w:val="21"/>
              </w:rPr>
            </w:pPr>
            <w:r>
              <w:rPr>
                <w:rFonts w:hint="eastAsia"/>
              </w:rPr>
              <w:t>COD</w:t>
            </w:r>
          </w:p>
        </w:tc>
        <w:tc>
          <w:tcPr>
            <w:tcW w:w="1740" w:type="dxa"/>
            <w:vMerge w:val="restart"/>
            <w:vAlign w:val="center"/>
          </w:tcPr>
          <w:p>
            <w:pPr>
              <w:adjustRightInd w:val="0"/>
              <w:snapToGrid w:val="0"/>
              <w:rPr>
                <w:rFonts w:ascii="宋体" w:hAnsi="宋体" w:cs="宋体"/>
                <w:szCs w:val="21"/>
              </w:rPr>
            </w:pPr>
            <w:r>
              <w:rPr>
                <w:rFonts w:hint="eastAsia"/>
              </w:rPr>
              <w:t>废水经污水处理站处理后排入市政管网，最终进入双滦区城市污水厂处理</w:t>
            </w:r>
          </w:p>
        </w:tc>
        <w:tc>
          <w:tcPr>
            <w:tcW w:w="1917" w:type="dxa"/>
            <w:vMerge w:val="restart"/>
            <w:vAlign w:val="center"/>
          </w:tcPr>
          <w:p>
            <w:pPr>
              <w:adjustRightInd w:val="0"/>
              <w:snapToGrid w:val="0"/>
              <w:jc w:val="center"/>
              <w:rPr>
                <w:rFonts w:ascii="宋体" w:hAnsi="宋体" w:cs="宋体"/>
                <w:szCs w:val="21"/>
              </w:rPr>
            </w:pPr>
            <w:r>
              <w:t>《医疗机构水污染物排放标准》（GB18466-2005）表2中预处理标准及</w:t>
            </w:r>
            <w:r>
              <w:rPr>
                <w:rFonts w:hint="eastAsia"/>
              </w:rPr>
              <w:t>承德市双滦区城市污水厂</w:t>
            </w:r>
            <w:r>
              <w:t>进水水质要求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ascii="宋体" w:hAnsi="宋体" w:cs="宋体"/>
                <w:szCs w:val="21"/>
              </w:rPr>
            </w:pPr>
          </w:p>
        </w:tc>
        <w:tc>
          <w:tcPr>
            <w:tcW w:w="1755" w:type="dxa"/>
            <w:vMerge w:val="continue"/>
            <w:vAlign w:val="center"/>
          </w:tcPr>
          <w:p>
            <w:pPr>
              <w:adjustRightInd w:val="0"/>
              <w:snapToGrid w:val="0"/>
              <w:jc w:val="center"/>
              <w:rPr>
                <w:rFonts w:ascii="宋体" w:hAnsi="宋体" w:cs="宋体"/>
                <w:szCs w:val="21"/>
              </w:rPr>
            </w:pPr>
          </w:p>
        </w:tc>
        <w:tc>
          <w:tcPr>
            <w:tcW w:w="1610" w:type="dxa"/>
            <w:vAlign w:val="center"/>
          </w:tcPr>
          <w:p>
            <w:pPr>
              <w:adjustRightInd w:val="0"/>
              <w:snapToGrid w:val="0"/>
              <w:jc w:val="center"/>
            </w:pPr>
            <w:r>
              <w:rPr>
                <w:rFonts w:hint="eastAsia"/>
              </w:rPr>
              <w:t>BOD</w:t>
            </w:r>
            <w:r>
              <w:rPr>
                <w:rFonts w:hint="eastAsia"/>
                <w:vertAlign w:val="subscript"/>
              </w:rPr>
              <w:t>5</w:t>
            </w:r>
          </w:p>
        </w:tc>
        <w:tc>
          <w:tcPr>
            <w:tcW w:w="1740" w:type="dxa"/>
            <w:vMerge w:val="continue"/>
            <w:vAlign w:val="center"/>
          </w:tcPr>
          <w:p>
            <w:pPr>
              <w:adjustRightInd w:val="0"/>
              <w:snapToGrid w:val="0"/>
              <w:jc w:val="center"/>
              <w:rPr>
                <w:rFonts w:ascii="宋体" w:hAnsi="宋体" w:cs="宋体"/>
                <w:szCs w:val="21"/>
              </w:rPr>
            </w:pPr>
          </w:p>
        </w:tc>
        <w:tc>
          <w:tcPr>
            <w:tcW w:w="1917" w:type="dxa"/>
            <w:vMerge w:val="continue"/>
            <w:vAlign w:val="center"/>
          </w:tcPr>
          <w:p>
            <w:pPr>
              <w:adjustRightInd w:val="0"/>
              <w:snapToGrid w:val="0"/>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778" w:type="dxa"/>
            <w:vMerge w:val="continue"/>
            <w:vAlign w:val="center"/>
          </w:tcPr>
          <w:p>
            <w:pPr>
              <w:adjustRightInd w:val="0"/>
              <w:snapToGrid w:val="0"/>
              <w:jc w:val="center"/>
              <w:rPr>
                <w:rFonts w:ascii="宋体" w:hAnsi="宋体" w:cs="宋体"/>
                <w:szCs w:val="21"/>
              </w:rPr>
            </w:pPr>
          </w:p>
        </w:tc>
        <w:tc>
          <w:tcPr>
            <w:tcW w:w="1755" w:type="dxa"/>
            <w:vMerge w:val="continue"/>
            <w:vAlign w:val="center"/>
          </w:tcPr>
          <w:p>
            <w:pPr>
              <w:adjustRightInd w:val="0"/>
              <w:snapToGrid w:val="0"/>
              <w:jc w:val="center"/>
              <w:rPr>
                <w:rFonts w:ascii="宋体" w:hAnsi="宋体" w:cs="宋体"/>
                <w:szCs w:val="21"/>
              </w:rPr>
            </w:pPr>
          </w:p>
        </w:tc>
        <w:tc>
          <w:tcPr>
            <w:tcW w:w="1610" w:type="dxa"/>
            <w:vAlign w:val="center"/>
          </w:tcPr>
          <w:p>
            <w:pPr>
              <w:adjustRightInd w:val="0"/>
              <w:snapToGrid w:val="0"/>
              <w:jc w:val="center"/>
            </w:pPr>
            <w:r>
              <w:rPr>
                <w:rFonts w:hint="eastAsia"/>
              </w:rPr>
              <w:t>氨氮</w:t>
            </w:r>
          </w:p>
        </w:tc>
        <w:tc>
          <w:tcPr>
            <w:tcW w:w="1740" w:type="dxa"/>
            <w:vMerge w:val="continue"/>
            <w:vAlign w:val="center"/>
          </w:tcPr>
          <w:p>
            <w:pPr>
              <w:adjustRightInd w:val="0"/>
              <w:snapToGrid w:val="0"/>
              <w:jc w:val="center"/>
              <w:rPr>
                <w:rFonts w:ascii="宋体" w:hAnsi="宋体" w:cs="宋体"/>
                <w:szCs w:val="21"/>
              </w:rPr>
            </w:pPr>
          </w:p>
        </w:tc>
        <w:tc>
          <w:tcPr>
            <w:tcW w:w="1917" w:type="dxa"/>
            <w:vMerge w:val="continue"/>
            <w:vAlign w:val="center"/>
          </w:tcPr>
          <w:p>
            <w:pPr>
              <w:adjustRightInd w:val="0"/>
              <w:snapToGrid w:val="0"/>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778" w:type="dxa"/>
            <w:vMerge w:val="continue"/>
            <w:vAlign w:val="center"/>
          </w:tcPr>
          <w:p>
            <w:pPr>
              <w:adjustRightInd w:val="0"/>
              <w:snapToGrid w:val="0"/>
              <w:jc w:val="center"/>
              <w:rPr>
                <w:rFonts w:ascii="宋体" w:hAnsi="宋体" w:cs="宋体"/>
                <w:szCs w:val="21"/>
              </w:rPr>
            </w:pPr>
          </w:p>
        </w:tc>
        <w:tc>
          <w:tcPr>
            <w:tcW w:w="1755" w:type="dxa"/>
            <w:vMerge w:val="continue"/>
            <w:vAlign w:val="center"/>
          </w:tcPr>
          <w:p>
            <w:pPr>
              <w:adjustRightInd w:val="0"/>
              <w:snapToGrid w:val="0"/>
              <w:jc w:val="center"/>
              <w:rPr>
                <w:rFonts w:ascii="宋体" w:hAnsi="宋体" w:cs="宋体"/>
                <w:szCs w:val="21"/>
              </w:rPr>
            </w:pPr>
          </w:p>
        </w:tc>
        <w:tc>
          <w:tcPr>
            <w:tcW w:w="1610" w:type="dxa"/>
            <w:vAlign w:val="center"/>
          </w:tcPr>
          <w:p>
            <w:pPr>
              <w:adjustRightInd w:val="0"/>
              <w:snapToGrid w:val="0"/>
              <w:jc w:val="center"/>
            </w:pPr>
            <w:r>
              <w:rPr>
                <w:rFonts w:hint="eastAsia"/>
              </w:rPr>
              <w:t>SS</w:t>
            </w:r>
          </w:p>
        </w:tc>
        <w:tc>
          <w:tcPr>
            <w:tcW w:w="1740" w:type="dxa"/>
            <w:vMerge w:val="continue"/>
            <w:vAlign w:val="center"/>
          </w:tcPr>
          <w:p>
            <w:pPr>
              <w:adjustRightInd w:val="0"/>
              <w:snapToGrid w:val="0"/>
              <w:jc w:val="center"/>
              <w:rPr>
                <w:rFonts w:ascii="宋体" w:hAnsi="宋体" w:cs="宋体"/>
                <w:szCs w:val="21"/>
              </w:rPr>
            </w:pPr>
          </w:p>
        </w:tc>
        <w:tc>
          <w:tcPr>
            <w:tcW w:w="1917" w:type="dxa"/>
            <w:vMerge w:val="continue"/>
            <w:vAlign w:val="center"/>
          </w:tcPr>
          <w:p>
            <w:pPr>
              <w:adjustRightInd w:val="0"/>
              <w:snapToGrid w:val="0"/>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8" w:type="dxa"/>
            <w:vMerge w:val="continue"/>
            <w:vAlign w:val="center"/>
          </w:tcPr>
          <w:p>
            <w:pPr>
              <w:adjustRightInd w:val="0"/>
              <w:snapToGrid w:val="0"/>
              <w:jc w:val="center"/>
              <w:rPr>
                <w:rFonts w:ascii="宋体" w:hAnsi="宋体" w:cs="宋体"/>
                <w:szCs w:val="21"/>
              </w:rPr>
            </w:pPr>
          </w:p>
        </w:tc>
        <w:tc>
          <w:tcPr>
            <w:tcW w:w="1755" w:type="dxa"/>
            <w:vMerge w:val="continue"/>
            <w:vAlign w:val="center"/>
          </w:tcPr>
          <w:p>
            <w:pPr>
              <w:adjustRightInd w:val="0"/>
              <w:snapToGrid w:val="0"/>
              <w:jc w:val="center"/>
              <w:rPr>
                <w:rFonts w:ascii="宋体" w:hAnsi="宋体" w:cs="宋体"/>
                <w:szCs w:val="21"/>
              </w:rPr>
            </w:pPr>
          </w:p>
        </w:tc>
        <w:tc>
          <w:tcPr>
            <w:tcW w:w="1610" w:type="dxa"/>
            <w:vAlign w:val="center"/>
          </w:tcPr>
          <w:p>
            <w:pPr>
              <w:adjustRightInd w:val="0"/>
              <w:snapToGrid w:val="0"/>
              <w:jc w:val="center"/>
            </w:pPr>
            <w:r>
              <w:rPr>
                <w:rFonts w:hint="eastAsia"/>
              </w:rPr>
              <w:t>粪大肠菌群数</w:t>
            </w:r>
          </w:p>
        </w:tc>
        <w:tc>
          <w:tcPr>
            <w:tcW w:w="1740" w:type="dxa"/>
            <w:vMerge w:val="continue"/>
            <w:vAlign w:val="center"/>
          </w:tcPr>
          <w:p>
            <w:pPr>
              <w:adjustRightInd w:val="0"/>
              <w:snapToGrid w:val="0"/>
              <w:jc w:val="center"/>
              <w:rPr>
                <w:rFonts w:ascii="宋体" w:hAnsi="宋体" w:cs="宋体"/>
                <w:szCs w:val="21"/>
              </w:rPr>
            </w:pPr>
          </w:p>
        </w:tc>
        <w:tc>
          <w:tcPr>
            <w:tcW w:w="1917" w:type="dxa"/>
            <w:vMerge w:val="continue"/>
            <w:vAlign w:val="center"/>
          </w:tcPr>
          <w:p>
            <w:pPr>
              <w:adjustRightInd w:val="0"/>
              <w:snapToGrid w:val="0"/>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778" w:type="dxa"/>
            <w:vAlign w:val="center"/>
          </w:tcPr>
          <w:p>
            <w:pPr>
              <w:adjustRightInd w:val="0"/>
              <w:snapToGrid w:val="0"/>
              <w:jc w:val="center"/>
              <w:rPr>
                <w:rFonts w:ascii="宋体" w:hAnsi="宋体" w:cs="宋体"/>
                <w:szCs w:val="21"/>
              </w:rPr>
            </w:pPr>
            <w:r>
              <w:rPr>
                <w:rFonts w:hint="eastAsia" w:ascii="宋体" w:hAnsi="宋体" w:cs="宋体"/>
                <w:szCs w:val="21"/>
              </w:rPr>
              <w:t>声环境</w:t>
            </w:r>
          </w:p>
        </w:tc>
        <w:tc>
          <w:tcPr>
            <w:tcW w:w="1755" w:type="dxa"/>
            <w:vAlign w:val="center"/>
          </w:tcPr>
          <w:p>
            <w:pPr>
              <w:adjustRightInd w:val="0"/>
              <w:snapToGrid w:val="0"/>
              <w:jc w:val="center"/>
              <w:rPr>
                <w:rFonts w:ascii="宋体" w:hAnsi="宋体" w:cs="宋体"/>
                <w:szCs w:val="21"/>
              </w:rPr>
            </w:pPr>
            <w:r>
              <w:rPr>
                <w:rFonts w:hint="eastAsia" w:ascii="宋体" w:hAnsi="宋体" w:cs="宋体"/>
                <w:szCs w:val="21"/>
              </w:rPr>
              <w:t>风机、水泵噪声</w:t>
            </w:r>
          </w:p>
        </w:tc>
        <w:tc>
          <w:tcPr>
            <w:tcW w:w="1610" w:type="dxa"/>
            <w:vAlign w:val="center"/>
          </w:tcPr>
          <w:p>
            <w:pPr>
              <w:adjustRightInd w:val="0"/>
              <w:snapToGrid w:val="0"/>
              <w:jc w:val="center"/>
              <w:rPr>
                <w:rFonts w:ascii="宋体" w:hAnsi="宋体" w:cs="宋体"/>
                <w:szCs w:val="21"/>
              </w:rPr>
            </w:pPr>
            <w:r>
              <w:rPr>
                <w:rFonts w:hint="eastAsia" w:ascii="宋体" w:hAnsi="宋体" w:cs="宋体"/>
                <w:szCs w:val="21"/>
              </w:rPr>
              <w:t>噪声</w:t>
            </w:r>
          </w:p>
        </w:tc>
        <w:tc>
          <w:tcPr>
            <w:tcW w:w="1740" w:type="dxa"/>
            <w:vAlign w:val="center"/>
          </w:tcPr>
          <w:p>
            <w:pPr>
              <w:adjustRightInd w:val="0"/>
              <w:snapToGrid w:val="0"/>
              <w:jc w:val="center"/>
              <w:rPr>
                <w:rFonts w:ascii="宋体" w:hAnsi="宋体" w:cs="宋体"/>
                <w:szCs w:val="21"/>
              </w:rPr>
            </w:pPr>
            <w:r>
              <w:rPr>
                <w:rFonts w:hint="eastAsia"/>
                <w:color w:val="000000"/>
                <w:szCs w:val="21"/>
              </w:rPr>
              <w:t>室内布置设备、基础减振</w:t>
            </w:r>
            <w:r>
              <w:rPr>
                <w:rFonts w:hint="eastAsia"/>
              </w:rPr>
              <w:t>等</w:t>
            </w:r>
          </w:p>
        </w:tc>
        <w:tc>
          <w:tcPr>
            <w:tcW w:w="1917" w:type="dxa"/>
            <w:vAlign w:val="center"/>
          </w:tcPr>
          <w:p>
            <w:pPr>
              <w:adjustRightInd w:val="0"/>
              <w:snapToGrid w:val="0"/>
              <w:jc w:val="center"/>
              <w:rPr>
                <w:rFonts w:ascii="宋体" w:hAnsi="宋体" w:cs="宋体"/>
                <w:szCs w:val="21"/>
              </w:rPr>
            </w:pPr>
            <w:r>
              <w:t>《工业企业</w:t>
            </w:r>
            <w:r>
              <w:rPr>
                <w:rFonts w:hint="eastAsia"/>
              </w:rPr>
              <w:t>厂界</w:t>
            </w:r>
            <w:r>
              <w:t>环境噪声排放标准》（GB12348-2008）</w:t>
            </w:r>
            <w:r>
              <w:rPr>
                <w:rFonts w:hint="eastAsia"/>
              </w:rPr>
              <w:t>2</w:t>
            </w:r>
            <w:r>
              <w:t>类</w:t>
            </w:r>
            <w:r>
              <w:rPr>
                <w:rFonts w:hint="eastAsia"/>
              </w:rPr>
              <w:t>和4a类</w:t>
            </w:r>
            <w:r>
              <w:t>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rPr>
                <w:rFonts w:ascii="宋体" w:hAnsi="宋体" w:cs="宋体"/>
                <w:szCs w:val="21"/>
              </w:rPr>
            </w:pPr>
            <w:r>
              <w:rPr>
                <w:rFonts w:hint="eastAsia" w:ascii="宋体" w:hAnsi="宋体" w:cs="宋体"/>
                <w:szCs w:val="21"/>
              </w:rPr>
              <w:t>固体废物</w:t>
            </w:r>
          </w:p>
        </w:tc>
        <w:tc>
          <w:tcPr>
            <w:tcW w:w="7022" w:type="dxa"/>
            <w:gridSpan w:val="4"/>
            <w:vAlign w:val="center"/>
          </w:tcPr>
          <w:p>
            <w:pPr>
              <w:adjustRightInd w:val="0"/>
              <w:snapToGrid w:val="0"/>
              <w:jc w:val="center"/>
              <w:rPr>
                <w:rFonts w:ascii="宋体" w:hAnsi="宋体" w:cs="宋体"/>
                <w:szCs w:val="21"/>
              </w:rPr>
            </w:pPr>
            <w:r>
              <w:rPr>
                <w:bCs/>
                <w:szCs w:val="21"/>
              </w:rPr>
              <w:t>项目</w:t>
            </w:r>
            <w:r>
              <w:rPr>
                <w:rFonts w:hint="eastAsia"/>
                <w:bCs/>
                <w:szCs w:val="21"/>
              </w:rPr>
              <w:t>运营产生的</w:t>
            </w:r>
            <w:r>
              <w:rPr>
                <w:bCs/>
                <w:szCs w:val="21"/>
              </w:rPr>
              <w:t>医疗废物</w:t>
            </w:r>
            <w:r>
              <w:rPr>
                <w:rFonts w:hint="eastAsia"/>
                <w:bCs/>
                <w:szCs w:val="21"/>
              </w:rPr>
              <w:t>、化粪池底泥、污水处理站栅渣和污泥</w:t>
            </w:r>
            <w:r>
              <w:rPr>
                <w:bCs/>
                <w:szCs w:val="21"/>
              </w:rPr>
              <w:t>列入危险废物，</w:t>
            </w:r>
            <w:r>
              <w:rPr>
                <w:rFonts w:hint="eastAsia"/>
                <w:bCs/>
                <w:szCs w:val="21"/>
              </w:rPr>
              <w:t>医疗废物暂存于危废间，</w:t>
            </w:r>
            <w:r>
              <w:rPr>
                <w:rFonts w:hint="eastAsia"/>
                <w:bCs/>
                <w:color w:val="000000"/>
                <w:szCs w:val="21"/>
              </w:rPr>
              <w:t>污水处理站产生的栅渣和污泥投加消毒剂后，定期清掏暂存于危废间，所有危险废物定期委托有资质单位处理。</w:t>
            </w:r>
            <w:r>
              <w:rPr>
                <w:rFonts w:hint="eastAsia"/>
              </w:rPr>
              <w:t>生活垃圾集中收集至丽景华庭二期小区生活垃圾堆放点，由小区物业部门统一清运处理。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1778" w:type="dxa"/>
            <w:vAlign w:val="center"/>
          </w:tcPr>
          <w:p>
            <w:pPr>
              <w:adjustRightInd w:val="0"/>
              <w:snapToGrid w:val="0"/>
              <w:jc w:val="center"/>
              <w:rPr>
                <w:rFonts w:ascii="宋体" w:hAnsi="宋体" w:cs="宋体"/>
                <w:szCs w:val="21"/>
              </w:rPr>
            </w:pPr>
            <w:r>
              <w:rPr>
                <w:rFonts w:hint="eastAsia" w:ascii="宋体" w:hAnsi="宋体" w:cs="宋体"/>
                <w:szCs w:val="21"/>
              </w:rPr>
              <w:t>土壤及地下水</w:t>
            </w:r>
          </w:p>
          <w:p>
            <w:pPr>
              <w:adjustRightInd w:val="0"/>
              <w:snapToGrid w:val="0"/>
              <w:jc w:val="center"/>
              <w:rPr>
                <w:rFonts w:ascii="宋体" w:hAnsi="宋体" w:cs="宋体"/>
                <w:szCs w:val="21"/>
              </w:rPr>
            </w:pPr>
            <w:r>
              <w:rPr>
                <w:rFonts w:hint="eastAsia" w:ascii="宋体" w:hAnsi="宋体" w:cs="宋体"/>
                <w:szCs w:val="21"/>
              </w:rPr>
              <w:t>污染防治措施</w:t>
            </w:r>
          </w:p>
        </w:tc>
        <w:tc>
          <w:tcPr>
            <w:tcW w:w="7022" w:type="dxa"/>
            <w:gridSpan w:val="4"/>
            <w:vAlign w:val="center"/>
          </w:tcPr>
          <w:p>
            <w:pPr>
              <w:adjustRightInd w:val="0"/>
              <w:snapToGrid w:val="0"/>
              <w:jc w:val="center"/>
              <w:rPr>
                <w:rFonts w:hint="eastAsia" w:ascii="宋体" w:hAnsi="宋体" w:eastAsia="宋体" w:cs="宋体"/>
                <w:szCs w:val="21"/>
                <w:lang w:eastAsia="zh-CN"/>
              </w:rPr>
            </w:pPr>
            <w:r>
              <w:rPr>
                <w:rFonts w:hint="eastAsia" w:ascii="宋体" w:hAnsi="宋体" w:cs="宋体"/>
                <w:szCs w:val="21"/>
              </w:rPr>
              <w:t>土壤污染防治措施：项目场地土壤为壤土和粉土，分布连续稳定，其渗透系数很小且具有很强的隔水作用，项目按要求做好防渗工作可进一步保护项目场地的土壤环境</w:t>
            </w:r>
            <w:r>
              <w:rPr>
                <w:rFonts w:hint="eastAsia" w:ascii="宋体" w:hAnsi="宋体" w:cs="宋体"/>
                <w:szCs w:val="21"/>
                <w:lang w:eastAsia="zh-CN"/>
              </w:rPr>
              <w:t>。</w:t>
            </w:r>
          </w:p>
          <w:p>
            <w:pPr>
              <w:adjustRightInd w:val="0"/>
              <w:snapToGrid w:val="0"/>
              <w:jc w:val="center"/>
              <w:rPr>
                <w:rFonts w:ascii="宋体" w:hAnsi="宋体" w:cs="宋体"/>
                <w:szCs w:val="21"/>
              </w:rPr>
            </w:pPr>
            <w:r>
              <w:rPr>
                <w:rFonts w:hint="eastAsia" w:ascii="宋体" w:hAnsi="宋体" w:cs="宋体"/>
                <w:szCs w:val="21"/>
              </w:rPr>
              <w:t>地下水污染防</w:t>
            </w:r>
            <w:r>
              <w:rPr>
                <w:szCs w:val="21"/>
              </w:rPr>
              <w:t>治措施：（1）废水暂存池进行硬化处理，使防渗层渗透系数小于1×10</w:t>
            </w:r>
            <w:r>
              <w:rPr>
                <w:szCs w:val="21"/>
                <w:vertAlign w:val="superscript"/>
              </w:rPr>
              <w:t>-7</w:t>
            </w:r>
            <w:r>
              <w:rPr>
                <w:szCs w:val="21"/>
              </w:rPr>
              <w:t>cm/s。（2）危废间地面底层采用三合土压实，中间层铺耐酸水泥，上层采用环氧地坪漆刷涂层，做到表面无裂隙，确保渗透系≤10</w:t>
            </w:r>
            <w:r>
              <w:rPr>
                <w:szCs w:val="21"/>
                <w:vertAlign w:val="superscript"/>
              </w:rPr>
              <w:t>-10</w:t>
            </w:r>
            <w:r>
              <w:rPr>
                <w:szCs w:val="21"/>
              </w:rPr>
              <w:t>cm/s，同时四周设围堰及围墙，顶部防雨，四周防风，防晒；污水处理站为地埋式，底部和四周均进行硬化处理，做到表面无裂隙，确保渗透系数≤10</w:t>
            </w:r>
            <w:r>
              <w:rPr>
                <w:szCs w:val="21"/>
                <w:vertAlign w:val="superscript"/>
              </w:rPr>
              <w:t>-10</w:t>
            </w:r>
            <w:r>
              <w:rPr>
                <w:szCs w:val="21"/>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778" w:type="dxa"/>
            <w:vAlign w:val="center"/>
          </w:tcPr>
          <w:p>
            <w:pPr>
              <w:adjustRightInd w:val="0"/>
              <w:snapToGrid w:val="0"/>
              <w:jc w:val="center"/>
              <w:rPr>
                <w:rFonts w:ascii="宋体" w:hAnsi="宋体" w:cs="宋体"/>
                <w:szCs w:val="21"/>
              </w:rPr>
            </w:pPr>
            <w:r>
              <w:rPr>
                <w:rFonts w:hint="eastAsia" w:ascii="宋体" w:hAnsi="宋体" w:cs="宋体"/>
                <w:szCs w:val="21"/>
              </w:rPr>
              <w:t>生态保护措施</w:t>
            </w:r>
          </w:p>
        </w:tc>
        <w:tc>
          <w:tcPr>
            <w:tcW w:w="7022" w:type="dxa"/>
            <w:gridSpan w:val="4"/>
            <w:vAlign w:val="center"/>
          </w:tcPr>
          <w:p>
            <w:pPr>
              <w:adjustRightInd w:val="0"/>
              <w:snapToGrid w:val="0"/>
              <w:jc w:val="center"/>
              <w:rPr>
                <w:rFonts w:ascii="宋体" w:hAnsi="宋体" w:cs="宋体"/>
                <w:szCs w:val="21"/>
              </w:rPr>
            </w:pPr>
            <w:r>
              <w:rPr>
                <w:rFonts w:hint="eastAsia" w:ascii="宋体" w:hAnsi="宋体" w:cs="宋体"/>
                <w:szCs w:val="21"/>
              </w:rPr>
              <w:t>院区周围好绿化工作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rPr>
                <w:rFonts w:ascii="宋体" w:hAnsi="宋体" w:cs="宋体"/>
                <w:spacing w:val="-8"/>
                <w:szCs w:val="21"/>
              </w:rPr>
            </w:pPr>
            <w:r>
              <w:rPr>
                <w:rFonts w:hint="eastAsia" w:ascii="宋体" w:hAnsi="宋体" w:cs="宋体"/>
                <w:spacing w:val="-8"/>
                <w:szCs w:val="21"/>
              </w:rPr>
              <w:t>环境风险</w:t>
            </w:r>
          </w:p>
          <w:p>
            <w:pPr>
              <w:adjustRightInd w:val="0"/>
              <w:snapToGrid w:val="0"/>
              <w:jc w:val="center"/>
              <w:rPr>
                <w:rFonts w:ascii="宋体" w:hAnsi="宋体" w:cs="宋体"/>
                <w:spacing w:val="-8"/>
                <w:szCs w:val="21"/>
              </w:rPr>
            </w:pPr>
            <w:r>
              <w:rPr>
                <w:rFonts w:hint="eastAsia" w:ascii="宋体" w:hAnsi="宋体" w:cs="宋体"/>
                <w:spacing w:val="-8"/>
                <w:szCs w:val="21"/>
              </w:rPr>
              <w:t>防范措施</w:t>
            </w:r>
          </w:p>
        </w:tc>
        <w:tc>
          <w:tcPr>
            <w:tcW w:w="7022" w:type="dxa"/>
            <w:gridSpan w:val="4"/>
            <w:vAlign w:val="center"/>
          </w:tcPr>
          <w:p>
            <w:pPr>
              <w:adjustRightInd w:val="0"/>
              <w:snapToGrid w:val="0"/>
              <w:jc w:val="center"/>
              <w:rPr>
                <w:rFonts w:ascii="宋体" w:hAnsi="宋体" w:cs="宋体"/>
                <w:szCs w:val="21"/>
              </w:rPr>
            </w:pPr>
            <w:r>
              <w:rPr>
                <w:rFonts w:hint="eastAsia"/>
                <w:szCs w:val="21"/>
              </w:rPr>
              <w:t>本项目的环境风险主要是污水处理站医疗废水泄漏，建设单位应</w:t>
            </w:r>
            <w:r>
              <w:rPr>
                <w:rFonts w:hint="eastAsia"/>
                <w:bCs/>
                <w:szCs w:val="21"/>
              </w:rPr>
              <w:t>加强污水处理站巡查，及时发现可能出现的问题，建立完善环境管理制度并编制突发环境事件应急预案。在做好防腐防渗的前提下，本项目风险可防控</w:t>
            </w: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Align w:val="center"/>
          </w:tcPr>
          <w:p>
            <w:pPr>
              <w:adjustRightInd w:val="0"/>
              <w:snapToGrid w:val="0"/>
              <w:jc w:val="center"/>
              <w:rPr>
                <w:rFonts w:ascii="宋体" w:hAnsi="宋体" w:cs="宋体"/>
                <w:spacing w:val="-8"/>
                <w:szCs w:val="21"/>
              </w:rPr>
            </w:pPr>
            <w:r>
              <w:rPr>
                <w:rFonts w:hint="eastAsia" w:ascii="宋体" w:hAnsi="宋体" w:cs="宋体"/>
                <w:spacing w:val="-8"/>
                <w:szCs w:val="21"/>
              </w:rPr>
              <w:t>其他环境</w:t>
            </w:r>
          </w:p>
          <w:p>
            <w:pPr>
              <w:adjustRightInd w:val="0"/>
              <w:snapToGrid w:val="0"/>
              <w:jc w:val="center"/>
              <w:rPr>
                <w:rFonts w:ascii="宋体" w:hAnsi="宋体" w:cs="宋体"/>
                <w:spacing w:val="-8"/>
                <w:szCs w:val="21"/>
              </w:rPr>
            </w:pPr>
            <w:r>
              <w:rPr>
                <w:rFonts w:hint="eastAsia" w:ascii="宋体" w:hAnsi="宋体" w:cs="宋体"/>
                <w:spacing w:val="-8"/>
                <w:szCs w:val="21"/>
              </w:rPr>
              <w:t>管理要求</w:t>
            </w:r>
          </w:p>
        </w:tc>
        <w:tc>
          <w:tcPr>
            <w:tcW w:w="7022" w:type="dxa"/>
            <w:gridSpan w:val="4"/>
            <w:vAlign w:val="center"/>
          </w:tcPr>
          <w:p>
            <w:pPr>
              <w:adjustRightInd w:val="0"/>
              <w:snapToGrid w:val="0"/>
              <w:rPr>
                <w:rFonts w:ascii="宋体" w:hAnsi="宋体" w:cs="宋体"/>
                <w:szCs w:val="21"/>
              </w:rPr>
            </w:pPr>
            <w:r>
              <w:rPr>
                <w:rFonts w:hint="eastAsia" w:ascii="宋体" w:hAnsi="宋体" w:cs="宋体"/>
                <w:szCs w:val="21"/>
              </w:rPr>
              <w:t>企业需设立环境管理机构，履行环保管理职责，试生产前应取得排污许可手续，规范排污口设置及标示标牌，按污染源监测计划实施定期监测</w:t>
            </w:r>
          </w:p>
        </w:tc>
      </w:tr>
    </w:tbl>
    <w:p>
      <w:pPr>
        <w:pStyle w:val="12"/>
        <w:spacing w:line="360" w:lineRule="auto"/>
        <w:ind w:left="643" w:firstLine="0" w:firstLineChars="0"/>
        <w:jc w:val="center"/>
        <w:outlineLvl w:val="0"/>
        <w:rPr>
          <w:rFonts w:ascii="宋体" w:hAnsi="宋体" w:cs="宋体"/>
          <w:b/>
          <w:bCs/>
          <w:sz w:val="32"/>
          <w:szCs w:val="32"/>
        </w:rPr>
      </w:pPr>
      <w:r>
        <w:rPr>
          <w:rFonts w:hint="eastAsia" w:ascii="宋体" w:hAnsi="宋体" w:cs="宋体"/>
          <w:b/>
          <w:bCs/>
          <w:sz w:val="32"/>
          <w:szCs w:val="32"/>
        </w:rPr>
        <w:t>六、结论</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91" w:hRule="atLeast"/>
          <w:jc w:val="center"/>
        </w:trPr>
        <w:tc>
          <w:tcPr>
            <w:tcW w:w="886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sz w:val="21"/>
                <w:szCs w:val="21"/>
              </w:rPr>
            </w:pPr>
            <w:r>
              <w:rPr>
                <w:rFonts w:hint="eastAsia" w:ascii="宋体" w:cs="宋体"/>
                <w:sz w:val="21"/>
                <w:szCs w:val="21"/>
              </w:rPr>
              <w:t xml:space="preserve">一、结论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sz w:val="21"/>
                <w:szCs w:val="21"/>
              </w:rPr>
            </w:pPr>
            <w:r>
              <w:rPr>
                <w:rFonts w:hint="eastAsia" w:ascii="宋体" w:cs="宋体"/>
                <w:sz w:val="21"/>
                <w:szCs w:val="21"/>
              </w:rPr>
              <w:t xml:space="preserve">综上全文所述，本次评价从环境保护的角度认为，项目符合国家产业政策；场址选择合理，符合土地政策；工程采取了较为完善的污染防治措施，可确保运营期各工序污染源达标排放，项目的建设不会对区域环境产生明显的污染影响。因此，本评价从环境保护的角度认为该项目的建设是可行的。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sz w:val="21"/>
                <w:szCs w:val="21"/>
              </w:rPr>
            </w:pPr>
            <w:r>
              <w:rPr>
                <w:rFonts w:hint="eastAsia" w:ascii="宋体" w:cs="宋体"/>
                <w:sz w:val="21"/>
                <w:szCs w:val="21"/>
              </w:rPr>
              <w:t xml:space="preserve">二、建议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sz w:val="21"/>
                <w:szCs w:val="21"/>
              </w:rPr>
            </w:pPr>
            <w:r>
              <w:rPr>
                <w:rFonts w:hint="eastAsia" w:ascii="宋体" w:cs="宋体"/>
                <w:sz w:val="21"/>
                <w:szCs w:val="21"/>
              </w:rPr>
              <w:t>（</w:t>
            </w:r>
            <w:r>
              <w:rPr>
                <w:rFonts w:ascii="宋体" w:cs="宋体"/>
                <w:sz w:val="21"/>
                <w:szCs w:val="21"/>
              </w:rPr>
              <w:t>1</w:t>
            </w:r>
            <w:r>
              <w:rPr>
                <w:rFonts w:hint="eastAsia" w:ascii="宋体" w:cs="宋体"/>
                <w:sz w:val="21"/>
                <w:szCs w:val="21"/>
              </w:rPr>
              <w:t xml:space="preserve">）确保企业环境保护投资，环保设施必须与主体工程同时设计、同时施工、同时投入运行。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sz w:val="21"/>
                <w:szCs w:val="21"/>
              </w:rPr>
            </w:pPr>
            <w:r>
              <w:rPr>
                <w:rFonts w:hint="eastAsia" w:ascii="宋体" w:cs="宋体"/>
                <w:sz w:val="21"/>
                <w:szCs w:val="21"/>
              </w:rPr>
              <w:t>（</w:t>
            </w:r>
            <w:r>
              <w:rPr>
                <w:rFonts w:ascii="宋体" w:cs="宋体"/>
                <w:sz w:val="21"/>
                <w:szCs w:val="21"/>
              </w:rPr>
              <w:t>2</w:t>
            </w:r>
            <w:r>
              <w:rPr>
                <w:rFonts w:hint="eastAsia" w:ascii="宋体" w:cs="宋体"/>
                <w:sz w:val="21"/>
                <w:szCs w:val="21"/>
              </w:rPr>
              <w:t>）加强环保治理设施岗位操作人员技术培训，加强设备维护，确保各项环保设施严格按规范操作。</w:t>
            </w:r>
          </w:p>
          <w:p>
            <w:pPr>
              <w:spacing w:line="360" w:lineRule="auto"/>
              <w:rPr>
                <w:rFonts w:ascii="宋体" w:cs="宋体"/>
                <w:sz w:val="24"/>
              </w:rPr>
            </w:pPr>
          </w:p>
        </w:tc>
      </w:tr>
    </w:tbl>
    <w:p>
      <w:pPr>
        <w:pStyle w:val="12"/>
        <w:spacing w:line="360" w:lineRule="auto"/>
        <w:ind w:left="0" w:firstLine="0" w:firstLineChars="0"/>
        <w:rPr>
          <w:rFonts w:ascii="宋体" w:hAnsi="宋体" w:cs="宋体"/>
          <w:b/>
          <w:bCs/>
          <w:sz w:val="32"/>
          <w:szCs w:val="32"/>
        </w:rPr>
        <w:sectPr>
          <w:pgSz w:w="11906" w:h="16838"/>
          <w:pgMar w:top="1440" w:right="1800" w:bottom="1440" w:left="1800" w:header="851" w:footer="992" w:gutter="0"/>
          <w:cols w:space="425" w:num="1"/>
          <w:docGrid w:type="lines" w:linePitch="312" w:charSpace="0"/>
        </w:sectPr>
      </w:pPr>
    </w:p>
    <w:p>
      <w:pPr>
        <w:pStyle w:val="2"/>
        <w:ind w:firstLine="0" w:firstLineChars="0"/>
        <w:rPr>
          <w:rFonts w:hint="eastAsia" w:eastAsia="宋体"/>
          <w:lang w:eastAsia="zh-CN"/>
        </w:rPr>
      </w:pP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Malgun Gothic">
    <w:panose1 w:val="020B0503020000020004"/>
    <w:charset w:val="81"/>
    <w:family w:val="swiss"/>
    <w:pitch w:val="default"/>
    <w:sig w:usb0="9000002F" w:usb1="29D77CFB" w:usb2="00000012" w:usb3="00000000" w:csb0="00080001"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ZWvQ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8ZWvQ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0B201C"/>
    <w:multiLevelType w:val="singleLevel"/>
    <w:tmpl w:val="A70B201C"/>
    <w:lvl w:ilvl="0" w:tentative="0">
      <w:start w:val="2"/>
      <w:numFmt w:val="decimal"/>
      <w:suff w:val="nothing"/>
      <w:lvlText w:val="（%1）"/>
      <w:lvlJc w:val="left"/>
    </w:lvl>
  </w:abstractNum>
  <w:abstractNum w:abstractNumId="1">
    <w:nsid w:val="AE889BDC"/>
    <w:multiLevelType w:val="singleLevel"/>
    <w:tmpl w:val="AE889BDC"/>
    <w:lvl w:ilvl="0" w:tentative="0">
      <w:start w:val="5"/>
      <w:numFmt w:val="decimal"/>
      <w:suff w:val="nothing"/>
      <w:lvlText w:val="（%1）"/>
      <w:lvlJc w:val="left"/>
    </w:lvl>
  </w:abstractNum>
  <w:abstractNum w:abstractNumId="2">
    <w:nsid w:val="BE9D6D2E"/>
    <w:multiLevelType w:val="singleLevel"/>
    <w:tmpl w:val="BE9D6D2E"/>
    <w:lvl w:ilvl="0" w:tentative="0">
      <w:start w:val="1"/>
      <w:numFmt w:val="chineseCounting"/>
      <w:suff w:val="nothing"/>
      <w:lvlText w:val="%1、"/>
      <w:lvlJc w:val="left"/>
      <w:pPr>
        <w:ind w:left="1050"/>
      </w:pPr>
      <w:rPr>
        <w:rFonts w:hint="eastAsia"/>
      </w:rPr>
    </w:lvl>
  </w:abstractNum>
  <w:abstractNum w:abstractNumId="3">
    <w:nsid w:val="C191B2E2"/>
    <w:multiLevelType w:val="singleLevel"/>
    <w:tmpl w:val="C191B2E2"/>
    <w:lvl w:ilvl="0" w:tentative="0">
      <w:start w:val="4"/>
      <w:numFmt w:val="decimal"/>
      <w:suff w:val="nothing"/>
      <w:lvlText w:val="%1、"/>
      <w:lvlJc w:val="left"/>
      <w:rPr>
        <w:rFonts w:hint="default" w:ascii="Times New Roman" w:hAnsi="Times New Roman" w:cs="Times New Roman"/>
        <w:sz w:val="21"/>
        <w:szCs w:val="21"/>
      </w:rPr>
    </w:lvl>
  </w:abstractNum>
  <w:abstractNum w:abstractNumId="4">
    <w:nsid w:val="D7B651E4"/>
    <w:multiLevelType w:val="singleLevel"/>
    <w:tmpl w:val="D7B651E4"/>
    <w:lvl w:ilvl="0" w:tentative="0">
      <w:start w:val="3"/>
      <w:numFmt w:val="decimal"/>
      <w:suff w:val="nothing"/>
      <w:lvlText w:val="%1、"/>
      <w:lvlJc w:val="left"/>
    </w:lvl>
  </w:abstractNum>
  <w:abstractNum w:abstractNumId="5">
    <w:nsid w:val="019EEC89"/>
    <w:multiLevelType w:val="singleLevel"/>
    <w:tmpl w:val="019EEC89"/>
    <w:lvl w:ilvl="0" w:tentative="0">
      <w:start w:val="5"/>
      <w:numFmt w:val="decimal"/>
      <w:suff w:val="nothing"/>
      <w:lvlText w:val="（%1）"/>
      <w:lvlJc w:val="left"/>
    </w:lvl>
  </w:abstractNum>
  <w:abstractNum w:abstractNumId="6">
    <w:nsid w:val="35FE91D7"/>
    <w:multiLevelType w:val="singleLevel"/>
    <w:tmpl w:val="35FE91D7"/>
    <w:lvl w:ilvl="0" w:tentative="0">
      <w:start w:val="2"/>
      <w:numFmt w:val="decimal"/>
      <w:suff w:val="nothing"/>
      <w:lvlText w:val="%1、"/>
      <w:lvlJc w:val="left"/>
    </w:lvl>
  </w:abstractNum>
  <w:abstractNum w:abstractNumId="7">
    <w:nsid w:val="555E3AE7"/>
    <w:multiLevelType w:val="singleLevel"/>
    <w:tmpl w:val="555E3AE7"/>
    <w:lvl w:ilvl="0" w:tentative="0">
      <w:start w:val="1"/>
      <w:numFmt w:val="chineseCounting"/>
      <w:suff w:val="nothing"/>
      <w:lvlText w:val="%1、"/>
      <w:lvlJc w:val="left"/>
      <w:rPr>
        <w:rFonts w:hint="eastAsia"/>
      </w:rPr>
    </w:lvl>
  </w:abstractNum>
  <w:num w:numId="1">
    <w:abstractNumId w:val="2"/>
  </w:num>
  <w:num w:numId="2">
    <w:abstractNumId w:val="5"/>
  </w:num>
  <w:num w:numId="3">
    <w:abstractNumId w:val="4"/>
  </w:num>
  <w:num w:numId="4">
    <w:abstractNumId w:val="3"/>
  </w:num>
  <w:num w:numId="5">
    <w:abstractNumId w:val="7"/>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A1ZDQxZjc3ZGI5OGMwYTMyZTUwNTkxMTMyZTllY2YifQ=="/>
  </w:docVars>
  <w:rsids>
    <w:rsidRoot w:val="1BD11DD0"/>
    <w:rsid w:val="000B2D1C"/>
    <w:rsid w:val="004A73F5"/>
    <w:rsid w:val="004C2F0F"/>
    <w:rsid w:val="007B7FFD"/>
    <w:rsid w:val="00864E64"/>
    <w:rsid w:val="00965016"/>
    <w:rsid w:val="00A42B92"/>
    <w:rsid w:val="01E774DD"/>
    <w:rsid w:val="02456E7B"/>
    <w:rsid w:val="04455AD9"/>
    <w:rsid w:val="044A30F0"/>
    <w:rsid w:val="05395B2F"/>
    <w:rsid w:val="05F4310B"/>
    <w:rsid w:val="07F953FF"/>
    <w:rsid w:val="0DE40111"/>
    <w:rsid w:val="0F004856"/>
    <w:rsid w:val="12B835FA"/>
    <w:rsid w:val="14056D01"/>
    <w:rsid w:val="156E1139"/>
    <w:rsid w:val="162536D2"/>
    <w:rsid w:val="18694829"/>
    <w:rsid w:val="19F1760C"/>
    <w:rsid w:val="1A2046A9"/>
    <w:rsid w:val="1A2D0E53"/>
    <w:rsid w:val="1B4F47CE"/>
    <w:rsid w:val="1BD11DD0"/>
    <w:rsid w:val="1BE83376"/>
    <w:rsid w:val="1C520816"/>
    <w:rsid w:val="1CC71BFE"/>
    <w:rsid w:val="1D1B46F3"/>
    <w:rsid w:val="1DDB3B30"/>
    <w:rsid w:val="20026228"/>
    <w:rsid w:val="21446949"/>
    <w:rsid w:val="2164183D"/>
    <w:rsid w:val="21720224"/>
    <w:rsid w:val="21C61BB0"/>
    <w:rsid w:val="2369367F"/>
    <w:rsid w:val="241B29A1"/>
    <w:rsid w:val="248F64A0"/>
    <w:rsid w:val="249A0AF7"/>
    <w:rsid w:val="24CF6FCD"/>
    <w:rsid w:val="26DA2FE7"/>
    <w:rsid w:val="272B19CD"/>
    <w:rsid w:val="27F25ADA"/>
    <w:rsid w:val="2826333B"/>
    <w:rsid w:val="28C50E13"/>
    <w:rsid w:val="29E30975"/>
    <w:rsid w:val="2A4202A8"/>
    <w:rsid w:val="2A4E6FF7"/>
    <w:rsid w:val="2BBC4B09"/>
    <w:rsid w:val="2C612A80"/>
    <w:rsid w:val="2CE619D2"/>
    <w:rsid w:val="2D056578"/>
    <w:rsid w:val="2F9F46A1"/>
    <w:rsid w:val="302711AF"/>
    <w:rsid w:val="30C85944"/>
    <w:rsid w:val="30E21F1F"/>
    <w:rsid w:val="31C13E22"/>
    <w:rsid w:val="33544DB8"/>
    <w:rsid w:val="359E169D"/>
    <w:rsid w:val="36FF4689"/>
    <w:rsid w:val="37DD6E6C"/>
    <w:rsid w:val="393A4F06"/>
    <w:rsid w:val="39C66A5A"/>
    <w:rsid w:val="39C92FA5"/>
    <w:rsid w:val="3AC238D4"/>
    <w:rsid w:val="3D795491"/>
    <w:rsid w:val="3E134CE2"/>
    <w:rsid w:val="3E915E4B"/>
    <w:rsid w:val="40D707F0"/>
    <w:rsid w:val="41530827"/>
    <w:rsid w:val="424A586D"/>
    <w:rsid w:val="43283F42"/>
    <w:rsid w:val="437C2DF7"/>
    <w:rsid w:val="43D92478"/>
    <w:rsid w:val="44F867C4"/>
    <w:rsid w:val="4574354D"/>
    <w:rsid w:val="46892810"/>
    <w:rsid w:val="46F05BAE"/>
    <w:rsid w:val="47C00B3A"/>
    <w:rsid w:val="47F4175E"/>
    <w:rsid w:val="481975C3"/>
    <w:rsid w:val="48490ADB"/>
    <w:rsid w:val="4AE633A3"/>
    <w:rsid w:val="4C0B09E6"/>
    <w:rsid w:val="4C496DB7"/>
    <w:rsid w:val="4C7062B0"/>
    <w:rsid w:val="4CD25547"/>
    <w:rsid w:val="4D601558"/>
    <w:rsid w:val="5013602E"/>
    <w:rsid w:val="506D71C4"/>
    <w:rsid w:val="51B74212"/>
    <w:rsid w:val="52157690"/>
    <w:rsid w:val="523F2A5D"/>
    <w:rsid w:val="53AD6B8C"/>
    <w:rsid w:val="53B37160"/>
    <w:rsid w:val="54B14267"/>
    <w:rsid w:val="55436A98"/>
    <w:rsid w:val="55AC6D33"/>
    <w:rsid w:val="55B22DDE"/>
    <w:rsid w:val="57874E00"/>
    <w:rsid w:val="58CF57C9"/>
    <w:rsid w:val="5A781B76"/>
    <w:rsid w:val="5F6D7D95"/>
    <w:rsid w:val="5FE83682"/>
    <w:rsid w:val="63401C3E"/>
    <w:rsid w:val="642747BB"/>
    <w:rsid w:val="648F5112"/>
    <w:rsid w:val="67161BB0"/>
    <w:rsid w:val="67C2339D"/>
    <w:rsid w:val="6A7D5625"/>
    <w:rsid w:val="6B054EC5"/>
    <w:rsid w:val="6B694CCD"/>
    <w:rsid w:val="6C3D7194"/>
    <w:rsid w:val="6CAE2F39"/>
    <w:rsid w:val="6D4956A0"/>
    <w:rsid w:val="6D95571F"/>
    <w:rsid w:val="6E6D137D"/>
    <w:rsid w:val="6E8C5EDD"/>
    <w:rsid w:val="6F96218E"/>
    <w:rsid w:val="71803426"/>
    <w:rsid w:val="723D2D95"/>
    <w:rsid w:val="724B1A26"/>
    <w:rsid w:val="72AE7BD8"/>
    <w:rsid w:val="73C66DBA"/>
    <w:rsid w:val="75013F28"/>
    <w:rsid w:val="762B2D3F"/>
    <w:rsid w:val="76CF1A15"/>
    <w:rsid w:val="776A05DF"/>
    <w:rsid w:val="790D6D0A"/>
    <w:rsid w:val="799F7E92"/>
    <w:rsid w:val="79F31C32"/>
    <w:rsid w:val="7BC10618"/>
    <w:rsid w:val="7C13299F"/>
    <w:rsid w:val="7C994878"/>
    <w:rsid w:val="7CF32D1D"/>
    <w:rsid w:val="7FBB4A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9"/>
    <w:pPr>
      <w:keepNext/>
      <w:tabs>
        <w:tab w:val="left" w:pos="432"/>
        <w:tab w:val="left" w:pos="2520"/>
        <w:tab w:val="left" w:pos="5180"/>
      </w:tabs>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3">
    <w:name w:val="heading 4"/>
    <w:basedOn w:val="1"/>
    <w:next w:val="1"/>
    <w:unhideWhenUsed/>
    <w:qFormat/>
    <w:uiPriority w:val="9"/>
    <w:pPr>
      <w:keepNext/>
      <w:keepLines/>
      <w:outlineLvl w:val="3"/>
    </w:pPr>
    <w:rPr>
      <w:rFonts w:ascii="Cambria" w:hAnsi="Cambria"/>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0"/>
    <w:pPr>
      <w:ind w:firstLine="420" w:firstLineChars="200"/>
    </w:pPr>
  </w:style>
  <w:style w:type="paragraph" w:styleId="6">
    <w:name w:val="annotation text"/>
    <w:basedOn w:val="1"/>
    <w:link w:val="36"/>
    <w:qFormat/>
    <w:uiPriority w:val="0"/>
    <w:pPr>
      <w:jc w:val="left"/>
    </w:pPr>
  </w:style>
  <w:style w:type="paragraph" w:styleId="7">
    <w:name w:val="Body Text"/>
    <w:basedOn w:val="1"/>
    <w:next w:val="1"/>
    <w:qFormat/>
    <w:uiPriority w:val="0"/>
    <w:pPr>
      <w:widowControl/>
      <w:snapToGrid w:val="0"/>
      <w:spacing w:before="60" w:after="160" w:line="259" w:lineRule="auto"/>
      <w:ind w:right="113"/>
    </w:pPr>
    <w:rPr>
      <w:kern w:val="0"/>
      <w:sz w:val="18"/>
      <w:szCs w:val="20"/>
    </w:rPr>
  </w:style>
  <w:style w:type="paragraph" w:styleId="8">
    <w:name w:val="Body Text Indent"/>
    <w:basedOn w:val="1"/>
    <w:next w:val="7"/>
    <w:qFormat/>
    <w:uiPriority w:val="0"/>
    <w:pPr>
      <w:spacing w:after="120"/>
      <w:ind w:left="420" w:leftChars="200"/>
    </w:pPr>
    <w:rPr>
      <w:kern w:val="0"/>
      <w:sz w:val="24"/>
      <w:szCs w:val="20"/>
    </w:rPr>
  </w:style>
  <w:style w:type="paragraph" w:styleId="9">
    <w:name w:val="Balloon Text"/>
    <w:basedOn w:val="1"/>
    <w:link w:val="38"/>
    <w:qFormat/>
    <w:uiPriority w:val="0"/>
    <w:rPr>
      <w:sz w:val="18"/>
      <w:szCs w:val="18"/>
    </w:rPr>
  </w:style>
  <w:style w:type="paragraph" w:styleId="10">
    <w:name w:val="footer"/>
    <w:basedOn w:val="1"/>
    <w:qFormat/>
    <w:uiPriority w:val="99"/>
    <w:pPr>
      <w:tabs>
        <w:tab w:val="center" w:pos="4153"/>
        <w:tab w:val="right" w:pos="8306"/>
      </w:tabs>
      <w:snapToGrid w:val="0"/>
      <w:jc w:val="left"/>
    </w:pPr>
    <w:rPr>
      <w:kern w:val="0"/>
      <w:sz w:val="18"/>
      <w:szCs w:val="20"/>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List"/>
    <w:basedOn w:val="1"/>
    <w:qFormat/>
    <w:uiPriority w:val="0"/>
    <w:pPr>
      <w:ind w:left="200" w:hanging="200" w:hangingChars="200"/>
      <w:contextualSpacing/>
    </w:pPr>
    <w:rPr>
      <w:kern w:val="0"/>
    </w:rPr>
  </w:style>
  <w:style w:type="paragraph" w:styleId="13">
    <w:name w:val="toc 2"/>
    <w:basedOn w:val="1"/>
    <w:next w:val="1"/>
    <w:qFormat/>
    <w:uiPriority w:val="0"/>
    <w:pPr>
      <w:ind w:left="420" w:leftChars="200"/>
    </w:pPr>
  </w:style>
  <w:style w:type="paragraph" w:styleId="14">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5">
    <w:name w:val="annotation subject"/>
    <w:basedOn w:val="6"/>
    <w:next w:val="6"/>
    <w:link w:val="37"/>
    <w:qFormat/>
    <w:uiPriority w:val="0"/>
    <w:rPr>
      <w:b/>
      <w:bCs/>
    </w:rPr>
  </w:style>
  <w:style w:type="paragraph" w:styleId="16">
    <w:name w:val="Body Text First Indent"/>
    <w:basedOn w:val="7"/>
    <w:next w:val="17"/>
    <w:qFormat/>
    <w:uiPriority w:val="0"/>
    <w:pPr>
      <w:widowControl w:val="0"/>
      <w:snapToGrid/>
      <w:spacing w:before="0" w:after="120" w:line="240" w:lineRule="auto"/>
      <w:ind w:right="0" w:firstLine="420" w:firstLineChars="100"/>
    </w:pPr>
    <w:rPr>
      <w:kern w:val="2"/>
      <w:sz w:val="21"/>
      <w:szCs w:val="24"/>
    </w:rPr>
  </w:style>
  <w:style w:type="paragraph" w:styleId="17">
    <w:name w:val="Body Text First Indent 2"/>
    <w:basedOn w:val="8"/>
    <w:next w:val="1"/>
    <w:qFormat/>
    <w:uiPriority w:val="0"/>
    <w:pPr>
      <w:ind w:firstLine="420"/>
    </w:pPr>
    <w:rPr>
      <w:sz w:val="21"/>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annotation reference"/>
    <w:basedOn w:val="20"/>
    <w:qFormat/>
    <w:uiPriority w:val="0"/>
    <w:rPr>
      <w:sz w:val="21"/>
      <w:szCs w:val="21"/>
    </w:rPr>
  </w:style>
  <w:style w:type="paragraph" w:customStyle="1" w:styleId="23">
    <w:name w:val="Default"/>
    <w:basedOn w:val="24"/>
    <w:next w:val="1"/>
    <w:qFormat/>
    <w:uiPriority w:val="0"/>
    <w:rPr>
      <w:rFonts w:cs="宋体"/>
      <w:color w:val="000000"/>
      <w:sz w:val="24"/>
      <w:szCs w:val="24"/>
    </w:rPr>
  </w:style>
  <w:style w:type="paragraph" w:customStyle="1" w:styleId="24">
    <w:name w:val="纯文本1"/>
    <w:basedOn w:val="1"/>
    <w:qFormat/>
    <w:uiPriority w:val="99"/>
    <w:pPr>
      <w:autoSpaceDE w:val="0"/>
      <w:autoSpaceDN w:val="0"/>
      <w:adjustRightInd w:val="0"/>
      <w:textAlignment w:val="baseline"/>
    </w:pPr>
    <w:rPr>
      <w:rFonts w:ascii="宋体"/>
      <w:szCs w:val="20"/>
    </w:rPr>
  </w:style>
  <w:style w:type="paragraph" w:customStyle="1" w:styleId="25">
    <w:name w:val="样式1"/>
    <w:basedOn w:val="1"/>
    <w:next w:val="1"/>
    <w:qFormat/>
    <w:uiPriority w:val="0"/>
    <w:pPr>
      <w:snapToGrid w:val="0"/>
      <w:spacing w:line="540" w:lineRule="atLeast"/>
      <w:ind w:firstLine="510"/>
      <w:jc w:val="left"/>
    </w:pPr>
    <w:rPr>
      <w:rFonts w:ascii="宋体"/>
      <w:sz w:val="28"/>
      <w:szCs w:val="20"/>
    </w:rPr>
  </w:style>
  <w:style w:type="paragraph" w:customStyle="1" w:styleId="26">
    <w:name w:val="xl27"/>
    <w:qFormat/>
    <w:uiPriority w:val="0"/>
    <w:pPr>
      <w:pBdr>
        <w:bottom w:val="single" w:color="auto" w:sz="4" w:space="0"/>
        <w:right w:val="single" w:color="auto" w:sz="4" w:space="0"/>
      </w:pBdr>
      <w:spacing w:before="100" w:beforeAutospacing="1" w:after="100" w:afterAutospacing="1" w:line="500" w:lineRule="exact"/>
      <w:ind w:firstLine="200" w:firstLineChars="200"/>
      <w:jc w:val="center"/>
    </w:pPr>
    <w:rPr>
      <w:rFonts w:ascii="宋体" w:hAnsi="宋体" w:eastAsia="宋体" w:cs="Times New Roman"/>
      <w:sz w:val="24"/>
      <w:szCs w:val="21"/>
      <w:lang w:val="en-US" w:eastAsia="zh-CN" w:bidi="ar-SA"/>
    </w:rPr>
  </w:style>
  <w:style w:type="paragraph" w:customStyle="1" w:styleId="27">
    <w:name w:val="表格正文"/>
    <w:basedOn w:val="1"/>
    <w:next w:val="1"/>
    <w:qFormat/>
    <w:uiPriority w:val="0"/>
    <w:pPr>
      <w:jc w:val="center"/>
    </w:pPr>
    <w:rPr>
      <w:szCs w:val="22"/>
    </w:rPr>
  </w:style>
  <w:style w:type="paragraph" w:customStyle="1" w:styleId="28">
    <w:name w:val="样式 宋体 小四 粉红 行距: 1.5 倍行距"/>
    <w:basedOn w:val="1"/>
    <w:qFormat/>
    <w:uiPriority w:val="0"/>
    <w:pPr>
      <w:spacing w:line="360" w:lineRule="auto"/>
      <w:ind w:firstLine="480" w:firstLineChars="200"/>
    </w:pPr>
    <w:rPr>
      <w:rFonts w:cs="宋体"/>
      <w:color w:val="FF00FF"/>
      <w:sz w:val="24"/>
      <w:szCs w:val="20"/>
    </w:rPr>
  </w:style>
  <w:style w:type="paragraph" w:customStyle="1" w:styleId="2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30">
    <w:name w:val="图表11111"/>
    <w:basedOn w:val="31"/>
    <w:qFormat/>
    <w:uiPriority w:val="0"/>
  </w:style>
  <w:style w:type="paragraph" w:customStyle="1" w:styleId="31">
    <w:name w:val="图表"/>
    <w:basedOn w:val="1"/>
    <w:qFormat/>
    <w:uiPriority w:val="0"/>
    <w:pPr>
      <w:spacing w:line="360" w:lineRule="auto"/>
      <w:jc w:val="center"/>
    </w:pPr>
    <w:rPr>
      <w:rFonts w:eastAsia="黑体"/>
      <w:color w:val="000000"/>
      <w:sz w:val="24"/>
    </w:rPr>
  </w:style>
  <w:style w:type="paragraph" w:customStyle="1" w:styleId="32">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33">
    <w:name w:val="_Style 4"/>
    <w:qFormat/>
    <w:uiPriority w:val="1"/>
    <w:pPr>
      <w:widowControl w:val="0"/>
      <w:spacing w:line="440" w:lineRule="exact"/>
      <w:jc w:val="both"/>
    </w:pPr>
    <w:rPr>
      <w:rFonts w:ascii="Times New Roman" w:hAnsi="Times New Roman" w:eastAsia="仿宋_GB2312" w:cs="Times New Roman"/>
      <w:kern w:val="2"/>
      <w:sz w:val="24"/>
      <w:szCs w:val="24"/>
      <w:lang w:val="en-US" w:eastAsia="zh-CN" w:bidi="ar-SA"/>
    </w:rPr>
  </w:style>
  <w:style w:type="paragraph" w:customStyle="1" w:styleId="34">
    <w:name w:val="表格"/>
    <w:basedOn w:val="1"/>
    <w:next w:val="1"/>
    <w:qFormat/>
    <w:uiPriority w:val="0"/>
    <w:pPr>
      <w:adjustRightInd w:val="0"/>
      <w:snapToGrid w:val="0"/>
      <w:spacing w:beforeLines="10" w:afterLines="10" w:line="259" w:lineRule="auto"/>
      <w:jc w:val="center"/>
    </w:pPr>
    <w:rPr>
      <w:rFonts w:ascii="宋体"/>
      <w:kern w:val="0"/>
      <w:szCs w:val="20"/>
    </w:rPr>
  </w:style>
  <w:style w:type="table" w:customStyle="1" w:styleId="35">
    <w:name w:val="Table Normal"/>
    <w:unhideWhenUsed/>
    <w:qFormat/>
    <w:uiPriority w:val="0"/>
    <w:tblPr>
      <w:tblCellMar>
        <w:top w:w="0" w:type="dxa"/>
        <w:left w:w="0" w:type="dxa"/>
        <w:bottom w:w="0" w:type="dxa"/>
        <w:right w:w="0" w:type="dxa"/>
      </w:tblCellMar>
    </w:tblPr>
  </w:style>
  <w:style w:type="character" w:customStyle="1" w:styleId="36">
    <w:name w:val="批注文字 字符"/>
    <w:basedOn w:val="20"/>
    <w:link w:val="6"/>
    <w:qFormat/>
    <w:uiPriority w:val="0"/>
    <w:rPr>
      <w:kern w:val="2"/>
      <w:sz w:val="21"/>
      <w:szCs w:val="24"/>
    </w:rPr>
  </w:style>
  <w:style w:type="character" w:customStyle="1" w:styleId="37">
    <w:name w:val="批注主题 字符"/>
    <w:basedOn w:val="36"/>
    <w:link w:val="15"/>
    <w:qFormat/>
    <w:uiPriority w:val="0"/>
    <w:rPr>
      <w:b/>
      <w:bCs/>
      <w:kern w:val="2"/>
      <w:sz w:val="21"/>
      <w:szCs w:val="24"/>
    </w:rPr>
  </w:style>
  <w:style w:type="character" w:customStyle="1" w:styleId="38">
    <w:name w:val="批注框文本 字符"/>
    <w:basedOn w:val="20"/>
    <w:link w:val="9"/>
    <w:qFormat/>
    <w:uiPriority w:val="0"/>
    <w:rPr>
      <w:kern w:val="2"/>
      <w:sz w:val="18"/>
      <w:szCs w:val="18"/>
    </w:rPr>
  </w:style>
  <w:style w:type="paragraph" w:customStyle="1" w:styleId="39">
    <w:name w:val="样式 样式 样式 四号 左侧:  1.53 厘米 + 首行缩进:  2 字符 + 居中 左侧:  2 字符 首行缩进:  2..."/>
    <w:basedOn w:val="40"/>
    <w:next w:val="1"/>
    <w:qFormat/>
    <w:uiPriority w:val="0"/>
    <w:pPr>
      <w:ind w:firstLine="0" w:firstLineChars="0"/>
      <w:jc w:val="center"/>
    </w:pPr>
  </w:style>
  <w:style w:type="paragraph" w:customStyle="1" w:styleId="40">
    <w:name w:val="样式 样式 四号 左侧:  1.53 厘米 + 首行缩进:  2 字符"/>
    <w:basedOn w:val="41"/>
    <w:qFormat/>
    <w:uiPriority w:val="0"/>
    <w:pPr>
      <w:ind w:left="200" w:leftChars="200"/>
    </w:pPr>
    <w:rPr>
      <w:szCs w:val="20"/>
    </w:rPr>
  </w:style>
  <w:style w:type="paragraph" w:customStyle="1" w:styleId="41">
    <w:name w:val="样式 四号 左侧:  1.53 厘米"/>
    <w:basedOn w:val="1"/>
    <w:qFormat/>
    <w:uiPriority w:val="0"/>
    <w:pPr>
      <w:adjustRightInd w:val="0"/>
    </w:pPr>
    <w:rPr>
      <w:w w:val="9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31474</Words>
  <Characters>35266</Characters>
  <Lines>205</Lines>
  <Paragraphs>57</Paragraphs>
  <TotalTime>28</TotalTime>
  <ScaleCrop>false</ScaleCrop>
  <LinksUpToDate>false</LinksUpToDate>
  <CharactersWithSpaces>35475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2022-08-26T02:15:00Z</dcterms:created>
  <dc:creator>似水年华1425964355</dc:creator>
  <cp:lastModifiedBy>刘如~18803043386</cp:lastModifiedBy>
  <cp:lastPrinted>2022-10-11T01:46:00Z</cp:lastPrinted>
  <dcterms:modified xsi:type="dcterms:W3CDTF">2022-10-26T07:41:46Z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B7EFDC95B8914254943CEEBD449CADBD</vt:lpwstr>
  </property>
</Properties>
</file>