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adjustRightInd w:val="0"/>
        <w:snapToGrid w:val="0"/>
        <w:jc w:val="center"/>
        <w:outlineLvl w:val="0"/>
        <w:rPr>
          <w:rFonts w:ascii="Times New Roman" w:eastAsia="方正小标宋_GBK"/>
          <w:bCs/>
          <w:color w:val="000000" w:themeColor="text1"/>
          <w:sz w:val="72"/>
          <w:szCs w:val="72"/>
          <w:highlight w:val="none"/>
          <w14:textFill>
            <w14:solidFill>
              <w14:schemeClr w14:val="tx1"/>
            </w14:solidFill>
          </w14:textFill>
        </w:rPr>
      </w:pPr>
      <w:bookmarkStart w:id="0" w:name="_Toc10588"/>
      <w:r>
        <w:rPr>
          <w:rFonts w:ascii="Times New Roman" w:eastAsia="方正小标宋_GBK"/>
          <w:bCs/>
          <w:color w:val="000000" w:themeColor="text1"/>
          <w:sz w:val="72"/>
          <w:szCs w:val="72"/>
          <w:highlight w:val="none"/>
          <w14:textFill>
            <w14:solidFill>
              <w14:schemeClr w14:val="tx1"/>
            </w14:solidFill>
          </w14:textFill>
        </w:rPr>
        <w:t>建设项目环境影响报告表</w:t>
      </w:r>
      <w:bookmarkEnd w:id="0"/>
    </w:p>
    <w:p>
      <w:pPr>
        <w:jc w:val="cente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p>
      <w:pPr>
        <w:rPr>
          <w:rFonts w:ascii="Times New Roman" w:eastAsia="仿宋_GB2312"/>
          <w:color w:val="000000" w:themeColor="text1"/>
          <w:sz w:val="36"/>
          <w:szCs w:val="36"/>
          <w:highlight w:val="none"/>
          <w14:textFill>
            <w14:solidFill>
              <w14:schemeClr w14:val="tx1"/>
            </w14:solidFill>
          </w14:textFill>
        </w:rPr>
      </w:pP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4"/>
        <w:gridCol w:w="60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3112"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ascii="Times New Roman"/>
                <w:color w:val="000000" w:themeColor="text1"/>
                <w:sz w:val="36"/>
                <w:szCs w:val="36"/>
                <w:highlight w:val="none"/>
                <w14:textFill>
                  <w14:solidFill>
                    <w14:schemeClr w14:val="tx1"/>
                  </w14:solidFill>
                </w14:textFill>
              </w:rPr>
              <w:t>项目名称：</w:t>
            </w:r>
          </w:p>
        </w:tc>
        <w:tc>
          <w:tcPr>
            <w:tcW w:w="6488" w:type="dxa"/>
          </w:tcPr>
          <w:p>
            <w:pPr>
              <w:adjustRightInd w:val="0"/>
              <w:snapToGrid w:val="0"/>
              <w:spacing w:line="360" w:lineRule="auto"/>
              <w:rPr>
                <w:rFonts w:hint="eastAsia" w:ascii="Times New Roman" w:eastAsia="宋体"/>
                <w:color w:val="000000" w:themeColor="text1"/>
                <w:sz w:val="36"/>
                <w:szCs w:val="36"/>
                <w:highlight w:val="none"/>
                <w:lang w:eastAsia="zh-CN"/>
                <w14:textFill>
                  <w14:solidFill>
                    <w14:schemeClr w14:val="tx1"/>
                  </w14:solidFill>
                </w14:textFill>
              </w:rPr>
            </w:pPr>
            <w:r>
              <w:rPr>
                <w:rFonts w:hint="eastAsia" w:ascii="Times New Roman"/>
                <w:color w:val="000000" w:themeColor="text1"/>
                <w:sz w:val="36"/>
                <w:szCs w:val="36"/>
                <w:highlight w:val="none"/>
                <w:lang w:eastAsia="zh-CN" w:bidi="ar"/>
                <w14:textFill>
                  <w14:solidFill>
                    <w14:schemeClr w14:val="tx1"/>
                  </w14:solidFill>
                </w14:textFill>
              </w:rPr>
              <w:t>承德燕能宝石山风电场项目220kV升压站工程（变更）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112"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ascii="Times New Roman"/>
                <w:color w:val="000000" w:themeColor="text1"/>
                <w:sz w:val="36"/>
                <w:szCs w:val="36"/>
                <w:highlight w:val="none"/>
                <w14:textFill>
                  <w14:solidFill>
                    <w14:schemeClr w14:val="tx1"/>
                  </w14:solidFill>
                </w14:textFill>
              </w:rPr>
              <w:t>建设单位（盖章）：</w:t>
            </w:r>
          </w:p>
        </w:tc>
        <w:tc>
          <w:tcPr>
            <w:tcW w:w="6488" w:type="dxa"/>
          </w:tcPr>
          <w:p>
            <w:pPr>
              <w:adjustRightInd w:val="0"/>
              <w:snapToGrid w:val="0"/>
              <w:spacing w:line="360" w:lineRule="auto"/>
              <w:jc w:val="both"/>
              <w:rPr>
                <w:rFonts w:hint="eastAsia" w:ascii="Times New Roman" w:eastAsia="宋体"/>
                <w:color w:val="000000" w:themeColor="text1"/>
                <w:sz w:val="36"/>
                <w:szCs w:val="36"/>
                <w:highlight w:val="none"/>
                <w:lang w:eastAsia="zh-CN"/>
                <w14:textFill>
                  <w14:solidFill>
                    <w14:schemeClr w14:val="tx1"/>
                  </w14:solidFill>
                </w14:textFill>
              </w:rPr>
            </w:pPr>
            <w:r>
              <w:rPr>
                <w:rFonts w:hint="eastAsia" w:ascii="Times New Roman"/>
                <w:color w:val="000000" w:themeColor="text1"/>
                <w:sz w:val="36"/>
                <w:szCs w:val="36"/>
                <w:highlight w:val="none"/>
                <w:lang w:eastAsia="zh-CN"/>
                <w14:textFill>
                  <w14:solidFill>
                    <w14:schemeClr w14:val="tx1"/>
                  </w14:solidFill>
                </w14:textFill>
              </w:rPr>
              <w:t>承德燕能新能源科技有限公司</w:t>
            </w:r>
          </w:p>
        </w:tc>
      </w:tr>
    </w:tbl>
    <w:p>
      <w:pPr>
        <w:adjustRightInd w:val="0"/>
        <w:snapToGrid w:val="0"/>
        <w:spacing w:line="360" w:lineRule="auto"/>
        <w:rPr>
          <w:rFonts w:ascii="Times New Roman"/>
          <w:color w:val="000000" w:themeColor="text1"/>
          <w:sz w:val="36"/>
          <w:szCs w:val="36"/>
          <w:highlight w:val="none"/>
          <w14:textFill>
            <w14:solidFill>
              <w14:schemeClr w14:val="tx1"/>
            </w14:solidFill>
          </w14:textFill>
        </w:rPr>
      </w:pPr>
    </w:p>
    <w:p>
      <w:pPr>
        <w:rPr>
          <w:rFonts w:ascii="Times New Roman"/>
          <w:color w:val="000000" w:themeColor="text1"/>
          <w:sz w:val="36"/>
          <w:szCs w:val="36"/>
          <w:highlight w:val="none"/>
          <w14:textFill>
            <w14:solidFill>
              <w14:schemeClr w14:val="tx1"/>
            </w14:solidFill>
          </w14:textFill>
        </w:rPr>
      </w:pPr>
    </w:p>
    <w:p>
      <w:pPr>
        <w:rPr>
          <w:rFonts w:ascii="Times New Roman"/>
          <w:color w:val="000000" w:themeColor="text1"/>
          <w:sz w:val="36"/>
          <w:szCs w:val="36"/>
          <w:highlight w:val="none"/>
          <w14:textFill>
            <w14:solidFill>
              <w14:schemeClr w14:val="tx1"/>
            </w14:solidFill>
          </w14:textFill>
        </w:rPr>
      </w:pPr>
    </w:p>
    <w:tbl>
      <w:tblPr>
        <w:tblStyle w:val="5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02"/>
        <w:gridCol w:w="7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2"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ascii="Times New Roman"/>
                <w:color w:val="000000" w:themeColor="text1"/>
                <w:sz w:val="36"/>
                <w:szCs w:val="36"/>
                <w:highlight w:val="none"/>
                <w14:textFill>
                  <w14:solidFill>
                    <w14:schemeClr w14:val="tx1"/>
                  </w14:solidFill>
                </w14:textFill>
              </w:rPr>
              <w:t>编制单位：</w:t>
            </w:r>
          </w:p>
        </w:tc>
        <w:tc>
          <w:tcPr>
            <w:tcW w:w="7058"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ascii="Times New Roman"/>
                <w:color w:val="000000" w:themeColor="text1"/>
                <w:sz w:val="36"/>
                <w:szCs w:val="36"/>
                <w:highlight w:val="none"/>
                <w14:textFill>
                  <w14:solidFill>
                    <w14:schemeClr w14:val="tx1"/>
                  </w14:solidFill>
                </w14:textFill>
              </w:rPr>
              <w:t>河北五骏环保技术服务有限公司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002"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ascii="Times New Roman"/>
                <w:color w:val="000000" w:themeColor="text1"/>
                <w:sz w:val="36"/>
                <w:szCs w:val="36"/>
                <w:highlight w:val="none"/>
                <w14:textFill>
                  <w14:solidFill>
                    <w14:schemeClr w14:val="tx1"/>
                  </w14:solidFill>
                </w14:textFill>
              </w:rPr>
              <w:t>编制日期：</w:t>
            </w:r>
          </w:p>
        </w:tc>
        <w:tc>
          <w:tcPr>
            <w:tcW w:w="7058" w:type="dxa"/>
          </w:tcPr>
          <w:p>
            <w:pPr>
              <w:adjustRightInd w:val="0"/>
              <w:snapToGrid w:val="0"/>
              <w:spacing w:line="360" w:lineRule="auto"/>
              <w:rPr>
                <w:rFonts w:ascii="Times New Roman"/>
                <w:color w:val="000000" w:themeColor="text1"/>
                <w:sz w:val="36"/>
                <w:szCs w:val="36"/>
                <w:highlight w:val="none"/>
                <w14:textFill>
                  <w14:solidFill>
                    <w14:schemeClr w14:val="tx1"/>
                  </w14:solidFill>
                </w14:textFill>
              </w:rPr>
            </w:pPr>
            <w:r>
              <w:rPr>
                <w:rFonts w:hint="eastAsia" w:ascii="Times New Roman"/>
                <w:color w:val="000000" w:themeColor="text1"/>
                <w:sz w:val="36"/>
                <w:szCs w:val="36"/>
                <w:highlight w:val="none"/>
                <w14:textFill>
                  <w14:solidFill>
                    <w14:schemeClr w14:val="tx1"/>
                  </w14:solidFill>
                </w14:textFill>
              </w:rPr>
              <w:t>2024</w:t>
            </w:r>
            <w:r>
              <w:rPr>
                <w:rFonts w:ascii="Times New Roman"/>
                <w:color w:val="000000" w:themeColor="text1"/>
                <w:sz w:val="36"/>
                <w:szCs w:val="36"/>
                <w:highlight w:val="none"/>
                <w14:textFill>
                  <w14:solidFill>
                    <w14:schemeClr w14:val="tx1"/>
                  </w14:solidFill>
                </w14:textFill>
              </w:rPr>
              <w:t>年</w:t>
            </w:r>
            <w:r>
              <w:rPr>
                <w:rFonts w:hint="eastAsia" w:ascii="Times New Roman"/>
                <w:color w:val="000000" w:themeColor="text1"/>
                <w:sz w:val="36"/>
                <w:szCs w:val="36"/>
                <w:highlight w:val="none"/>
                <w:lang w:val="en-US" w:eastAsia="zh-CN"/>
                <w14:textFill>
                  <w14:solidFill>
                    <w14:schemeClr w14:val="tx1"/>
                  </w14:solidFill>
                </w14:textFill>
              </w:rPr>
              <w:t>5</w:t>
            </w:r>
            <w:r>
              <w:rPr>
                <w:rFonts w:ascii="Times New Roman"/>
                <w:color w:val="000000" w:themeColor="text1"/>
                <w:sz w:val="36"/>
                <w:szCs w:val="36"/>
                <w:highlight w:val="none"/>
                <w14:textFill>
                  <w14:solidFill>
                    <w14:schemeClr w14:val="tx1"/>
                  </w14:solidFill>
                </w14:textFill>
              </w:rPr>
              <w:t>月</w:t>
            </w:r>
          </w:p>
        </w:tc>
      </w:tr>
    </w:tbl>
    <w:p>
      <w:pPr>
        <w:adjustRightInd w:val="0"/>
        <w:snapToGrid w:val="0"/>
        <w:spacing w:line="288" w:lineRule="auto"/>
        <w:ind w:firstLine="1040"/>
        <w:rPr>
          <w:rFonts w:ascii="Times New Roman"/>
          <w:color w:val="000000" w:themeColor="text1"/>
          <w:sz w:val="36"/>
          <w:szCs w:val="36"/>
          <w:highlight w:val="none"/>
          <w:u w:val="single"/>
          <w14:textFill>
            <w14:solidFill>
              <w14:schemeClr w14:val="tx1"/>
            </w14:solidFill>
          </w14:textFill>
        </w:rPr>
      </w:pPr>
    </w:p>
    <w:p>
      <w:pPr>
        <w:adjustRightInd w:val="0"/>
        <w:snapToGrid w:val="0"/>
        <w:spacing w:line="288" w:lineRule="auto"/>
        <w:ind w:firstLine="1040"/>
        <w:rPr>
          <w:rFonts w:ascii="Times New Roman"/>
          <w:color w:val="000000" w:themeColor="text1"/>
          <w:sz w:val="36"/>
          <w:szCs w:val="36"/>
          <w:highlight w:val="none"/>
          <w14:textFill>
            <w14:solidFill>
              <w14:schemeClr w14:val="tx1"/>
            </w14:solidFill>
          </w14:textFill>
        </w:rPr>
      </w:pPr>
    </w:p>
    <w:p>
      <w:pPr>
        <w:adjustRightInd w:val="0"/>
        <w:snapToGrid w:val="0"/>
        <w:spacing w:line="288" w:lineRule="auto"/>
        <w:ind w:firstLine="1040"/>
        <w:rPr>
          <w:rFonts w:ascii="Times New Roman"/>
          <w:color w:val="000000" w:themeColor="text1"/>
          <w:sz w:val="36"/>
          <w:szCs w:val="36"/>
          <w:highlight w:val="none"/>
          <w14:textFill>
            <w14:solidFill>
              <w14:schemeClr w14:val="tx1"/>
            </w14:solidFill>
          </w14:textFill>
        </w:rPr>
      </w:pPr>
    </w:p>
    <w:p>
      <w:pPr>
        <w:adjustRightInd w:val="0"/>
        <w:snapToGrid w:val="0"/>
        <w:spacing w:line="288" w:lineRule="auto"/>
        <w:jc w:val="center"/>
        <w:rPr>
          <w:rFonts w:ascii="Times New Roman" w:eastAsia="楷体_GB2312"/>
          <w:color w:val="000000" w:themeColor="text1"/>
          <w:sz w:val="36"/>
          <w:szCs w:val="36"/>
          <w:highlight w:val="none"/>
          <w14:textFill>
            <w14:solidFill>
              <w14:schemeClr w14:val="tx1"/>
            </w14:solidFill>
          </w14:textFill>
        </w:rPr>
      </w:pPr>
      <w:bookmarkStart w:id="1" w:name="_Hlk57884087"/>
    </w:p>
    <w:bookmarkEnd w:id="1"/>
    <w:p>
      <w:pPr>
        <w:spacing w:line="360" w:lineRule="auto"/>
        <w:rPr>
          <w:rFonts w:ascii="Times New Roman"/>
          <w:color w:val="000000" w:themeColor="text1"/>
          <w:highlight w:val="none"/>
          <w:lang w:val="zh-CN"/>
          <w14:textFill>
            <w14:solidFill>
              <w14:schemeClr w14:val="tx1"/>
            </w14:solidFill>
          </w14:textFill>
        </w:rPr>
        <w:sectPr>
          <w:headerReference r:id="rId3" w:type="default"/>
          <w:footerReference r:id="rId5" w:type="default"/>
          <w:headerReference r:id="rId4" w:type="even"/>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88"/>
        <w:spacing w:before="120" w:after="120" w:line="360" w:lineRule="auto"/>
        <w:jc w:val="center"/>
        <w:rPr>
          <w:rFonts w:ascii="Times New Roman" w:hAnsi="Times New Roman" w:eastAsia="宋体"/>
          <w:color w:val="000000" w:themeColor="text1"/>
          <w:sz w:val="48"/>
          <w:szCs w:val="48"/>
          <w:highlight w:val="none"/>
          <w14:textFill>
            <w14:solidFill>
              <w14:schemeClr w14:val="tx1"/>
            </w14:solidFill>
          </w14:textFill>
        </w:rPr>
      </w:pPr>
      <w:r>
        <w:rPr>
          <w:rFonts w:ascii="Times New Roman" w:hAnsi="Times New Roman" w:eastAsia="宋体"/>
          <w:color w:val="000000" w:themeColor="text1"/>
          <w:sz w:val="48"/>
          <w:szCs w:val="48"/>
          <w:highlight w:val="none"/>
          <w:lang w:val="zh-CN"/>
          <w14:textFill>
            <w14:solidFill>
              <w14:schemeClr w14:val="tx1"/>
            </w14:solidFill>
          </w14:textFill>
        </w:rPr>
        <w:t>目</w:t>
      </w:r>
      <w:bookmarkStart w:id="73" w:name="_GoBack"/>
      <w:bookmarkEnd w:id="73"/>
      <w:r>
        <w:rPr>
          <w:rFonts w:ascii="Times New Roman" w:hAnsi="Times New Roman" w:eastAsia="宋体"/>
          <w:color w:val="000000" w:themeColor="text1"/>
          <w:sz w:val="48"/>
          <w:szCs w:val="48"/>
          <w:highlight w:val="none"/>
          <w:lang w:val="zh-CN"/>
          <w14:textFill>
            <w14:solidFill>
              <w14:schemeClr w14:val="tx1"/>
            </w14:solidFill>
          </w14:textFill>
        </w:rPr>
        <w:t xml:space="preserve">  录</w:t>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TOC \o "1-3" \h \z \u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_Toc20015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一、建设项目基本情况</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_Toc20015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_Toc5871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二、建设项目工程分析</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_Toc5871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17</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_Toc31800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三、区域环境质量现状、环境保护目标及评价标准</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_Toc31800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29</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_Toc7730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四、主要环境影响和保护措施</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_Toc7730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37</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_Toc30968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五、环境保护措施监督检查清单</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_Toc30968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65</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instrText xml:space="preserve"> HYPERLINK \l _Toc29662 </w:instrTex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六、结论</w:t>
      </w:r>
      <w:r>
        <w:rPr>
          <w:rFonts w:hint="default" w:ascii="Times New Roman" w:hAnsi="Times New Roman" w:eastAsia="宋体" w:cs="Times New Roman"/>
          <w:color w:val="000000" w:themeColor="text1"/>
          <w:sz w:val="24"/>
          <w:szCs w:val="24"/>
          <w:highlight w:val="none"/>
          <w14:textFill>
            <w14:solidFill>
              <w14:schemeClr w14:val="tx1"/>
            </w14:solidFill>
          </w14:textFill>
        </w:rPr>
        <w:tab/>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PAGEREF _Toc29662 \h </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highlight w:val="none"/>
          <w14:textFill>
            <w14:solidFill>
              <w14:schemeClr w14:val="tx1"/>
            </w14:solidFill>
          </w14:textFill>
        </w:rPr>
        <w:t>68</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pStyle w:val="32"/>
        <w:keepNext w:val="0"/>
        <w:keepLines w:val="0"/>
        <w:pageBreakBefore w:val="0"/>
        <w:widowControl/>
        <w:tabs>
          <w:tab w:val="right" w:leader="dot" w:pos="8834"/>
        </w:tabs>
        <w:kinsoku/>
        <w:wordWrap/>
        <w:overflowPunct/>
        <w:topLinePunct w:val="0"/>
        <w:autoSpaceDE/>
        <w:autoSpaceDN/>
        <w:bidi w:val="0"/>
        <w:adjustRightInd/>
        <w:snapToGrid/>
        <w:spacing w:before="120" w:after="120" w:line="360" w:lineRule="auto"/>
        <w:textAlignment w:val="auto"/>
        <w:rPr>
          <w:rFonts w:ascii="Times New Roman" w:hAnsi="Times New Roman" w:eastAsia="宋体"/>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fldChar w:fldCharType="end"/>
      </w:r>
    </w:p>
    <w:p>
      <w:pPr>
        <w:rPr>
          <w:rFonts w:ascii="Times New Roman" w:hAnsi="Times New Roman" w:eastAsia="宋体"/>
          <w:color w:val="000000" w:themeColor="text1"/>
          <w:sz w:val="24"/>
          <w:szCs w:val="24"/>
          <w:highlight w:val="none"/>
          <w:lang w:val="zh-CN"/>
          <w14:textFill>
            <w14:solidFill>
              <w14:schemeClr w14:val="tx1"/>
            </w14:solidFill>
          </w14:textFill>
        </w:rPr>
      </w:pPr>
      <w:r>
        <w:rPr>
          <w:rFonts w:ascii="Times New Roman" w:hAnsi="Times New Roman" w:eastAsia="宋体"/>
          <w:color w:val="000000" w:themeColor="text1"/>
          <w:sz w:val="24"/>
          <w:szCs w:val="24"/>
          <w:highlight w:val="none"/>
          <w:lang w:val="zh-CN"/>
          <w14:textFill>
            <w14:solidFill>
              <w14:schemeClr w14:val="tx1"/>
            </w14:solidFill>
          </w14:textFill>
        </w:rPr>
        <w:br w:type="page"/>
      </w:r>
    </w:p>
    <w:p>
      <w:pPr>
        <w:pStyle w:val="19"/>
        <w:spacing w:before="0" w:after="0" w:line="360" w:lineRule="auto"/>
        <w:rPr>
          <w:b/>
          <w:color w:val="000000" w:themeColor="text1"/>
          <w:sz w:val="28"/>
          <w:szCs w:val="28"/>
          <w:highlight w:val="none"/>
          <w14:textFill>
            <w14:solidFill>
              <w14:schemeClr w14:val="tx1"/>
            </w14:solidFill>
          </w14:textFill>
        </w:rPr>
      </w:pPr>
      <w:r>
        <w:rPr>
          <w:b/>
          <w:color w:val="000000" w:themeColor="text1"/>
          <w:sz w:val="28"/>
          <w:szCs w:val="28"/>
          <w:highlight w:val="none"/>
          <w14:textFill>
            <w14:solidFill>
              <w14:schemeClr w14:val="tx1"/>
            </w14:solidFill>
          </w14:textFill>
        </w:rPr>
        <w:t>附图</w:t>
      </w:r>
    </w:p>
    <w:p>
      <w:pPr>
        <w:spacing w:line="288" w:lineRule="auto"/>
        <w:rPr>
          <w:rFonts w:ascii="Times New Roman"/>
          <w:color w:val="000000" w:themeColor="text1"/>
          <w:sz w:val="24"/>
          <w:highlight w:val="none"/>
          <w14:textFill>
            <w14:solidFill>
              <w14:schemeClr w14:val="tx1"/>
            </w14:solidFill>
          </w14:textFill>
        </w:rPr>
      </w:pPr>
      <w:bookmarkStart w:id="2" w:name="_Hlk82798062"/>
      <w:r>
        <w:rPr>
          <w:rFonts w:ascii="Times New Roman"/>
          <w:color w:val="000000" w:themeColor="text1"/>
          <w:sz w:val="24"/>
          <w:highlight w:val="none"/>
          <w14:textFill>
            <w14:solidFill>
              <w14:schemeClr w14:val="tx1"/>
            </w14:solidFill>
          </w14:textFill>
        </w:rPr>
        <w:t>附图1  项目地理位置图</w:t>
      </w:r>
    </w:p>
    <w:p>
      <w:pPr>
        <w:spacing w:line="288" w:lineRule="auto"/>
        <w:rPr>
          <w:rFonts w:ascii="Times New Roman"/>
          <w:color w:val="000000" w:themeColor="text1"/>
          <w:sz w:val="24"/>
          <w:highlight w:val="none"/>
          <w14:textFill>
            <w14:solidFill>
              <w14:schemeClr w14:val="tx1"/>
            </w14:solidFill>
          </w14:textFill>
        </w:rPr>
      </w:pPr>
      <w:bookmarkStart w:id="3" w:name="_Hlk82798211"/>
      <w:r>
        <w:rPr>
          <w:rFonts w:ascii="Times New Roman"/>
          <w:color w:val="000000" w:themeColor="text1"/>
          <w:sz w:val="24"/>
          <w:highlight w:val="none"/>
          <w14:textFill>
            <w14:solidFill>
              <w14:schemeClr w14:val="tx1"/>
            </w14:solidFill>
          </w14:textFill>
        </w:rPr>
        <w:t>附图2</w:t>
      </w:r>
      <w:bookmarkStart w:id="4" w:name="_Hlk82798756"/>
      <w:r>
        <w:rPr>
          <w:rFonts w:hint="eastAsia" w:ascii="Times New Roman"/>
          <w:color w:val="000000" w:themeColor="text1"/>
          <w:sz w:val="24"/>
          <w:highlight w:val="none"/>
          <w14:textFill>
            <w14:solidFill>
              <w14:schemeClr w14:val="tx1"/>
            </w14:solidFill>
          </w14:textFill>
        </w:rPr>
        <w:t xml:space="preserve">  项目</w:t>
      </w:r>
      <w:r>
        <w:rPr>
          <w:rFonts w:ascii="Times New Roman"/>
          <w:color w:val="000000" w:themeColor="text1"/>
          <w:sz w:val="24"/>
          <w:highlight w:val="none"/>
          <w14:textFill>
            <w14:solidFill>
              <w14:schemeClr w14:val="tx1"/>
            </w14:solidFill>
          </w14:textFill>
        </w:rPr>
        <w:t>周边</w:t>
      </w:r>
      <w:r>
        <w:rPr>
          <w:rFonts w:hint="eastAsia" w:ascii="Times New Roman"/>
          <w:color w:val="000000" w:themeColor="text1"/>
          <w:sz w:val="24"/>
          <w:highlight w:val="none"/>
          <w14:textFill>
            <w14:solidFill>
              <w14:schemeClr w14:val="tx1"/>
            </w14:solidFill>
          </w14:textFill>
        </w:rPr>
        <w:t>关系</w:t>
      </w:r>
      <w:r>
        <w:rPr>
          <w:rFonts w:ascii="Times New Roman"/>
          <w:color w:val="000000" w:themeColor="text1"/>
          <w:sz w:val="24"/>
          <w:highlight w:val="none"/>
          <w14:textFill>
            <w14:solidFill>
              <w14:schemeClr w14:val="tx1"/>
            </w14:solidFill>
          </w14:textFill>
        </w:rPr>
        <w:t>图</w:t>
      </w:r>
      <w:bookmarkEnd w:id="4"/>
    </w:p>
    <w:p>
      <w:pPr>
        <w:spacing w:line="288" w:lineRule="auto"/>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附图</w:t>
      </w:r>
      <w:r>
        <w:rPr>
          <w:rFonts w:hint="eastAsia" w:ascii="Times New Roman"/>
          <w:color w:val="000000" w:themeColor="text1"/>
          <w:sz w:val="24"/>
          <w:highlight w:val="none"/>
          <w14:textFill>
            <w14:solidFill>
              <w14:schemeClr w14:val="tx1"/>
            </w14:solidFill>
          </w14:textFill>
        </w:rPr>
        <w:t>3</w:t>
      </w:r>
      <w:r>
        <w:rPr>
          <w:rFonts w:hint="eastAsia" w:ascii="Times New Roman"/>
          <w:color w:val="000000" w:themeColor="text1"/>
          <w:sz w:val="24"/>
          <w:highlight w:val="none"/>
          <w:lang w:val="en-US" w:eastAsia="zh-CN"/>
          <w14:textFill>
            <w14:solidFill>
              <w14:schemeClr w14:val="tx1"/>
            </w14:solidFill>
          </w14:textFill>
        </w:rPr>
        <w:t xml:space="preserve">-1  </w:t>
      </w:r>
      <w:r>
        <w:rPr>
          <w:rFonts w:hint="eastAsia" w:ascii="Times New Roman"/>
          <w:color w:val="000000" w:themeColor="text1"/>
          <w:sz w:val="24"/>
          <w:highlight w:val="none"/>
          <w14:textFill>
            <w14:solidFill>
              <w14:schemeClr w14:val="tx1"/>
            </w14:solidFill>
          </w14:textFill>
        </w:rPr>
        <w:t>项目平面布置图</w:t>
      </w:r>
    </w:p>
    <w:bookmarkEnd w:id="3"/>
    <w:p>
      <w:pPr>
        <w:spacing w:line="288" w:lineRule="auto"/>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附图</w:t>
      </w:r>
      <w:r>
        <w:rPr>
          <w:rFonts w:hint="eastAsia" w:ascii="Times New Roman"/>
          <w:color w:val="000000" w:themeColor="text1"/>
          <w:sz w:val="24"/>
          <w:highlight w:val="none"/>
          <w14:textFill>
            <w14:solidFill>
              <w14:schemeClr w14:val="tx1"/>
            </w14:solidFill>
          </w14:textFill>
        </w:rPr>
        <w:t>3</w:t>
      </w:r>
      <w:r>
        <w:rPr>
          <w:rFonts w:hint="eastAsia" w:ascii="Times New Roman"/>
          <w:color w:val="000000" w:themeColor="text1"/>
          <w:sz w:val="24"/>
          <w:highlight w:val="none"/>
          <w:lang w:val="en-US" w:eastAsia="zh-CN"/>
          <w14:textFill>
            <w14:solidFill>
              <w14:schemeClr w14:val="tx1"/>
            </w14:solidFill>
          </w14:textFill>
        </w:rPr>
        <w:t xml:space="preserve">-2  </w:t>
      </w:r>
      <w:r>
        <w:rPr>
          <w:rFonts w:hint="eastAsia" w:ascii="Times New Roman"/>
          <w:color w:val="000000" w:themeColor="text1"/>
          <w:sz w:val="24"/>
          <w:highlight w:val="none"/>
          <w14:textFill>
            <w14:solidFill>
              <w14:schemeClr w14:val="tx1"/>
            </w14:solidFill>
          </w14:textFill>
        </w:rPr>
        <w:t>项目</w:t>
      </w:r>
      <w:r>
        <w:rPr>
          <w:rFonts w:hint="eastAsia" w:ascii="Times New Roman"/>
          <w:color w:val="000000" w:themeColor="text1"/>
          <w:sz w:val="24"/>
          <w:highlight w:val="none"/>
          <w:lang w:val="en-US" w:eastAsia="zh-CN"/>
          <w14:textFill>
            <w14:solidFill>
              <w14:schemeClr w14:val="tx1"/>
            </w14:solidFill>
          </w14:textFill>
        </w:rPr>
        <w:t>电气</w:t>
      </w:r>
      <w:r>
        <w:rPr>
          <w:rFonts w:hint="eastAsia" w:ascii="Times New Roman"/>
          <w:color w:val="000000" w:themeColor="text1"/>
          <w:sz w:val="24"/>
          <w:highlight w:val="none"/>
          <w14:textFill>
            <w14:solidFill>
              <w14:schemeClr w14:val="tx1"/>
            </w14:solidFill>
          </w14:textFill>
        </w:rPr>
        <w:t>平面布置图</w:t>
      </w:r>
    </w:p>
    <w:p>
      <w:pPr>
        <w:spacing w:line="276" w:lineRule="auto"/>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附图</w:t>
      </w:r>
      <w:r>
        <w:rPr>
          <w:rFonts w:hint="eastAsia" w:ascii="Times New Roman"/>
          <w:color w:val="000000" w:themeColor="text1"/>
          <w:sz w:val="24"/>
          <w:highlight w:val="none"/>
          <w14:textFill>
            <w14:solidFill>
              <w14:schemeClr w14:val="tx1"/>
            </w14:solidFill>
          </w14:textFill>
        </w:rPr>
        <w:t xml:space="preserve">4  </w:t>
      </w:r>
      <w:r>
        <w:rPr>
          <w:rFonts w:ascii="Times New Roman"/>
          <w:color w:val="000000" w:themeColor="text1"/>
          <w:sz w:val="24"/>
          <w:highlight w:val="none"/>
          <w14:textFill>
            <w14:solidFill>
              <w14:schemeClr w14:val="tx1"/>
            </w14:solidFill>
          </w14:textFill>
        </w:rPr>
        <w:t>监测布点示意图</w:t>
      </w:r>
    </w:p>
    <w:bookmarkEnd w:id="2"/>
    <w:p>
      <w:pPr>
        <w:spacing w:line="276" w:lineRule="auto"/>
        <w:rPr>
          <w:rFonts w:ascii="Times New Roman"/>
          <w:color w:val="000000" w:themeColor="text1"/>
          <w:sz w:val="24"/>
          <w:highlight w:val="none"/>
          <w14:textFill>
            <w14:solidFill>
              <w14:schemeClr w14:val="tx1"/>
            </w14:solidFill>
          </w14:textFill>
        </w:rPr>
      </w:pPr>
      <w:bookmarkStart w:id="5" w:name="_Hlk109991965"/>
      <w:r>
        <w:rPr>
          <w:rFonts w:ascii="Times New Roman"/>
          <w:color w:val="000000" w:themeColor="text1"/>
          <w:sz w:val="24"/>
          <w:highlight w:val="none"/>
          <w14:textFill>
            <w14:solidFill>
              <w14:schemeClr w14:val="tx1"/>
            </w14:solidFill>
          </w14:textFill>
        </w:rPr>
        <w:t>附图</w:t>
      </w:r>
      <w:r>
        <w:rPr>
          <w:rFonts w:hint="eastAsia" w:ascii="Times New Roman"/>
          <w:color w:val="000000" w:themeColor="text1"/>
          <w:sz w:val="24"/>
          <w:highlight w:val="none"/>
          <w14:textFill>
            <w14:solidFill>
              <w14:schemeClr w14:val="tx1"/>
            </w14:solidFill>
          </w14:textFill>
        </w:rPr>
        <w:t>5</w:t>
      </w:r>
      <w:r>
        <w:rPr>
          <w:rFonts w:ascii="Times New Roman"/>
          <w:color w:val="000000" w:themeColor="text1"/>
          <w:sz w:val="24"/>
          <w:highlight w:val="none"/>
          <w14:textFill>
            <w14:solidFill>
              <w14:schemeClr w14:val="tx1"/>
            </w14:solidFill>
          </w14:textFill>
        </w:rPr>
        <w:t xml:space="preserve">  </w:t>
      </w:r>
      <w:r>
        <w:rPr>
          <w:rFonts w:hint="eastAsia" w:ascii="Times New Roman"/>
          <w:color w:val="000000" w:themeColor="text1"/>
          <w:sz w:val="24"/>
          <w:highlight w:val="none"/>
          <w14:textFill>
            <w14:solidFill>
              <w14:schemeClr w14:val="tx1"/>
            </w14:solidFill>
          </w14:textFill>
        </w:rPr>
        <w:t>项目与生态红线、基本农田关系图</w:t>
      </w:r>
    </w:p>
    <w:bookmarkEnd w:id="5"/>
    <w:p>
      <w:pPr>
        <w:spacing w:line="276" w:lineRule="auto"/>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附图6  项目与河北省环境管控单元位置关系图</w:t>
      </w:r>
    </w:p>
    <w:p>
      <w:pPr>
        <w:spacing w:line="276" w:lineRule="auto"/>
        <w:rPr>
          <w:rFonts w:hint="default" w:ascii="Times New Roman"/>
          <w:color w:val="000000" w:themeColor="text1"/>
          <w:sz w:val="24"/>
          <w:highlight w:val="none"/>
          <w:lang w:val="en-US" w:eastAsia="zh-CN"/>
          <w14:textFill>
            <w14:solidFill>
              <w14:schemeClr w14:val="tx1"/>
            </w14:solidFill>
          </w14:textFill>
        </w:rPr>
      </w:pPr>
      <w:r>
        <w:rPr>
          <w:rFonts w:hint="default" w:ascii="Times New Roman"/>
          <w:color w:val="000000" w:themeColor="text1"/>
          <w:sz w:val="24"/>
          <w:highlight w:val="none"/>
          <w:lang w:val="en-US" w:eastAsia="zh-CN"/>
          <w14:textFill>
            <w14:solidFill>
              <w14:schemeClr w14:val="tx1"/>
            </w14:solidFill>
          </w14:textFill>
        </w:rPr>
        <w:t>附图</w:t>
      </w:r>
      <w:r>
        <w:rPr>
          <w:rFonts w:hint="eastAsia" w:ascii="Times New Roman"/>
          <w:color w:val="000000" w:themeColor="text1"/>
          <w:sz w:val="24"/>
          <w:highlight w:val="none"/>
          <w:lang w:val="en-US" w:eastAsia="zh-CN"/>
          <w14:textFill>
            <w14:solidFill>
              <w14:schemeClr w14:val="tx1"/>
            </w14:solidFill>
          </w14:textFill>
        </w:rPr>
        <w:t>7</w:t>
      </w:r>
      <w:r>
        <w:rPr>
          <w:rFonts w:hint="default" w:ascii="Times New Roman"/>
          <w:color w:val="000000" w:themeColor="text1"/>
          <w:sz w:val="24"/>
          <w:highlight w:val="none"/>
          <w:lang w:val="en-US" w:eastAsia="zh-CN"/>
          <w14:textFill>
            <w14:solidFill>
              <w14:schemeClr w14:val="tx1"/>
            </w14:solidFill>
          </w14:textFill>
        </w:rPr>
        <w:t xml:space="preserve">  项目与承德市环境管控单元位置关系图</w:t>
      </w:r>
    </w:p>
    <w:p>
      <w:pPr>
        <w:spacing w:line="276" w:lineRule="auto"/>
        <w:rPr>
          <w:rFonts w:hint="default" w:ascii="Times New Roman"/>
          <w:color w:val="000000" w:themeColor="text1"/>
          <w:sz w:val="24"/>
          <w:highlight w:val="none"/>
          <w:lang w:val="en-US" w:eastAsia="zh-CN"/>
          <w14:textFill>
            <w14:solidFill>
              <w14:schemeClr w14:val="tx1"/>
            </w14:solidFill>
          </w14:textFill>
        </w:rPr>
      </w:pPr>
      <w:r>
        <w:rPr>
          <w:rFonts w:hint="default" w:ascii="Times New Roman"/>
          <w:color w:val="000000" w:themeColor="text1"/>
          <w:sz w:val="24"/>
          <w:highlight w:val="none"/>
          <w:lang w:val="en-US" w:eastAsia="zh-CN"/>
          <w14:textFill>
            <w14:solidFill>
              <w14:schemeClr w14:val="tx1"/>
            </w14:solidFill>
          </w14:textFill>
        </w:rPr>
        <w:t>附图</w:t>
      </w:r>
      <w:r>
        <w:rPr>
          <w:rFonts w:hint="eastAsia" w:ascii="Times New Roman"/>
          <w:color w:val="000000" w:themeColor="text1"/>
          <w:sz w:val="24"/>
          <w:highlight w:val="none"/>
          <w:lang w:val="en-US" w:eastAsia="zh-CN"/>
          <w14:textFill>
            <w14:solidFill>
              <w14:schemeClr w14:val="tx1"/>
            </w14:solidFill>
          </w14:textFill>
        </w:rPr>
        <w:t>8</w:t>
      </w:r>
      <w:r>
        <w:rPr>
          <w:rFonts w:hint="default" w:ascii="Times New Roman"/>
          <w:color w:val="000000" w:themeColor="text1"/>
          <w:sz w:val="24"/>
          <w:highlight w:val="none"/>
          <w:lang w:val="en-US" w:eastAsia="zh-CN"/>
          <w14:textFill>
            <w14:solidFill>
              <w14:schemeClr w14:val="tx1"/>
            </w14:solidFill>
          </w14:textFill>
        </w:rPr>
        <w:t xml:space="preserve">  承德市重点水源涵养生态功能保护区分布图</w:t>
      </w:r>
    </w:p>
    <w:p>
      <w:pPr>
        <w:spacing w:line="276" w:lineRule="auto"/>
        <w:rPr>
          <w:rFonts w:hint="default" w:ascii="Times New Roman"/>
          <w:color w:val="000000" w:themeColor="text1"/>
          <w:sz w:val="24"/>
          <w:highlight w:val="none"/>
          <w:lang w:val="en-US" w:eastAsia="zh-CN"/>
          <w14:textFill>
            <w14:solidFill>
              <w14:schemeClr w14:val="tx1"/>
            </w14:solidFill>
          </w14:textFill>
        </w:rPr>
      </w:pPr>
      <w:r>
        <w:rPr>
          <w:rFonts w:hint="default" w:ascii="Times New Roman"/>
          <w:color w:val="000000" w:themeColor="text1"/>
          <w:sz w:val="24"/>
          <w:highlight w:val="none"/>
          <w:lang w:val="en-US" w:eastAsia="zh-CN"/>
          <w14:textFill>
            <w14:solidFill>
              <w14:schemeClr w14:val="tx1"/>
            </w14:solidFill>
          </w14:textFill>
        </w:rPr>
        <w:t>附图</w:t>
      </w:r>
      <w:r>
        <w:rPr>
          <w:rFonts w:hint="eastAsia" w:ascii="Times New Roman"/>
          <w:color w:val="000000" w:themeColor="text1"/>
          <w:sz w:val="24"/>
          <w:highlight w:val="none"/>
          <w:lang w:val="en-US" w:eastAsia="zh-CN"/>
          <w14:textFill>
            <w14:solidFill>
              <w14:schemeClr w14:val="tx1"/>
            </w14:solidFill>
          </w14:textFill>
        </w:rPr>
        <w:t>9</w:t>
      </w:r>
      <w:r>
        <w:rPr>
          <w:rFonts w:hint="default" w:ascii="Times New Roman"/>
          <w:color w:val="000000" w:themeColor="text1"/>
          <w:sz w:val="24"/>
          <w:highlight w:val="none"/>
          <w:lang w:val="en-US" w:eastAsia="zh-CN"/>
          <w14:textFill>
            <w14:solidFill>
              <w14:schemeClr w14:val="tx1"/>
            </w14:solidFill>
          </w14:textFill>
        </w:rPr>
        <w:t xml:space="preserve">  承德市生态功能区划分布图</w:t>
      </w:r>
    </w:p>
    <w:p>
      <w:pPr>
        <w:spacing w:line="276" w:lineRule="auto"/>
        <w:rPr>
          <w:rFonts w:hint="default" w:ascii="Times New Roman"/>
          <w:color w:val="000000" w:themeColor="text1"/>
          <w:sz w:val="24"/>
          <w:highlight w:val="none"/>
          <w:lang w:val="en-US" w:eastAsia="zh-CN"/>
          <w14:textFill>
            <w14:solidFill>
              <w14:schemeClr w14:val="tx1"/>
            </w14:solidFill>
          </w14:textFill>
        </w:rPr>
      </w:pPr>
      <w:r>
        <w:rPr>
          <w:rFonts w:hint="default" w:ascii="Times New Roman"/>
          <w:color w:val="000000" w:themeColor="text1"/>
          <w:sz w:val="24"/>
          <w:highlight w:val="none"/>
          <w:lang w:val="en-US" w:eastAsia="zh-CN"/>
          <w14:textFill>
            <w14:solidFill>
              <w14:schemeClr w14:val="tx1"/>
            </w14:solidFill>
          </w14:textFill>
        </w:rPr>
        <w:t>附图1</w:t>
      </w:r>
      <w:r>
        <w:rPr>
          <w:rFonts w:hint="eastAsia" w:ascii="Times New Roman"/>
          <w:color w:val="000000" w:themeColor="text1"/>
          <w:sz w:val="24"/>
          <w:highlight w:val="none"/>
          <w:lang w:val="en-US" w:eastAsia="zh-CN"/>
          <w14:textFill>
            <w14:solidFill>
              <w14:schemeClr w14:val="tx1"/>
            </w14:solidFill>
          </w14:textFill>
        </w:rPr>
        <w:t>0</w:t>
      </w:r>
      <w:r>
        <w:rPr>
          <w:rFonts w:hint="default" w:ascii="Times New Roman"/>
          <w:color w:val="000000" w:themeColor="text1"/>
          <w:sz w:val="24"/>
          <w:highlight w:val="none"/>
          <w:lang w:val="en-US" w:eastAsia="zh-CN"/>
          <w14:textFill>
            <w14:solidFill>
              <w14:schemeClr w14:val="tx1"/>
            </w14:solidFill>
          </w14:textFill>
        </w:rPr>
        <w:t xml:space="preserve">  项目与沙区位置关系图</w:t>
      </w:r>
    </w:p>
    <w:p>
      <w:pPr>
        <w:spacing w:line="276" w:lineRule="auto"/>
        <w:rPr>
          <w:rFonts w:hint="default"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附图11  地表水系分布图</w:t>
      </w:r>
    </w:p>
    <w:p>
      <w:pPr>
        <w:pStyle w:val="19"/>
        <w:spacing w:before="0" w:after="0" w:line="360" w:lineRule="auto"/>
        <w:rPr>
          <w:b/>
          <w:color w:val="000000" w:themeColor="text1"/>
          <w:sz w:val="28"/>
          <w:szCs w:val="28"/>
          <w:highlight w:val="none"/>
          <w14:textFill>
            <w14:solidFill>
              <w14:schemeClr w14:val="tx1"/>
            </w14:solidFill>
          </w14:textFill>
        </w:rPr>
      </w:pPr>
    </w:p>
    <w:p>
      <w:pPr>
        <w:pStyle w:val="19"/>
        <w:spacing w:before="0" w:after="0" w:line="360" w:lineRule="auto"/>
        <w:rPr>
          <w:b/>
          <w:color w:val="000000" w:themeColor="text1"/>
          <w:sz w:val="28"/>
          <w:szCs w:val="28"/>
          <w:highlight w:val="none"/>
          <w14:textFill>
            <w14:solidFill>
              <w14:schemeClr w14:val="tx1"/>
            </w14:solidFill>
          </w14:textFill>
        </w:rPr>
      </w:pPr>
      <w:r>
        <w:rPr>
          <w:b/>
          <w:color w:val="000000" w:themeColor="text1"/>
          <w:sz w:val="28"/>
          <w:szCs w:val="28"/>
          <w:highlight w:val="none"/>
          <w14:textFill>
            <w14:solidFill>
              <w14:schemeClr w14:val="tx1"/>
            </w14:solidFill>
          </w14:textFill>
        </w:rPr>
        <w:t>附件</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附件1-1  核准变更批复</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附件1-2  原核准批复</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附件2  营业执照</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附件3  用地预审与选址意见书</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附件4  围场满族蒙古族自治县自然资源和规划局关于承德燕能宝石山风电场项目用地是否涉及生态保护红线的情况说明</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附件5  围场满族蒙古族自治县林业和草原局关于承德燕能新能源科技有限公司承德燕能宝石山发电场项目用地是否占用各级自然保护区、风景名胜区的说明</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附件6  河北省围场满族蒙古族自治县人民武装部关于承德燕能宝石山风电场项目选址意见的回函</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附件7  国网冀北电力有限公司关于印发承德燕能宝石山风电场接入系统设计方案的通知（冀北电发展[2023]613号）</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附件8  现状监测报告</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附件9  类比监测报告</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附件10  承德燕能宝石山风电场项目环评批复</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附件11  执行标准函</w:t>
      </w:r>
    </w:p>
    <w:p>
      <w:pPr>
        <w:pStyle w:val="17"/>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附件12  专家评审意见</w:t>
      </w:r>
    </w:p>
    <w:p>
      <w:pPr>
        <w:pStyle w:val="17"/>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附件13  委托书</w:t>
      </w:r>
    </w:p>
    <w:p>
      <w:pPr>
        <w:pStyle w:val="17"/>
        <w:rPr>
          <w:color w:val="000000" w:themeColor="text1"/>
          <w:highlight w:val="none"/>
          <w14:textFill>
            <w14:solidFill>
              <w14:schemeClr w14:val="tx1"/>
            </w14:solidFill>
          </w14:textFill>
        </w:rPr>
      </w:pPr>
    </w:p>
    <w:p>
      <w:pPr>
        <w:rPr>
          <w:color w:val="000000" w:themeColor="text1"/>
          <w:szCs w:val="28"/>
          <w:highlight w:val="none"/>
          <w14:textFill>
            <w14:solidFill>
              <w14:schemeClr w14:val="tx1"/>
            </w14:solidFill>
          </w14:textFill>
        </w:rPr>
      </w:pPr>
    </w:p>
    <w:p>
      <w:pPr>
        <w:pStyle w:val="17"/>
        <w:rPr>
          <w:color w:val="000000" w:themeColor="text1"/>
          <w:highlight w:val="none"/>
          <w14:textFill>
            <w14:solidFill>
              <w14:schemeClr w14:val="tx1"/>
            </w14:solidFill>
          </w14:textFill>
        </w:rPr>
      </w:pPr>
    </w:p>
    <w:p>
      <w:pPr>
        <w:tabs>
          <w:tab w:val="left" w:pos="5507"/>
        </w:tabs>
        <w:spacing w:line="360" w:lineRule="auto"/>
        <w:rPr>
          <w:rFonts w:ascii="Times New Roman"/>
          <w:color w:val="000000" w:themeColor="text1"/>
          <w:highlight w:val="none"/>
          <w:lang w:val="zh-CN"/>
          <w14:textFill>
            <w14:solidFill>
              <w14:schemeClr w14:val="tx1"/>
            </w14:solidFill>
          </w14:textFill>
        </w:rPr>
        <w:sectPr>
          <w:footerReference r:id="rId7" w:type="default"/>
          <w:footerReference r:id="rId8"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6" w:name="_Toc20015"/>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bookmarkEnd w:id="6"/>
    </w:p>
    <w:tbl>
      <w:tblPr>
        <w:tblStyle w:val="53"/>
        <w:tblW w:w="87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17"/>
        <w:gridCol w:w="1674"/>
        <w:gridCol w:w="2262"/>
        <w:gridCol w:w="31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建设项目名称</w:t>
            </w:r>
          </w:p>
        </w:tc>
        <w:tc>
          <w:tcPr>
            <w:tcW w:w="7053" w:type="dxa"/>
            <w:gridSpan w:val="3"/>
            <w:vAlign w:val="center"/>
          </w:tcPr>
          <w:p>
            <w:pPr>
              <w:adjustRightInd w:val="0"/>
              <w:snapToGrid w:val="0"/>
              <w:jc w:val="center"/>
              <w:rPr>
                <w:rFonts w:hint="eastAsia" w:ascii="Times New Roman" w:eastAsia="宋体"/>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承德燕能宝石山风电场项目220kV升压站工程（变更）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项目代码</w:t>
            </w:r>
          </w:p>
        </w:tc>
        <w:tc>
          <w:tcPr>
            <w:tcW w:w="7053" w:type="dxa"/>
            <w:gridSpan w:val="3"/>
            <w:vAlign w:val="center"/>
          </w:tcPr>
          <w:p>
            <w:pPr>
              <w:adjustRightInd w:val="0"/>
              <w:snapToGrid w:val="0"/>
              <w:jc w:val="center"/>
              <w:rPr>
                <w:rFonts w:hint="eastAsia" w:ascii="Times New Roman" w:eastAsia="宋体"/>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2207-130800-89-01-166336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建设单位联系人</w:t>
            </w:r>
          </w:p>
        </w:tc>
        <w:tc>
          <w:tcPr>
            <w:tcW w:w="1674"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管亚东</w:t>
            </w:r>
          </w:p>
        </w:tc>
        <w:tc>
          <w:tcPr>
            <w:tcW w:w="2262"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联系方式</w:t>
            </w:r>
          </w:p>
        </w:tc>
        <w:tc>
          <w:tcPr>
            <w:tcW w:w="3117"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18954559729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建设地点</w:t>
            </w:r>
          </w:p>
        </w:tc>
        <w:tc>
          <w:tcPr>
            <w:tcW w:w="7053" w:type="dxa"/>
            <w:gridSpan w:val="3"/>
            <w:vAlign w:val="center"/>
          </w:tcPr>
          <w:p>
            <w:pPr>
              <w:adjustRightInd w:val="0"/>
              <w:snapToGrid w:val="0"/>
              <w:jc w:val="center"/>
              <w:rPr>
                <w:rFonts w:hint="eastAsia" w:ascii="Times New Roman" w:eastAsia="宋体"/>
                <w:color w:val="000000" w:themeColor="text1"/>
                <w:sz w:val="24"/>
                <w:szCs w:val="24"/>
                <w:highlight w:val="none"/>
                <w:lang w:val="en-US" w:eastAsia="zh-CN"/>
                <w14:textFill>
                  <w14:solidFill>
                    <w14:schemeClr w14:val="tx1"/>
                  </w14:solidFill>
                </w14:textFill>
              </w:rPr>
            </w:pPr>
            <w:r>
              <w:rPr>
                <w:rFonts w:ascii="Times New Roman"/>
                <w:color w:val="000000" w:themeColor="text1"/>
                <w:sz w:val="24"/>
                <w:highlight w:val="none"/>
                <w:u w:val="single"/>
                <w14:textFill>
                  <w14:solidFill>
                    <w14:schemeClr w14:val="tx1"/>
                  </w14:solidFill>
                </w14:textFill>
              </w:rPr>
              <w:t>河北</w:t>
            </w:r>
            <w:r>
              <w:rPr>
                <w:rFonts w:ascii="Times New Roman"/>
                <w:color w:val="000000" w:themeColor="text1"/>
                <w:sz w:val="24"/>
                <w:highlight w:val="none"/>
                <w14:textFill>
                  <w14:solidFill>
                    <w14:schemeClr w14:val="tx1"/>
                  </w14:solidFill>
                </w14:textFill>
              </w:rPr>
              <w:t>省</w:t>
            </w:r>
            <w:r>
              <w:rPr>
                <w:rFonts w:hint="eastAsia" w:ascii="Times New Roman"/>
                <w:color w:val="000000" w:themeColor="text1"/>
                <w:sz w:val="24"/>
                <w:highlight w:val="none"/>
                <w:u w:val="single"/>
                <w14:textFill>
                  <w14:solidFill>
                    <w14:schemeClr w14:val="tx1"/>
                  </w14:solidFill>
                </w14:textFill>
              </w:rPr>
              <w:t>承德</w:t>
            </w:r>
            <w:r>
              <w:rPr>
                <w:rFonts w:ascii="Times New Roman"/>
                <w:color w:val="000000" w:themeColor="text1"/>
                <w:sz w:val="24"/>
                <w:highlight w:val="none"/>
                <w14:textFill>
                  <w14:solidFill>
                    <w14:schemeClr w14:val="tx1"/>
                  </w14:solidFill>
                </w14:textFill>
              </w:rPr>
              <w:t>市</w:t>
            </w:r>
            <w:r>
              <w:rPr>
                <w:rFonts w:hint="eastAsia" w:ascii="Times New Roman"/>
                <w:color w:val="000000" w:themeColor="text1"/>
                <w:sz w:val="24"/>
                <w:highlight w:val="none"/>
                <w:u w:val="single"/>
                <w14:textFill>
                  <w14:solidFill>
                    <w14:schemeClr w14:val="tx1"/>
                  </w14:solidFill>
                </w14:textFill>
              </w:rPr>
              <w:t>围场满族蒙古族自治</w:t>
            </w:r>
            <w:r>
              <w:rPr>
                <w:rFonts w:ascii="Times New Roman"/>
                <w:color w:val="000000" w:themeColor="text1"/>
                <w:sz w:val="24"/>
                <w:highlight w:val="none"/>
                <w14:textFill>
                  <w14:solidFill>
                    <w14:schemeClr w14:val="tx1"/>
                  </w14:solidFill>
                </w14:textFill>
              </w:rPr>
              <w:t>县</w:t>
            </w:r>
            <w:r>
              <w:rPr>
                <w:rFonts w:hint="eastAsia" w:ascii="Times New Roman"/>
                <w:color w:val="000000" w:themeColor="text1"/>
                <w:sz w:val="24"/>
                <w:highlight w:val="none"/>
                <w:u w:val="single"/>
                <w14:textFill>
                  <w14:solidFill>
                    <w14:schemeClr w14:val="tx1"/>
                  </w14:solidFill>
                </w14:textFill>
              </w:rPr>
              <w:t>围场</w:t>
            </w:r>
            <w:r>
              <w:rPr>
                <w:rFonts w:hint="eastAsia" w:ascii="Times New Roman"/>
                <w:color w:val="000000" w:themeColor="text1"/>
                <w:sz w:val="24"/>
                <w:highlight w:val="none"/>
                <w:u w:val="single"/>
                <w:lang w:val="en-US" w:eastAsia="zh-CN"/>
                <w14:textFill>
                  <w14:solidFill>
                    <w14:schemeClr w14:val="tx1"/>
                  </w14:solidFill>
                </w14:textFill>
              </w:rPr>
              <w:t>镇</w:t>
            </w:r>
            <w:r>
              <w:rPr>
                <w:rFonts w:hint="eastAsia" w:ascii="Times New Roman" w:cs="Times New Roman"/>
                <w:color w:val="000000" w:themeColor="text1"/>
                <w:sz w:val="24"/>
                <w:szCs w:val="24"/>
                <w:highlight w:val="none"/>
                <w:lang w:val="en-US" w:eastAsia="zh-CN"/>
                <w14:textFill>
                  <w14:solidFill>
                    <w14:schemeClr w14:val="tx1"/>
                  </w14:solidFill>
                </w14:textFill>
              </w:rPr>
              <w:t>坡字村坡来南沟东北约1.97km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地理坐标</w:t>
            </w:r>
          </w:p>
        </w:tc>
        <w:tc>
          <w:tcPr>
            <w:tcW w:w="7053" w:type="dxa"/>
            <w:gridSpan w:val="3"/>
            <w:vAlign w:val="center"/>
          </w:tcPr>
          <w:p>
            <w:pPr>
              <w:jc w:val="center"/>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z w:val="24"/>
                <w:highlight w:val="none"/>
                <w:lang w:bidi="ar"/>
                <w14:textFill>
                  <w14:solidFill>
                    <w14:schemeClr w14:val="tx1"/>
                  </w14:solidFill>
                </w14:textFill>
              </w:rPr>
              <w:t>站址中心位置坐标：</w:t>
            </w:r>
            <w:r>
              <w:rPr>
                <w:rFonts w:hint="default" w:ascii="Times New Roman" w:hAnsi="Times New Roman" w:cs="Times New Roman"/>
                <w:color w:val="000000" w:themeColor="text1"/>
                <w:sz w:val="24"/>
                <w:highlight w:val="none"/>
                <w:lang w:bidi="ar"/>
                <w14:textFill>
                  <w14:solidFill>
                    <w14:schemeClr w14:val="tx1"/>
                  </w14:solidFill>
                </w14:textFill>
              </w:rPr>
              <w:t>东经117°49′37.70</w:t>
            </w:r>
            <w:r>
              <w:rPr>
                <w:rFonts w:hint="default" w:ascii="Times New Roman" w:hAnsi="Times New Roman" w:cs="Times New Roman"/>
                <w:color w:val="000000" w:themeColor="text1"/>
                <w:sz w:val="24"/>
                <w:highlight w:val="none"/>
                <w:lang w:val="en-US" w:eastAsia="zh-CN" w:bidi="ar"/>
                <w14:textFill>
                  <w14:solidFill>
                    <w14:schemeClr w14:val="tx1"/>
                  </w14:solidFill>
                </w14:textFill>
              </w:rPr>
              <w:t>2</w:t>
            </w:r>
            <w:r>
              <w:rPr>
                <w:rFonts w:hint="default" w:ascii="Times New Roman" w:hAnsi="Times New Roman" w:cs="Times New Roman"/>
                <w:color w:val="000000" w:themeColor="text1"/>
                <w:sz w:val="24"/>
                <w:highlight w:val="none"/>
                <w:lang w:bidi="ar"/>
                <w14:textFill>
                  <w14:solidFill>
                    <w14:schemeClr w14:val="tx1"/>
                  </w14:solidFill>
                </w14:textFill>
              </w:rPr>
              <w:t>″，北纬41°55′24.398″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国民经济</w:t>
            </w:r>
          </w:p>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行业类别</w:t>
            </w:r>
          </w:p>
        </w:tc>
        <w:tc>
          <w:tcPr>
            <w:tcW w:w="1674"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D4420电力供应</w:t>
            </w:r>
          </w:p>
        </w:tc>
        <w:tc>
          <w:tcPr>
            <w:tcW w:w="2262"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bookmarkStart w:id="7" w:name="_Hlk49843745"/>
            <w:r>
              <w:rPr>
                <w:rFonts w:ascii="Times New Roman"/>
                <w:color w:val="000000" w:themeColor="text1"/>
                <w:sz w:val="24"/>
                <w:szCs w:val="24"/>
                <w:highlight w:val="none"/>
                <w14:textFill>
                  <w14:solidFill>
                    <w14:schemeClr w14:val="tx1"/>
                  </w14:solidFill>
                </w14:textFill>
              </w:rPr>
              <w:t>建设项目</w:t>
            </w:r>
          </w:p>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行业类别</w:t>
            </w:r>
            <w:bookmarkEnd w:id="7"/>
          </w:p>
        </w:tc>
        <w:tc>
          <w:tcPr>
            <w:tcW w:w="3117" w:type="dxa"/>
            <w:vAlign w:val="center"/>
          </w:tcPr>
          <w:p>
            <w:pPr>
              <w:adjustRightInd w:val="0"/>
              <w:snapToGrid w:val="0"/>
              <w:jc w:val="center"/>
              <w:rPr>
                <w:rFonts w:hint="eastAsia" w:ascii="Times New Roman" w:eastAsia="宋体"/>
                <w:color w:val="000000" w:themeColor="text1"/>
                <w:sz w:val="24"/>
                <w:szCs w:val="24"/>
                <w:highlight w:val="none"/>
                <w:lang w:val="en-US"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五十五 核与辐射161输变电工程</w:t>
            </w:r>
            <w:r>
              <w:rPr>
                <w:rFonts w:hint="eastAsia" w:ascii="Times New Roman"/>
                <w:color w:val="000000" w:themeColor="text1"/>
                <w:sz w:val="24"/>
                <w:szCs w:val="24"/>
                <w:highlight w:val="none"/>
                <w:lang w:val="en-US" w:eastAsia="zh-CN"/>
                <w14:textFill>
                  <w14:solidFill>
                    <w14:schemeClr w14:val="tx1"/>
                  </w14:solidFill>
                </w14:textFill>
              </w:rPr>
              <w:t xml:space="preserve"> 其他(100千伏以下除外)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建设性质</w:t>
            </w:r>
          </w:p>
        </w:tc>
        <w:tc>
          <w:tcPr>
            <w:tcW w:w="1674" w:type="dxa"/>
            <w:vAlign w:val="center"/>
          </w:tcPr>
          <w:p>
            <w:pPr>
              <w:rPr>
                <w:rFonts w:ascii="Times New Roman"/>
                <w:color w:val="000000" w:themeColor="text1"/>
                <w:sz w:val="24"/>
                <w:szCs w:val="24"/>
                <w:highlight w:val="none"/>
                <w14:textFill>
                  <w14:solidFill>
                    <w14:schemeClr w14:val="tx1"/>
                  </w14:solidFill>
                </w14:textFill>
              </w:rPr>
            </w:pPr>
            <w:r>
              <w:rPr>
                <w:rFonts w:ascii="Apple Color Emoji" w:hAnsi="Apple Color Emoji" w:cs="Apple Color Emoji"/>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新建(迁建)</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改建</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扩建</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技术改造</w:t>
            </w:r>
          </w:p>
        </w:tc>
        <w:tc>
          <w:tcPr>
            <w:tcW w:w="2262"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建设项目</w:t>
            </w:r>
          </w:p>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申报情形</w:t>
            </w:r>
          </w:p>
        </w:tc>
        <w:tc>
          <w:tcPr>
            <w:tcW w:w="3117" w:type="dxa"/>
            <w:vAlign w:val="center"/>
          </w:tcPr>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首次申报项目</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不予批准后再次申报项目</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超五年重新审核项目</w:t>
            </w:r>
          </w:p>
          <w:p>
            <w:pP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52"/>
            </w:r>
            <w:r>
              <w:rPr>
                <w:rFonts w:ascii="Times New Roman"/>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项目审批(核准/备案)部门(选填)</w:t>
            </w:r>
          </w:p>
        </w:tc>
        <w:tc>
          <w:tcPr>
            <w:tcW w:w="1674"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承德市行政审批局</w:t>
            </w:r>
          </w:p>
        </w:tc>
        <w:tc>
          <w:tcPr>
            <w:tcW w:w="2262"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项目审批(核准/</w:t>
            </w:r>
          </w:p>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备案)文号(选填)</w:t>
            </w:r>
          </w:p>
        </w:tc>
        <w:tc>
          <w:tcPr>
            <w:tcW w:w="3117"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承审批核字</w:t>
            </w:r>
            <w:r>
              <w:rPr>
                <w:rFonts w:hint="eastAsia" w:ascii="Times New Roman"/>
                <w:color w:val="000000" w:themeColor="text1"/>
                <w:sz w:val="24"/>
                <w:szCs w:val="24"/>
                <w:highlight w:val="none"/>
                <w:lang w:eastAsia="zh-CN"/>
                <w14:textFill>
                  <w14:solidFill>
                    <w14:schemeClr w14:val="tx1"/>
                  </w14:solidFill>
                </w14:textFill>
              </w:rPr>
              <w:t>[2023]</w:t>
            </w:r>
            <w:r>
              <w:rPr>
                <w:rFonts w:hint="eastAsia" w:ascii="Times New Roman"/>
                <w:color w:val="000000" w:themeColor="text1"/>
                <w:sz w:val="24"/>
                <w:szCs w:val="24"/>
                <w:highlight w:val="none"/>
                <w:lang w:val="en-US" w:eastAsia="zh-CN"/>
                <w14:textFill>
                  <w14:solidFill>
                    <w14:schemeClr w14:val="tx1"/>
                  </w14:solidFill>
                </w14:textFill>
              </w:rPr>
              <w:t>29</w:t>
            </w:r>
            <w:r>
              <w:rPr>
                <w:rFonts w:hint="eastAsia" w:ascii="Times New Roman"/>
                <w:color w:val="000000" w:themeColor="text1"/>
                <w:sz w:val="24"/>
                <w:szCs w:val="24"/>
                <w:highlight w:val="none"/>
                <w:lang w:eastAsia="zh-CN"/>
                <w14:textFill>
                  <w14:solidFill>
                    <w14:schemeClr w14:val="tx1"/>
                  </w14:solidFill>
                </w14:textFill>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bookmarkStart w:id="8" w:name="_Hlk69988877"/>
            <w:r>
              <w:rPr>
                <w:rFonts w:ascii="Times New Roman"/>
                <w:color w:val="000000" w:themeColor="text1"/>
                <w:sz w:val="24"/>
                <w:szCs w:val="24"/>
                <w:highlight w:val="none"/>
                <w14:textFill>
                  <w14:solidFill>
                    <w14:schemeClr w14:val="tx1"/>
                  </w14:solidFill>
                </w14:textFill>
              </w:rPr>
              <w:t>总投资(万元)</w:t>
            </w:r>
          </w:p>
        </w:tc>
        <w:tc>
          <w:tcPr>
            <w:tcW w:w="1674" w:type="dxa"/>
            <w:vAlign w:val="center"/>
          </w:tcPr>
          <w:p>
            <w:pPr>
              <w:adjustRightInd w:val="0"/>
              <w:snapToGrid w:val="0"/>
              <w:jc w:val="center"/>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7700</w:t>
            </w:r>
          </w:p>
        </w:tc>
        <w:tc>
          <w:tcPr>
            <w:tcW w:w="2262"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环保投资(万元)</w:t>
            </w:r>
          </w:p>
        </w:tc>
        <w:tc>
          <w:tcPr>
            <w:tcW w:w="3117" w:type="dxa"/>
            <w:vAlign w:val="center"/>
          </w:tcPr>
          <w:p>
            <w:pPr>
              <w:adjustRightInd w:val="0"/>
              <w:snapToGrid w:val="0"/>
              <w:jc w:val="center"/>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环保投资占比(%)</w:t>
            </w:r>
          </w:p>
        </w:tc>
        <w:tc>
          <w:tcPr>
            <w:tcW w:w="1674" w:type="dxa"/>
            <w:vAlign w:val="center"/>
          </w:tcPr>
          <w:p>
            <w:pPr>
              <w:adjustRightInd w:val="0"/>
              <w:snapToGrid w:val="0"/>
              <w:jc w:val="center"/>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0.91</w:t>
            </w:r>
          </w:p>
        </w:tc>
        <w:tc>
          <w:tcPr>
            <w:tcW w:w="2262"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施工工期</w:t>
            </w:r>
          </w:p>
        </w:tc>
        <w:tc>
          <w:tcPr>
            <w:tcW w:w="3117" w:type="dxa"/>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10</w:t>
            </w:r>
            <w:r>
              <w:rPr>
                <w:rFonts w:hint="eastAsia" w:ascii="Times New Roman"/>
                <w:color w:val="000000" w:themeColor="text1"/>
                <w:sz w:val="24"/>
                <w:szCs w:val="24"/>
                <w:highlight w:val="none"/>
                <w14:textFill>
                  <w14:solidFill>
                    <w14:schemeClr w14:val="tx1"/>
                  </w14:solidFill>
                </w14:textFill>
              </w:rPr>
              <w:t>个月</w:t>
            </w:r>
          </w:p>
        </w:tc>
      </w:tr>
      <w:bookmarkEnd w:id="8"/>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1717" w:type="dxa"/>
            <w:tcMar>
              <w:top w:w="16" w:type="dxa"/>
              <w:left w:w="16" w:type="dxa"/>
              <w:right w:w="16" w:type="dxa"/>
            </w:tcMar>
            <w:vAlign w:val="center"/>
          </w:tcPr>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是否开工建设</w:t>
            </w:r>
          </w:p>
        </w:tc>
        <w:tc>
          <w:tcPr>
            <w:tcW w:w="1674" w:type="dxa"/>
            <w:vAlign w:val="center"/>
          </w:tcPr>
          <w:p>
            <w:pPr>
              <w:adjustRightInd w:val="0"/>
              <w:snapToGrid w:val="0"/>
              <w:rPr>
                <w:rFonts w:ascii="Times New Roman"/>
                <w:color w:val="000000" w:themeColor="text1"/>
                <w:sz w:val="24"/>
                <w:szCs w:val="24"/>
                <w:highlight w:val="none"/>
                <w14:textFill>
                  <w14:solidFill>
                    <w14:schemeClr w14:val="tx1"/>
                  </w14:solidFill>
                </w14:textFill>
              </w:rPr>
            </w:pPr>
            <w:r>
              <w:rPr>
                <w:rFonts w:ascii="Apple Color Emoji" w:hAnsi="Apple Color Emoji" w:cs="Apple Color Emoji"/>
                <w:color w:val="000000" w:themeColor="text1"/>
                <w:sz w:val="24"/>
                <w:szCs w:val="24"/>
                <w:highlight w:val="none"/>
                <w14:textFill>
                  <w14:solidFill>
                    <w14:schemeClr w14:val="tx1"/>
                  </w14:solidFill>
                </w14:textFill>
              </w:rPr>
              <w:t>☑</w:t>
            </w:r>
            <w:r>
              <w:rPr>
                <w:rFonts w:hint="eastAsia" w:ascii="Apple Color Emoji" w:hAnsi="Apple Color Emoji" w:cs="Apple Color Emoji"/>
                <w:color w:val="000000" w:themeColor="text1"/>
                <w:sz w:val="24"/>
                <w:szCs w:val="24"/>
                <w:highlight w:val="none"/>
                <w14:textFill>
                  <w14:solidFill>
                    <w14:schemeClr w14:val="tx1"/>
                  </w14:solidFill>
                </w14:textFill>
              </w:rPr>
              <w:t xml:space="preserve"> </w:t>
            </w:r>
            <w:r>
              <w:rPr>
                <w:rFonts w:ascii="Times New Roman"/>
                <w:color w:val="000000" w:themeColor="text1"/>
                <w:sz w:val="24"/>
                <w:szCs w:val="24"/>
                <w:highlight w:val="none"/>
                <w14:textFill>
                  <w14:solidFill>
                    <w14:schemeClr w14:val="tx1"/>
                  </w14:solidFill>
                </w14:textFill>
              </w:rPr>
              <w:t>否</w:t>
            </w:r>
          </w:p>
          <w:p>
            <w:pPr>
              <w:adjustRightInd w:val="0"/>
              <w:snapToGrid w:val="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sym w:font="Wingdings 2" w:char="00A3"/>
            </w:r>
            <w:r>
              <w:rPr>
                <w:rFonts w:ascii="Times New Roman"/>
                <w:color w:val="000000" w:themeColor="text1"/>
                <w:sz w:val="24"/>
                <w:szCs w:val="24"/>
                <w:highlight w:val="none"/>
                <w14:textFill>
                  <w14:solidFill>
                    <w14:schemeClr w14:val="tx1"/>
                  </w14:solidFill>
                </w14:textFill>
              </w:rPr>
              <w:t>是</w:t>
            </w:r>
          </w:p>
        </w:tc>
        <w:tc>
          <w:tcPr>
            <w:tcW w:w="2262" w:type="dxa"/>
            <w:tcMar>
              <w:top w:w="16" w:type="dxa"/>
              <w:left w:w="16" w:type="dxa"/>
              <w:right w:w="16" w:type="dxa"/>
            </w:tcMar>
            <w:vAlign w:val="center"/>
          </w:tcPr>
          <w:p>
            <w:pPr>
              <w:adjustRightInd w:val="0"/>
              <w:snapToGrid w:val="0"/>
              <w:jc w:val="center"/>
              <w:rPr>
                <w:rFonts w:ascii="Times New Roman"/>
                <w:color w:val="000000" w:themeColor="text1"/>
                <w:spacing w:val="-6"/>
                <w:sz w:val="24"/>
                <w:szCs w:val="24"/>
                <w:highlight w:val="none"/>
                <w14:textFill>
                  <w14:solidFill>
                    <w14:schemeClr w14:val="tx1"/>
                  </w14:solidFill>
                </w14:textFill>
              </w:rPr>
            </w:pPr>
            <w:r>
              <w:rPr>
                <w:rFonts w:ascii="Times New Roman"/>
                <w:color w:val="000000" w:themeColor="text1"/>
                <w:spacing w:val="-6"/>
                <w:sz w:val="24"/>
                <w:szCs w:val="24"/>
                <w:highlight w:val="none"/>
                <w14:textFill>
                  <w14:solidFill>
                    <w14:schemeClr w14:val="tx1"/>
                  </w14:solidFill>
                </w14:textFill>
              </w:rPr>
              <w:t>用地(用海)</w:t>
            </w:r>
          </w:p>
          <w:p>
            <w:pPr>
              <w:adjustRightInd w:val="0"/>
              <w:snapToGrid w:val="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pacing w:val="-6"/>
                <w:sz w:val="24"/>
                <w:szCs w:val="24"/>
                <w:highlight w:val="none"/>
                <w14:textFill>
                  <w14:solidFill>
                    <w14:schemeClr w14:val="tx1"/>
                  </w14:solidFill>
                </w14:textFill>
              </w:rPr>
              <w:t>面积(m</w:t>
            </w:r>
            <w:r>
              <w:rPr>
                <w:rFonts w:ascii="Times New Roman"/>
                <w:color w:val="000000" w:themeColor="text1"/>
                <w:spacing w:val="-6"/>
                <w:sz w:val="24"/>
                <w:szCs w:val="24"/>
                <w:highlight w:val="none"/>
                <w:vertAlign w:val="superscript"/>
                <w14:textFill>
                  <w14:solidFill>
                    <w14:schemeClr w14:val="tx1"/>
                  </w14:solidFill>
                </w14:textFill>
              </w:rPr>
              <w:t>2</w:t>
            </w:r>
            <w:r>
              <w:rPr>
                <w:rFonts w:ascii="Times New Roman"/>
                <w:color w:val="000000" w:themeColor="text1"/>
                <w:spacing w:val="-6"/>
                <w:sz w:val="24"/>
                <w:szCs w:val="24"/>
                <w:highlight w:val="none"/>
                <w14:textFill>
                  <w14:solidFill>
                    <w14:schemeClr w14:val="tx1"/>
                  </w14:solidFill>
                </w14:textFill>
              </w:rPr>
              <w:t>)</w:t>
            </w:r>
          </w:p>
        </w:tc>
        <w:tc>
          <w:tcPr>
            <w:tcW w:w="3117" w:type="dxa"/>
            <w:vAlign w:val="center"/>
          </w:tcPr>
          <w:p>
            <w:pPr>
              <w:adjustRightInd w:val="0"/>
              <w:snapToGrid w:val="0"/>
              <w:jc w:val="center"/>
              <w:rPr>
                <w:rFonts w:hint="default" w:ascii="Times New Roman"/>
                <w:color w:val="000000" w:themeColor="text1"/>
                <w:sz w:val="24"/>
                <w:szCs w:val="24"/>
                <w:highlight w:val="none"/>
                <w:lang w:val="en-US"/>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11600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7" w:type="dxa"/>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专项评价设置情况</w:t>
            </w:r>
          </w:p>
        </w:tc>
        <w:tc>
          <w:tcPr>
            <w:tcW w:w="7053" w:type="dxa"/>
            <w:gridSpan w:val="3"/>
            <w:vAlign w:val="center"/>
          </w:tcPr>
          <w:p>
            <w:pPr>
              <w:adjustRightInd w:val="0"/>
              <w:snapToGrid w:val="0"/>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本项目设置</w:t>
            </w:r>
            <w:r>
              <w:rPr>
                <w:rFonts w:ascii="Times New Roman"/>
                <w:color w:val="000000" w:themeColor="text1"/>
                <w:sz w:val="24"/>
                <w:szCs w:val="24"/>
                <w:highlight w:val="none"/>
                <w14:textFill>
                  <w14:solidFill>
                    <w14:schemeClr w14:val="tx1"/>
                  </w14:solidFill>
                </w14:textFill>
              </w:rPr>
              <w:t>电磁辐射影响专题评价。</w:t>
            </w:r>
            <w:r>
              <w:rPr>
                <w:rFonts w:hint="eastAsia" w:ascii="Times New Roman"/>
                <w:color w:val="000000" w:themeColor="text1"/>
                <w:sz w:val="24"/>
                <w:szCs w:val="24"/>
                <w:highlight w:val="none"/>
                <w:lang w:val="en-US" w:eastAsia="zh-CN"/>
                <w14:textFill>
                  <w14:solidFill>
                    <w14:schemeClr w14:val="tx1"/>
                  </w14:solidFill>
                </w14:textFill>
              </w:rPr>
              <w:t>各专项设置如下</w:t>
            </w:r>
          </w:p>
          <w:tbl>
            <w:tblPr>
              <w:tblStyle w:val="53"/>
              <w:tblW w:w="49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3927"/>
              <w:gridCol w:w="1348"/>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top w:val="single" w:color="auto" w:sz="12" w:space="0"/>
                    <w:left w:val="nil"/>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专项评价类别</w:t>
                  </w:r>
                </w:p>
              </w:tc>
              <w:tc>
                <w:tcPr>
                  <w:tcW w:w="2881" w:type="pct"/>
                  <w:tcBorders>
                    <w:top w:val="single" w:color="auto" w:sz="12" w:space="0"/>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设置原则</w:t>
                  </w:r>
                </w:p>
              </w:tc>
              <w:tc>
                <w:tcPr>
                  <w:tcW w:w="988" w:type="pct"/>
                  <w:tcBorders>
                    <w:top w:val="single" w:color="auto" w:sz="12" w:space="0"/>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设置分析</w:t>
                  </w:r>
                </w:p>
              </w:tc>
              <w:tc>
                <w:tcPr>
                  <w:tcW w:w="498" w:type="pct"/>
                  <w:tcBorders>
                    <w:top w:val="single" w:color="auto" w:sz="12" w:space="0"/>
                    <w:right w:val="nil"/>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设置判定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大气</w:t>
                  </w:r>
                </w:p>
              </w:tc>
              <w:tc>
                <w:tcPr>
                  <w:tcW w:w="2881" w:type="pct"/>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排放废气含有毒有害污染物（二氯甲烷、甲醛、三氯甲烷、三氯乙烯、四氯乙烯、乙醛、镉及其化合物、铬及其化合物、汞及其化合物、铅及其化合物、砷及其化合物）、二嗯英、苯并[a]芘、氰化物、氯气且厂界外500米范围内有环境空气保护目标的建设项目</w:t>
                  </w:r>
                </w:p>
              </w:tc>
              <w:tc>
                <w:tcPr>
                  <w:tcW w:w="988" w:type="pct"/>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运营期废气</w:t>
                  </w:r>
                  <w:r>
                    <w:rPr>
                      <w:rFonts w:hint="eastAsia"/>
                      <w:color w:val="000000" w:themeColor="text1"/>
                      <w:highlight w:val="none"/>
                      <w:lang w:val="en-US" w:eastAsia="zh-CN"/>
                      <w14:textFill>
                        <w14:solidFill>
                          <w14:schemeClr w14:val="tx1"/>
                        </w14:solidFill>
                      </w14:textFill>
                    </w:rPr>
                    <w:t>为食堂油烟，不涉及所述有毒有害污染物</w:t>
                  </w:r>
                  <w:r>
                    <w:rPr>
                      <w:rFonts w:hint="default" w:ascii="Times New Roman" w:hAnsi="Times New Roman" w:cs="Times New Roman"/>
                      <w:color w:val="000000" w:themeColor="text1"/>
                      <w:kern w:val="0"/>
                      <w:szCs w:val="21"/>
                      <w:highlight w:val="none"/>
                      <w14:textFill>
                        <w14:solidFill>
                          <w14:schemeClr w14:val="tx1"/>
                        </w14:solidFill>
                      </w14:textFill>
                    </w:rPr>
                    <w:t>排放</w:t>
                  </w:r>
                </w:p>
              </w:tc>
              <w:tc>
                <w:tcPr>
                  <w:tcW w:w="498" w:type="pct"/>
                  <w:tcBorders>
                    <w:right w:val="nil"/>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不设专项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地表水</w:t>
                  </w:r>
                </w:p>
              </w:tc>
              <w:tc>
                <w:tcPr>
                  <w:tcW w:w="2881" w:type="pct"/>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新增工业废水直排建设项目（槽罐车外送污水处理厂的除外）﹔新增废水直排的污水集中处理厂</w:t>
                  </w:r>
                </w:p>
              </w:tc>
              <w:tc>
                <w:tcPr>
                  <w:tcW w:w="988" w:type="pct"/>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项目无污水外排</w:t>
                  </w:r>
                </w:p>
              </w:tc>
              <w:tc>
                <w:tcPr>
                  <w:tcW w:w="498" w:type="pct"/>
                  <w:tcBorders>
                    <w:righ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不设专项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Cs w:val="21"/>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环境风</w:t>
                  </w:r>
                </w:p>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险</w:t>
                  </w:r>
                </w:p>
              </w:tc>
              <w:tc>
                <w:tcPr>
                  <w:tcW w:w="2881" w:type="pct"/>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有毒有害和易燃易爆危险物质存储量超过临界量的建设项目</w:t>
                  </w:r>
                </w:p>
              </w:tc>
              <w:tc>
                <w:tcPr>
                  <w:tcW w:w="988" w:type="pct"/>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危险废物存储量不超过临界量</w:t>
                  </w:r>
                </w:p>
              </w:tc>
              <w:tc>
                <w:tcPr>
                  <w:tcW w:w="498" w:type="pct"/>
                  <w:tcBorders>
                    <w:righ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不设专项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生态</w:t>
                  </w:r>
                </w:p>
              </w:tc>
              <w:tc>
                <w:tcPr>
                  <w:tcW w:w="2881" w:type="pct"/>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取水口下游500米范围内有重要水生生物的自然产卵场、索饵场、越冬场和洄游通道的新增河道取水的污染类建设项目</w:t>
                  </w:r>
                </w:p>
              </w:tc>
              <w:tc>
                <w:tcPr>
                  <w:tcW w:w="988" w:type="pct"/>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本项目不涉及取水口</w:t>
                  </w:r>
                </w:p>
              </w:tc>
              <w:tc>
                <w:tcPr>
                  <w:tcW w:w="498" w:type="pct"/>
                  <w:tcBorders>
                    <w:righ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不设专项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海洋</w:t>
                  </w:r>
                </w:p>
              </w:tc>
              <w:tc>
                <w:tcPr>
                  <w:tcW w:w="2881" w:type="pct"/>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直接向海排放污染物的海洋工程建设项目</w:t>
                  </w:r>
                </w:p>
              </w:tc>
              <w:tc>
                <w:tcPr>
                  <w:tcW w:w="988" w:type="pct"/>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项目不涉及海洋排污</w:t>
                  </w:r>
                </w:p>
              </w:tc>
              <w:tc>
                <w:tcPr>
                  <w:tcW w:w="498" w:type="pct"/>
                  <w:tcBorders>
                    <w:right w:val="nil"/>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不设专项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2" w:type="pct"/>
                  <w:tcBorders>
                    <w:left w:val="nil"/>
                    <w:bottom w:val="single" w:color="auto" w:sz="12" w:space="0"/>
                  </w:tcBorders>
                  <w:shd w:val="clear" w:color="auto" w:fill="auto"/>
                  <w:vAlign w:val="center"/>
                </w:tcPr>
                <w:p>
                  <w:pPr>
                    <w:autoSpaceDE w:val="0"/>
                    <w:autoSpaceDN w:val="0"/>
                    <w:adjustRightInd w:val="0"/>
                    <w:snapToGri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电磁</w:t>
                  </w:r>
                </w:p>
              </w:tc>
              <w:tc>
                <w:tcPr>
                  <w:tcW w:w="2881" w:type="pct"/>
                  <w:tcBorders>
                    <w:bottom w:val="single" w:color="auto" w:sz="12" w:space="0"/>
                  </w:tcBorders>
                  <w:shd w:val="clear" w:color="auto" w:fill="auto"/>
                  <w:vAlign w:val="center"/>
                </w:tcPr>
                <w:p>
                  <w:pPr>
                    <w:autoSpaceDE w:val="0"/>
                    <w:autoSpaceDN w:val="0"/>
                    <w:adjustRightInd w:val="0"/>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《环境影响评价技术导则 输变电》（HJ24-2020）附录B-B2.1 中的要求，应设电磁环境影响专题评价</w:t>
                  </w:r>
                </w:p>
              </w:tc>
              <w:tc>
                <w:tcPr>
                  <w:tcW w:w="988" w:type="pct"/>
                  <w:tcBorders>
                    <w:bottom w:val="single" w:color="auto" w:sz="12" w:space="0"/>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本项目为输变电项目</w:t>
                  </w:r>
                </w:p>
              </w:tc>
              <w:tc>
                <w:tcPr>
                  <w:tcW w:w="498" w:type="pct"/>
                  <w:tcBorders>
                    <w:bottom w:val="single" w:color="auto" w:sz="12" w:space="0"/>
                    <w:right w:val="nil"/>
                  </w:tcBorders>
                  <w:shd w:val="clear" w:color="auto" w:fill="auto"/>
                  <w:vAlign w:val="center"/>
                </w:tcPr>
                <w:p>
                  <w:pPr>
                    <w:autoSpaceDE w:val="0"/>
                    <w:autoSpaceDN w:val="0"/>
                    <w:adjustRightInd w:val="0"/>
                    <w:jc w:val="center"/>
                    <w:rPr>
                      <w:rFonts w:hint="default" w:ascii="Times New Roman" w:hAnsi="Times New Roman" w:cs="Times New Roman"/>
                      <w:color w:val="000000" w:themeColor="text1"/>
                      <w:kern w:val="0"/>
                      <w:sz w:val="24"/>
                      <w:highlight w:val="none"/>
                      <w14:textFill>
                        <w14:solidFill>
                          <w14:schemeClr w14:val="tx1"/>
                        </w14:solidFill>
                      </w14:textFill>
                    </w:rPr>
                  </w:pPr>
                  <w:r>
                    <w:rPr>
                      <w:rFonts w:hint="default" w:ascii="Times New Roman" w:hAnsi="Times New Roman" w:cs="Times New Roman"/>
                      <w:color w:val="000000" w:themeColor="text1"/>
                      <w:kern w:val="0"/>
                      <w:szCs w:val="21"/>
                      <w:highlight w:val="none"/>
                      <w14:textFill>
                        <w14:solidFill>
                          <w14:schemeClr w14:val="tx1"/>
                        </w14:solidFill>
                      </w14:textFill>
                    </w:rPr>
                    <w:t>设置专项</w:t>
                  </w:r>
                </w:p>
              </w:tc>
            </w:tr>
          </w:tbl>
          <w:p>
            <w:pPr>
              <w:adjustRightInd w:val="0"/>
              <w:snapToGrid w:val="0"/>
              <w:spacing w:line="360" w:lineRule="auto"/>
              <w:rPr>
                <w:rFonts w:ascii="Times New Roman"/>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17" w:type="dxa"/>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规划情况</w:t>
            </w:r>
          </w:p>
        </w:tc>
        <w:tc>
          <w:tcPr>
            <w:tcW w:w="7053" w:type="dxa"/>
            <w:gridSpan w:val="3"/>
            <w:vAlign w:val="center"/>
          </w:tcPr>
          <w:p>
            <w:pPr>
              <w:pStyle w:val="25"/>
              <w:ind w:left="0" w:leftChars="0" w:firstLine="12" w:firstLineChars="5"/>
              <w:jc w:val="center"/>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1717" w:type="dxa"/>
            <w:vAlign w:val="center"/>
          </w:tcPr>
          <w:p>
            <w:pPr>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规划环境影响评价情况</w:t>
            </w:r>
          </w:p>
        </w:tc>
        <w:tc>
          <w:tcPr>
            <w:tcW w:w="7053" w:type="dxa"/>
            <w:gridSpan w:val="3"/>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717" w:type="dxa"/>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规划及规划环境影响评价符合性分析</w:t>
            </w:r>
          </w:p>
        </w:tc>
        <w:tc>
          <w:tcPr>
            <w:tcW w:w="7053" w:type="dxa"/>
            <w:gridSpan w:val="3"/>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717" w:type="dxa"/>
            <w:vAlign w:val="center"/>
          </w:tcPr>
          <w:p>
            <w:pPr>
              <w:autoSpaceDE w:val="0"/>
              <w:autoSpaceDN w:val="0"/>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其他符合性分析</w:t>
            </w:r>
          </w:p>
        </w:tc>
        <w:tc>
          <w:tcPr>
            <w:tcW w:w="7053" w:type="dxa"/>
            <w:gridSpan w:val="3"/>
            <w:vAlign w:val="center"/>
          </w:tcPr>
          <w:p>
            <w:pPr>
              <w:adjustRightInd w:val="0"/>
              <w:snapToGrid w:val="0"/>
              <w:spacing w:line="360" w:lineRule="auto"/>
              <w:ind w:firstLine="482" w:firstLineChars="200"/>
              <w:rPr>
                <w:rFonts w:ascii="Times New Roman"/>
                <w:b/>
                <w:color w:val="000000" w:themeColor="text1"/>
                <w:sz w:val="24"/>
                <w:highlight w:val="none"/>
                <w14:textFill>
                  <w14:solidFill>
                    <w14:schemeClr w14:val="tx1"/>
                  </w14:solidFill>
                </w14:textFill>
              </w:rPr>
            </w:pPr>
            <w:r>
              <w:rPr>
                <w:rFonts w:hint="eastAsia" w:ascii="Times New Roman"/>
                <w:b/>
                <w:color w:val="000000" w:themeColor="text1"/>
                <w:sz w:val="24"/>
                <w:highlight w:val="none"/>
                <w14:textFill>
                  <w14:solidFill>
                    <w14:schemeClr w14:val="tx1"/>
                  </w14:solidFill>
                </w14:textFill>
              </w:rPr>
              <w:t>1</w:t>
            </w:r>
            <w:r>
              <w:rPr>
                <w:rFonts w:ascii="Times New Roman"/>
                <w:b/>
                <w:color w:val="000000" w:themeColor="text1"/>
                <w:sz w:val="24"/>
                <w:highlight w:val="none"/>
                <w14:textFill>
                  <w14:solidFill>
                    <w14:schemeClr w14:val="tx1"/>
                  </w14:solidFill>
                </w14:textFill>
              </w:rPr>
              <w:t>、</w:t>
            </w:r>
            <w:r>
              <w:rPr>
                <w:rFonts w:hint="eastAsia" w:ascii="Times New Roman"/>
                <w:b/>
                <w:color w:val="000000" w:themeColor="text1"/>
                <w:sz w:val="24"/>
                <w:highlight w:val="none"/>
                <w14:textFill>
                  <w14:solidFill>
                    <w14:schemeClr w14:val="tx1"/>
                  </w14:solidFill>
                </w14:textFill>
              </w:rPr>
              <w:t>与《市场准入负面清单（2022年版）》符合性分析</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w:t>
            </w:r>
            <w:r>
              <w:rPr>
                <w:rFonts w:hint="eastAsia" w:ascii="Times New Roman"/>
                <w:color w:val="000000" w:themeColor="text1"/>
                <w:sz w:val="24"/>
                <w:highlight w:val="none"/>
                <w14:textFill>
                  <w14:solidFill>
                    <w14:schemeClr w14:val="tx1"/>
                  </w14:solidFill>
                </w14:textFill>
              </w:rPr>
              <w:t>“</w:t>
            </w:r>
            <w:r>
              <w:rPr>
                <w:rFonts w:ascii="Times New Roman"/>
                <w:color w:val="000000" w:themeColor="text1"/>
                <w:sz w:val="24"/>
                <w:highlight w:val="none"/>
                <w14:textFill>
                  <w14:solidFill>
                    <w14:schemeClr w14:val="tx1"/>
                  </w14:solidFill>
                </w14:textFill>
              </w:rPr>
              <w:t>国家发展改革委商务部关于印发《市场准入负面清单（2022年版）》的通知（发改体改规[2022]397号）</w:t>
            </w:r>
            <w:r>
              <w:rPr>
                <w:rFonts w:hint="eastAsia" w:ascii="Times New Roman"/>
                <w:color w:val="000000" w:themeColor="text1"/>
                <w:sz w:val="24"/>
                <w:highlight w:val="none"/>
                <w14:textFill>
                  <w14:solidFill>
                    <w14:schemeClr w14:val="tx1"/>
                  </w14:solidFill>
                </w14:textFill>
              </w:rPr>
              <w:t>”</w:t>
            </w:r>
            <w:r>
              <w:rPr>
                <w:rFonts w:ascii="Times New Roman"/>
                <w:color w:val="000000" w:themeColor="text1"/>
                <w:sz w:val="24"/>
                <w:highlight w:val="none"/>
                <w14:textFill>
                  <w14:solidFill>
                    <w14:schemeClr w14:val="tx1"/>
                  </w14:solidFill>
                </w14:textFill>
              </w:rPr>
              <w:t>，应严格落实“全国一张清单”管理要求，坚决维护市场准入负面清单制度的统一性、严肃性和权威性，确保"一单尽列、单外无单"。按照党中央、国务院要求编制的涉及行业性、领域性、区域性等方面，需要用负面清单管理思路或管理模式出台相关措施的，应纳入全国统一的市场准入负面清单。产业结构调整指导目录、政府核准的投资项目目录纳入市场准入负面清单，地方对两个目录有细化规定的，从其规定。地方国家重点生态功能区和农产品主产区产业准入负面清单（或禁止限制目录）及地方按照党中央、国务院要求制定的地方性产业结构禁止准入目录，统一纳入市场准入负面清单。</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根据《市场准入负面清单（2022年版）》，禁止准入类共6项，涉及生态环境保护的3项，</w:t>
            </w:r>
            <w:r>
              <w:rPr>
                <w:rFonts w:ascii="Times New Roman"/>
                <w:color w:val="000000" w:themeColor="text1"/>
                <w:sz w:val="24"/>
                <w:szCs w:val="24"/>
                <w:highlight w:val="none"/>
                <w14:textFill>
                  <w14:solidFill>
                    <w14:schemeClr w14:val="tx1"/>
                  </w14:solidFill>
                </w14:textFill>
              </w:rPr>
              <w:t>许可准入项共20项，</w:t>
            </w:r>
            <w:r>
              <w:rPr>
                <w:rFonts w:hint="eastAsia" w:ascii="Times New Roman"/>
                <w:color w:val="000000" w:themeColor="text1"/>
                <w:sz w:val="24"/>
                <w:szCs w:val="24"/>
                <w:highlight w:val="none"/>
                <w14:textFill>
                  <w14:solidFill>
                    <w14:schemeClr w14:val="tx1"/>
                  </w14:solidFill>
                </w14:textFill>
              </w:rPr>
              <w:t>与本项目相关</w:t>
            </w:r>
            <w:r>
              <w:rPr>
                <w:rFonts w:hint="eastAsia" w:ascii="Times New Roman"/>
                <w:color w:val="000000" w:themeColor="text1"/>
                <w:sz w:val="24"/>
                <w:highlight w:val="none"/>
                <w14:textFill>
                  <w14:solidFill>
                    <w14:schemeClr w14:val="tx1"/>
                  </w14:solidFill>
                </w14:textFill>
              </w:rPr>
              <w:t>1项，</w:t>
            </w:r>
            <w:r>
              <w:rPr>
                <w:rFonts w:ascii="Times New Roman"/>
                <w:color w:val="000000" w:themeColor="text1"/>
                <w:sz w:val="24"/>
                <w:highlight w:val="none"/>
                <w14:textFill>
                  <w14:solidFill>
                    <w14:schemeClr w14:val="tx1"/>
                  </w14:solidFill>
                </w14:textFill>
              </w:rPr>
              <w:t>本项目符合性见下。</w:t>
            </w:r>
          </w:p>
          <w:p>
            <w:pPr>
              <w:pStyle w:val="51"/>
              <w:ind w:firstLine="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表1-1  项目与《市场准入负面清单（2022年版）》符合性分析</w:t>
            </w:r>
          </w:p>
          <w:tbl>
            <w:tblPr>
              <w:tblStyle w:val="54"/>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42"/>
              <w:gridCol w:w="1514"/>
              <w:gridCol w:w="845"/>
              <w:gridCol w:w="1756"/>
              <w:gridCol w:w="21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97"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序号</w:t>
                  </w:r>
                </w:p>
              </w:tc>
              <w:tc>
                <w:tcPr>
                  <w:tcW w:w="110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禁止或许可事项</w:t>
                  </w:r>
                </w:p>
              </w:tc>
              <w:tc>
                <w:tcPr>
                  <w:tcW w:w="61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事项编码</w:t>
                  </w:r>
                </w:p>
              </w:tc>
              <w:tc>
                <w:tcPr>
                  <w:tcW w:w="1285"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禁止或许可准入措施描述</w:t>
                  </w:r>
                </w:p>
              </w:tc>
              <w:tc>
                <w:tcPr>
                  <w:tcW w:w="1590"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00" w:type="pct"/>
                  <w:gridSpan w:val="5"/>
                  <w:vAlign w:val="center"/>
                </w:tcPr>
                <w:p>
                  <w:pPr>
                    <w:jc w:val="both"/>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一、禁止准入类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97"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p>
              </w:tc>
              <w:tc>
                <w:tcPr>
                  <w:tcW w:w="1108"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法律、法规、国务院决定等明确设立且与市场准入相关的禁止性规定</w:t>
                  </w:r>
                </w:p>
              </w:tc>
              <w:tc>
                <w:tcPr>
                  <w:tcW w:w="61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100001</w:t>
                  </w:r>
                </w:p>
              </w:tc>
              <w:tc>
                <w:tcPr>
                  <w:tcW w:w="1285"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法律、法规、国务院决定等明确设立，且与市场准入相关的禁止性规定（见附件）</w:t>
                  </w:r>
                </w:p>
              </w:tc>
              <w:tc>
                <w:tcPr>
                  <w:tcW w:w="1590"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根据《国民经济行业分类》（GB/T4754-2017），本项目行业属于D4420电力供应，经查阅与市场准入相关的禁止性规定，本项目不属于</w:t>
                  </w:r>
                  <w:r>
                    <w:rPr>
                      <w:rFonts w:hint="eastAsia" w:ascii="Times New Roman"/>
                      <w:color w:val="000000" w:themeColor="text1"/>
                      <w:highlight w:val="none"/>
                      <w14:textFill>
                        <w14:solidFill>
                          <w14:schemeClr w14:val="tx1"/>
                        </w14:solidFill>
                      </w14:textFill>
                    </w:rPr>
                    <w:t>电力、热力、燃气及水生产和供应业</w:t>
                  </w:r>
                  <w:r>
                    <w:rPr>
                      <w:rFonts w:ascii="Times New Roman"/>
                      <w:color w:val="000000" w:themeColor="text1"/>
                      <w:highlight w:val="none"/>
                      <w14:textFill>
                        <w14:solidFill>
                          <w14:schemeClr w14:val="tx1"/>
                        </w14:solidFill>
                      </w14:textFill>
                    </w:rPr>
                    <w:t>中的禁止类。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97"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w:t>
                  </w:r>
                </w:p>
              </w:tc>
              <w:tc>
                <w:tcPr>
                  <w:tcW w:w="1108"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国家产业政策明令淘汰和限制的产品、技术、工艺、设备及行为</w:t>
                  </w:r>
                </w:p>
              </w:tc>
              <w:tc>
                <w:tcPr>
                  <w:tcW w:w="61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100002</w:t>
                  </w:r>
                </w:p>
              </w:tc>
              <w:tc>
                <w:tcPr>
                  <w:tcW w:w="1285"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《产业结构调整指导目录》中的淘汰类项目，禁止投资；限制类项目，禁止新建</w:t>
                  </w:r>
                  <w:r>
                    <w:rPr>
                      <w:rFonts w:hint="eastAsia" w:ascii="Times New Roman"/>
                      <w:color w:val="000000" w:themeColor="text1"/>
                      <w:highlight w:val="none"/>
                      <w:lang w:eastAsia="zh-CN"/>
                      <w14:textFill>
                        <w14:solidFill>
                          <w14:schemeClr w14:val="tx1"/>
                        </w14:solidFill>
                      </w14:textFill>
                    </w:rPr>
                    <w:t>；</w:t>
                  </w:r>
                  <w:r>
                    <w:rPr>
                      <w:rFonts w:ascii="Times New Roman"/>
                      <w:color w:val="000000" w:themeColor="text1"/>
                      <w:highlight w:val="none"/>
                      <w14:textFill>
                        <w14:solidFill>
                          <w14:schemeClr w14:val="tx1"/>
                        </w14:solidFill>
                      </w14:textFill>
                    </w:rPr>
                    <w:t>禁止投资建设《汽车产业投资管理规定》所列的汽车投资禁止类事项</w:t>
                  </w:r>
                </w:p>
              </w:tc>
              <w:tc>
                <w:tcPr>
                  <w:tcW w:w="1590"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①根据《产业结构调整指导目录（20</w:t>
                  </w:r>
                  <w:r>
                    <w:rPr>
                      <w:rFonts w:hint="eastAsia" w:ascii="Times New Roman"/>
                      <w:color w:val="000000" w:themeColor="text1"/>
                      <w:highlight w:val="none"/>
                      <w14:textFill>
                        <w14:solidFill>
                          <w14:schemeClr w14:val="tx1"/>
                        </w14:solidFill>
                      </w14:textFill>
                    </w:rPr>
                    <w:t>24</w:t>
                  </w:r>
                  <w:r>
                    <w:rPr>
                      <w:rFonts w:ascii="Times New Roman"/>
                      <w:color w:val="000000" w:themeColor="text1"/>
                      <w:highlight w:val="none"/>
                      <w14:textFill>
                        <w14:solidFill>
                          <w14:schemeClr w14:val="tx1"/>
                        </w14:solidFill>
                      </w14:textFill>
                    </w:rPr>
                    <w:t>年本）》</w:t>
                  </w:r>
                  <w:r>
                    <w:rPr>
                      <w:rFonts w:hint="eastAsia" w:ascii="Times New Roman"/>
                      <w:color w:val="000000" w:themeColor="text1"/>
                      <w:highlight w:val="none"/>
                      <w14:textFill>
                        <w14:solidFill>
                          <w14:schemeClr w14:val="tx1"/>
                        </w14:solidFill>
                      </w14:textFill>
                    </w:rPr>
                    <w:t>，</w:t>
                  </w:r>
                  <w:r>
                    <w:rPr>
                      <w:rFonts w:ascii="Times New Roman"/>
                      <w:bCs/>
                      <w:color w:val="000000" w:themeColor="text1"/>
                      <w:kern w:val="0"/>
                      <w:highlight w:val="none"/>
                      <w14:textFill>
                        <w14:solidFill>
                          <w14:schemeClr w14:val="tx1"/>
                        </w14:solidFill>
                      </w14:textFill>
                    </w:rPr>
                    <w:t>本项目输变电工程</w:t>
                  </w:r>
                  <w:r>
                    <w:rPr>
                      <w:rFonts w:hint="eastAsia" w:ascii="Times New Roman"/>
                      <w:bCs/>
                      <w:color w:val="000000" w:themeColor="text1"/>
                      <w:kern w:val="0"/>
                      <w:highlight w:val="none"/>
                      <w:lang w:val="en-US" w:eastAsia="zh-CN"/>
                      <w14:textFill>
                        <w14:solidFill>
                          <w14:schemeClr w14:val="tx1"/>
                        </w14:solidFill>
                      </w14:textFill>
                    </w:rPr>
                    <w:t>属于电力基础设施建设中电网改造与建设</w:t>
                  </w:r>
                  <w:r>
                    <w:rPr>
                      <w:rFonts w:ascii="Times New Roman"/>
                      <w:bCs/>
                      <w:color w:val="000000" w:themeColor="text1"/>
                      <w:kern w:val="0"/>
                      <w:highlight w:val="none"/>
                      <w14:textFill>
                        <w14:solidFill>
                          <w14:schemeClr w14:val="tx1"/>
                        </w14:solidFill>
                      </w14:textFill>
                    </w:rPr>
                    <w:t>，</w:t>
                  </w:r>
                  <w:r>
                    <w:rPr>
                      <w:rFonts w:hint="eastAsia" w:ascii="Times New Roman"/>
                      <w:bCs/>
                      <w:color w:val="000000" w:themeColor="text1"/>
                      <w:kern w:val="0"/>
                      <w:highlight w:val="none"/>
                      <w:lang w:val="en-US" w:eastAsia="zh-CN"/>
                      <w14:textFill>
                        <w14:solidFill>
                          <w14:schemeClr w14:val="tx1"/>
                        </w14:solidFill>
                      </w14:textFill>
                    </w:rPr>
                    <w:t>属于鼓励类项目</w:t>
                  </w:r>
                  <w:r>
                    <w:rPr>
                      <w:rFonts w:hint="eastAsia" w:ascii="Times New Roman"/>
                      <w:bCs/>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符合国家产业政策；②项目不属于《关于河北省区域禁（限）批建设项目的实施意见（试行）》（河北省人民政府冀政〔2009〕89号）中规定的区域禁止和限制建设范围。③经查阅《高耗能落后机电设备（产品）淘汰目录》（第一批至第四批），项目所用设备和产品不在上述目录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97"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w:t>
                  </w:r>
                </w:p>
              </w:tc>
              <w:tc>
                <w:tcPr>
                  <w:tcW w:w="1108"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不符合主体功能区建设要求的各类开发活动</w:t>
                  </w:r>
                </w:p>
              </w:tc>
              <w:tc>
                <w:tcPr>
                  <w:tcW w:w="618"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100003</w:t>
                  </w:r>
                </w:p>
              </w:tc>
              <w:tc>
                <w:tcPr>
                  <w:tcW w:w="1285"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地方国家重点生态功能区产业准入负面清单（或禁止限制目录）、农产品主产区产业准入负面清单（或禁止限制目录）所列有关事项</w:t>
                  </w:r>
                </w:p>
              </w:tc>
              <w:tc>
                <w:tcPr>
                  <w:tcW w:w="1590" w:type="pct"/>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根据</w:t>
                  </w:r>
                  <w:r>
                    <w:rPr>
                      <w:rFonts w:hint="eastAsia" w:ascii="Times New Roman"/>
                      <w:color w:val="000000" w:themeColor="text1"/>
                      <w:highlight w:val="none"/>
                      <w14:textFill>
                        <w14:solidFill>
                          <w14:schemeClr w14:val="tx1"/>
                        </w14:solidFill>
                      </w14:textFill>
                    </w:rPr>
                    <w:t>省、市生态功能区划、“三线一单”及生态红线管控清单</w:t>
                  </w:r>
                  <w:r>
                    <w:rPr>
                      <w:rFonts w:ascii="Times New Roman"/>
                      <w:color w:val="000000" w:themeColor="text1"/>
                      <w:highlight w:val="none"/>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本</w:t>
                  </w:r>
                  <w:r>
                    <w:rPr>
                      <w:rFonts w:ascii="Times New Roman"/>
                      <w:color w:val="000000" w:themeColor="text1"/>
                      <w:highlight w:val="none"/>
                      <w14:textFill>
                        <w14:solidFill>
                          <w14:schemeClr w14:val="tx1"/>
                        </w14:solidFill>
                      </w14:textFill>
                    </w:rPr>
                    <w:t>项目</w:t>
                  </w:r>
                  <w:r>
                    <w:rPr>
                      <w:rFonts w:hint="eastAsia" w:ascii="Times New Roman"/>
                      <w:color w:val="000000" w:themeColor="text1"/>
                      <w:highlight w:val="none"/>
                      <w:lang w:val="en-US" w:eastAsia="zh-CN"/>
                      <w14:textFill>
                        <w14:solidFill>
                          <w14:schemeClr w14:val="tx1"/>
                        </w14:solidFill>
                      </w14:textFill>
                    </w:rPr>
                    <w:t>不在产业准入负面清单内</w:t>
                  </w:r>
                  <w:r>
                    <w:rPr>
                      <w:rFonts w:hint="eastAsia" w:ascii="Times New Roman"/>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5000" w:type="pct"/>
                  <w:gridSpan w:val="5"/>
                  <w:vAlign w:val="center"/>
                </w:tcPr>
                <w:p>
                  <w:pP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二、许可准入类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397"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101</w:t>
                  </w:r>
                </w:p>
              </w:tc>
              <w:tc>
                <w:tcPr>
                  <w:tcW w:w="110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未获得许可，不得投资建设特定能源项目</w:t>
                  </w:r>
                </w:p>
              </w:tc>
              <w:tc>
                <w:tcPr>
                  <w:tcW w:w="618"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221002</w:t>
                  </w:r>
                </w:p>
              </w:tc>
              <w:tc>
                <w:tcPr>
                  <w:tcW w:w="1285"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电网工程：涉及跨境、跨省（区、市）输电的±500千伏及以上直流项目，涉及跨境、跨省（区、市）输电的500千伏、750千伏、1000千伏交流项目，由国务院投资主管部门核准，其中±800千伏及以上直流项目和1000千伏交流项目报国务院备案；不涉及跨境、跨省（区、市）输电的±500千伏及以上直流项目和500千伏、750千伏、1000千伏交流项目由省级政府按照国家制定的相关规划核准，其余项目由地方政府按照国家制定的相关规划核准</w:t>
                  </w:r>
                </w:p>
              </w:tc>
              <w:tc>
                <w:tcPr>
                  <w:tcW w:w="1590"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项目为电力供应行业（D4420）中的220kV输变电工程，已取得</w:t>
                  </w:r>
                  <w:r>
                    <w:rPr>
                      <w:rFonts w:hint="eastAsia" w:ascii="Times New Roman"/>
                      <w:color w:val="000000" w:themeColor="text1"/>
                      <w:highlight w:val="none"/>
                      <w:lang w:val="en-US" w:eastAsia="zh-CN"/>
                      <w14:textFill>
                        <w14:solidFill>
                          <w14:schemeClr w14:val="tx1"/>
                        </w14:solidFill>
                      </w14:textFill>
                    </w:rPr>
                    <w:t>承德市</w:t>
                  </w:r>
                  <w:r>
                    <w:rPr>
                      <w:rFonts w:hint="eastAsia" w:ascii="Times New Roman"/>
                      <w:color w:val="000000" w:themeColor="text1"/>
                      <w:highlight w:val="none"/>
                      <w14:textFill>
                        <w14:solidFill>
                          <w14:schemeClr w14:val="tx1"/>
                        </w14:solidFill>
                      </w14:textFill>
                    </w:rPr>
                    <w:t>行政审批局</w:t>
                  </w:r>
                  <w:r>
                    <w:rPr>
                      <w:rFonts w:hint="eastAsia" w:ascii="Times New Roman"/>
                      <w:color w:val="000000" w:themeColor="text1"/>
                      <w:highlight w:val="none"/>
                      <w:lang w:val="en-US" w:eastAsia="zh-CN"/>
                      <w14:textFill>
                        <w14:solidFill>
                          <w14:schemeClr w14:val="tx1"/>
                        </w14:solidFill>
                      </w14:textFill>
                    </w:rPr>
                    <w:t>核准批复</w:t>
                  </w:r>
                  <w:r>
                    <w:rPr>
                      <w:rFonts w:hint="eastAsia" w:ascii="Times New Roman"/>
                      <w:color w:val="000000" w:themeColor="text1"/>
                      <w:highlight w:val="none"/>
                      <w14:textFill>
                        <w14:solidFill>
                          <w14:schemeClr w14:val="tx1"/>
                        </w14:solidFill>
                      </w14:textFill>
                    </w:rPr>
                    <w:t>（</w:t>
                  </w:r>
                  <w:r>
                    <w:rPr>
                      <w:rFonts w:hint="eastAsia" w:ascii="Times New Roman"/>
                      <w:color w:val="000000" w:themeColor="text1"/>
                      <w:highlight w:val="none"/>
                      <w:lang w:eastAsia="zh-CN"/>
                      <w14:textFill>
                        <w14:solidFill>
                          <w14:schemeClr w14:val="tx1"/>
                        </w14:solidFill>
                      </w14:textFill>
                    </w:rPr>
                    <w:t>承审批核字[2023]</w:t>
                  </w:r>
                  <w:r>
                    <w:rPr>
                      <w:rFonts w:hint="eastAsia" w:ascii="Times New Roman"/>
                      <w:color w:val="000000" w:themeColor="text1"/>
                      <w:highlight w:val="none"/>
                      <w:lang w:val="en-US" w:eastAsia="zh-CN"/>
                      <w14:textFill>
                        <w14:solidFill>
                          <w14:schemeClr w14:val="tx1"/>
                        </w14:solidFill>
                      </w14:textFill>
                    </w:rPr>
                    <w:t>29</w:t>
                  </w:r>
                  <w:r>
                    <w:rPr>
                      <w:rFonts w:hint="eastAsia" w:ascii="Times New Roman"/>
                      <w:color w:val="000000" w:themeColor="text1"/>
                      <w:highlight w:val="none"/>
                      <w:lang w:eastAsia="zh-CN"/>
                      <w14:textFill>
                        <w14:solidFill>
                          <w14:schemeClr w14:val="tx1"/>
                        </w14:solidFill>
                      </w14:textFill>
                    </w:rPr>
                    <w:t>号</w:t>
                  </w:r>
                  <w:r>
                    <w:rPr>
                      <w:rFonts w:hint="eastAsia" w:ascii="Times New Roman"/>
                      <w:color w:val="000000" w:themeColor="text1"/>
                      <w:highlight w:val="none"/>
                      <w14:textFill>
                        <w14:solidFill>
                          <w14:schemeClr w14:val="tx1"/>
                        </w14:solidFill>
                      </w14:textFill>
                    </w:rPr>
                    <w:t>），固定资产投资编号为2207-130800-89-01-166336</w:t>
                  </w:r>
                  <w:r>
                    <w:rPr>
                      <w:rFonts w:hint="eastAsia" w:ascii="Times New Roman"/>
                      <w:color w:val="000000" w:themeColor="text1"/>
                      <w:highlight w:val="none"/>
                      <w:lang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满足许可准入要求</w:t>
                  </w:r>
                  <w:r>
                    <w:rPr>
                      <w:rFonts w:hint="eastAsia" w:ascii="Times New Roman"/>
                      <w:color w:val="000000" w:themeColor="text1"/>
                      <w:highlight w:val="none"/>
                      <w14:textFill>
                        <w14:solidFill>
                          <w14:schemeClr w14:val="tx1"/>
                        </w14:solidFill>
                      </w14:textFill>
                    </w:rPr>
                    <w:t>。</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综上所述，本项目不属于《市场准入负面清单（2022年版）》禁止准入类项目，</w:t>
            </w:r>
            <w:r>
              <w:rPr>
                <w:rFonts w:hint="eastAsia" w:ascii="Times New Roman"/>
                <w:color w:val="000000" w:themeColor="text1"/>
                <w:sz w:val="24"/>
                <w:szCs w:val="24"/>
                <w:highlight w:val="none"/>
                <w14:textFill>
                  <w14:solidFill>
                    <w14:schemeClr w14:val="tx1"/>
                  </w14:solidFill>
                </w14:textFill>
              </w:rPr>
              <w:t>满足</w:t>
            </w:r>
            <w:r>
              <w:rPr>
                <w:rFonts w:ascii="Times New Roman"/>
                <w:color w:val="000000" w:themeColor="text1"/>
                <w:sz w:val="24"/>
                <w:szCs w:val="24"/>
                <w:highlight w:val="none"/>
                <w14:textFill>
                  <w14:solidFill>
                    <w14:schemeClr w14:val="tx1"/>
                  </w14:solidFill>
                </w14:textFill>
              </w:rPr>
              <w:t>许可准入类项目</w:t>
            </w:r>
            <w:r>
              <w:rPr>
                <w:rFonts w:hint="eastAsia" w:ascii="Times New Roman"/>
                <w:color w:val="000000" w:themeColor="text1"/>
                <w:sz w:val="24"/>
                <w:szCs w:val="24"/>
                <w:highlight w:val="none"/>
                <w14:textFill>
                  <w14:solidFill>
                    <w14:schemeClr w14:val="tx1"/>
                  </w14:solidFill>
                </w14:textFill>
              </w:rPr>
              <w:t>要求</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按照“全国一张清单”、“单外无单”管理要求，《市场准入负面清单（2022年版）》</w:t>
            </w:r>
            <w:r>
              <w:rPr>
                <w:rFonts w:hint="eastAsia" w:ascii="Times New Roman"/>
                <w:color w:val="000000" w:themeColor="text1"/>
                <w:sz w:val="24"/>
                <w:highlight w:val="none"/>
                <w14:textFill>
                  <w14:solidFill>
                    <w14:schemeClr w14:val="tx1"/>
                  </w14:solidFill>
                </w14:textFill>
              </w:rPr>
              <w:t>已涵盖《产业结构调整指导目录（2024年本）》、主体功能区、行政许可准入等内容，</w:t>
            </w:r>
            <w:r>
              <w:rPr>
                <w:rFonts w:ascii="Times New Roman"/>
                <w:color w:val="000000" w:themeColor="text1"/>
                <w:sz w:val="24"/>
                <w:szCs w:val="24"/>
                <w:highlight w:val="none"/>
                <w14:textFill>
                  <w14:solidFill>
                    <w14:schemeClr w14:val="tx1"/>
                  </w14:solidFill>
                </w14:textFill>
              </w:rPr>
              <w:t>因此，本项目建设符合国家产业政策及地方产业</w:t>
            </w:r>
            <w:r>
              <w:rPr>
                <w:rFonts w:hint="eastAsia" w:ascii="Times New Roman"/>
                <w:color w:val="000000" w:themeColor="text1"/>
                <w:sz w:val="24"/>
                <w:szCs w:val="24"/>
                <w:highlight w:val="none"/>
                <w:lang w:val="en-US" w:eastAsia="zh-CN"/>
                <w14:textFill>
                  <w14:solidFill>
                    <w14:schemeClr w14:val="tx1"/>
                  </w14:solidFill>
                </w14:textFill>
              </w:rPr>
              <w:t>政策要求</w:t>
            </w:r>
            <w:r>
              <w:rPr>
                <w:rFonts w:ascii="Times New Roman"/>
                <w:color w:val="000000" w:themeColor="text1"/>
                <w:sz w:val="24"/>
                <w:szCs w:val="24"/>
                <w:highlight w:val="none"/>
                <w14:textFill>
                  <w14:solidFill>
                    <w14:schemeClr w14:val="tx1"/>
                  </w14:solidFill>
                </w14:textFill>
              </w:rPr>
              <w:t>。</w:t>
            </w:r>
          </w:p>
          <w:p>
            <w:pPr>
              <w:snapToGrid w:val="0"/>
              <w:spacing w:line="360" w:lineRule="auto"/>
              <w:ind w:firstLine="482" w:firstLineChars="200"/>
              <w:rPr>
                <w:rFonts w:ascii="Times New Roman"/>
                <w:b/>
                <w:color w:val="000000" w:themeColor="text1"/>
                <w:sz w:val="24"/>
                <w:highlight w:val="none"/>
                <w14:textFill>
                  <w14:solidFill>
                    <w14:schemeClr w14:val="tx1"/>
                  </w14:solidFill>
                </w14:textFill>
              </w:rPr>
            </w:pPr>
            <w:r>
              <w:rPr>
                <w:rFonts w:hint="eastAsia" w:ascii="Times New Roman"/>
                <w:b/>
                <w:color w:val="000000" w:themeColor="text1"/>
                <w:sz w:val="24"/>
                <w:highlight w:val="none"/>
                <w14:textFill>
                  <w14:solidFill>
                    <w14:schemeClr w14:val="tx1"/>
                  </w14:solidFill>
                </w14:textFill>
              </w:rPr>
              <w:t>2</w:t>
            </w:r>
            <w:r>
              <w:rPr>
                <w:rFonts w:ascii="Times New Roman"/>
                <w:b/>
                <w:color w:val="000000" w:themeColor="text1"/>
                <w:sz w:val="24"/>
                <w:highlight w:val="none"/>
                <w14:textFill>
                  <w14:solidFill>
                    <w14:schemeClr w14:val="tx1"/>
                  </w14:solidFill>
                </w14:textFill>
              </w:rPr>
              <w:t>、“三线一单”符合性分析</w:t>
            </w:r>
          </w:p>
          <w:p>
            <w:pPr>
              <w:snapToGrid w:val="0"/>
              <w:spacing w:line="360" w:lineRule="auto"/>
              <w:ind w:firstLine="480" w:firstLineChars="200"/>
              <w:rPr>
                <w:rFonts w:ascii="Times New Roman"/>
                <w:bCs/>
                <w:color w:val="000000" w:themeColor="text1"/>
                <w:sz w:val="24"/>
                <w:highlight w:val="none"/>
                <w14:textFill>
                  <w14:solidFill>
                    <w14:schemeClr w14:val="tx1"/>
                  </w14:solidFill>
                </w14:textFill>
              </w:rPr>
            </w:pPr>
            <w:r>
              <w:rPr>
                <w:rFonts w:ascii="Times New Roman"/>
                <w:bCs/>
                <w:color w:val="000000" w:themeColor="text1"/>
                <w:sz w:val="24"/>
                <w:highlight w:val="none"/>
                <w14:textFill>
                  <w14:solidFill>
                    <w14:schemeClr w14:val="tx1"/>
                  </w14:solidFill>
                </w14:textFill>
              </w:rPr>
              <w:t>根据《关于以改善环境质量为核心加强环境影响评价管理的通知》(环环评[2016]150号)，其要求落实“生态保护红线、环境质量底线、资源利用上线和环境准入负面清单”(简称“三线一单”)，本项目关于落实上述要求的分析如下：</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(1)生态保护红线</w:t>
            </w:r>
          </w:p>
          <w:p>
            <w:pPr>
              <w:widowControl w:val="0"/>
              <w:spacing w:line="360" w:lineRule="auto"/>
              <w:ind w:firstLine="480" w:firstLineChars="200"/>
              <w:jc w:val="both"/>
              <w:rPr>
                <w:color w:val="000000" w:themeColor="text1"/>
                <w:highlight w:val="none"/>
                <w14:textFill>
                  <w14:solidFill>
                    <w14:schemeClr w14:val="tx1"/>
                  </w14:solidFill>
                </w14:textFill>
              </w:rPr>
            </w:pPr>
            <w:r>
              <w:rPr>
                <w:rFonts w:hint="eastAsia" w:ascii="Times New Roman" w:cs="宋体"/>
                <w:color w:val="000000" w:themeColor="text1"/>
                <w:sz w:val="24"/>
                <w:szCs w:val="24"/>
                <w:highlight w:val="none"/>
                <w:lang w:bidi="ar"/>
                <w14:textFill>
                  <w14:solidFill>
                    <w14:schemeClr w14:val="tx1"/>
                  </w14:solidFill>
                </w14:textFill>
              </w:rPr>
              <w:t>生态保护红线是生态空间范围内具有特殊重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础设施项目外，在生态保护红线范围内，严控各类开发建设活动，依法不予审批技改工业项目和矿产开发项目的环评文件。</w:t>
            </w:r>
          </w:p>
          <w:p>
            <w:pPr>
              <w:widowControl w:val="0"/>
              <w:spacing w:line="360" w:lineRule="auto"/>
              <w:ind w:firstLine="480" w:firstLineChars="200"/>
              <w:jc w:val="both"/>
              <w:rPr>
                <w:color w:val="000000" w:themeColor="text1"/>
                <w:highlight w:val="none"/>
                <w14:textFill>
                  <w14:solidFill>
                    <w14:schemeClr w14:val="tx1"/>
                  </w14:solidFill>
                </w14:textFill>
              </w:rPr>
            </w:pPr>
            <w:r>
              <w:rPr>
                <w:rFonts w:hint="eastAsia" w:ascii="Times New Roman" w:cs="宋体"/>
                <w:color w:val="000000" w:themeColor="text1"/>
                <w:sz w:val="24"/>
                <w:szCs w:val="24"/>
                <w:highlight w:val="none"/>
                <w:lang w:bidi="ar"/>
                <w14:textFill>
                  <w14:solidFill>
                    <w14:schemeClr w14:val="tx1"/>
                  </w14:solidFill>
                </w14:textFill>
              </w:rPr>
              <w:t>根据《河北省生态保护红线》，全省生态保护红线总面积</w:t>
            </w:r>
            <w:r>
              <w:rPr>
                <w:rFonts w:ascii="Times New Roman"/>
                <w:color w:val="000000" w:themeColor="text1"/>
                <w:sz w:val="24"/>
                <w:szCs w:val="24"/>
                <w:highlight w:val="none"/>
                <w:lang w:bidi="ar"/>
                <w14:textFill>
                  <w14:solidFill>
                    <w14:schemeClr w14:val="tx1"/>
                  </w14:solidFill>
                </w14:textFill>
              </w:rPr>
              <w:t>4.05</w:t>
            </w:r>
            <w:r>
              <w:rPr>
                <w:rFonts w:hint="eastAsia" w:ascii="Times New Roman" w:cs="宋体"/>
                <w:color w:val="000000" w:themeColor="text1"/>
                <w:sz w:val="24"/>
                <w:szCs w:val="24"/>
                <w:highlight w:val="none"/>
                <w:lang w:bidi="ar"/>
                <w14:textFill>
                  <w14:solidFill>
                    <w14:schemeClr w14:val="tx1"/>
                  </w14:solidFill>
                </w14:textFill>
              </w:rPr>
              <w:t>万平方公里，占全省国土面积的</w:t>
            </w:r>
            <w:r>
              <w:rPr>
                <w:rFonts w:ascii="Times New Roman"/>
                <w:color w:val="000000" w:themeColor="text1"/>
                <w:sz w:val="24"/>
                <w:szCs w:val="24"/>
                <w:highlight w:val="none"/>
                <w:lang w:bidi="ar"/>
                <w14:textFill>
                  <w14:solidFill>
                    <w14:schemeClr w14:val="tx1"/>
                  </w14:solidFill>
                </w14:textFill>
              </w:rPr>
              <w:t>20.70%</w:t>
            </w:r>
            <w:r>
              <w:rPr>
                <w:rFonts w:hint="eastAsia" w:ascii="Times New Roman" w:cs="宋体"/>
                <w:color w:val="000000" w:themeColor="text1"/>
                <w:sz w:val="24"/>
                <w:szCs w:val="24"/>
                <w:highlight w:val="none"/>
                <w:lang w:bidi="ar"/>
                <w14:textFill>
                  <w14:solidFill>
                    <w14:schemeClr w14:val="tx1"/>
                  </w14:solidFill>
                </w14:textFill>
              </w:rPr>
              <w:t>。主要类型有坝上高原防风固沙生态保护红线、燕山水源涵养</w:t>
            </w:r>
            <w:r>
              <w:rPr>
                <w:rFonts w:ascii="Times New Roman"/>
                <w:color w:val="000000" w:themeColor="text1"/>
                <w:sz w:val="24"/>
                <w:szCs w:val="24"/>
                <w:highlight w:val="none"/>
                <w:lang w:bidi="ar"/>
                <w14:textFill>
                  <w14:solidFill>
                    <w14:schemeClr w14:val="tx1"/>
                  </w14:solidFill>
                </w14:textFill>
              </w:rPr>
              <w:t>-</w:t>
            </w:r>
            <w:r>
              <w:rPr>
                <w:rFonts w:hint="eastAsia" w:ascii="Times New Roman" w:cs="宋体"/>
                <w:color w:val="000000" w:themeColor="text1"/>
                <w:sz w:val="24"/>
                <w:szCs w:val="24"/>
                <w:highlight w:val="none"/>
                <w:lang w:bidi="ar"/>
                <w14:textFill>
                  <w14:solidFill>
                    <w14:schemeClr w14:val="tx1"/>
                  </w14:solidFill>
                </w14:textFill>
              </w:rPr>
              <w:t>生物多样性维护生态保护红线、太行山水土保持</w:t>
            </w:r>
            <w:r>
              <w:rPr>
                <w:rFonts w:ascii="Times New Roman"/>
                <w:color w:val="000000" w:themeColor="text1"/>
                <w:sz w:val="24"/>
                <w:szCs w:val="24"/>
                <w:highlight w:val="none"/>
                <w:lang w:bidi="ar"/>
                <w14:textFill>
                  <w14:solidFill>
                    <w14:schemeClr w14:val="tx1"/>
                  </w14:solidFill>
                </w14:textFill>
              </w:rPr>
              <w:t>--</w:t>
            </w:r>
            <w:r>
              <w:rPr>
                <w:rFonts w:hint="eastAsia" w:ascii="Times New Roman" w:cs="宋体"/>
                <w:color w:val="000000" w:themeColor="text1"/>
                <w:sz w:val="24"/>
                <w:szCs w:val="24"/>
                <w:highlight w:val="none"/>
                <w:lang w:bidi="ar"/>
                <w14:textFill>
                  <w14:solidFill>
                    <w14:schemeClr w14:val="tx1"/>
                  </w14:solidFill>
                </w14:textFill>
              </w:rPr>
              <w:t>生物多样性维护生态保护红线、河北平原河湖滨岸带生态保护红线、海岸海域生态保护红线等。主要分布于承德、张家口市，唐山市北部山区，秦皇岛市中北部山区，保定、邢台、石家庄、邯郸市西部山区，沧州、衡水、廊坊市局部区域。</w:t>
            </w:r>
          </w:p>
          <w:p>
            <w:pPr>
              <w:widowControl w:val="0"/>
              <w:spacing w:line="360" w:lineRule="auto"/>
              <w:ind w:firstLine="480" w:firstLineChars="200"/>
              <w:jc w:val="both"/>
              <w:rPr>
                <w:color w:val="000000" w:themeColor="text1"/>
                <w:highlight w:val="none"/>
                <w14:textFill>
                  <w14:solidFill>
                    <w14:schemeClr w14:val="tx1"/>
                  </w14:solidFill>
                </w14:textFill>
              </w:rPr>
            </w:pPr>
            <w:r>
              <w:rPr>
                <w:rFonts w:hint="eastAsia" w:ascii="Times New Roman" w:cs="宋体"/>
                <w:color w:val="000000" w:themeColor="text1"/>
                <w:sz w:val="24"/>
                <w:szCs w:val="24"/>
                <w:highlight w:val="none"/>
                <w:lang w:bidi="ar"/>
                <w14:textFill>
                  <w14:solidFill>
                    <w14:schemeClr w14:val="tx1"/>
                  </w14:solidFill>
                </w14:textFill>
              </w:rPr>
              <w:t>承德市生态保护红线总面积为</w:t>
            </w:r>
            <w:r>
              <w:rPr>
                <w:rFonts w:ascii="Times New Roman"/>
                <w:color w:val="000000" w:themeColor="text1"/>
                <w:sz w:val="24"/>
                <w:szCs w:val="24"/>
                <w:highlight w:val="none"/>
                <w:lang w:bidi="ar"/>
                <w14:textFill>
                  <w14:solidFill>
                    <w14:schemeClr w14:val="tx1"/>
                  </w14:solidFill>
                </w14:textFill>
              </w:rPr>
              <w:t>1.66</w:t>
            </w:r>
            <w:r>
              <w:rPr>
                <w:rFonts w:hint="eastAsia" w:ascii="Times New Roman" w:cs="宋体"/>
                <w:color w:val="000000" w:themeColor="text1"/>
                <w:sz w:val="24"/>
                <w:szCs w:val="24"/>
                <w:highlight w:val="none"/>
                <w:lang w:bidi="ar"/>
                <w14:textFill>
                  <w14:solidFill>
                    <w14:schemeClr w14:val="tx1"/>
                  </w14:solidFill>
                </w14:textFill>
              </w:rPr>
              <w:t>万平方公里，占全市面积</w:t>
            </w:r>
            <w:r>
              <w:rPr>
                <w:rFonts w:ascii="Times New Roman"/>
                <w:color w:val="000000" w:themeColor="text1"/>
                <w:sz w:val="24"/>
                <w:szCs w:val="24"/>
                <w:highlight w:val="none"/>
                <w:lang w:bidi="ar"/>
                <w14:textFill>
                  <w14:solidFill>
                    <w14:schemeClr w14:val="tx1"/>
                  </w14:solidFill>
                </w14:textFill>
              </w:rPr>
              <w:t>42.08%</w:t>
            </w:r>
            <w:r>
              <w:rPr>
                <w:rFonts w:hint="eastAsia" w:ascii="Times New Roman" w:cs="宋体"/>
                <w:color w:val="000000" w:themeColor="text1"/>
                <w:sz w:val="24"/>
                <w:szCs w:val="24"/>
                <w:highlight w:val="none"/>
                <w:lang w:bidi="ar"/>
                <w14:textFill>
                  <w14:solidFill>
                    <w14:schemeClr w14:val="tx1"/>
                  </w14:solidFill>
                </w14:textFill>
              </w:rPr>
              <w:t>，涵盖了水土保持、水源涵养、生物多样性维护功能极重要区以及自然保护区、饮用水源保护区等各类保护区。</w:t>
            </w:r>
          </w:p>
          <w:p>
            <w:pPr>
              <w:snapToGrid w:val="0"/>
              <w:spacing w:line="360" w:lineRule="auto"/>
              <w:ind w:firstLine="480" w:firstLineChars="200"/>
              <w:rPr>
                <w:rFonts w:ascii="Times New Roman"/>
                <w:bCs/>
                <w:color w:val="000000" w:themeColor="text1"/>
                <w:sz w:val="24"/>
                <w:highlight w:val="none"/>
                <w14:textFill>
                  <w14:solidFill>
                    <w14:schemeClr w14:val="tx1"/>
                  </w14:solidFill>
                </w14:textFill>
              </w:rPr>
            </w:pPr>
            <w:r>
              <w:rPr>
                <w:rFonts w:hint="eastAsia" w:ascii="Times New Roman"/>
                <w:bCs/>
                <w:color w:val="000000" w:themeColor="text1"/>
                <w:sz w:val="24"/>
                <w:highlight w:val="none"/>
                <w:lang w:val="en-US" w:eastAsia="zh-CN"/>
                <w14:textFill>
                  <w14:solidFill>
                    <w14:schemeClr w14:val="tx1"/>
                  </w14:solidFill>
                </w14:textFill>
              </w:rPr>
              <w:t>根据“三区三线”矢量图，本项目距离最近生态保护红线距离为4495m，</w:t>
            </w:r>
            <w:r>
              <w:rPr>
                <w:rFonts w:hint="eastAsia" w:ascii="Times New Roman"/>
                <w:bCs/>
                <w:color w:val="000000" w:themeColor="text1"/>
                <w:sz w:val="24"/>
                <w:highlight w:val="none"/>
                <w14:textFill>
                  <w14:solidFill>
                    <w14:schemeClr w14:val="tx1"/>
                  </w14:solidFill>
                </w14:textFill>
              </w:rPr>
              <w:t>根据围场满族蒙古族自治县自然资源和规划局出具的本项目是否</w:t>
            </w:r>
            <w:r>
              <w:rPr>
                <w:rFonts w:hint="eastAsia" w:ascii="Times New Roman"/>
                <w:bCs/>
                <w:color w:val="000000" w:themeColor="text1"/>
                <w:sz w:val="24"/>
                <w:highlight w:val="none"/>
                <w:lang w:val="en-US" w:eastAsia="zh-CN"/>
                <w14:textFill>
                  <w14:solidFill>
                    <w14:schemeClr w14:val="tx1"/>
                  </w14:solidFill>
                </w14:textFill>
              </w:rPr>
              <w:t>涉及</w:t>
            </w:r>
            <w:r>
              <w:rPr>
                <w:rFonts w:hint="eastAsia" w:ascii="Times New Roman"/>
                <w:bCs/>
                <w:color w:val="000000" w:themeColor="text1"/>
                <w:sz w:val="24"/>
                <w:highlight w:val="none"/>
                <w14:textFill>
                  <w14:solidFill>
                    <w14:schemeClr w14:val="tx1"/>
                  </w14:solidFill>
                </w14:textFill>
              </w:rPr>
              <w:t>生态保护红线的</w:t>
            </w:r>
            <w:r>
              <w:rPr>
                <w:rFonts w:hint="eastAsia" w:ascii="Times New Roman"/>
                <w:bCs/>
                <w:color w:val="000000" w:themeColor="text1"/>
                <w:sz w:val="24"/>
                <w:highlight w:val="none"/>
                <w:lang w:val="en-US" w:eastAsia="zh-CN"/>
                <w14:textFill>
                  <w14:solidFill>
                    <w14:schemeClr w14:val="tx1"/>
                  </w14:solidFill>
                </w14:textFill>
              </w:rPr>
              <w:t>情况说明</w:t>
            </w:r>
            <w:r>
              <w:rPr>
                <w:rFonts w:hint="eastAsia" w:ascii="Times New Roman"/>
                <w:bCs/>
                <w:color w:val="000000" w:themeColor="text1"/>
                <w:sz w:val="24"/>
                <w:highlight w:val="none"/>
                <w14:textFill>
                  <w14:solidFill>
                    <w14:schemeClr w14:val="tx1"/>
                  </w14:solidFill>
                </w14:textFill>
              </w:rPr>
              <w:t>，本项目不在围场满族蒙古族自治县生态保护红线范围内。因此本项目建设符合生态保护红线要求。</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(2)环境质量底线</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1)大气环境</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工程所在区域环境空气质量良好，根据《承德市</w:t>
            </w:r>
            <w:r>
              <w:rPr>
                <w:rFonts w:hint="eastAsia" w:ascii="Times New Roman"/>
                <w:color w:val="000000" w:themeColor="text1"/>
                <w:sz w:val="24"/>
                <w:szCs w:val="24"/>
                <w:highlight w:val="none"/>
                <w14:textFill>
                  <w14:solidFill>
                    <w14:schemeClr w14:val="tx1"/>
                  </w14:solidFill>
                </w14:textFill>
              </w:rPr>
              <w:t>生态</w:t>
            </w:r>
            <w:r>
              <w:rPr>
                <w:rFonts w:ascii="Times New Roman"/>
                <w:color w:val="000000" w:themeColor="text1"/>
                <w:sz w:val="24"/>
                <w:szCs w:val="24"/>
                <w:highlight w:val="none"/>
                <w14:textFill>
                  <w14:solidFill>
                    <w14:schemeClr w14:val="tx1"/>
                  </w14:solidFill>
                </w14:textFill>
              </w:rPr>
              <w:t>环境状况公报(202</w:t>
            </w: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年)》，本项目所在区域为达标</w:t>
            </w:r>
            <w:r>
              <w:rPr>
                <w:rFonts w:hint="eastAsia" w:ascii="Times New Roman"/>
                <w:color w:val="000000" w:themeColor="text1"/>
                <w:sz w:val="24"/>
                <w:szCs w:val="24"/>
                <w:highlight w:val="none"/>
                <w14:textFill>
                  <w14:solidFill>
                    <w14:schemeClr w14:val="tx1"/>
                  </w14:solidFill>
                </w14:textFill>
              </w:rPr>
              <w:t>区，</w:t>
            </w:r>
            <w:r>
              <w:rPr>
                <w:rFonts w:ascii="Times New Roman"/>
                <w:color w:val="000000" w:themeColor="text1"/>
                <w:sz w:val="24"/>
                <w:szCs w:val="24"/>
                <w:highlight w:val="none"/>
                <w14:textFill>
                  <w14:solidFill>
                    <w14:schemeClr w14:val="tx1"/>
                  </w14:solidFill>
                </w14:textFill>
              </w:rPr>
              <w:t>项目所在区域</w:t>
            </w:r>
            <w:r>
              <w:rPr>
                <w:rFonts w:hint="eastAsia" w:ascii="Times New Roman"/>
                <w:color w:val="000000" w:themeColor="text1"/>
                <w:sz w:val="24"/>
                <w:szCs w:val="24"/>
                <w:highlight w:val="none"/>
                <w14:textFill>
                  <w14:solidFill>
                    <w14:schemeClr w14:val="tx1"/>
                  </w14:solidFill>
                </w14:textFill>
              </w:rPr>
              <w:t>PM</w:t>
            </w:r>
            <w:r>
              <w:rPr>
                <w:rFonts w:hint="eastAsia" w:ascii="Times New Roman"/>
                <w:color w:val="000000" w:themeColor="text1"/>
                <w:sz w:val="24"/>
                <w:szCs w:val="24"/>
                <w:highlight w:val="none"/>
                <w:vertAlign w:val="subscript"/>
                <w14:textFill>
                  <w14:solidFill>
                    <w14:schemeClr w14:val="tx1"/>
                  </w14:solidFill>
                </w14:textFill>
              </w:rPr>
              <w:t>10</w:t>
            </w:r>
            <w:r>
              <w:rPr>
                <w:rFonts w:hint="eastAsia" w:ascii="Times New Roman"/>
                <w:color w:val="000000" w:themeColor="text1"/>
                <w:sz w:val="24"/>
                <w:szCs w:val="24"/>
                <w:highlight w:val="none"/>
                <w14:textFill>
                  <w14:solidFill>
                    <w14:schemeClr w14:val="tx1"/>
                  </w14:solidFill>
                </w14:textFill>
              </w:rPr>
              <w:t>、PM</w:t>
            </w:r>
            <w:r>
              <w:rPr>
                <w:rFonts w:hint="eastAsia" w:ascii="Times New Roman"/>
                <w:color w:val="000000" w:themeColor="text1"/>
                <w:sz w:val="24"/>
                <w:szCs w:val="24"/>
                <w:highlight w:val="none"/>
                <w:vertAlign w:val="subscript"/>
                <w14:textFill>
                  <w14:solidFill>
                    <w14:schemeClr w14:val="tx1"/>
                  </w14:solidFill>
                </w14:textFill>
              </w:rPr>
              <w:t>2.5</w:t>
            </w:r>
            <w:r>
              <w:rPr>
                <w:rFonts w:hint="eastAsia" w:ascii="Times New Roman"/>
                <w:color w:val="000000" w:themeColor="text1"/>
                <w:sz w:val="24"/>
                <w:szCs w:val="24"/>
                <w:highlight w:val="none"/>
                <w14:textFill>
                  <w14:solidFill>
                    <w14:schemeClr w14:val="tx1"/>
                  </w14:solidFill>
                </w14:textFill>
              </w:rPr>
              <w:t>、CO、SO</w:t>
            </w:r>
            <w:r>
              <w:rPr>
                <w:rFonts w:hint="eastAsia" w:ascii="Times New Roman"/>
                <w:color w:val="000000" w:themeColor="text1"/>
                <w:sz w:val="24"/>
                <w:szCs w:val="24"/>
                <w:highlight w:val="none"/>
                <w:vertAlign w:val="subscript"/>
                <w14:textFill>
                  <w14:solidFill>
                    <w14:schemeClr w14:val="tx1"/>
                  </w14:solidFill>
                </w14:textFill>
              </w:rPr>
              <w:t>2</w:t>
            </w:r>
            <w:r>
              <w:rPr>
                <w:rFonts w:hint="eastAsia" w:ascii="Times New Roman"/>
                <w:color w:val="000000" w:themeColor="text1"/>
                <w:sz w:val="24"/>
                <w:szCs w:val="24"/>
                <w:highlight w:val="none"/>
                <w14:textFill>
                  <w14:solidFill>
                    <w14:schemeClr w14:val="tx1"/>
                  </w14:solidFill>
                </w14:textFill>
              </w:rPr>
              <w:t>、NO</w:t>
            </w:r>
            <w:r>
              <w:rPr>
                <w:rFonts w:hint="eastAsia" w:ascii="Times New Roman"/>
                <w:color w:val="000000" w:themeColor="text1"/>
                <w:sz w:val="24"/>
                <w:szCs w:val="24"/>
                <w:highlight w:val="none"/>
                <w:vertAlign w:val="subscript"/>
                <w14:textFill>
                  <w14:solidFill>
                    <w14:schemeClr w14:val="tx1"/>
                  </w14:solidFill>
                </w14:textFill>
              </w:rPr>
              <w:t>2</w:t>
            </w:r>
            <w:r>
              <w:rPr>
                <w:rFonts w:hint="eastAsia" w:ascii="Times New Roman"/>
                <w:color w:val="000000" w:themeColor="text1"/>
                <w:sz w:val="24"/>
                <w:szCs w:val="24"/>
                <w:highlight w:val="none"/>
                <w14:textFill>
                  <w14:solidFill>
                    <w14:schemeClr w14:val="tx1"/>
                  </w14:solidFill>
                </w14:textFill>
              </w:rPr>
              <w:t>、O</w:t>
            </w:r>
            <w:r>
              <w:rPr>
                <w:rFonts w:hint="eastAsia" w:ascii="Times New Roman"/>
                <w:color w:val="000000" w:themeColor="text1"/>
                <w:sz w:val="24"/>
                <w:szCs w:val="24"/>
                <w:highlight w:val="none"/>
                <w:vertAlign w:val="subscript"/>
                <w14:textFill>
                  <w14:solidFill>
                    <w14:schemeClr w14:val="tx1"/>
                  </w14:solidFill>
                </w14:textFill>
              </w:rPr>
              <w:t>3</w:t>
            </w:r>
            <w:r>
              <w:rPr>
                <w:rFonts w:hint="eastAsia" w:ascii="Times New Roman"/>
                <w:color w:val="000000" w:themeColor="text1"/>
                <w:sz w:val="24"/>
                <w:szCs w:val="24"/>
                <w:highlight w:val="none"/>
                <w14:textFill>
                  <w14:solidFill>
                    <w14:schemeClr w14:val="tx1"/>
                  </w14:solidFill>
                </w14:textFill>
              </w:rPr>
              <w:t>均</w:t>
            </w:r>
            <w:r>
              <w:rPr>
                <w:rFonts w:ascii="Times New Roman"/>
                <w:color w:val="000000" w:themeColor="text1"/>
                <w:sz w:val="24"/>
                <w:szCs w:val="24"/>
                <w:highlight w:val="none"/>
                <w14:textFill>
                  <w14:solidFill>
                    <w14:schemeClr w14:val="tx1"/>
                  </w14:solidFill>
                </w14:textFill>
              </w:rPr>
              <w:t>满足《环境空气质量标准》（GB3095-2012）中的二级标准</w:t>
            </w:r>
            <w:r>
              <w:rPr>
                <w:rFonts w:hint="eastAsia" w:ascii="Times New Roman"/>
                <w:color w:val="000000" w:themeColor="text1"/>
                <w:sz w:val="24"/>
                <w:szCs w:val="24"/>
                <w:highlight w:val="none"/>
                <w14:textFill>
                  <w14:solidFill>
                    <w14:schemeClr w14:val="tx1"/>
                  </w14:solidFill>
                </w14:textFill>
              </w:rPr>
              <w:t>及其修改单</w:t>
            </w:r>
            <w:r>
              <w:rPr>
                <w:rFonts w:ascii="Times New Roman"/>
                <w:color w:val="000000" w:themeColor="text1"/>
                <w:sz w:val="24"/>
                <w:szCs w:val="24"/>
                <w:highlight w:val="none"/>
                <w14:textFill>
                  <w14:solidFill>
                    <w14:schemeClr w14:val="tx1"/>
                  </w14:solidFill>
                </w14:textFill>
              </w:rPr>
              <w:t>要求</w:t>
            </w:r>
            <w:r>
              <w:rPr>
                <w:rFonts w:hint="eastAsia" w:ascii="Times New Roman"/>
                <w:color w:val="000000" w:themeColor="text1"/>
                <w:sz w:val="24"/>
                <w:szCs w:val="24"/>
                <w:highlight w:val="none"/>
                <w14:textFill>
                  <w14:solidFill>
                    <w14:schemeClr w14:val="tx1"/>
                  </w14:solidFill>
                </w14:textFill>
              </w:rPr>
              <w:t>。</w:t>
            </w:r>
          </w:p>
          <w:p>
            <w:pPr>
              <w:snapToGrid w:val="0"/>
              <w:spacing w:line="360" w:lineRule="auto"/>
              <w:ind w:firstLine="480" w:firstLineChars="200"/>
              <w:rPr>
                <w:rFonts w:hint="default" w:ascii="Times New Roman" w:eastAsia="宋体"/>
                <w:color w:val="000000" w:themeColor="text1"/>
                <w:sz w:val="24"/>
                <w:highlight w:val="none"/>
                <w:lang w:val="en-US" w:eastAsia="zh-CN"/>
                <w14:textFill>
                  <w14:solidFill>
                    <w14:schemeClr w14:val="tx1"/>
                  </w14:solidFill>
                </w14:textFill>
              </w:rPr>
            </w:pPr>
            <w:r>
              <w:rPr>
                <w:rFonts w:ascii="Times New Roman"/>
                <w:color w:val="000000" w:themeColor="text1"/>
                <w:sz w:val="24"/>
                <w:highlight w:val="none"/>
                <w14:textFill>
                  <w14:solidFill>
                    <w14:schemeClr w14:val="tx1"/>
                  </w14:solidFill>
                </w14:textFill>
              </w:rPr>
              <w:t>本项目施工量较小，施工期大气环境影响主要为施工扬尘及车辆尾气，本项目采取防扬尘措施及选用尾气达标车辆后对周边空气环境影响很小</w:t>
            </w:r>
            <w:r>
              <w:rPr>
                <w:rFonts w:hint="eastAsia" w:ascii="Times New Roman"/>
                <w:color w:val="000000" w:themeColor="text1"/>
                <w:sz w:val="24"/>
                <w:highlight w:val="none"/>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本项目运营期无废气产生。</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2)水环境</w:t>
            </w:r>
          </w:p>
          <w:p>
            <w:pPr>
              <w:snapToGrid w:val="0"/>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项目区域内流经河流主要是</w:t>
            </w:r>
            <w:r>
              <w:rPr>
                <w:rFonts w:hint="eastAsia" w:ascii="Times New Roman"/>
                <w:color w:val="000000" w:themeColor="text1"/>
                <w:sz w:val="24"/>
                <w:szCs w:val="24"/>
                <w:highlight w:val="none"/>
                <w14:textFill>
                  <w14:solidFill>
                    <w14:schemeClr w14:val="tx1"/>
                  </w14:solidFill>
                </w14:textFill>
              </w:rPr>
              <w:t>湖泗汰河（伊逊河支流）</w:t>
            </w:r>
            <w:r>
              <w:rPr>
                <w:rFonts w:ascii="Times New Roman"/>
                <w:color w:val="000000" w:themeColor="text1"/>
                <w:sz w:val="24"/>
                <w:szCs w:val="24"/>
                <w:highlight w:val="none"/>
                <w14:textFill>
                  <w14:solidFill>
                    <w14:schemeClr w14:val="tx1"/>
                  </w14:solidFill>
                </w14:textFill>
              </w:rPr>
              <w:t>，根据《202</w:t>
            </w: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年承德市生态环境状况公报》（202</w:t>
            </w:r>
            <w:r>
              <w:rPr>
                <w:rFonts w:hint="eastAsia" w:ascii="Times New Roman"/>
                <w:color w:val="000000" w:themeColor="text1"/>
                <w:sz w:val="24"/>
                <w:szCs w:val="24"/>
                <w:highlight w:val="none"/>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年</w:t>
            </w:r>
            <w:r>
              <w:rPr>
                <w:rFonts w:hint="eastAsia" w:ascii="Times New Roman"/>
                <w:color w:val="000000" w:themeColor="text1"/>
                <w:sz w:val="24"/>
                <w:szCs w:val="24"/>
                <w:highlight w:val="none"/>
                <w14:textFill>
                  <w14:solidFill>
                    <w14:schemeClr w14:val="tx1"/>
                  </w14:solidFill>
                </w14:textFill>
              </w:rPr>
              <w:t>5</w:t>
            </w:r>
            <w:r>
              <w:rPr>
                <w:rFonts w:ascii="Times New Roman"/>
                <w:color w:val="000000" w:themeColor="text1"/>
                <w:sz w:val="24"/>
                <w:szCs w:val="24"/>
                <w:highlight w:val="none"/>
                <w14:textFill>
                  <w14:solidFill>
                    <w14:schemeClr w14:val="tx1"/>
                  </w14:solidFill>
                </w14:textFill>
              </w:rPr>
              <w:t>月，承德市生态环境局）中水环境部分，</w:t>
            </w:r>
            <w:r>
              <w:rPr>
                <w:rFonts w:hint="eastAsia" w:ascii="Times New Roman"/>
                <w:color w:val="000000" w:themeColor="text1"/>
                <w:sz w:val="24"/>
                <w:szCs w:val="24"/>
                <w:highlight w:val="none"/>
                <w14:textFill>
                  <w14:solidFill>
                    <w14:schemeClr w14:val="tx1"/>
                  </w14:solidFill>
                </w14:textFill>
              </w:rPr>
              <w:t>伊逊河共布设地表水常规监测断面2个。2022年，唐三营、李台断面水质类别均为</w:t>
            </w:r>
            <w:r>
              <w:rPr>
                <w:rFonts w:ascii="Times New Roman"/>
                <w:color w:val="000000" w:themeColor="text1"/>
                <w:sz w:val="24"/>
                <w:szCs w:val="24"/>
                <w:highlight w:val="none"/>
                <w14:textFill>
                  <w14:solidFill>
                    <w14:schemeClr w14:val="tx1"/>
                  </w14:solidFill>
                </w14:textFill>
              </w:rPr>
              <w:t>Ⅱ</w:t>
            </w:r>
            <w:r>
              <w:rPr>
                <w:rFonts w:hint="eastAsia" w:ascii="Times New Roman"/>
                <w:color w:val="000000" w:themeColor="text1"/>
                <w:sz w:val="24"/>
                <w:szCs w:val="24"/>
                <w:highlight w:val="none"/>
                <w14:textFill>
                  <w14:solidFill>
                    <w14:schemeClr w14:val="tx1"/>
                  </w14:solidFill>
                </w14:textFill>
              </w:rPr>
              <w:t>类。伊逊河流域总体水质状况为优，与2021年相比水环境质量有明显改善。</w:t>
            </w:r>
            <w:r>
              <w:rPr>
                <w:rFonts w:ascii="Times New Roman"/>
                <w:color w:val="000000" w:themeColor="text1"/>
                <w:sz w:val="24"/>
                <w:szCs w:val="24"/>
                <w:highlight w:val="none"/>
                <w14:textFill>
                  <w14:solidFill>
                    <w14:schemeClr w14:val="tx1"/>
                  </w14:solidFill>
                </w14:textFill>
              </w:rPr>
              <w:t>项目所在的区域及可能影响的范围内均无饮用水源保护区和集中式饮用水水源地，根据质量公报数据，地表水环境能够满足《地表水环境质量标准》（GB3838-2002）中Ⅱ类标准要求</w:t>
            </w:r>
            <w:r>
              <w:rPr>
                <w:rFonts w:hint="eastAsia" w:ascii="Times New Roman"/>
                <w:color w:val="000000" w:themeColor="text1"/>
                <w:sz w:val="24"/>
                <w:szCs w:val="24"/>
                <w:highlight w:val="none"/>
                <w:lang w:eastAsia="zh-CN"/>
                <w14:textFill>
                  <w14:solidFill>
                    <w14:schemeClr w14:val="tx1"/>
                  </w14:solidFill>
                </w14:textFill>
              </w:rPr>
              <w:t>。</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施工废水经沉淀池沉淀处理后用于场地抑尘；</w:t>
            </w:r>
            <w:r>
              <w:rPr>
                <w:rFonts w:ascii="Times New Roman"/>
                <w:color w:val="000000" w:themeColor="text1"/>
                <w:sz w:val="24"/>
                <w:szCs w:val="24"/>
                <w:highlight w:val="none"/>
                <w14:textFill>
                  <w14:solidFill>
                    <w14:schemeClr w14:val="tx1"/>
                  </w14:solidFill>
                </w14:textFill>
              </w:rPr>
              <w:t>施工期盥洗水用于泼洒抑尘，设置防渗旱厕，定期清掏用做农肥</w:t>
            </w:r>
            <w:r>
              <w:rPr>
                <w:rFonts w:ascii="Times New Roman"/>
                <w:color w:val="000000" w:themeColor="text1"/>
                <w:sz w:val="24"/>
                <w:highlight w:val="none"/>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施工期</w:t>
            </w:r>
            <w:r>
              <w:rPr>
                <w:rFonts w:ascii="Times New Roman"/>
                <w:color w:val="000000" w:themeColor="text1"/>
                <w:sz w:val="24"/>
                <w:highlight w:val="none"/>
                <w14:textFill>
                  <w14:solidFill>
                    <w14:schemeClr w14:val="tx1"/>
                  </w14:solidFill>
                </w14:textFill>
              </w:rPr>
              <w:t>废水不外排，对区域水环境影响较小。</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运营期</w:t>
            </w:r>
            <w:r>
              <w:rPr>
                <w:rFonts w:hint="eastAsia" w:ascii="Times New Roman"/>
                <w:color w:val="000000" w:themeColor="text1"/>
                <w:sz w:val="24"/>
                <w:highlight w:val="none"/>
                <w14:textFill>
                  <w14:solidFill>
                    <w14:schemeClr w14:val="tx1"/>
                  </w14:solidFill>
                </w14:textFill>
              </w:rPr>
              <w:t>无生产废水产生，废水</w:t>
            </w:r>
            <w:r>
              <w:rPr>
                <w:rFonts w:ascii="Times New Roman"/>
                <w:color w:val="000000" w:themeColor="text1"/>
                <w:sz w:val="24"/>
                <w:highlight w:val="none"/>
                <w14:textFill>
                  <w14:solidFill>
                    <w14:schemeClr w14:val="tx1"/>
                  </w14:solidFill>
                </w14:textFill>
              </w:rPr>
              <w:t>主要为生活污水，</w:t>
            </w:r>
            <w:r>
              <w:rPr>
                <w:rFonts w:hint="eastAsia" w:ascii="Times New Roman"/>
                <w:color w:val="000000" w:themeColor="text1"/>
                <w:sz w:val="24"/>
                <w:highlight w:val="none"/>
                <w14:textFill>
                  <w14:solidFill>
                    <w14:schemeClr w14:val="tx1"/>
                  </w14:solidFill>
                </w14:textFill>
              </w:rPr>
              <w:t>食堂废水经隔油池处理，与</w:t>
            </w:r>
            <w:r>
              <w:rPr>
                <w:rFonts w:hint="eastAsia" w:ascii="Times New Roman"/>
                <w:color w:val="000000" w:themeColor="text1"/>
                <w:sz w:val="24"/>
                <w:highlight w:val="none"/>
                <w:lang w:val="en-US" w:eastAsia="zh-CN"/>
                <w14:textFill>
                  <w14:solidFill>
                    <w14:schemeClr w14:val="tx1"/>
                  </w14:solidFill>
                </w14:textFill>
              </w:rPr>
              <w:t>其他</w:t>
            </w:r>
            <w:r>
              <w:rPr>
                <w:rFonts w:hint="eastAsia" w:ascii="Times New Roman"/>
                <w:color w:val="000000" w:themeColor="text1"/>
                <w:sz w:val="24"/>
                <w:highlight w:val="none"/>
                <w14:textFill>
                  <w14:solidFill>
                    <w14:schemeClr w14:val="tx1"/>
                  </w14:solidFill>
                </w14:textFill>
              </w:rPr>
              <w:t>生活污水经一体化污水处理装置处理达标后送到清水池，再通过回用水泵回用于绿化，不外排。</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由此可知，项目的实施</w:t>
            </w:r>
            <w:r>
              <w:rPr>
                <w:rFonts w:hint="eastAsia" w:ascii="Times New Roman"/>
                <w:color w:val="000000" w:themeColor="text1"/>
                <w:sz w:val="24"/>
                <w:szCs w:val="24"/>
                <w:highlight w:val="none"/>
                <w14:textFill>
                  <w14:solidFill>
                    <w14:schemeClr w14:val="tx1"/>
                  </w14:solidFill>
                </w14:textFill>
              </w:rPr>
              <w:t>对</w:t>
            </w:r>
            <w:r>
              <w:rPr>
                <w:rFonts w:ascii="Times New Roman"/>
                <w:color w:val="000000" w:themeColor="text1"/>
                <w:sz w:val="24"/>
                <w:szCs w:val="24"/>
                <w:highlight w:val="none"/>
                <w14:textFill>
                  <w14:solidFill>
                    <w14:schemeClr w14:val="tx1"/>
                  </w14:solidFill>
                </w14:textFill>
              </w:rPr>
              <w:t>现有</w:t>
            </w:r>
            <w:r>
              <w:rPr>
                <w:rFonts w:hint="eastAsia" w:ascii="Times New Roman"/>
                <w:color w:val="000000" w:themeColor="text1"/>
                <w:sz w:val="24"/>
                <w:szCs w:val="24"/>
                <w:highlight w:val="none"/>
                <w14:textFill>
                  <w14:solidFill>
                    <w14:schemeClr w14:val="tx1"/>
                  </w14:solidFill>
                </w14:textFill>
              </w:rPr>
              <w:t>地表水环境质量</w:t>
            </w:r>
            <w:r>
              <w:rPr>
                <w:rFonts w:ascii="Times New Roman"/>
                <w:color w:val="000000" w:themeColor="text1"/>
                <w:sz w:val="24"/>
                <w:szCs w:val="24"/>
                <w:highlight w:val="none"/>
                <w14:textFill>
                  <w14:solidFill>
                    <w14:schemeClr w14:val="tx1"/>
                  </w14:solidFill>
                </w14:textFill>
              </w:rPr>
              <w:t>底线</w:t>
            </w:r>
            <w:r>
              <w:rPr>
                <w:rFonts w:hint="eastAsia" w:ascii="Times New Roman"/>
                <w:color w:val="000000" w:themeColor="text1"/>
                <w:sz w:val="24"/>
                <w:szCs w:val="24"/>
                <w:highlight w:val="none"/>
                <w14:textFill>
                  <w14:solidFill>
                    <w14:schemeClr w14:val="tx1"/>
                  </w14:solidFill>
                </w14:textFill>
              </w:rPr>
              <w:t>不会产生不利影响</w:t>
            </w:r>
            <w:r>
              <w:rPr>
                <w:rFonts w:ascii="Times New Roman"/>
                <w:color w:val="000000" w:themeColor="text1"/>
                <w:sz w:val="24"/>
                <w:szCs w:val="24"/>
                <w:highlight w:val="none"/>
                <w14:textFill>
                  <w14:solidFill>
                    <w14:schemeClr w14:val="tx1"/>
                  </w14:solidFill>
                </w14:textFill>
              </w:rPr>
              <w:t>。</w:t>
            </w:r>
          </w:p>
          <w:p>
            <w:pPr>
              <w:snapToGrid w:val="0"/>
              <w:spacing w:line="360" w:lineRule="auto"/>
              <w:ind w:left="360" w:firstLine="120" w:firstLineChars="5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3</w:t>
            </w:r>
            <w:r>
              <w:rPr>
                <w:rFonts w:ascii="Times New Roman"/>
                <w:color w:val="000000" w:themeColor="text1"/>
                <w:sz w:val="24"/>
                <w:highlight w:val="none"/>
                <w14:textFill>
                  <w14:solidFill>
                    <w14:schemeClr w14:val="tx1"/>
                  </w14:solidFill>
                </w14:textFill>
              </w:rPr>
              <w:t>)声环境</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施工期噪声的主要来源是施工机械及机动车辆行驶等产生的噪声，在采用使用低噪声机械设备、合理安排施工计划和施工时间等措施后对周边声环境质量影响较小。</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运营期</w:t>
            </w:r>
            <w:r>
              <w:rPr>
                <w:rFonts w:hint="eastAsia" w:ascii="Times New Roman"/>
                <w:color w:val="000000" w:themeColor="text1"/>
                <w:sz w:val="24"/>
                <w:highlight w:val="none"/>
                <w14:textFill>
                  <w14:solidFill>
                    <w14:schemeClr w14:val="tx1"/>
                  </w14:solidFill>
                </w14:textFill>
              </w:rPr>
              <w:t>噪声主要为主变压器等设备产生的噪声，</w:t>
            </w:r>
            <w:r>
              <w:rPr>
                <w:rFonts w:ascii="Times New Roman"/>
                <w:color w:val="000000" w:themeColor="text1"/>
                <w:sz w:val="24"/>
                <w:highlight w:val="none"/>
                <w14:textFill>
                  <w14:solidFill>
                    <w14:schemeClr w14:val="tx1"/>
                  </w14:solidFill>
                </w14:textFill>
              </w:rPr>
              <w:t>在采用使用低噪声设备、</w:t>
            </w:r>
            <w:r>
              <w:rPr>
                <w:rFonts w:hint="eastAsia" w:ascii="Times New Roman"/>
                <w:color w:val="000000" w:themeColor="text1"/>
                <w:sz w:val="24"/>
                <w:highlight w:val="none"/>
                <w14:textFill>
                  <w14:solidFill>
                    <w14:schemeClr w14:val="tx1"/>
                  </w14:solidFill>
                </w14:textFill>
              </w:rPr>
              <w:t>合理布局、基础减振、距离衰减</w:t>
            </w:r>
            <w:r>
              <w:rPr>
                <w:rFonts w:ascii="Times New Roman"/>
                <w:color w:val="000000" w:themeColor="text1"/>
                <w:sz w:val="24"/>
                <w:highlight w:val="none"/>
                <w14:textFill>
                  <w14:solidFill>
                    <w14:schemeClr w14:val="tx1"/>
                  </w14:solidFill>
                </w14:textFill>
              </w:rPr>
              <w:t>等措施后对周边声环境质量影响较小。</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根据本项目现状监测数据，本项目拟建站址处四周边界各监测点的昼间、夜间噪声监测值均符合《声环境质量标准》(GB 3096-2008)</w:t>
            </w:r>
            <w:r>
              <w:rPr>
                <w:rFonts w:hint="eastAsia" w:ascii="Times New Roman"/>
                <w:color w:val="000000" w:themeColor="text1"/>
                <w:sz w:val="24"/>
                <w:highlight w:val="none"/>
                <w:lang w:val="en-US" w:eastAsia="zh-CN"/>
                <w14:textFill>
                  <w14:solidFill>
                    <w14:schemeClr w14:val="tx1"/>
                  </w14:solidFill>
                </w14:textFill>
              </w:rPr>
              <w:t>1类</w:t>
            </w:r>
            <w:r>
              <w:rPr>
                <w:rFonts w:ascii="Times New Roman"/>
                <w:color w:val="000000" w:themeColor="text1"/>
                <w:sz w:val="24"/>
                <w:highlight w:val="none"/>
                <w14:textFill>
                  <w14:solidFill>
                    <w14:schemeClr w14:val="tx1"/>
                  </w14:solidFill>
                </w14:textFill>
              </w:rPr>
              <w:t>标准要求。</w:t>
            </w:r>
          </w:p>
          <w:p>
            <w:pPr>
              <w:snapToGrid w:val="0"/>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w:t>
            </w:r>
            <w:r>
              <w:rPr>
                <w:rFonts w:hint="eastAsia" w:ascii="Times New Roman"/>
                <w:color w:val="000000" w:themeColor="text1"/>
                <w:sz w:val="24"/>
                <w:highlight w:val="none"/>
                <w:lang w:val="en-US" w:eastAsia="zh-CN"/>
                <w14:textFill>
                  <w14:solidFill>
                    <w14:schemeClr w14:val="tx1"/>
                  </w14:solidFill>
                </w14:textFill>
              </w:rPr>
              <w:t>噪声</w:t>
            </w:r>
            <w:r>
              <w:rPr>
                <w:rFonts w:ascii="Times New Roman"/>
                <w:color w:val="000000" w:themeColor="text1"/>
                <w:sz w:val="24"/>
                <w:highlight w:val="none"/>
                <w14:textFill>
                  <w14:solidFill>
                    <w14:schemeClr w14:val="tx1"/>
                  </w14:solidFill>
                </w14:textFill>
              </w:rPr>
              <w:t>预测，本项目实施后</w:t>
            </w:r>
            <w:r>
              <w:rPr>
                <w:rFonts w:hint="eastAsia" w:ascii="Times New Roman"/>
                <w:color w:val="000000" w:themeColor="text1"/>
                <w:sz w:val="24"/>
                <w:highlight w:val="none"/>
                <w14:textFill>
                  <w14:solidFill>
                    <w14:schemeClr w14:val="tx1"/>
                  </w14:solidFill>
                </w14:textFill>
              </w:rPr>
              <w:t>升压站</w:t>
            </w:r>
            <w:r>
              <w:rPr>
                <w:rFonts w:ascii="Times New Roman"/>
                <w:color w:val="000000" w:themeColor="text1"/>
                <w:sz w:val="24"/>
                <w:highlight w:val="none"/>
                <w14:textFill>
                  <w14:solidFill>
                    <w14:schemeClr w14:val="tx1"/>
                  </w14:solidFill>
                </w14:textFill>
              </w:rPr>
              <w:t>周边噪声贡献值符合《工业企业厂界环境噪声排放标准》(GB 12348-2008)</w:t>
            </w:r>
            <w:r>
              <w:rPr>
                <w:rFonts w:hint="eastAsia" w:ascii="Times New Roman"/>
                <w:color w:val="000000" w:themeColor="text1"/>
                <w:sz w:val="24"/>
                <w:highlight w:val="none"/>
                <w:lang w:val="en-US" w:eastAsia="zh-CN"/>
                <w14:textFill>
                  <w14:solidFill>
                    <w14:schemeClr w14:val="tx1"/>
                  </w14:solidFill>
                </w14:textFill>
              </w:rPr>
              <w:t>1类</w:t>
            </w:r>
            <w:r>
              <w:rPr>
                <w:rFonts w:ascii="Times New Roman"/>
                <w:color w:val="000000" w:themeColor="text1"/>
                <w:sz w:val="24"/>
                <w:highlight w:val="none"/>
                <w14:textFill>
                  <w14:solidFill>
                    <w14:schemeClr w14:val="tx1"/>
                  </w14:solidFill>
                </w14:textFill>
              </w:rPr>
              <w:t>标准</w:t>
            </w:r>
            <w:r>
              <w:rPr>
                <w:rFonts w:hint="eastAsia" w:ascii="Times New Roman"/>
                <w:color w:val="000000" w:themeColor="text1"/>
                <w:sz w:val="24"/>
                <w:highlight w:val="none"/>
                <w14:textFill>
                  <w14:solidFill>
                    <w14:schemeClr w14:val="tx1"/>
                  </w14:solidFill>
                </w14:textFill>
              </w:rPr>
              <w:t>要求。</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由此可知，项目的实施</w:t>
            </w:r>
            <w:r>
              <w:rPr>
                <w:rFonts w:hint="eastAsia" w:ascii="Times New Roman"/>
                <w:color w:val="000000" w:themeColor="text1"/>
                <w:sz w:val="24"/>
                <w:szCs w:val="24"/>
                <w:highlight w:val="none"/>
                <w14:textFill>
                  <w14:solidFill>
                    <w14:schemeClr w14:val="tx1"/>
                  </w14:solidFill>
                </w14:textFill>
              </w:rPr>
              <w:t>对</w:t>
            </w:r>
            <w:r>
              <w:rPr>
                <w:rFonts w:ascii="Times New Roman"/>
                <w:color w:val="000000" w:themeColor="text1"/>
                <w:sz w:val="24"/>
                <w:szCs w:val="24"/>
                <w:highlight w:val="none"/>
                <w14:textFill>
                  <w14:solidFill>
                    <w14:schemeClr w14:val="tx1"/>
                  </w14:solidFill>
                </w14:textFill>
              </w:rPr>
              <w:t>现有</w:t>
            </w:r>
            <w:r>
              <w:rPr>
                <w:rFonts w:hint="eastAsia" w:ascii="Times New Roman"/>
                <w:color w:val="000000" w:themeColor="text1"/>
                <w:sz w:val="24"/>
                <w:szCs w:val="24"/>
                <w:highlight w:val="none"/>
                <w14:textFill>
                  <w14:solidFill>
                    <w14:schemeClr w14:val="tx1"/>
                  </w14:solidFill>
                </w14:textFill>
              </w:rPr>
              <w:t>声环境质量</w:t>
            </w:r>
            <w:r>
              <w:rPr>
                <w:rFonts w:ascii="Times New Roman"/>
                <w:color w:val="000000" w:themeColor="text1"/>
                <w:sz w:val="24"/>
                <w:szCs w:val="24"/>
                <w:highlight w:val="none"/>
                <w14:textFill>
                  <w14:solidFill>
                    <w14:schemeClr w14:val="tx1"/>
                  </w14:solidFill>
                </w14:textFill>
              </w:rPr>
              <w:t>底线</w:t>
            </w:r>
            <w:r>
              <w:rPr>
                <w:rFonts w:hint="eastAsia" w:ascii="Times New Roman"/>
                <w:color w:val="000000" w:themeColor="text1"/>
                <w:sz w:val="24"/>
                <w:szCs w:val="24"/>
                <w:highlight w:val="none"/>
                <w14:textFill>
                  <w14:solidFill>
                    <w14:schemeClr w14:val="tx1"/>
                  </w14:solidFill>
                </w14:textFill>
              </w:rPr>
              <w:t>不会产生明显不利影响</w:t>
            </w:r>
            <w:r>
              <w:rPr>
                <w:rFonts w:ascii="Times New Roman"/>
                <w:color w:val="000000" w:themeColor="text1"/>
                <w:sz w:val="24"/>
                <w:szCs w:val="24"/>
                <w:highlight w:val="none"/>
                <w14:textFill>
                  <w14:solidFill>
                    <w14:schemeClr w14:val="tx1"/>
                  </w14:solidFill>
                </w14:textFill>
              </w:rPr>
              <w:t>。</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4</w:t>
            </w:r>
            <w:r>
              <w:rPr>
                <w:rFonts w:ascii="Times New Roman"/>
                <w:color w:val="000000" w:themeColor="text1"/>
                <w:sz w:val="24"/>
                <w:highlight w:val="none"/>
                <w14:textFill>
                  <w14:solidFill>
                    <w14:schemeClr w14:val="tx1"/>
                  </w14:solidFill>
                </w14:textFill>
              </w:rPr>
              <w:t>)电磁环境</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根据本次环评现状监测数据，本项目</w:t>
            </w:r>
            <w:r>
              <w:rPr>
                <w:rFonts w:hint="eastAsia" w:ascii="Times New Roman"/>
                <w:color w:val="000000" w:themeColor="text1"/>
                <w:sz w:val="24"/>
                <w:highlight w:val="none"/>
                <w14:textFill>
                  <w14:solidFill>
                    <w14:schemeClr w14:val="tx1"/>
                  </w14:solidFill>
                </w14:textFill>
              </w:rPr>
              <w:t>升压站</w:t>
            </w:r>
            <w:r>
              <w:rPr>
                <w:rFonts w:ascii="Times New Roman"/>
                <w:color w:val="000000" w:themeColor="text1"/>
                <w:sz w:val="24"/>
                <w:highlight w:val="none"/>
                <w14:textFill>
                  <w14:solidFill>
                    <w14:schemeClr w14:val="tx1"/>
                  </w14:solidFill>
                </w14:textFill>
              </w:rPr>
              <w:t>工频电场强度及工频磁感应强度分别符合</w:t>
            </w:r>
            <w:r>
              <w:rPr>
                <w:rFonts w:hint="eastAsia" w:ascii="Times New Roman"/>
                <w:color w:val="000000" w:themeColor="text1"/>
                <w:sz w:val="24"/>
                <w:highlight w:val="none"/>
                <w14:textFill>
                  <w14:solidFill>
                    <w14:schemeClr w14:val="tx1"/>
                  </w14:solidFill>
                </w14:textFill>
              </w:rPr>
              <w:t>《电磁环境控制限值》（</w:t>
            </w:r>
            <w:r>
              <w:rPr>
                <w:rFonts w:ascii="Times New Roman"/>
                <w:color w:val="000000" w:themeColor="text1"/>
                <w:sz w:val="24"/>
                <w:highlight w:val="none"/>
                <w14:textFill>
                  <w14:solidFill>
                    <w14:schemeClr w14:val="tx1"/>
                  </w14:solidFill>
                </w14:textFill>
              </w:rPr>
              <w:t>GB8702-2014</w:t>
            </w:r>
            <w:r>
              <w:rPr>
                <w:rFonts w:hint="eastAsia" w:ascii="Times New Roman"/>
                <w:color w:val="000000" w:themeColor="text1"/>
                <w:sz w:val="24"/>
                <w:highlight w:val="none"/>
                <w14:textFill>
                  <w14:solidFill>
                    <w14:schemeClr w14:val="tx1"/>
                  </w14:solidFill>
                </w14:textFill>
              </w:rPr>
              <w:t>）表</w:t>
            </w:r>
            <w:r>
              <w:rPr>
                <w:rFonts w:ascii="Times New Roman"/>
                <w:color w:val="000000" w:themeColor="text1"/>
                <w:sz w:val="24"/>
                <w:highlight w:val="none"/>
                <w14:textFill>
                  <w14:solidFill>
                    <w14:schemeClr w14:val="tx1"/>
                  </w14:solidFill>
                </w14:textFill>
              </w:rPr>
              <w:t>1</w:t>
            </w:r>
            <w:r>
              <w:rPr>
                <w:rFonts w:hint="eastAsia" w:ascii="Times New Roman"/>
                <w:color w:val="000000" w:themeColor="text1"/>
                <w:sz w:val="24"/>
                <w:highlight w:val="none"/>
                <w14:textFill>
                  <w14:solidFill>
                    <w14:schemeClr w14:val="tx1"/>
                  </w14:solidFill>
                </w14:textFill>
              </w:rPr>
              <w:t>中</w:t>
            </w:r>
            <w:r>
              <w:rPr>
                <w:rFonts w:ascii="Times New Roman"/>
                <w:color w:val="000000" w:themeColor="text1"/>
                <w:sz w:val="24"/>
                <w:highlight w:val="none"/>
                <w14:textFill>
                  <w14:solidFill>
                    <w14:schemeClr w14:val="tx1"/>
                  </w14:solidFill>
                </w14:textFill>
              </w:rPr>
              <w:t>50Hz</w:t>
            </w:r>
            <w:r>
              <w:rPr>
                <w:rFonts w:hint="eastAsia" w:ascii="Times New Roman"/>
                <w:color w:val="000000" w:themeColor="text1"/>
                <w:sz w:val="24"/>
                <w:highlight w:val="none"/>
                <w14:textFill>
                  <w14:solidFill>
                    <w14:schemeClr w14:val="tx1"/>
                  </w14:solidFill>
                </w14:textFill>
              </w:rPr>
              <w:t>相应标准，即公众曝露的电场强度控制限值为</w:t>
            </w:r>
            <w:r>
              <w:rPr>
                <w:rFonts w:ascii="Times New Roman"/>
                <w:color w:val="000000" w:themeColor="text1"/>
                <w:sz w:val="24"/>
                <w:highlight w:val="none"/>
                <w14:textFill>
                  <w14:solidFill>
                    <w14:schemeClr w14:val="tx1"/>
                  </w14:solidFill>
                </w14:textFill>
              </w:rPr>
              <w:t>4kV/m</w:t>
            </w:r>
            <w:r>
              <w:rPr>
                <w:rFonts w:hint="eastAsia" w:ascii="Times New Roman"/>
                <w:color w:val="000000" w:themeColor="text1"/>
                <w:sz w:val="24"/>
                <w:highlight w:val="none"/>
                <w14:textFill>
                  <w14:solidFill>
                    <w14:schemeClr w14:val="tx1"/>
                  </w14:solidFill>
                </w14:textFill>
              </w:rPr>
              <w:t>，磁感应强度控制限值为</w:t>
            </w:r>
            <w:r>
              <w:rPr>
                <w:rFonts w:ascii="Times New Roman"/>
                <w:color w:val="000000" w:themeColor="text1"/>
                <w:sz w:val="24"/>
                <w:highlight w:val="none"/>
                <w14:textFill>
                  <w14:solidFill>
                    <w14:schemeClr w14:val="tx1"/>
                  </w14:solidFill>
                </w14:textFill>
              </w:rPr>
              <w:t>100µT。</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根据类比监测，本项目实施后</w:t>
            </w:r>
            <w:r>
              <w:rPr>
                <w:rFonts w:hint="eastAsia" w:ascii="Times New Roman"/>
                <w:color w:val="000000" w:themeColor="text1"/>
                <w:sz w:val="24"/>
                <w:highlight w:val="none"/>
                <w14:textFill>
                  <w14:solidFill>
                    <w14:schemeClr w14:val="tx1"/>
                  </w14:solidFill>
                </w14:textFill>
              </w:rPr>
              <w:t>升压站</w:t>
            </w:r>
            <w:r>
              <w:rPr>
                <w:rFonts w:ascii="Times New Roman"/>
                <w:color w:val="000000" w:themeColor="text1"/>
                <w:sz w:val="24"/>
                <w:highlight w:val="none"/>
                <w14:textFill>
                  <w14:solidFill>
                    <w14:schemeClr w14:val="tx1"/>
                  </w14:solidFill>
                </w14:textFill>
              </w:rPr>
              <w:t>工频电场强度、工频磁感应强度符合</w:t>
            </w:r>
            <w:r>
              <w:rPr>
                <w:rFonts w:hint="eastAsia" w:ascii="Times New Roman"/>
                <w:color w:val="000000" w:themeColor="text1"/>
                <w:sz w:val="24"/>
                <w:highlight w:val="none"/>
                <w14:textFill>
                  <w14:solidFill>
                    <w14:schemeClr w14:val="tx1"/>
                  </w14:solidFill>
                </w14:textFill>
              </w:rPr>
              <w:t>《电磁环境控制限值》（</w:t>
            </w:r>
            <w:r>
              <w:rPr>
                <w:rFonts w:ascii="Times New Roman"/>
                <w:color w:val="000000" w:themeColor="text1"/>
                <w:sz w:val="24"/>
                <w:highlight w:val="none"/>
                <w14:textFill>
                  <w14:solidFill>
                    <w14:schemeClr w14:val="tx1"/>
                  </w14:solidFill>
                </w14:textFill>
              </w:rPr>
              <w:t>GB8702-2014</w:t>
            </w:r>
            <w:r>
              <w:rPr>
                <w:rFonts w:hint="eastAsia" w:ascii="Times New Roman"/>
                <w:color w:val="000000" w:themeColor="text1"/>
                <w:sz w:val="24"/>
                <w:highlight w:val="none"/>
                <w14:textFill>
                  <w14:solidFill>
                    <w14:schemeClr w14:val="tx1"/>
                  </w14:solidFill>
                </w14:textFill>
              </w:rPr>
              <w:t>）表</w:t>
            </w:r>
            <w:r>
              <w:rPr>
                <w:rFonts w:ascii="Times New Roman"/>
                <w:color w:val="000000" w:themeColor="text1"/>
                <w:sz w:val="24"/>
                <w:highlight w:val="none"/>
                <w14:textFill>
                  <w14:solidFill>
                    <w14:schemeClr w14:val="tx1"/>
                  </w14:solidFill>
                </w14:textFill>
              </w:rPr>
              <w:t>1</w:t>
            </w:r>
            <w:r>
              <w:rPr>
                <w:rFonts w:hint="eastAsia" w:ascii="Times New Roman"/>
                <w:color w:val="000000" w:themeColor="text1"/>
                <w:sz w:val="24"/>
                <w:highlight w:val="none"/>
                <w14:textFill>
                  <w14:solidFill>
                    <w14:schemeClr w14:val="tx1"/>
                  </w14:solidFill>
                </w14:textFill>
              </w:rPr>
              <w:t>中</w:t>
            </w:r>
            <w:r>
              <w:rPr>
                <w:rFonts w:ascii="Times New Roman"/>
                <w:color w:val="000000" w:themeColor="text1"/>
                <w:sz w:val="24"/>
                <w:highlight w:val="none"/>
                <w14:textFill>
                  <w14:solidFill>
                    <w14:schemeClr w14:val="tx1"/>
                  </w14:solidFill>
                </w14:textFill>
              </w:rPr>
              <w:t>50Hz</w:t>
            </w:r>
            <w:r>
              <w:rPr>
                <w:rFonts w:hint="eastAsia" w:ascii="Times New Roman"/>
                <w:color w:val="000000" w:themeColor="text1"/>
                <w:sz w:val="24"/>
                <w:highlight w:val="none"/>
                <w14:textFill>
                  <w14:solidFill>
                    <w14:schemeClr w14:val="tx1"/>
                  </w14:solidFill>
                </w14:textFill>
              </w:rPr>
              <w:t>相应标准，即公众曝露的电场强度控制限值为</w:t>
            </w:r>
            <w:r>
              <w:rPr>
                <w:rFonts w:ascii="Times New Roman"/>
                <w:color w:val="000000" w:themeColor="text1"/>
                <w:sz w:val="24"/>
                <w:highlight w:val="none"/>
                <w14:textFill>
                  <w14:solidFill>
                    <w14:schemeClr w14:val="tx1"/>
                  </w14:solidFill>
                </w14:textFill>
              </w:rPr>
              <w:t>4kV/m</w:t>
            </w:r>
            <w:r>
              <w:rPr>
                <w:rFonts w:hint="eastAsia" w:ascii="Times New Roman"/>
                <w:color w:val="000000" w:themeColor="text1"/>
                <w:sz w:val="24"/>
                <w:highlight w:val="none"/>
                <w14:textFill>
                  <w14:solidFill>
                    <w14:schemeClr w14:val="tx1"/>
                  </w14:solidFill>
                </w14:textFill>
              </w:rPr>
              <w:t>，磁感应强度控制限值为</w:t>
            </w:r>
            <w:r>
              <w:rPr>
                <w:rFonts w:ascii="Times New Roman"/>
                <w:color w:val="000000" w:themeColor="text1"/>
                <w:sz w:val="24"/>
                <w:highlight w:val="none"/>
                <w14:textFill>
                  <w14:solidFill>
                    <w14:schemeClr w14:val="tx1"/>
                  </w14:solidFill>
                </w14:textFill>
              </w:rPr>
              <w:t>100µT。</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采取本环评提出的相关防治措施后，本项目排放的污染物不会突破区域环境质量底线。</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(3)资源利用上线</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本项目不属于高污染、高能耗项目。项目运营期资源消耗主要为工作人员生活用水和用电，资源利用量小，同时项目建成后将为地区经济发展提供一定的电力资源保障，建成运行后通过内部管理强化、设备的优化选用和管理、污染治理等多方面采取合理可行的防治措施，以“节能、降耗、减污”为目标，有效的控制污染。减少能耗，不会突破资源利用上线。</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（4）</w:t>
            </w:r>
            <w:r>
              <w:rPr>
                <w:rFonts w:ascii="Times New Roman"/>
                <w:color w:val="000000" w:themeColor="text1"/>
                <w:sz w:val="24"/>
                <w:highlight w:val="none"/>
                <w14:textFill>
                  <w14:solidFill>
                    <w14:schemeClr w14:val="tx1"/>
                  </w14:solidFill>
                </w14:textFill>
              </w:rPr>
              <w:t>环境准入负面清单</w:t>
            </w:r>
          </w:p>
          <w:p>
            <w:pPr>
              <w:pStyle w:val="51"/>
              <w:spacing w:line="360" w:lineRule="auto"/>
              <w:ind w:firstLineChars="200"/>
              <w:rPr>
                <w:rFonts w:hint="default" w:ascii="Times New Roman" w:hAnsi="Times New Roman" w:cs="Times New Roman"/>
                <w:bCs/>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①</w:t>
            </w:r>
            <w:r>
              <w:rPr>
                <w:rFonts w:hint="default" w:ascii="Times New Roman" w:hAnsi="Times New Roman" w:cs="Times New Roman"/>
                <w:bCs/>
                <w:color w:val="000000" w:themeColor="text1"/>
                <w:highlight w:val="none"/>
                <w14:textFill>
                  <w14:solidFill>
                    <w14:schemeClr w14:val="tx1"/>
                  </w14:solidFill>
                </w14:textFill>
              </w:rPr>
              <w:t>与国家负面清单符合性分析</w:t>
            </w:r>
          </w:p>
          <w:p>
            <w:pPr>
              <w:pStyle w:val="51"/>
              <w:spacing w:line="360" w:lineRule="auto"/>
              <w:ind w:firstLineChars="200"/>
              <w:rPr>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本项目不在国家发改委《市场准入负面清单（2022年版）》范围内。</w:t>
            </w:r>
          </w:p>
          <w:p>
            <w:pPr>
              <w:pStyle w:val="51"/>
              <w:spacing w:line="360" w:lineRule="auto"/>
              <w:ind w:firstLineChars="200"/>
              <w:rPr>
                <w:rFonts w:hint="eastAsia" w:ascii="Times New Roman"/>
                <w:color w:val="000000" w:themeColor="text1"/>
                <w:highlight w:val="none"/>
                <w:lang w:val="en-US" w:eastAsia="zh-CN"/>
                <w14:textFill>
                  <w14:solidFill>
                    <w14:schemeClr w14:val="tx1"/>
                  </w14:solidFill>
                </w14:textFill>
              </w:rPr>
            </w:pPr>
            <w:r>
              <w:rPr>
                <w:rFonts w:hint="eastAsia" w:ascii="Times New Roman" w:hAnsi="Times New Roman" w:cs="Times New Roman"/>
                <w:bCs/>
                <w:color w:val="000000" w:themeColor="text1"/>
                <w:highlight w:val="none"/>
                <w:lang w:val="en-US" w:eastAsia="zh-CN"/>
                <w14:textFill>
                  <w14:solidFill>
                    <w14:schemeClr w14:val="tx1"/>
                  </w14:solidFill>
                </w14:textFill>
              </w:rPr>
              <w:t>②</w:t>
            </w:r>
            <w:r>
              <w:rPr>
                <w:rFonts w:ascii="Times New Roman" w:eastAsia="宋体" w:cs="Times New Roman"/>
                <w:color w:val="000000" w:themeColor="text1"/>
                <w:kern w:val="2"/>
                <w:highlight w:val="none"/>
                <w14:textFill>
                  <w14:solidFill>
                    <w14:schemeClr w14:val="tx1"/>
                  </w14:solidFill>
                </w14:textFill>
              </w:rPr>
              <w:t>河北省生态环境分区管控符合性分析</w:t>
            </w:r>
          </w:p>
          <w:p>
            <w:pPr>
              <w:pStyle w:val="51"/>
              <w:spacing w:line="360" w:lineRule="auto"/>
              <w:ind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根据《河北省人民政府关于加快实施“三线一单”生态环境分区管控的意见》（冀政字〔2020〕71号），环境管控单元包括优先保护、重点管控和一般管控单元三类。</w:t>
            </w:r>
          </w:p>
          <w:p>
            <w:pPr>
              <w:pStyle w:val="51"/>
              <w:spacing w:line="360" w:lineRule="auto"/>
              <w:ind w:firstLineChars="200"/>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优先保护单元主要包括生态保护红线，各类自然保护地、饮用水水源保护区、海洋红线区及其他重要生态功能区等一般生态空间。重点管控单元主要包括城市规划区、省级以上产业园区、港区和开发强度高、污染物排放强度大、环境问题较为突出的区域等。一般管控单元为优先保护单元和重点管控单元之外的其他区域。本项目属于“河北省环境管控单元”中的</w:t>
            </w:r>
            <w:r>
              <w:rPr>
                <w:rFonts w:hint="eastAsia" w:ascii="Times New Roman"/>
                <w:color w:val="000000" w:themeColor="text1"/>
                <w:highlight w:val="none"/>
                <w:lang w:val="en-US" w:eastAsia="zh-CN"/>
                <w14:textFill>
                  <w14:solidFill>
                    <w14:schemeClr w14:val="tx1"/>
                  </w14:solidFill>
                </w14:textFill>
              </w:rPr>
              <w:t>优先</w:t>
            </w:r>
            <w:r>
              <w:rPr>
                <w:rFonts w:ascii="Times New Roman"/>
                <w:color w:val="000000" w:themeColor="text1"/>
                <w:highlight w:val="none"/>
                <w14:textFill>
                  <w14:solidFill>
                    <w14:schemeClr w14:val="tx1"/>
                  </w14:solidFill>
                </w14:textFill>
              </w:rPr>
              <w:t>保护单元。</w:t>
            </w:r>
          </w:p>
          <w:p>
            <w:pPr>
              <w:pStyle w:val="51"/>
              <w:spacing w:line="360" w:lineRule="auto"/>
              <w:ind w:firstLineChars="200"/>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本项目不占压生态保护红线和基本农田，项目所在区域不属于城市规划区、省级以上产业园区、港区和开发强度高、污染物排放强度大、环境问题较为突出的区域。项目建设符合国家和区域环境准入条件，项目运营期产生的污染物经采取合理措施后达标排放，已按要求严格执行国家和省关于产业准入、总量控制和污染物排放标准等管控要求。本项目与河北省环境管控单元分布图位置关系见</w:t>
            </w:r>
            <w:r>
              <w:rPr>
                <w:rFonts w:hint="eastAsia" w:ascii="Times New Roman"/>
                <w:color w:val="000000" w:themeColor="text1"/>
                <w:highlight w:val="none"/>
                <w:lang w:val="en-US" w:eastAsia="zh-CN"/>
                <w14:textFill>
                  <w14:solidFill>
                    <w14:schemeClr w14:val="tx1"/>
                  </w14:solidFill>
                </w14:textFill>
              </w:rPr>
              <w:t>附图</w:t>
            </w:r>
            <w:r>
              <w:rPr>
                <w:rFonts w:hint="eastAsia" w:ascii="Times New Roman"/>
                <w:color w:val="000000" w:themeColor="text1"/>
                <w:highlight w:val="none"/>
                <w14:textFill>
                  <w14:solidFill>
                    <w14:schemeClr w14:val="tx1"/>
                  </w14:solidFill>
                </w14:textFill>
              </w:rPr>
              <w:t>。</w:t>
            </w:r>
          </w:p>
          <w:p>
            <w:pPr>
              <w:pStyle w:val="51"/>
              <w:spacing w:line="360" w:lineRule="auto"/>
              <w:ind w:firstLineChars="200"/>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因此，项目建设符合《河北省人民政府关于加快实施“三线一单”生态环境分区管控的意见》要求。</w:t>
            </w:r>
          </w:p>
          <w:p>
            <w:pPr>
              <w:pStyle w:val="51"/>
              <w:keepNext w:val="0"/>
              <w:keepLines w:val="0"/>
              <w:suppressLineNumbers w:val="0"/>
              <w:spacing w:before="0" w:beforeAutospacing="0" w:after="0" w:afterAutospacing="0" w:line="360" w:lineRule="auto"/>
              <w:ind w:left="0" w:right="0" w:firstLineChars="200"/>
              <w:rPr>
                <w:rFonts w:hint="default" w:ascii="Times New Roman" w:hAnsi="Times New Roman" w:cs="Times New Roman"/>
                <w:bCs/>
                <w:color w:val="000000" w:themeColor="text1"/>
                <w:sz w:val="24"/>
                <w:highlight w:val="none"/>
                <w14:textFill>
                  <w14:solidFill>
                    <w14:schemeClr w14:val="tx1"/>
                  </w14:solidFill>
                </w14:textFill>
              </w:rPr>
            </w:pPr>
            <w:r>
              <w:rPr>
                <w:rFonts w:hint="default" w:ascii="Times New Roman" w:hAnsi="Times New Roman" w:cs="Times New Roman"/>
                <w:bCs/>
                <w:color w:val="000000" w:themeColor="text1"/>
                <w:sz w:val="24"/>
                <w:highlight w:val="none"/>
                <w:lang w:val="en-US" w:eastAsia="zh-CN"/>
                <w14:textFill>
                  <w14:solidFill>
                    <w14:schemeClr w14:val="tx1"/>
                  </w14:solidFill>
                </w14:textFill>
              </w:rPr>
              <w:t>③</w:t>
            </w:r>
            <w:r>
              <w:rPr>
                <w:rFonts w:hint="default" w:ascii="Times New Roman" w:hAnsi="Times New Roman" w:cs="Times New Roman"/>
                <w:bCs/>
                <w:color w:val="000000" w:themeColor="text1"/>
                <w:sz w:val="24"/>
                <w:highlight w:val="none"/>
                <w14:textFill>
                  <w14:solidFill>
                    <w14:schemeClr w14:val="tx1"/>
                  </w14:solidFill>
                </w14:textFill>
              </w:rPr>
              <w:t>与承德市生态环境管控符合性分析</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w:t>
            </w:r>
            <w:r>
              <w:rPr>
                <w:rFonts w:hint="eastAsia" w:ascii="Times New Roman"/>
                <w:color w:val="000000" w:themeColor="text1"/>
                <w:sz w:val="24"/>
                <w:szCs w:val="24"/>
                <w:highlight w:val="none"/>
                <w14:textFill>
                  <w14:solidFill>
                    <w14:schemeClr w14:val="tx1"/>
                  </w14:solidFill>
                </w14:textFill>
              </w:rPr>
              <w:t>位于</w:t>
            </w:r>
            <w:r>
              <w:rPr>
                <w:rFonts w:hint="eastAsia" w:ascii="Times New Roman"/>
                <w:color w:val="000000" w:themeColor="text1"/>
                <w:sz w:val="24"/>
                <w:szCs w:val="24"/>
                <w:highlight w:val="none"/>
                <w:lang w:eastAsia="zh-CN"/>
                <w14:textFill>
                  <w14:solidFill>
                    <w14:schemeClr w14:val="tx1"/>
                  </w14:solidFill>
                </w14:textFill>
              </w:rPr>
              <w:t>围场满族蒙古族自治县围场镇坡字村坡来南沟东北约1.97km</w:t>
            </w:r>
            <w:r>
              <w:rPr>
                <w:rFonts w:ascii="Times New Roman"/>
                <w:color w:val="000000" w:themeColor="text1"/>
                <w:sz w:val="24"/>
                <w:szCs w:val="24"/>
                <w:highlight w:val="none"/>
                <w14:textFill>
                  <w14:solidFill>
                    <w14:schemeClr w14:val="tx1"/>
                  </w14:solidFill>
                </w14:textFill>
              </w:rPr>
              <w:t>，根据《承德市人民政府关于加快实施“三线一单”生态环境分区管控的意见》的附件《承德市“三线一单”生态环境准入清单》</w:t>
            </w:r>
            <w:r>
              <w:rPr>
                <w:rFonts w:hint="eastAsia" w:ascii="Times New Roman"/>
                <w:color w:val="000000" w:themeColor="text1"/>
                <w:sz w:val="24"/>
                <w:szCs w:val="24"/>
                <w:highlight w:val="none"/>
                <w14:textFill>
                  <w14:solidFill>
                    <w14:schemeClr w14:val="tx1"/>
                  </w14:solidFill>
                </w14:textFill>
              </w:rPr>
              <w:t>，本项目占地范围内</w:t>
            </w:r>
            <w:r>
              <w:rPr>
                <w:rFonts w:ascii="Times New Roman"/>
                <w:color w:val="000000" w:themeColor="text1"/>
                <w:sz w:val="24"/>
                <w:szCs w:val="24"/>
                <w:highlight w:val="none"/>
                <w14:textFill>
                  <w14:solidFill>
                    <w14:schemeClr w14:val="tx1"/>
                  </w14:solidFill>
                </w14:textFill>
              </w:rPr>
              <w:t>管控类别</w:t>
            </w:r>
            <w:r>
              <w:rPr>
                <w:rFonts w:hint="eastAsia" w:ascii="Times New Roman"/>
                <w:color w:val="000000" w:themeColor="text1"/>
                <w:sz w:val="24"/>
                <w:szCs w:val="24"/>
                <w:highlight w:val="none"/>
                <w:lang w:val="en-US" w:eastAsia="zh-CN"/>
                <w14:textFill>
                  <w14:solidFill>
                    <w14:schemeClr w14:val="tx1"/>
                  </w14:solidFill>
                </w14:textFill>
              </w:rPr>
              <w:t>为优先保护</w:t>
            </w:r>
            <w:r>
              <w:rPr>
                <w:rFonts w:hint="eastAsia" w:ascii="Times New Roman"/>
                <w:color w:val="000000" w:themeColor="text1"/>
                <w:sz w:val="24"/>
                <w:szCs w:val="24"/>
                <w:highlight w:val="none"/>
                <w14:textFill>
                  <w14:solidFill>
                    <w14:schemeClr w14:val="tx1"/>
                  </w14:solidFill>
                </w14:textFill>
              </w:rPr>
              <w:t>单元</w:t>
            </w:r>
            <w:r>
              <w:rPr>
                <w:rFonts w:ascii="Times New Roman"/>
                <w:color w:val="000000" w:themeColor="text1"/>
                <w:sz w:val="24"/>
                <w:szCs w:val="24"/>
                <w:highlight w:val="none"/>
                <w14:textFill>
                  <w14:solidFill>
                    <w14:schemeClr w14:val="tx1"/>
                  </w14:solidFill>
                </w14:textFill>
              </w:rPr>
              <w:t>ZH13082</w:t>
            </w:r>
            <w:r>
              <w:rPr>
                <w:rFonts w:hint="eastAsia" w:ascii="Times New Roman"/>
                <w:color w:val="000000" w:themeColor="text1"/>
                <w:sz w:val="24"/>
                <w:szCs w:val="24"/>
                <w:highlight w:val="none"/>
                <w:lang w:val="en-US" w:eastAsia="zh-CN"/>
                <w14:textFill>
                  <w14:solidFill>
                    <w14:schemeClr w14:val="tx1"/>
                  </w14:solidFill>
                </w14:textFill>
              </w:rPr>
              <w:t>810009</w:t>
            </w:r>
            <w:r>
              <w:rPr>
                <w:rFonts w:hint="eastAsia" w:ascii="Times New Roman"/>
                <w:color w:val="000000" w:themeColor="text1"/>
                <w:sz w:val="24"/>
                <w:szCs w:val="24"/>
                <w:highlight w:val="none"/>
                <w14:textFill>
                  <w14:solidFill>
                    <w14:schemeClr w14:val="tx1"/>
                  </w14:solidFill>
                </w14:textFill>
              </w:rPr>
              <w:t>。本项目与管控单元生态环境准入清单相符性见表</w:t>
            </w:r>
            <w:r>
              <w:rPr>
                <w:rFonts w:ascii="Times New Roman"/>
                <w:color w:val="000000" w:themeColor="text1"/>
                <w:sz w:val="24"/>
                <w:szCs w:val="24"/>
                <w:highlight w:val="none"/>
                <w14:textFill>
                  <w14:solidFill>
                    <w14:schemeClr w14:val="tx1"/>
                  </w14:solidFill>
                </w14:textFill>
              </w:rPr>
              <w:t>1-</w:t>
            </w: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本项目选址与承德市环境管控单元位置关系示意图详见图</w:t>
            </w:r>
            <w:r>
              <w:rPr>
                <w:rFonts w:hint="eastAsia" w:ascii="Times New Roman"/>
                <w:color w:val="000000" w:themeColor="text1"/>
                <w:sz w:val="24"/>
                <w:szCs w:val="24"/>
                <w:highlight w:val="none"/>
                <w:lang w:val="en-US" w:eastAsia="zh-CN"/>
                <w14:textFill>
                  <w14:solidFill>
                    <w14:schemeClr w14:val="tx1"/>
                  </w14:solidFill>
                </w14:textFill>
              </w:rPr>
              <w:t>1-1、</w:t>
            </w:r>
            <w:r>
              <w:rPr>
                <w:rFonts w:hint="eastAsia" w:ascii="Times New Roman"/>
                <w:color w:val="000000" w:themeColor="text1"/>
                <w:sz w:val="24"/>
                <w:szCs w:val="24"/>
                <w:highlight w:val="none"/>
                <w14:textFill>
                  <w14:solidFill>
                    <w14:schemeClr w14:val="tx1"/>
                  </w14:solidFill>
                </w14:textFill>
              </w:rPr>
              <w:t>1-</w:t>
            </w:r>
            <w:r>
              <w:rPr>
                <w:rFonts w:hint="eastAsia" w:ascii="Times New Roman"/>
                <w:color w:val="000000" w:themeColor="text1"/>
                <w:sz w:val="24"/>
                <w:szCs w:val="24"/>
                <w:highlight w:val="none"/>
                <w:lang w:val="en-US" w:eastAsia="zh-CN"/>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w:t>
            </w:r>
          </w:p>
          <w:p>
            <w:pPr>
              <w:pStyle w:val="46"/>
              <w:adjustRightInd w:val="0"/>
              <w:snapToGrid w:val="0"/>
              <w:spacing w:before="0" w:beforeAutospacing="0" w:after="0" w:afterAutospacing="0"/>
              <w:jc w:val="center"/>
              <w:rPr>
                <w:rFonts w:ascii="Times New Roman" w:hAnsi="Times New Roman"/>
                <w:b/>
                <w:color w:val="000000" w:themeColor="text1"/>
                <w:szCs w:val="24"/>
                <w:highlight w:val="none"/>
                <w14:textFill>
                  <w14:solidFill>
                    <w14:schemeClr w14:val="tx1"/>
                  </w14:solidFill>
                </w14:textFill>
              </w:rPr>
            </w:pPr>
            <w:r>
              <w:rPr>
                <w:rFonts w:hint="eastAsia" w:ascii="Times New Roman" w:hAnsi="Times New Roman"/>
                <w:b/>
                <w:color w:val="000000" w:themeColor="text1"/>
                <w:kern w:val="2"/>
                <w:szCs w:val="24"/>
                <w:highlight w:val="none"/>
                <w:lang w:bidi="ar"/>
                <w14:textFill>
                  <w14:solidFill>
                    <w14:schemeClr w14:val="tx1"/>
                  </w14:solidFill>
                </w14:textFill>
              </w:rPr>
              <w:t>表</w:t>
            </w:r>
            <w:r>
              <w:rPr>
                <w:rFonts w:ascii="Times New Roman" w:hAnsi="Times New Roman"/>
                <w:b/>
                <w:color w:val="000000" w:themeColor="text1"/>
                <w:kern w:val="2"/>
                <w:szCs w:val="24"/>
                <w:highlight w:val="none"/>
                <w:lang w:bidi="ar"/>
                <w14:textFill>
                  <w14:solidFill>
                    <w14:schemeClr w14:val="tx1"/>
                  </w14:solidFill>
                </w14:textFill>
              </w:rPr>
              <w:t>1-</w:t>
            </w:r>
            <w:r>
              <w:rPr>
                <w:rFonts w:hint="eastAsia" w:ascii="Times New Roman" w:hAnsi="Times New Roman"/>
                <w:b/>
                <w:color w:val="000000" w:themeColor="text1"/>
                <w:kern w:val="2"/>
                <w:szCs w:val="24"/>
                <w:highlight w:val="none"/>
                <w:lang w:bidi="ar"/>
                <w14:textFill>
                  <w14:solidFill>
                    <w14:schemeClr w14:val="tx1"/>
                  </w14:solidFill>
                </w14:textFill>
              </w:rPr>
              <w:t>2</w:t>
            </w:r>
            <w:r>
              <w:rPr>
                <w:rFonts w:ascii="Times New Roman" w:hAnsi="Times New Roman"/>
                <w:b/>
                <w:color w:val="000000" w:themeColor="text1"/>
                <w:kern w:val="2"/>
                <w:szCs w:val="24"/>
                <w:highlight w:val="none"/>
                <w:lang w:bidi="ar"/>
                <w14:textFill>
                  <w14:solidFill>
                    <w14:schemeClr w14:val="tx1"/>
                  </w14:solidFill>
                </w14:textFill>
              </w:rPr>
              <w:t xml:space="preserve">  </w:t>
            </w:r>
            <w:r>
              <w:rPr>
                <w:rFonts w:hint="eastAsia" w:ascii="Times New Roman" w:hAnsi="Times New Roman"/>
                <w:b/>
                <w:color w:val="000000" w:themeColor="text1"/>
                <w:kern w:val="2"/>
                <w:szCs w:val="24"/>
                <w:highlight w:val="none"/>
                <w:lang w:bidi="ar"/>
                <w14:textFill>
                  <w14:solidFill>
                    <w14:schemeClr w14:val="tx1"/>
                  </w14:solidFill>
                </w14:textFill>
              </w:rPr>
              <w:t>本项目与管控单元生态环境准入清单相符性</w:t>
            </w:r>
          </w:p>
          <w:tbl>
            <w:tblPr>
              <w:tblStyle w:val="53"/>
              <w:tblW w:w="4997" w:type="pct"/>
              <w:tblInd w:w="0" w:type="dxa"/>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58"/>
              <w:gridCol w:w="912"/>
              <w:gridCol w:w="681"/>
              <w:gridCol w:w="907"/>
              <w:gridCol w:w="1324"/>
              <w:gridCol w:w="994"/>
              <w:gridCol w:w="1457"/>
            </w:tblGrid>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408" w:type="pct"/>
                  <w:tcBorders>
                    <w:top w:val="single" w:color="000000" w:sz="12" w:space="0"/>
                    <w:left w:val="nil"/>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编号</w:t>
                  </w:r>
                </w:p>
              </w:tc>
              <w:tc>
                <w:tcPr>
                  <w:tcW w:w="667" w:type="pct"/>
                  <w:tcBorders>
                    <w:top w:val="single" w:color="000000" w:sz="12"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涉及乡镇</w:t>
                  </w:r>
                </w:p>
              </w:tc>
              <w:tc>
                <w:tcPr>
                  <w:tcW w:w="498" w:type="pct"/>
                  <w:tcBorders>
                    <w:top w:val="single" w:color="000000" w:sz="12"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管控类别</w:t>
                  </w:r>
                </w:p>
              </w:tc>
              <w:tc>
                <w:tcPr>
                  <w:tcW w:w="663" w:type="pct"/>
                  <w:tcBorders>
                    <w:top w:val="single" w:color="000000" w:sz="12"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环境要素类别</w:t>
                  </w:r>
                </w:p>
              </w:tc>
              <w:tc>
                <w:tcPr>
                  <w:tcW w:w="968" w:type="pct"/>
                  <w:tcBorders>
                    <w:top w:val="single" w:color="000000" w:sz="12"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维度</w:t>
                  </w:r>
                </w:p>
              </w:tc>
              <w:tc>
                <w:tcPr>
                  <w:tcW w:w="727" w:type="pct"/>
                  <w:tcBorders>
                    <w:top w:val="single" w:color="000000" w:sz="12" w:space="0"/>
                    <w:left w:val="single" w:color="000000" w:sz="4" w:space="0"/>
                    <w:bottom w:val="single" w:color="000000" w:sz="4" w:space="0"/>
                    <w:right w:val="single" w:color="000000" w:sz="4" w:space="0"/>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管控措施</w:t>
                  </w:r>
                </w:p>
              </w:tc>
              <w:tc>
                <w:tcPr>
                  <w:tcW w:w="1066" w:type="pct"/>
                  <w:tcBorders>
                    <w:top w:val="single" w:color="000000" w:sz="12" w:space="0"/>
                    <w:left w:val="single" w:color="000000" w:sz="4" w:space="0"/>
                    <w:bottom w:val="single" w:color="000000" w:sz="4" w:space="0"/>
                    <w:right w:val="nil"/>
                  </w:tcBorders>
                  <w:shd w:val="clear" w:color="auto" w:fill="auto"/>
                  <w:vAlign w:val="center"/>
                </w:tcPr>
                <w:p>
                  <w:pPr>
                    <w:snapToGrid w:val="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本项目</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08" w:type="pct"/>
                  <w:vMerge w:val="restart"/>
                  <w:tcBorders>
                    <w:top w:val="single" w:color="000000" w:sz="4" w:space="0"/>
                    <w:left w:val="nil"/>
                    <w:right w:val="single" w:color="000000" w:sz="4" w:space="0"/>
                  </w:tcBorders>
                  <w:vAlign w:val="center"/>
                </w:tcPr>
                <w:p>
                  <w:pPr>
                    <w:snapToGrid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ZH13082810009</w:t>
                  </w:r>
                </w:p>
              </w:tc>
              <w:tc>
                <w:tcPr>
                  <w:tcW w:w="667" w:type="pct"/>
                  <w:vMerge w:val="restart"/>
                  <w:tcBorders>
                    <w:top w:val="single" w:color="000000" w:sz="4" w:space="0"/>
                    <w:left w:val="single" w:color="000000" w:sz="4" w:space="0"/>
                    <w:right w:val="single" w:color="000000" w:sz="4" w:space="0"/>
                  </w:tcBorders>
                  <w:vAlign w:val="center"/>
                </w:tcPr>
                <w:p>
                  <w:pPr>
                    <w:snapToGrid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围场镇</w:t>
                  </w:r>
                </w:p>
              </w:tc>
              <w:tc>
                <w:tcPr>
                  <w:tcW w:w="498" w:type="pct"/>
                  <w:vMerge w:val="restart"/>
                  <w:tcBorders>
                    <w:top w:val="single" w:color="000000" w:sz="4" w:space="0"/>
                    <w:left w:val="single" w:color="000000" w:sz="4" w:space="0"/>
                    <w:right w:val="single" w:color="000000" w:sz="4" w:space="0"/>
                  </w:tcBorders>
                  <w:vAlign w:val="center"/>
                </w:tcPr>
                <w:p>
                  <w:pPr>
                    <w:snapToGrid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优先保护单元</w:t>
                  </w:r>
                </w:p>
              </w:tc>
              <w:tc>
                <w:tcPr>
                  <w:tcW w:w="663" w:type="pct"/>
                  <w:vMerge w:val="restart"/>
                  <w:tcBorders>
                    <w:top w:val="single" w:color="000000" w:sz="4" w:space="0"/>
                    <w:left w:val="single" w:color="000000" w:sz="4" w:space="0"/>
                    <w:right w:val="single" w:color="000000" w:sz="4" w:space="0"/>
                  </w:tcBorders>
                  <w:vAlign w:val="center"/>
                </w:tcPr>
                <w:p>
                  <w:pPr>
                    <w:snapToGrid w:val="0"/>
                    <w:jc w:val="center"/>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一般生态空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间</w:t>
                  </w:r>
                </w:p>
              </w:tc>
              <w:tc>
                <w:tcPr>
                  <w:tcW w:w="968"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空间布局约束</w:t>
                  </w:r>
                </w:p>
              </w:tc>
              <w:tc>
                <w:tcPr>
                  <w:tcW w:w="727" w:type="pct"/>
                  <w:vMerge w:val="restart"/>
                  <w:tcBorders>
                    <w:top w:val="single" w:color="000000" w:sz="4" w:space="0"/>
                    <w:left w:val="single" w:color="000000" w:sz="4" w:space="0"/>
                    <w:right w:val="single" w:color="000000" w:sz="4" w:space="0"/>
                  </w:tcBorders>
                  <w:vAlign w:val="center"/>
                </w:tcPr>
                <w:p>
                  <w:pPr>
                    <w:snapToGrid w:val="0"/>
                    <w:jc w:val="center"/>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1.执行承德市总体准入清单中一般生态空间要求</w:t>
                  </w:r>
                </w:p>
              </w:tc>
              <w:tc>
                <w:tcPr>
                  <w:tcW w:w="1066" w:type="pct"/>
                  <w:vMerge w:val="restart"/>
                  <w:tcBorders>
                    <w:top w:val="single" w:color="000000" w:sz="4" w:space="0"/>
                    <w:left w:val="single" w:color="000000" w:sz="4" w:space="0"/>
                    <w:right w:val="nil"/>
                  </w:tcBorders>
                  <w:vAlign w:val="center"/>
                </w:tcPr>
                <w:p>
                  <w:pPr>
                    <w:snapToGrid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本项目位于</w:t>
                  </w:r>
                  <w:r>
                    <w:rPr>
                      <w:rFonts w:hint="eastAsia" w:ascii="Times New Roman" w:cs="Times New Roman"/>
                      <w:color w:val="000000" w:themeColor="text1"/>
                      <w:highlight w:val="none"/>
                      <w:lang w:val="en-US" w:eastAsia="zh-CN"/>
                      <w14:textFill>
                        <w14:solidFill>
                          <w14:schemeClr w14:val="tx1"/>
                        </w14:solidFill>
                      </w14:textFill>
                    </w:rPr>
                    <w:t>围场镇</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ascii="Times New Roman" w:cs="Times New Roman"/>
                      <w:color w:val="000000" w:themeColor="text1"/>
                      <w:highlight w:val="none"/>
                      <w:lang w:val="en-US" w:eastAsia="zh-CN"/>
                      <w14:textFill>
                        <w14:solidFill>
                          <w14:schemeClr w14:val="tx1"/>
                        </w14:solidFill>
                      </w14:textFill>
                    </w:rPr>
                    <w:t>属于水源涵养型一般生态空间，承德市总体准入清单中一般生态空间要求见下表。</w:t>
                  </w: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408" w:type="pct"/>
                  <w:vMerge w:val="continue"/>
                  <w:tcBorders>
                    <w:left w:val="nil"/>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7"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498"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3" w:type="pct"/>
                  <w:vMerge w:val="continue"/>
                  <w:tcBorders>
                    <w:left w:val="single" w:color="000000" w:sz="4" w:space="0"/>
                    <w:right w:val="single" w:color="000000" w:sz="4" w:space="0"/>
                  </w:tcBorders>
                  <w:vAlign w:val="center"/>
                </w:tcPr>
                <w:p>
                  <w:pPr>
                    <w:pStyle w:val="51"/>
                    <w:ind w:firstLine="0"/>
                    <w:jc w:val="center"/>
                    <w:rPr>
                      <w:color w:val="000000" w:themeColor="text1"/>
                      <w:sz w:val="21"/>
                      <w:szCs w:val="21"/>
                      <w:highlight w:val="none"/>
                      <w14:textFill>
                        <w14:solidFill>
                          <w14:schemeClr w14:val="tx1"/>
                        </w14:solidFill>
                      </w14:textFill>
                    </w:rPr>
                  </w:pPr>
                </w:p>
              </w:tc>
              <w:tc>
                <w:tcPr>
                  <w:tcW w:w="968"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污染物排放管控</w:t>
                  </w:r>
                </w:p>
              </w:tc>
              <w:tc>
                <w:tcPr>
                  <w:tcW w:w="727"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1066" w:type="pct"/>
                  <w:vMerge w:val="continue"/>
                  <w:tcBorders>
                    <w:left w:val="single" w:color="000000" w:sz="4" w:space="0"/>
                    <w:right w:val="nil"/>
                  </w:tcBorders>
                  <w:vAlign w:val="center"/>
                </w:tcPr>
                <w:p>
                  <w:pPr>
                    <w:snapToGrid w:val="0"/>
                    <w:jc w:val="center"/>
                    <w:rPr>
                      <w:rFonts w:ascii="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408" w:type="pct"/>
                  <w:vMerge w:val="continue"/>
                  <w:tcBorders>
                    <w:left w:val="nil"/>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7"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498"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3" w:type="pct"/>
                  <w:vMerge w:val="continue"/>
                  <w:tcBorders>
                    <w:left w:val="single" w:color="000000" w:sz="4" w:space="0"/>
                    <w:right w:val="single" w:color="000000" w:sz="4" w:space="0"/>
                  </w:tcBorders>
                  <w:vAlign w:val="center"/>
                </w:tcPr>
                <w:p>
                  <w:pPr>
                    <w:pStyle w:val="51"/>
                    <w:ind w:firstLine="0"/>
                    <w:jc w:val="center"/>
                    <w:rPr>
                      <w:color w:val="000000" w:themeColor="text1"/>
                      <w:sz w:val="21"/>
                      <w:szCs w:val="21"/>
                      <w:highlight w:val="none"/>
                      <w14:textFill>
                        <w14:solidFill>
                          <w14:schemeClr w14:val="tx1"/>
                        </w14:solidFill>
                      </w14:textFill>
                    </w:rPr>
                  </w:pPr>
                </w:p>
              </w:tc>
              <w:tc>
                <w:tcPr>
                  <w:tcW w:w="968"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环境风险防控</w:t>
                  </w:r>
                </w:p>
              </w:tc>
              <w:tc>
                <w:tcPr>
                  <w:tcW w:w="727" w:type="pct"/>
                  <w:vMerge w:val="continue"/>
                  <w:tcBorders>
                    <w:left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1066" w:type="pct"/>
                  <w:vMerge w:val="continue"/>
                  <w:tcBorders>
                    <w:left w:val="single" w:color="000000" w:sz="4" w:space="0"/>
                    <w:right w:val="nil"/>
                  </w:tcBorders>
                  <w:vAlign w:val="center"/>
                </w:tcPr>
                <w:p>
                  <w:pPr>
                    <w:snapToGrid w:val="0"/>
                    <w:jc w:val="center"/>
                    <w:rPr>
                      <w:rFonts w:ascii="Times New Roman"/>
                      <w:color w:val="000000" w:themeColor="text1"/>
                      <w:highlight w:val="none"/>
                      <w14:textFill>
                        <w14:solidFill>
                          <w14:schemeClr w14:val="tx1"/>
                        </w14:solidFill>
                      </w14:textFill>
                    </w:rPr>
                  </w:pPr>
                </w:p>
              </w:tc>
            </w:tr>
            <w:tr>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8" w:hRule="atLeast"/>
              </w:trPr>
              <w:tc>
                <w:tcPr>
                  <w:tcW w:w="408" w:type="pct"/>
                  <w:vMerge w:val="continue"/>
                  <w:tcBorders>
                    <w:left w:val="nil"/>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7" w:type="pct"/>
                  <w:vMerge w:val="continue"/>
                  <w:tcBorders>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498" w:type="pct"/>
                  <w:vMerge w:val="continue"/>
                  <w:tcBorders>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663" w:type="pct"/>
                  <w:vMerge w:val="continue"/>
                  <w:tcBorders>
                    <w:left w:val="single" w:color="000000" w:sz="4" w:space="0"/>
                    <w:bottom w:val="single" w:color="000000" w:sz="4" w:space="0"/>
                    <w:right w:val="single" w:color="000000" w:sz="4" w:space="0"/>
                  </w:tcBorders>
                  <w:vAlign w:val="center"/>
                </w:tcPr>
                <w:p>
                  <w:pPr>
                    <w:pStyle w:val="51"/>
                    <w:ind w:firstLine="0"/>
                    <w:jc w:val="center"/>
                    <w:rPr>
                      <w:color w:val="000000" w:themeColor="text1"/>
                      <w:sz w:val="21"/>
                      <w:szCs w:val="21"/>
                      <w:highlight w:val="none"/>
                      <w14:textFill>
                        <w14:solidFill>
                          <w14:schemeClr w14:val="tx1"/>
                        </w14:solidFill>
                      </w14:textFill>
                    </w:rPr>
                  </w:pPr>
                </w:p>
              </w:tc>
              <w:tc>
                <w:tcPr>
                  <w:tcW w:w="968" w:type="pct"/>
                  <w:tcBorders>
                    <w:top w:val="single" w:color="000000" w:sz="4" w:space="0"/>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资源利用效率</w:t>
                  </w:r>
                </w:p>
              </w:tc>
              <w:tc>
                <w:tcPr>
                  <w:tcW w:w="727" w:type="pct"/>
                  <w:vMerge w:val="continue"/>
                  <w:tcBorders>
                    <w:left w:val="single" w:color="000000" w:sz="4" w:space="0"/>
                    <w:bottom w:val="single" w:color="000000" w:sz="4" w:space="0"/>
                    <w:right w:val="single" w:color="000000" w:sz="4" w:space="0"/>
                  </w:tcBorders>
                  <w:vAlign w:val="center"/>
                </w:tcPr>
                <w:p>
                  <w:pPr>
                    <w:snapToGrid w:val="0"/>
                    <w:jc w:val="center"/>
                    <w:rPr>
                      <w:rFonts w:ascii="Times New Roman"/>
                      <w:color w:val="000000" w:themeColor="text1"/>
                      <w:highlight w:val="none"/>
                      <w14:textFill>
                        <w14:solidFill>
                          <w14:schemeClr w14:val="tx1"/>
                        </w14:solidFill>
                      </w14:textFill>
                    </w:rPr>
                  </w:pPr>
                </w:p>
              </w:tc>
              <w:tc>
                <w:tcPr>
                  <w:tcW w:w="1066" w:type="pct"/>
                  <w:vMerge w:val="continue"/>
                  <w:tcBorders>
                    <w:left w:val="single" w:color="000000" w:sz="4" w:space="0"/>
                    <w:bottom w:val="single" w:color="000000" w:sz="4" w:space="0"/>
                    <w:right w:val="nil"/>
                  </w:tcBorders>
                  <w:vAlign w:val="center"/>
                </w:tcPr>
                <w:p>
                  <w:pPr>
                    <w:snapToGrid w:val="0"/>
                    <w:jc w:val="center"/>
                    <w:rPr>
                      <w:rFonts w:ascii="Times New Roman"/>
                      <w:color w:val="000000" w:themeColor="text1"/>
                      <w:highlight w:val="none"/>
                      <w14:textFill>
                        <w14:solidFill>
                          <w14:schemeClr w14:val="tx1"/>
                        </w14:solidFill>
                      </w14:textFill>
                    </w:rPr>
                  </w:pPr>
                </w:p>
              </w:tc>
            </w:tr>
          </w:tbl>
          <w:p>
            <w:pPr>
              <w:pStyle w:val="46"/>
              <w:adjustRightInd w:val="0"/>
              <w:snapToGrid w:val="0"/>
              <w:spacing w:before="0" w:beforeAutospacing="0" w:after="0" w:afterAutospacing="0"/>
              <w:jc w:val="center"/>
              <w:rPr>
                <w:rFonts w:hint="default" w:ascii="Times New Roman" w:hAnsi="Times New Roman"/>
                <w:b/>
                <w:color w:val="000000" w:themeColor="text1"/>
                <w:kern w:val="2"/>
                <w:szCs w:val="24"/>
                <w:highlight w:val="none"/>
                <w:lang w:val="en-US" w:eastAsia="zh-CN" w:bidi="ar"/>
                <w14:textFill>
                  <w14:solidFill>
                    <w14:schemeClr w14:val="tx1"/>
                  </w14:solidFill>
                </w14:textFill>
              </w:rPr>
            </w:pPr>
            <w:r>
              <w:rPr>
                <w:rFonts w:hint="default" w:ascii="Times New Roman" w:hAnsi="Times New Roman"/>
                <w:b/>
                <w:color w:val="000000" w:themeColor="text1"/>
                <w:kern w:val="2"/>
                <w:szCs w:val="24"/>
                <w:highlight w:val="none"/>
                <w:lang w:val="en-US" w:eastAsia="zh-CN" w:bidi="ar"/>
                <w14:textFill>
                  <w14:solidFill>
                    <w14:schemeClr w14:val="tx1"/>
                  </w14:solidFill>
                </w14:textFill>
              </w:rPr>
              <w:t>表</w:t>
            </w:r>
            <w:r>
              <w:rPr>
                <w:rFonts w:hint="eastAsia" w:ascii="Times New Roman" w:hAnsi="Times New Roman"/>
                <w:b/>
                <w:color w:val="000000" w:themeColor="text1"/>
                <w:kern w:val="2"/>
                <w:szCs w:val="24"/>
                <w:highlight w:val="none"/>
                <w:lang w:val="en-US" w:eastAsia="zh-CN" w:bidi="ar"/>
                <w14:textFill>
                  <w14:solidFill>
                    <w14:schemeClr w14:val="tx1"/>
                  </w14:solidFill>
                </w14:textFill>
              </w:rPr>
              <w:t>1-3承德市总体</w:t>
            </w:r>
            <w:r>
              <w:rPr>
                <w:rFonts w:hint="default" w:ascii="Times New Roman" w:hAnsi="Times New Roman"/>
                <w:b/>
                <w:color w:val="000000" w:themeColor="text1"/>
                <w:kern w:val="2"/>
                <w:szCs w:val="24"/>
                <w:highlight w:val="none"/>
                <w:lang w:val="en-US" w:eastAsia="zh-CN" w:bidi="ar"/>
                <w14:textFill>
                  <w14:solidFill>
                    <w14:schemeClr w14:val="tx1"/>
                  </w14:solidFill>
                </w14:textFill>
              </w:rPr>
              <w:t>准入清单一览表</w:t>
            </w:r>
          </w:p>
          <w:tbl>
            <w:tblPr>
              <w:tblStyle w:val="53"/>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03"/>
              <w:gridCol w:w="456"/>
              <w:gridCol w:w="2295"/>
              <w:gridCol w:w="33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15" w:hRule="atLeast"/>
              </w:trPr>
              <w:tc>
                <w:tcPr>
                  <w:tcW w:w="514"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环境要素类别</w:t>
                  </w:r>
                </w:p>
              </w:tc>
              <w:tc>
                <w:tcPr>
                  <w:tcW w:w="33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highlight w:val="none"/>
                      <w:lang w:val="en-US" w:eastAsia="zh-CN"/>
                      <w14:textFill>
                        <w14:solidFill>
                          <w14:schemeClr w14:val="tx1"/>
                        </w14:solidFill>
                      </w14:textFill>
                    </w:rPr>
                    <w:t>属性</w:t>
                  </w:r>
                </w:p>
              </w:tc>
              <w:tc>
                <w:tcPr>
                  <w:tcW w:w="1678"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管控措施</w:t>
                  </w:r>
                </w:p>
              </w:tc>
              <w:tc>
                <w:tcPr>
                  <w:tcW w:w="247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本项目符合性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514" w:type="pct"/>
                  <w:vMerge w:val="restart"/>
                  <w:tcBorders>
                    <w:tl2br w:val="nil"/>
                    <w:tr2bl w:val="nil"/>
                  </w:tcBorders>
                  <w:noWrap/>
                  <w:vAlign w:val="center"/>
                </w:tcPr>
                <w:p>
                  <w:pPr>
                    <w:pStyle w:val="23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4"/>
                      <w:highlight w:val="none"/>
                      <w:lang w:val="zh-CN" w:eastAsia="zh-CN" w:bidi="ar-SA"/>
                      <w14:textFill>
                        <w14:solidFill>
                          <w14:schemeClr w14:val="tx1"/>
                        </w14:solidFill>
                      </w14:textFill>
                    </w:rPr>
                  </w:pPr>
                  <w:r>
                    <w:rPr>
                      <w:rFonts w:hint="eastAsia"/>
                      <w:color w:val="000000" w:themeColor="text1"/>
                      <w:highlight w:val="none"/>
                      <w14:textFill>
                        <w14:solidFill>
                          <w14:schemeClr w14:val="tx1"/>
                        </w14:solidFill>
                      </w14:textFill>
                    </w:rPr>
                    <w:t>一般生态空间</w:t>
                  </w:r>
                </w:p>
              </w:tc>
              <w:tc>
                <w:tcPr>
                  <w:tcW w:w="333" w:type="pct"/>
                  <w:vMerge w:val="restart"/>
                  <w:tcBorders>
                    <w:tl2br w:val="nil"/>
                    <w:tr2bl w:val="nil"/>
                  </w:tcBorders>
                  <w:noWrap/>
                  <w:vAlign w:val="center"/>
                </w:tcPr>
                <w:p>
                  <w:pPr>
                    <w:pStyle w:val="230"/>
                    <w:keepNext w:val="0"/>
                    <w:keepLines w:val="0"/>
                    <w:suppressLineNumbers w:val="0"/>
                    <w:spacing w:before="0" w:beforeAutospacing="0" w:after="0" w:afterAutospacing="0"/>
                    <w:ind w:left="0" w:right="0" w:firstLine="0" w:firstLineChars="0"/>
                    <w:rPr>
                      <w:rFonts w:hint="default" w:ascii="Times New Roman" w:hAnsi="Times New Roman" w:eastAsia="宋体" w:cs="Times New Roman"/>
                      <w:color w:val="000000" w:themeColor="text1"/>
                      <w:kern w:val="0"/>
                      <w:sz w:val="21"/>
                      <w:szCs w:val="24"/>
                      <w:highlight w:val="none"/>
                      <w:lang w:val="en-US" w:eastAsia="zh-CN" w:bidi="ar-SA"/>
                      <w14:textFill>
                        <w14:solidFill>
                          <w14:schemeClr w14:val="tx1"/>
                        </w14:solidFill>
                      </w14:textFill>
                    </w:rPr>
                  </w:pPr>
                  <w:r>
                    <w:rPr>
                      <w:rFonts w:hint="eastAsia"/>
                      <w:color w:val="000000" w:themeColor="text1"/>
                      <w:highlight w:val="none"/>
                      <w:lang w:val="en-US" w:eastAsia="zh-CN"/>
                      <w14:textFill>
                        <w14:solidFill>
                          <w14:schemeClr w14:val="tx1"/>
                        </w14:solidFill>
                      </w14:textFill>
                    </w:rPr>
                    <w:t>水源涵养</w:t>
                  </w:r>
                </w:p>
              </w:tc>
              <w:tc>
                <w:tcPr>
                  <w:tcW w:w="1678"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Chars="0" w:right="0" w:right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禁止新建与扩建各种损害生态系统水源涵养功能的项目，如无序采矿、毁林开荒、湿地和草地开垦、采砂采土等，现有相关开发建设活动，严格管控，引导其合理退出；</w:t>
                  </w:r>
                </w:p>
              </w:tc>
              <w:tc>
                <w:tcPr>
                  <w:tcW w:w="247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项目为风电场项目</w:t>
                  </w:r>
                  <w:r>
                    <w:rPr>
                      <w:rFonts w:hint="eastAsia" w:ascii="Times New Roman" w:cs="Times New Roman"/>
                      <w:color w:val="000000" w:themeColor="text1"/>
                      <w:highlight w:val="none"/>
                      <w:lang w:val="en-US" w:eastAsia="zh-CN"/>
                      <w14:textFill>
                        <w14:solidFill>
                          <w14:schemeClr w14:val="tx1"/>
                        </w14:solidFill>
                      </w14:textFill>
                    </w:rPr>
                    <w:t>配套的升压站</w:t>
                  </w:r>
                  <w:r>
                    <w:rPr>
                      <w:rFonts w:hint="eastAsia" w:ascii="Times New Roman" w:hAnsi="Times New Roman" w:eastAsia="宋体" w:cs="Times New Roman"/>
                      <w:color w:val="000000" w:themeColor="text1"/>
                      <w:highlight w:val="none"/>
                      <w14:textFill>
                        <w14:solidFill>
                          <w14:schemeClr w14:val="tx1"/>
                        </w14:solidFill>
                      </w14:textFill>
                    </w:rPr>
                    <w:t>，无生产废水排放</w:t>
                  </w:r>
                  <w:r>
                    <w:rPr>
                      <w:rFonts w:hint="eastAsia" w:ascii="Times New Roman" w:cs="Times New Roman"/>
                      <w:color w:val="000000" w:themeColor="text1"/>
                      <w:highlight w:val="none"/>
                      <w:lang w:eastAsia="zh-CN"/>
                      <w14:textFill>
                        <w14:solidFill>
                          <w14:schemeClr w14:val="tx1"/>
                        </w14:solidFill>
                      </w14:textFill>
                    </w:rPr>
                    <w:t>，施工期较短，施工过程清除的植被及影响的植物种类数量较少，施工完毕后，对开挖表面填平并夯实，及时恢复植被绿化，不会损害生态系统水源涵养功能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514"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color w:val="000000" w:themeColor="text1"/>
                      <w:highlight w:val="none"/>
                      <w14:textFill>
                        <w14:solidFill>
                          <w14:schemeClr w14:val="tx1"/>
                        </w14:solidFill>
                      </w14:textFill>
                    </w:rPr>
                  </w:pPr>
                </w:p>
              </w:tc>
              <w:tc>
                <w:tcPr>
                  <w:tcW w:w="333"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color w:val="000000" w:themeColor="text1"/>
                      <w:highlight w:val="none"/>
                      <w14:textFill>
                        <w14:solidFill>
                          <w14:schemeClr w14:val="tx1"/>
                        </w14:solidFill>
                      </w14:textFill>
                    </w:rPr>
                  </w:pPr>
                </w:p>
              </w:tc>
              <w:tc>
                <w:tcPr>
                  <w:tcW w:w="1678"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禁止新建、扩建导致水体污染的产业项目，开展生态清洁小流域的建设；</w:t>
                  </w:r>
                </w:p>
              </w:tc>
              <w:tc>
                <w:tcPr>
                  <w:tcW w:w="247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项目运营期仅产生生活污水，其中食堂废水经隔油池处理，与其他生活污水经一体化污水处理装置处理达标后送到清水池，再通过回用水泵回用于绿化，不外排，不会导致水体污染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514"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33"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78"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坚持自然恢复为主，人工造林为辅的原则；</w:t>
                  </w:r>
                </w:p>
              </w:tc>
              <w:tc>
                <w:tcPr>
                  <w:tcW w:w="247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项目新建220kV升压站，升压站内设计有绿化区域，改善升压站内生态环境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8" w:hRule="atLeast"/>
              </w:trPr>
              <w:tc>
                <w:tcPr>
                  <w:tcW w:w="514"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33" w:type="pct"/>
                  <w:vMerge w:val="continue"/>
                  <w:tcBorders>
                    <w:tl2br w:val="nil"/>
                    <w:tr2bl w:val="nil"/>
                  </w:tcBorders>
                  <w:noWrap/>
                  <w:vAlign w:val="center"/>
                </w:tcPr>
                <w:p>
                  <w:pPr>
                    <w:keepNext w:val="0"/>
                    <w:keepLines w:val="0"/>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1678"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left"/>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严格控制载畜量，实行以草定畜，在农牧交错区提倡农牧结合，发展生态产业，培育替代产业，减轻区内畜牧业对水源和生态系统的压力。</w:t>
                  </w:r>
                </w:p>
              </w:tc>
              <w:tc>
                <w:tcPr>
                  <w:tcW w:w="2473" w:type="pct"/>
                  <w:tcBorders>
                    <w:tl2br w:val="nil"/>
                    <w:tr2bl w:val="nil"/>
                  </w:tcBorders>
                  <w:noWrap/>
                  <w:vAlign w:val="center"/>
                </w:tcPr>
                <w:p>
                  <w:pPr>
                    <w:keepNext w:val="0"/>
                    <w:keepLines w:val="0"/>
                    <w:numPr>
                      <w:ilvl w:val="0"/>
                      <w:numId w:val="0"/>
                    </w:numPr>
                    <w:suppressLineNumbers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cs="Times New Roman"/>
                      <w:color w:val="000000" w:themeColor="text1"/>
                      <w:kern w:val="0"/>
                      <w:sz w:val="21"/>
                      <w:szCs w:val="21"/>
                      <w:highlight w:val="none"/>
                      <w:lang w:val="en-US" w:eastAsia="zh-CN"/>
                      <w14:textFill>
                        <w14:solidFill>
                          <w14:schemeClr w14:val="tx1"/>
                        </w14:solidFill>
                      </w14:textFill>
                    </w:rPr>
                    <w:t>不涉及</w:t>
                  </w:r>
                </w:p>
              </w:tc>
            </w:tr>
          </w:tbl>
          <w:p>
            <w:pPr>
              <w:snapToGrid w:val="0"/>
              <w:spacing w:line="360" w:lineRule="auto"/>
              <w:jc w:val="center"/>
              <w:rPr>
                <w:rFonts w:ascii="Times New Roman"/>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1753235</wp:posOffset>
                      </wp:positionH>
                      <wp:positionV relativeFrom="paragraph">
                        <wp:posOffset>639445</wp:posOffset>
                      </wp:positionV>
                      <wp:extent cx="869315" cy="477520"/>
                      <wp:effectExtent l="0" t="6350" r="14605" b="3810"/>
                      <wp:wrapNone/>
                      <wp:docPr id="95" name="组合 95"/>
                      <wp:cNvGraphicFramePr/>
                      <a:graphic xmlns:a="http://schemas.openxmlformats.org/drawingml/2006/main">
                        <a:graphicData uri="http://schemas.microsoft.com/office/word/2010/wordprocessingGroup">
                          <wpg:wgp>
                            <wpg:cNvGrpSpPr/>
                            <wpg:grpSpPr>
                              <a:xfrm>
                                <a:off x="0" y="0"/>
                                <a:ext cx="869315" cy="477520"/>
                                <a:chOff x="6323" y="231239"/>
                                <a:chExt cx="1369" cy="752"/>
                              </a:xfrm>
                            </wpg:grpSpPr>
                            <wps:wsp>
                              <wps:cNvPr id="77" name="五角星 77"/>
                              <wps:cNvSpPr/>
                              <wps:spPr>
                                <a:xfrm>
                                  <a:off x="6323" y="231871"/>
                                  <a:ext cx="120" cy="120"/>
                                </a:xfrm>
                                <a:prstGeom prst="star5">
                                  <a:avLst/>
                                </a:prstGeom>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矩形标注 79"/>
                              <wps:cNvSpPr/>
                              <wps:spPr>
                                <a:xfrm>
                                  <a:off x="6702" y="231239"/>
                                  <a:ext cx="991" cy="349"/>
                                </a:xfrm>
                                <a:prstGeom prst="wedgeRectCallout">
                                  <a:avLst>
                                    <a:gd name="adj1" fmla="val -73399"/>
                                    <a:gd name="adj2" fmla="val 136243"/>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color w:val="FF0000"/>
                                      </w:rPr>
                                    </w:pPr>
                                    <w:r>
                                      <w:rPr>
                                        <w:rFonts w:hint="eastAsia"/>
                                        <w:color w:val="FF0000"/>
                                      </w:rPr>
                                      <w:t>本项目</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_x0000_s1026" o:spid="_x0000_s1026" o:spt="203" style="position:absolute;left:0pt;margin-left:138.05pt;margin-top:50.35pt;height:37.6pt;width:68.45pt;z-index:251661312;mso-width-relative:page;mso-height-relative:page;" coordorigin="6323,231239" coordsize="1369,752" o:gfxdata="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">
                      <o:lock v:ext="edit" aspectratio="f"/>
                      <v:shape id="_x0000_s1026" o:spid="_x0000_s1026" style="position:absolute;left:6323;top:231871;height:120;width:120;v-text-anchor:middle;" fillcolor="#4472C4 [3204]" filled="t" stroked="f" coordsize="120,120" o:gfxdata="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rd/vQAA&#10;ANsAAAAPAAAAAAAAAAEAIAAAACIAAABkcnMvZG93bnJldi54bWxQSwECFAAUAAAACACHTuJAMy8F&#10;njsAAAA5AAAAEAAAAAAAAAABACAAAAAMAQAAZHJzL3NoYXBleG1sLnhtbFBLBQYAAAAABgAGAFsB&#10;AAC2AwAAAAA=&#10;" path="m0,45l45,45,60,0,74,45,119,45,82,74,97,119,60,91,22,119,37,74xe">
                        <v:path o:connectlocs="60,0;0,45;22,119;97,119;119,45" o:connectangles="247,164,82,82,0"/>
                        <v:fill on="t" focussize="0,0"/>
                        <v:stroke on="f" weight="1pt" miterlimit="8" joinstyle="miter"/>
                        <v:imagedata o:title=""/>
                        <o:lock v:ext="edit" aspectratio="f"/>
                      </v:shape>
                      <v:shape id="_x0000_s1026" o:spid="_x0000_s1026" o:spt="61" type="#_x0000_t61" style="position:absolute;left:6702;top:231239;height:349;width:991;v-text-anchor:middle;" filled="f" stroked="t" coordsize="21600,21600" o:gfxdata="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xEx68AAAA&#10;2wAAAA8AAAAAAAAAAQAgAAAAIgAAAGRycy9kb3ducmV2LnhtbFBLAQIUABQAAAAIAIdO4kAzLwWe&#10;OwAAADkAAAAQAAAAAAAAAAEAIAAAAAsBAABkcnMvc2hhcGV4bWwueG1sUEsFBgAAAAAGAAYAWwEA&#10;ALUDAAAAAA==&#10;" adj="-5054,40228">
                        <v:fill on="f" focussize="0,0"/>
                        <v:stroke weight="1pt" color="#FF0000 [2404]" miterlimit="8" joinstyle="miter"/>
                        <v:imagedata o:title=""/>
                        <o:lock v:ext="edit" aspectratio="f"/>
                        <v:textbox inset="0mm,0mm,0mm,0mm">
                          <w:txbxContent>
                            <w:p>
                              <w:pPr>
                                <w:jc w:val="center"/>
                                <w:rPr>
                                  <w:color w:val="FF0000"/>
                                </w:rPr>
                              </w:pPr>
                              <w:r>
                                <w:rPr>
                                  <w:rFonts w:hint="eastAsia"/>
                                  <w:color w:val="FF0000"/>
                                </w:rPr>
                                <w:t>本项目</w:t>
                              </w:r>
                            </w:p>
                          </w:txbxContent>
                        </v:textbox>
                      </v:shape>
                    </v:group>
                  </w:pict>
                </mc:Fallback>
              </mc:AlternateContent>
            </w:r>
            <w:r>
              <w:rPr>
                <w:rFonts w:hint="eastAsia" w:ascii="Times New Roman"/>
                <w:color w:val="000000" w:themeColor="text1"/>
                <w:sz w:val="24"/>
                <w:highlight w:val="none"/>
                <w14:textFill>
                  <w14:solidFill>
                    <w14:schemeClr w14:val="tx1"/>
                  </w14:solidFill>
                </w14:textFill>
              </w:rPr>
              <w:drawing>
                <wp:inline distT="0" distB="0" distL="114300" distR="114300">
                  <wp:extent cx="4337685" cy="3067050"/>
                  <wp:effectExtent l="0" t="0" r="5715" b="11430"/>
                  <wp:docPr id="25" name="图片 25" descr="承德市环境管控单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承德市环境管控单元图"/>
                          <pic:cNvPicPr>
                            <a:picLocks noChangeAspect="1"/>
                          </pic:cNvPicPr>
                        </pic:nvPicPr>
                        <pic:blipFill>
                          <a:blip r:embed="rId15"/>
                          <a:stretch>
                            <a:fillRect/>
                          </a:stretch>
                        </pic:blipFill>
                        <pic:spPr>
                          <a:xfrm>
                            <a:off x="0" y="0"/>
                            <a:ext cx="4337685" cy="3067050"/>
                          </a:xfrm>
                          <a:prstGeom prst="rect">
                            <a:avLst/>
                          </a:prstGeom>
                        </pic:spPr>
                      </pic:pic>
                    </a:graphicData>
                  </a:graphic>
                </wp:inline>
              </w:drawing>
            </w:r>
          </w:p>
          <w:p>
            <w:pPr>
              <w:spacing w:line="360" w:lineRule="auto"/>
              <w:jc w:val="center"/>
              <w:rPr>
                <w:rFonts w:hint="eastAsia" w:ascii="Times New Roman"/>
                <w:b/>
                <w:bCs/>
                <w:color w:val="000000" w:themeColor="text1"/>
                <w:sz w:val="24"/>
                <w:highlight w:val="none"/>
                <w14:textFill>
                  <w14:solidFill>
                    <w14:schemeClr w14:val="tx1"/>
                  </w14:solidFill>
                </w14:textFill>
              </w:rPr>
            </w:pPr>
            <w:r>
              <w:rPr>
                <w:rFonts w:hint="eastAsia" w:ascii="Times New Roman"/>
                <w:b/>
                <w:bCs/>
                <w:color w:val="000000" w:themeColor="text1"/>
                <w:sz w:val="24"/>
                <w:highlight w:val="none"/>
                <w14:textFill>
                  <w14:solidFill>
                    <w14:schemeClr w14:val="tx1"/>
                  </w14:solidFill>
                </w14:textFill>
              </w:rPr>
              <w:t>图1-</w:t>
            </w:r>
            <w:r>
              <w:rPr>
                <w:rFonts w:hint="eastAsia" w:ascii="Times New Roman"/>
                <w:b/>
                <w:bCs/>
                <w:color w:val="000000" w:themeColor="text1"/>
                <w:sz w:val="24"/>
                <w:highlight w:val="none"/>
                <w:lang w:val="en-US" w:eastAsia="zh-CN"/>
                <w14:textFill>
                  <w14:solidFill>
                    <w14:schemeClr w14:val="tx1"/>
                  </w14:solidFill>
                </w14:textFill>
              </w:rPr>
              <w:t>1</w:t>
            </w:r>
            <w:r>
              <w:rPr>
                <w:rFonts w:hint="eastAsia" w:ascii="Times New Roman"/>
                <w:b/>
                <w:bCs/>
                <w:color w:val="000000" w:themeColor="text1"/>
                <w:sz w:val="24"/>
                <w:highlight w:val="none"/>
                <w14:textFill>
                  <w14:solidFill>
                    <w14:schemeClr w14:val="tx1"/>
                  </w14:solidFill>
                </w14:textFill>
              </w:rPr>
              <w:t xml:space="preserve">  </w:t>
            </w:r>
            <w:r>
              <w:rPr>
                <w:rFonts w:hint="eastAsia" w:hAnsi="宋体" w:cs="宋体"/>
                <w:b/>
                <w:bCs/>
                <w:color w:val="000000" w:themeColor="text1"/>
                <w:kern w:val="0"/>
                <w:sz w:val="24"/>
                <w:szCs w:val="24"/>
                <w:highlight w:val="none"/>
                <w:lang w:bidi="ar"/>
                <w14:textFill>
                  <w14:solidFill>
                    <w14:schemeClr w14:val="tx1"/>
                  </w14:solidFill>
                </w14:textFill>
              </w:rPr>
              <w:t>本项目选址与承德市环境管控单元位置关系示意图</w:t>
            </w:r>
          </w:p>
          <w:p>
            <w:pPr>
              <w:snapToGrid w:val="0"/>
              <w:spacing w:line="360" w:lineRule="auto"/>
              <w:jc w:val="center"/>
              <w:rPr>
                <w:rFonts w:ascii="Times New Roman"/>
                <w:color w:val="000000" w:themeColor="text1"/>
                <w:sz w:val="24"/>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337050" cy="2228215"/>
                  <wp:effectExtent l="0" t="0" r="6350" b="63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6"/>
                          <a:stretch>
                            <a:fillRect/>
                          </a:stretch>
                        </pic:blipFill>
                        <pic:spPr>
                          <a:xfrm>
                            <a:off x="0" y="0"/>
                            <a:ext cx="4337050" cy="2228215"/>
                          </a:xfrm>
                          <a:prstGeom prst="rect">
                            <a:avLst/>
                          </a:prstGeom>
                          <a:noFill/>
                          <a:ln>
                            <a:noFill/>
                          </a:ln>
                        </pic:spPr>
                      </pic:pic>
                    </a:graphicData>
                  </a:graphic>
                </wp:inline>
              </w:drawing>
            </w:r>
          </w:p>
          <w:p>
            <w:pPr>
              <w:spacing w:line="360" w:lineRule="auto"/>
              <w:jc w:val="center"/>
              <w:rPr>
                <w:color w:val="000000" w:themeColor="text1"/>
                <w:highlight w:val="none"/>
                <w14:textFill>
                  <w14:solidFill>
                    <w14:schemeClr w14:val="tx1"/>
                  </w14:solidFill>
                </w14:textFill>
              </w:rPr>
            </w:pPr>
            <w:r>
              <w:rPr>
                <w:rFonts w:hint="eastAsia" w:ascii="Times New Roman"/>
                <w:b/>
                <w:bCs/>
                <w:color w:val="000000" w:themeColor="text1"/>
                <w:sz w:val="24"/>
                <w:highlight w:val="none"/>
                <w14:textFill>
                  <w14:solidFill>
                    <w14:schemeClr w14:val="tx1"/>
                  </w14:solidFill>
                </w14:textFill>
              </w:rPr>
              <w:t>图1-</w:t>
            </w:r>
            <w:r>
              <w:rPr>
                <w:rFonts w:hint="eastAsia" w:ascii="Times New Roman"/>
                <w:b/>
                <w:bCs/>
                <w:color w:val="000000" w:themeColor="text1"/>
                <w:sz w:val="24"/>
                <w:highlight w:val="none"/>
                <w:lang w:val="en-US" w:eastAsia="zh-CN"/>
                <w14:textFill>
                  <w14:solidFill>
                    <w14:schemeClr w14:val="tx1"/>
                  </w14:solidFill>
                </w14:textFill>
              </w:rPr>
              <w:t>2</w:t>
            </w:r>
            <w:r>
              <w:rPr>
                <w:rFonts w:hint="eastAsia" w:ascii="Times New Roman"/>
                <w:b/>
                <w:bCs/>
                <w:color w:val="000000" w:themeColor="text1"/>
                <w:sz w:val="24"/>
                <w:highlight w:val="none"/>
                <w14:textFill>
                  <w14:solidFill>
                    <w14:schemeClr w14:val="tx1"/>
                  </w14:solidFill>
                </w14:textFill>
              </w:rPr>
              <w:t xml:space="preserve">  </w:t>
            </w:r>
            <w:r>
              <w:rPr>
                <w:rFonts w:hint="eastAsia" w:hAnsi="宋体" w:cs="宋体"/>
                <w:b/>
                <w:bCs/>
                <w:color w:val="000000" w:themeColor="text1"/>
                <w:kern w:val="0"/>
                <w:sz w:val="24"/>
                <w:szCs w:val="24"/>
                <w:highlight w:val="none"/>
                <w:lang w:bidi="ar"/>
                <w14:textFill>
                  <w14:solidFill>
                    <w14:schemeClr w14:val="tx1"/>
                  </w14:solidFill>
                </w14:textFill>
              </w:rPr>
              <w:t>本项目选址与承德市环境管控单元位置关系</w:t>
            </w:r>
            <w:r>
              <w:rPr>
                <w:rFonts w:hint="eastAsia" w:hAnsi="宋体" w:cs="宋体"/>
                <w:b/>
                <w:bCs/>
                <w:color w:val="000000" w:themeColor="text1"/>
                <w:kern w:val="0"/>
                <w:sz w:val="24"/>
                <w:szCs w:val="24"/>
                <w:highlight w:val="none"/>
                <w:lang w:val="en-US" w:eastAsia="zh-CN" w:bidi="ar"/>
                <w14:textFill>
                  <w14:solidFill>
                    <w14:schemeClr w14:val="tx1"/>
                  </w14:solidFill>
                </w14:textFill>
              </w:rPr>
              <w:t>矢量</w:t>
            </w:r>
            <w:r>
              <w:rPr>
                <w:rFonts w:hint="eastAsia" w:hAnsi="宋体" w:cs="宋体"/>
                <w:b/>
                <w:bCs/>
                <w:color w:val="000000" w:themeColor="text1"/>
                <w:kern w:val="0"/>
                <w:sz w:val="24"/>
                <w:szCs w:val="24"/>
                <w:highlight w:val="none"/>
                <w:lang w:bidi="ar"/>
                <w14:textFill>
                  <w14:solidFill>
                    <w14:schemeClr w14:val="tx1"/>
                  </w14:solidFill>
                </w14:textFill>
              </w:rPr>
              <w:t>图</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综上所述，本项目符合“三线一单”控制要求。</w:t>
            </w:r>
          </w:p>
          <w:p>
            <w:pPr>
              <w:snapToGrid w:val="0"/>
              <w:spacing w:line="360" w:lineRule="auto"/>
              <w:ind w:firstLine="482" w:firstLineChars="200"/>
              <w:rPr>
                <w:rFonts w:ascii="Times New Roman"/>
                <w:b/>
                <w:color w:val="000000" w:themeColor="text1"/>
                <w:sz w:val="24"/>
                <w:highlight w:val="none"/>
                <w14:textFill>
                  <w14:solidFill>
                    <w14:schemeClr w14:val="tx1"/>
                  </w14:solidFill>
                </w14:textFill>
              </w:rPr>
            </w:pPr>
            <w:r>
              <w:rPr>
                <w:rFonts w:hint="eastAsia" w:ascii="Times New Roman"/>
                <w:b/>
                <w:color w:val="000000" w:themeColor="text1"/>
                <w:sz w:val="24"/>
                <w:highlight w:val="none"/>
                <w14:textFill>
                  <w14:solidFill>
                    <w14:schemeClr w14:val="tx1"/>
                  </w14:solidFill>
                </w14:textFill>
              </w:rPr>
              <w:t>3</w:t>
            </w:r>
            <w:r>
              <w:rPr>
                <w:rFonts w:ascii="Times New Roman"/>
                <w:b/>
                <w:color w:val="000000" w:themeColor="text1"/>
                <w:sz w:val="24"/>
                <w:highlight w:val="none"/>
                <w14:textFill>
                  <w14:solidFill>
                    <w14:schemeClr w14:val="tx1"/>
                  </w14:solidFill>
                </w14:textFill>
              </w:rPr>
              <w:t>、与</w:t>
            </w:r>
            <w:r>
              <w:rPr>
                <w:rFonts w:hint="eastAsia" w:ascii="Times New Roman"/>
                <w:b/>
                <w:color w:val="000000" w:themeColor="text1"/>
                <w:sz w:val="24"/>
                <w:highlight w:val="none"/>
                <w14:textFill>
                  <w14:solidFill>
                    <w14:schemeClr w14:val="tx1"/>
                  </w14:solidFill>
                </w14:textFill>
              </w:rPr>
              <w:t>《自然资源部 生态环境部 国家林业和草原局关于加强生态保护红线管理的通知（试行）》</w:t>
            </w:r>
            <w:r>
              <w:rPr>
                <w:rFonts w:ascii="Times New Roman"/>
                <w:b/>
                <w:color w:val="000000" w:themeColor="text1"/>
                <w:sz w:val="24"/>
                <w:highlight w:val="none"/>
                <w14:textFill>
                  <w14:solidFill>
                    <w14:schemeClr w14:val="tx1"/>
                  </w14:solidFill>
                </w14:textFill>
              </w:rPr>
              <w:t>符合性分析</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根据《自然资源部 生态环境部 国家林业和草原局关于加强生态保护红线管理的通知（试行）》要求：规范管控对生态功能不造成破坏的有限人为活动。生态保护红线是国土空间规划中的重要管控边界，生态保护红线内自然保护地核心保护区外，禁止开发性、生产性建设活动，在符合法律法规的前提下，仅允许以下对生态功能不造成破坏的有限人为活动。生态保护红线内自然保护区、风景名胜区、饮用水水源保护区等区域，依照法律法规执行。</w:t>
            </w:r>
          </w:p>
          <w:p>
            <w:pPr>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根据</w:t>
            </w:r>
            <w:r>
              <w:rPr>
                <w:rFonts w:hint="eastAsia" w:ascii="Times New Roman"/>
                <w:color w:val="000000" w:themeColor="text1"/>
                <w:sz w:val="24"/>
                <w:highlight w:val="none"/>
                <w:lang w:eastAsia="zh-CN"/>
                <w14:textFill>
                  <w14:solidFill>
                    <w14:schemeClr w14:val="tx1"/>
                  </w14:solidFill>
                </w14:textFill>
              </w:rPr>
              <w:t>《围场满族蒙古族自治县自然资源和规划局关于承德燕能宝石山风电场项目用地是否涉及生态保护红线的情况说明》</w:t>
            </w:r>
            <w:r>
              <w:rPr>
                <w:rFonts w:hint="eastAsia" w:ascii="Times New Roman"/>
                <w:color w:val="000000" w:themeColor="text1"/>
                <w:sz w:val="24"/>
                <w:highlight w:val="none"/>
                <w:lang w:val="en-US"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项目</w:t>
            </w:r>
            <w:r>
              <w:rPr>
                <w:rFonts w:hint="eastAsia" w:ascii="Times New Roman"/>
                <w:color w:val="000000" w:themeColor="text1"/>
                <w:sz w:val="24"/>
                <w:highlight w:val="none"/>
                <w:lang w:val="en-US" w:eastAsia="zh-CN"/>
                <w14:textFill>
                  <w14:solidFill>
                    <w14:schemeClr w14:val="tx1"/>
                  </w14:solidFill>
                </w14:textFill>
              </w:rPr>
              <w:t>选址不占用</w:t>
            </w:r>
            <w:r>
              <w:rPr>
                <w:rFonts w:hint="eastAsia" w:ascii="Times New Roman"/>
                <w:color w:val="000000" w:themeColor="text1"/>
                <w:sz w:val="24"/>
                <w:highlight w:val="none"/>
                <w14:textFill>
                  <w14:solidFill>
                    <w14:schemeClr w14:val="tx1"/>
                  </w14:solidFill>
                </w14:textFill>
              </w:rPr>
              <w:t>生态保护红线</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因此，本项目符合《自然资源部 生态环境部 国家林业和草原局关于加强生态保护红线管理的通知（试行）》</w:t>
            </w:r>
            <w:r>
              <w:rPr>
                <w:rFonts w:ascii="Times New Roman"/>
                <w:color w:val="000000" w:themeColor="text1"/>
                <w:sz w:val="24"/>
                <w:highlight w:val="none"/>
                <w14:textFill>
                  <w14:solidFill>
                    <w14:schemeClr w14:val="tx1"/>
                  </w14:solidFill>
                </w14:textFill>
              </w:rPr>
              <w:t>的要求。</w:t>
            </w:r>
          </w:p>
          <w:p>
            <w:pPr>
              <w:snapToGrid w:val="0"/>
              <w:spacing w:line="360" w:lineRule="auto"/>
              <w:ind w:firstLine="482" w:firstLineChars="200"/>
              <w:rPr>
                <w:rFonts w:ascii="Times New Roman"/>
                <w:b/>
                <w:color w:val="000000" w:themeColor="text1"/>
                <w:sz w:val="24"/>
                <w:highlight w:val="none"/>
                <w14:textFill>
                  <w14:solidFill>
                    <w14:schemeClr w14:val="tx1"/>
                  </w14:solidFill>
                </w14:textFill>
              </w:rPr>
            </w:pPr>
            <w:r>
              <w:rPr>
                <w:rFonts w:hint="eastAsia" w:ascii="Times New Roman"/>
                <w:b/>
                <w:color w:val="000000" w:themeColor="text1"/>
                <w:sz w:val="24"/>
                <w:highlight w:val="none"/>
                <w:lang w:val="en-US" w:eastAsia="zh-CN"/>
                <w14:textFill>
                  <w14:solidFill>
                    <w14:schemeClr w14:val="tx1"/>
                  </w14:solidFill>
                </w14:textFill>
              </w:rPr>
              <w:t>4</w:t>
            </w:r>
            <w:r>
              <w:rPr>
                <w:rFonts w:ascii="Times New Roman"/>
                <w:b/>
                <w:color w:val="000000" w:themeColor="text1"/>
                <w:sz w:val="24"/>
                <w:highlight w:val="none"/>
                <w14:textFill>
                  <w14:solidFill>
                    <w14:schemeClr w14:val="tx1"/>
                  </w14:solidFill>
                </w14:textFill>
              </w:rPr>
              <w:t>、与</w:t>
            </w:r>
            <w:r>
              <w:rPr>
                <w:rFonts w:hint="eastAsia" w:ascii="Times New Roman"/>
                <w:b/>
                <w:color w:val="000000" w:themeColor="text1"/>
                <w:sz w:val="24"/>
                <w:highlight w:val="none"/>
                <w:lang w:eastAsia="zh-CN"/>
                <w14:textFill>
                  <w14:solidFill>
                    <w14:schemeClr w14:val="tx1"/>
                  </w14:solidFill>
                </w14:textFill>
              </w:rPr>
              <w:t>“</w:t>
            </w:r>
            <w:r>
              <w:rPr>
                <w:rFonts w:hint="eastAsia" w:ascii="Times New Roman"/>
                <w:b/>
                <w:color w:val="000000" w:themeColor="text1"/>
                <w:sz w:val="24"/>
                <w:highlight w:val="none"/>
                <w:lang w:val="en-US" w:eastAsia="zh-CN"/>
                <w14:textFill>
                  <w14:solidFill>
                    <w14:schemeClr w14:val="tx1"/>
                  </w14:solidFill>
                </w14:textFill>
              </w:rPr>
              <w:t>十四五</w:t>
            </w:r>
            <w:r>
              <w:rPr>
                <w:rFonts w:hint="eastAsia" w:ascii="Times New Roman"/>
                <w:b/>
                <w:color w:val="000000" w:themeColor="text1"/>
                <w:sz w:val="24"/>
                <w:highlight w:val="none"/>
                <w:lang w:eastAsia="zh-CN"/>
                <w14:textFill>
                  <w14:solidFill>
                    <w14:schemeClr w14:val="tx1"/>
                  </w14:solidFill>
                </w14:textFill>
              </w:rPr>
              <w:t>”</w:t>
            </w:r>
            <w:r>
              <w:rPr>
                <w:rFonts w:hint="eastAsia" w:ascii="Times New Roman"/>
                <w:b/>
                <w:color w:val="000000" w:themeColor="text1"/>
                <w:sz w:val="24"/>
                <w:highlight w:val="none"/>
                <w:lang w:val="en-US" w:eastAsia="zh-CN"/>
                <w14:textFill>
                  <w14:solidFill>
                    <w14:schemeClr w14:val="tx1"/>
                  </w14:solidFill>
                </w14:textFill>
              </w:rPr>
              <w:t>规划</w:t>
            </w:r>
            <w:r>
              <w:rPr>
                <w:rFonts w:ascii="Times New Roman"/>
                <w:b/>
                <w:color w:val="000000" w:themeColor="text1"/>
                <w:sz w:val="24"/>
                <w:highlight w:val="none"/>
                <w14:textFill>
                  <w14:solidFill>
                    <w14:schemeClr w14:val="tx1"/>
                  </w14:solidFill>
                </w14:textFill>
              </w:rPr>
              <w:t>符合性分析</w:t>
            </w:r>
          </w:p>
          <w:p>
            <w:pPr>
              <w:snapToGrid w:val="0"/>
              <w:spacing w:line="360" w:lineRule="auto"/>
              <w:ind w:firstLine="480" w:firstLineChars="200"/>
              <w:rPr>
                <w:rFonts w:ascii="Times New Roman"/>
                <w:color w:val="000000" w:themeColor="text1"/>
                <w:sz w:val="32"/>
                <w:szCs w:val="32"/>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根据《河北省生态环境保护“十四五”规划》“专栏1绿色发展重点工程——可再生能源基地建设。加快张家口市可再生能源示范区、承德百万千瓦风电基地二期、光伏发电应用基地和分布式光伏项目建设，谋划启动承德百万千瓦风电基地三期、张家口百万千瓦风电基地四期建设。”本项目为</w:t>
            </w:r>
            <w:r>
              <w:rPr>
                <w:rFonts w:hint="eastAsia" w:ascii="Times New Roman"/>
                <w:color w:val="000000" w:themeColor="text1"/>
                <w:sz w:val="24"/>
                <w:highlight w:val="none"/>
                <w:lang w:val="en-US" w:eastAsia="zh-CN"/>
                <w14:textFill>
                  <w14:solidFill>
                    <w14:schemeClr w14:val="tx1"/>
                  </w14:solidFill>
                </w14:textFill>
              </w:rPr>
              <w:t>风电</w:t>
            </w:r>
            <w:r>
              <w:rPr>
                <w:rFonts w:hint="eastAsia" w:ascii="Times New Roman"/>
                <w:color w:val="000000" w:themeColor="text1"/>
                <w:sz w:val="24"/>
                <w:highlight w:val="none"/>
                <w14:textFill>
                  <w14:solidFill>
                    <w14:schemeClr w14:val="tx1"/>
                  </w14:solidFill>
                </w14:textFill>
              </w:rPr>
              <w:t>项目</w:t>
            </w:r>
            <w:r>
              <w:rPr>
                <w:rFonts w:hint="eastAsia" w:ascii="Times New Roman"/>
                <w:color w:val="000000" w:themeColor="text1"/>
                <w:sz w:val="24"/>
                <w:highlight w:val="none"/>
                <w:lang w:eastAsia="zh-CN"/>
                <w14:textFill>
                  <w14:solidFill>
                    <w14:schemeClr w14:val="tx1"/>
                  </w14:solidFill>
                </w14:textFill>
              </w:rPr>
              <w:t>的</w:t>
            </w:r>
            <w:r>
              <w:rPr>
                <w:rFonts w:hint="eastAsia" w:ascii="Times New Roman"/>
                <w:color w:val="000000" w:themeColor="text1"/>
                <w:sz w:val="24"/>
                <w:highlight w:val="none"/>
                <w:lang w:val="en-US" w:eastAsia="zh-CN"/>
                <w14:textFill>
                  <w14:solidFill>
                    <w14:schemeClr w14:val="tx1"/>
                  </w14:solidFill>
                </w14:textFill>
              </w:rPr>
              <w:t>配套升压站建设项目，</w:t>
            </w:r>
            <w:r>
              <w:rPr>
                <w:rFonts w:hint="eastAsia" w:ascii="Times New Roman"/>
                <w:color w:val="000000" w:themeColor="text1"/>
                <w:sz w:val="24"/>
                <w:highlight w:val="none"/>
                <w14:textFill>
                  <w14:solidFill>
                    <w14:schemeClr w14:val="tx1"/>
                  </w14:solidFill>
                </w14:textFill>
              </w:rPr>
              <w:t>符合《河北省生态环境保护“十四五”规划》要求。</w:t>
            </w:r>
          </w:p>
          <w:p>
            <w:pPr>
              <w:snapToGrid w:val="0"/>
              <w:spacing w:line="360" w:lineRule="auto"/>
              <w:ind w:firstLine="480" w:firstLineChars="200"/>
              <w:rPr>
                <w:rFonts w:hint="eastAsia"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根据《承德市生态环境保护“十四五”规划》“专栏1绿色发展重点工程——可再生能源基地建设。加快承德百万千瓦风电基地二期、光伏发电应用基地和分布式光伏项目建设，谋划启动承德百万千瓦风电基地三期建设。推进丰宁、滦平抽水蓄能电站项目建设。”本项目为</w:t>
            </w:r>
            <w:r>
              <w:rPr>
                <w:rFonts w:hint="eastAsia" w:ascii="Times New Roman"/>
                <w:color w:val="000000" w:themeColor="text1"/>
                <w:sz w:val="24"/>
                <w:highlight w:val="none"/>
                <w:lang w:val="en-US" w:eastAsia="zh-CN"/>
                <w14:textFill>
                  <w14:solidFill>
                    <w14:schemeClr w14:val="tx1"/>
                  </w14:solidFill>
                </w14:textFill>
              </w:rPr>
              <w:t>风电</w:t>
            </w:r>
            <w:r>
              <w:rPr>
                <w:rFonts w:hint="eastAsia" w:ascii="Times New Roman"/>
                <w:color w:val="000000" w:themeColor="text1"/>
                <w:sz w:val="24"/>
                <w:highlight w:val="none"/>
                <w14:textFill>
                  <w14:solidFill>
                    <w14:schemeClr w14:val="tx1"/>
                  </w14:solidFill>
                </w14:textFill>
              </w:rPr>
              <w:t>项目</w:t>
            </w:r>
            <w:r>
              <w:rPr>
                <w:rFonts w:hint="eastAsia" w:ascii="Times New Roman"/>
                <w:color w:val="000000" w:themeColor="text1"/>
                <w:sz w:val="24"/>
                <w:highlight w:val="none"/>
                <w:lang w:eastAsia="zh-CN"/>
                <w14:textFill>
                  <w14:solidFill>
                    <w14:schemeClr w14:val="tx1"/>
                  </w14:solidFill>
                </w14:textFill>
              </w:rPr>
              <w:t>的</w:t>
            </w:r>
            <w:r>
              <w:rPr>
                <w:rFonts w:hint="eastAsia" w:ascii="Times New Roman"/>
                <w:color w:val="000000" w:themeColor="text1"/>
                <w:sz w:val="24"/>
                <w:highlight w:val="none"/>
                <w:lang w:val="en-US" w:eastAsia="zh-CN"/>
                <w14:textFill>
                  <w14:solidFill>
                    <w14:schemeClr w14:val="tx1"/>
                  </w14:solidFill>
                </w14:textFill>
              </w:rPr>
              <w:t>配套升压站建设项目，</w:t>
            </w:r>
            <w:r>
              <w:rPr>
                <w:rFonts w:hint="eastAsia" w:ascii="Times New Roman"/>
                <w:color w:val="000000" w:themeColor="text1"/>
                <w:sz w:val="24"/>
                <w:highlight w:val="none"/>
                <w14:textFill>
                  <w14:solidFill>
                    <w14:schemeClr w14:val="tx1"/>
                  </w14:solidFill>
                </w14:textFill>
              </w:rPr>
              <w:t>符合《承德市生态环境保护“十四五”规划》要求。</w:t>
            </w:r>
          </w:p>
          <w:p>
            <w:pPr>
              <w:autoSpaceDE w:val="0"/>
              <w:autoSpaceDN w:val="0"/>
              <w:adjustRightInd w:val="0"/>
              <w:snapToGrid w:val="0"/>
              <w:spacing w:line="360" w:lineRule="auto"/>
              <w:ind w:firstLine="482" w:firstLineChars="200"/>
              <w:rPr>
                <w:rFonts w:ascii="Times New Roman"/>
                <w:b/>
                <w:color w:val="000000" w:themeColor="text1"/>
                <w:kern w:val="0"/>
                <w:sz w:val="24"/>
                <w:highlight w:val="none"/>
                <w14:textFill>
                  <w14:solidFill>
                    <w14:schemeClr w14:val="tx1"/>
                  </w14:solidFill>
                </w14:textFill>
              </w:rPr>
            </w:pPr>
            <w:r>
              <w:rPr>
                <w:rFonts w:hint="eastAsia" w:ascii="Times New Roman"/>
                <w:b/>
                <w:color w:val="000000" w:themeColor="text1"/>
                <w:kern w:val="0"/>
                <w:sz w:val="24"/>
                <w:highlight w:val="none"/>
                <w:lang w:val="en-US" w:eastAsia="zh-CN"/>
                <w14:textFill>
                  <w14:solidFill>
                    <w14:schemeClr w14:val="tx1"/>
                  </w14:solidFill>
                </w14:textFill>
              </w:rPr>
              <w:t>5</w:t>
            </w:r>
            <w:r>
              <w:rPr>
                <w:rFonts w:ascii="Times New Roman"/>
                <w:b/>
                <w:color w:val="000000" w:themeColor="text1"/>
                <w:kern w:val="0"/>
                <w:sz w:val="24"/>
                <w:highlight w:val="none"/>
                <w14:textFill>
                  <w14:solidFill>
                    <w14:schemeClr w14:val="tx1"/>
                  </w14:solidFill>
                </w14:textFill>
              </w:rPr>
              <w:t>、《承德市城市总体规划》(2016-2030年)相符性</w:t>
            </w:r>
          </w:p>
          <w:p>
            <w:pPr>
              <w:snapToGrid w:val="0"/>
              <w:spacing w:line="360" w:lineRule="auto"/>
              <w:ind w:firstLine="480"/>
              <w:rPr>
                <w:rFonts w:hint="eastAsia" w:ascii="Times New Roman" w:eastAsia="宋体"/>
                <w:color w:val="000000" w:themeColor="text1"/>
                <w:sz w:val="24"/>
                <w:highlight w:val="none"/>
                <w:lang w:eastAsia="zh-CN"/>
                <w14:textFill>
                  <w14:solidFill>
                    <w14:schemeClr w14:val="tx1"/>
                  </w14:solidFill>
                </w14:textFill>
              </w:rPr>
            </w:pPr>
            <w:r>
              <w:rPr>
                <w:rFonts w:ascii="Times New Roman"/>
                <w:color w:val="000000" w:themeColor="text1"/>
                <w:sz w:val="24"/>
                <w:highlight w:val="none"/>
                <w14:textFill>
                  <w14:solidFill>
                    <w14:schemeClr w14:val="tx1"/>
                  </w14:solidFill>
                </w14:textFill>
              </w:rPr>
              <w:t>《承德市城市总体规划》(2016-2030)中的生态功能区划将承德市划分出一级区两个，即坝上高原生态区、冀北及燕山山地生态区；生态亚区六个，即坝上高原西部草原生态亚区、坝上高原东部森林草原生态亚区、冀北山地森林生态亚区、七老图山森林灌草生态亚区、燕山山地南部林果生态亚区、城市规划发展生态亚区</w:t>
            </w:r>
            <w:r>
              <w:rPr>
                <w:rFonts w:hint="eastAsia" w:ascii="Times New Roman"/>
                <w:color w:val="000000" w:themeColor="text1"/>
                <w:sz w:val="24"/>
                <w:highlight w:val="none"/>
                <w:lang w:eastAsia="zh-CN"/>
                <w14:textFill>
                  <w14:solidFill>
                    <w14:schemeClr w14:val="tx1"/>
                  </w14:solidFill>
                </w14:textFill>
              </w:rPr>
              <w:t>。</w:t>
            </w:r>
          </w:p>
          <w:p>
            <w:pPr>
              <w:pStyle w:val="19"/>
              <w:kinsoku w:val="0"/>
              <w:overflowPunct w:val="0"/>
              <w:spacing w:before="0" w:after="0"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本项目</w:t>
            </w:r>
            <w:r>
              <w:rPr>
                <w:rFonts w:hint="eastAsia"/>
                <w:color w:val="000000" w:themeColor="text1"/>
                <w:sz w:val="24"/>
                <w:szCs w:val="24"/>
                <w:highlight w:val="none"/>
                <w14:textFill>
                  <w14:solidFill>
                    <w14:schemeClr w14:val="tx1"/>
                  </w14:solidFill>
                </w14:textFill>
              </w:rPr>
              <w:t>拟选</w:t>
            </w:r>
            <w:r>
              <w:rPr>
                <w:color w:val="000000" w:themeColor="text1"/>
                <w:sz w:val="24"/>
                <w:szCs w:val="24"/>
                <w:highlight w:val="none"/>
                <w14:textFill>
                  <w14:solidFill>
                    <w14:schemeClr w14:val="tx1"/>
                  </w14:solidFill>
                </w14:textFill>
              </w:rPr>
              <w:t>站址位于承德市</w:t>
            </w:r>
            <w:r>
              <w:rPr>
                <w:rFonts w:hint="eastAsia"/>
                <w:color w:val="000000" w:themeColor="text1"/>
                <w:sz w:val="24"/>
                <w:szCs w:val="24"/>
                <w:highlight w:val="none"/>
                <w:lang w:eastAsia="zh-CN"/>
                <w14:textFill>
                  <w14:solidFill>
                    <w14:schemeClr w14:val="tx1"/>
                  </w14:solidFill>
                </w14:textFill>
              </w:rPr>
              <w:t>围场满族蒙古族自治县围场镇坡字村坡来南沟东北约1.97km</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根据承德市</w:t>
            </w:r>
            <w:r>
              <w:rPr>
                <w:rFonts w:hint="eastAsia"/>
                <w:color w:val="000000" w:themeColor="text1"/>
                <w:sz w:val="24"/>
                <w:szCs w:val="24"/>
                <w:highlight w:val="none"/>
                <w:lang w:val="en-US" w:eastAsia="zh-CN"/>
                <w14:textFill>
                  <w14:solidFill>
                    <w14:schemeClr w14:val="tx1"/>
                  </w14:solidFill>
                </w14:textFill>
              </w:rPr>
              <w:t>城市</w:t>
            </w:r>
            <w:r>
              <w:rPr>
                <w:color w:val="000000" w:themeColor="text1"/>
                <w:sz w:val="24"/>
                <w:szCs w:val="24"/>
                <w:highlight w:val="none"/>
                <w14:textFill>
                  <w14:solidFill>
                    <w14:schemeClr w14:val="tx1"/>
                  </w14:solidFill>
                </w14:textFill>
              </w:rPr>
              <w:t>总体规划，属于“</w:t>
            </w:r>
            <w:r>
              <w:rPr>
                <w:rFonts w:hint="eastAsia"/>
                <w:color w:val="000000" w:themeColor="text1"/>
                <w:sz w:val="24"/>
                <w:szCs w:val="24"/>
                <w:highlight w:val="none"/>
                <w14:textFill>
                  <w14:solidFill>
                    <w14:schemeClr w14:val="tx1"/>
                  </w14:solidFill>
                </w14:textFill>
              </w:rPr>
              <w:t>冀北及燕山山地生态区II</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冀北山地森林生态亚区II-1</w:t>
            </w:r>
            <w:r>
              <w:rPr>
                <w:rFonts w:hint="eastAsia"/>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围场中部水源涵养、水资源保护与沙漠化防治功能区II-1-2</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本项目施工期废水不外排，运营期仅产生生活污水，食堂废水经隔油池处理，与生活污水经一体化污水处理装置处理达标后送到清水池，再通过回用水泵回用于绿化，不外排。在建设过程中按照水土流失防治分区，针对不同区域、不同工程部位，因地制宜布置水土流失防治措施。采取工程措施、植物措施、临时措施和预防保护措施相结合的综合防治措施，在时间和空间上形成一个完整的水土保持防治体系。不改变区域生态功能区划，因此，项目符合《承德市城市总体规划》(2016-2030年)要求。</w:t>
            </w:r>
          </w:p>
          <w:p>
            <w:pPr>
              <w:pStyle w:val="19"/>
              <w:kinsoku w:val="0"/>
              <w:overflowPunct w:val="0"/>
              <w:spacing w:before="0" w:after="0" w:line="360" w:lineRule="auto"/>
              <w:ind w:right="297"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6</w:t>
            </w:r>
            <w:r>
              <w:rPr>
                <w:b/>
                <w:bCs/>
                <w:color w:val="000000" w:themeColor="text1"/>
                <w:sz w:val="24"/>
                <w:szCs w:val="24"/>
                <w:highlight w:val="none"/>
                <w14:textFill>
                  <w14:solidFill>
                    <w14:schemeClr w14:val="tx1"/>
                  </w14:solidFill>
                </w14:textFill>
              </w:rPr>
              <w:t>、《承德市重点水源涵养生态功能保护区规划》及县域生态功能区划符合性分析</w:t>
            </w:r>
          </w:p>
          <w:p>
            <w:pPr>
              <w:pStyle w:val="19"/>
              <w:kinsoku w:val="0"/>
              <w:overflowPunct w:val="0"/>
              <w:spacing w:before="0" w:after="0" w:line="360" w:lineRule="auto"/>
              <w:ind w:firstLine="480" w:firstLineChars="200"/>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t>承德市重点水源涵养生态功能保护区总面积8015.92km</w:t>
            </w:r>
            <w:r>
              <w:rPr>
                <w:color w:val="000000" w:themeColor="text1"/>
                <w:sz w:val="24"/>
                <w:szCs w:val="24"/>
                <w:highlight w:val="none"/>
                <w:vertAlign w:val="superscript"/>
                <w14:textFill>
                  <w14:solidFill>
                    <w14:schemeClr w14:val="tx1"/>
                  </w14:solidFill>
                </w14:textFill>
              </w:rPr>
              <w:t>2</w:t>
            </w:r>
            <w:r>
              <w:rPr>
                <w:color w:val="000000" w:themeColor="text1"/>
                <w:sz w:val="24"/>
                <w:szCs w:val="24"/>
                <w:highlight w:val="none"/>
                <w14:textFill>
                  <w14:solidFill>
                    <w14:schemeClr w14:val="tx1"/>
                  </w14:solidFill>
                </w14:textFill>
              </w:rPr>
              <w:t>，占全市土地面积的20.29%。根据《承德市重点水源涵养生态功能保护区规划》，本项目</w:t>
            </w:r>
            <w:r>
              <w:rPr>
                <w:color w:val="000000" w:themeColor="text1"/>
                <w:spacing w:val="-5"/>
                <w:sz w:val="24"/>
                <w:szCs w:val="24"/>
                <w:highlight w:val="none"/>
                <w14:textFill>
                  <w14:solidFill>
                    <w14:schemeClr w14:val="tx1"/>
                  </w14:solidFill>
                </w14:textFill>
              </w:rPr>
              <w:t>未处于该区域内。</w:t>
            </w:r>
            <w:r>
              <w:rPr>
                <w:rFonts w:hint="eastAsia" w:ascii="Times New Roman"/>
                <w:bCs/>
                <w:color w:val="000000" w:themeColor="text1"/>
                <w:sz w:val="24"/>
                <w:highlight w:val="none"/>
                <w14:textFill>
                  <w14:solidFill>
                    <w14:schemeClr w14:val="tx1"/>
                  </w14:solidFill>
                </w14:textFill>
              </w:rPr>
              <w:t>本项目与承德市重点水源涵养生态功能保护区划位置关系见附图。</w:t>
            </w:r>
          </w:p>
          <w:p>
            <w:pPr>
              <w:autoSpaceDE w:val="0"/>
              <w:autoSpaceDN w:val="0"/>
              <w:adjustRightInd w:val="0"/>
              <w:snapToGrid w:val="0"/>
              <w:spacing w:line="360" w:lineRule="auto"/>
              <w:ind w:firstLine="480" w:firstLineChars="200"/>
              <w:rPr>
                <w:rFonts w:ascii="Times New Roman"/>
                <w:bCs/>
                <w:color w:val="000000" w:themeColor="text1"/>
                <w:kern w:val="0"/>
                <w:sz w:val="24"/>
                <w:highlight w:val="none"/>
                <w14:textFill>
                  <w14:solidFill>
                    <w14:schemeClr w14:val="tx1"/>
                  </w14:solidFill>
                </w14:textFill>
              </w:rPr>
            </w:pPr>
            <w:r>
              <w:rPr>
                <w:rFonts w:hint="eastAsia" w:ascii="Times New Roman"/>
                <w:bCs/>
                <w:color w:val="000000" w:themeColor="text1"/>
                <w:kern w:val="0"/>
                <w:sz w:val="24"/>
                <w:highlight w:val="none"/>
                <w14:textFill>
                  <w14:solidFill>
                    <w14:schemeClr w14:val="tx1"/>
                  </w14:solidFill>
                </w14:textFill>
              </w:rPr>
              <w:t>本工程实施水土流失防治，不仅将新增的水土流失进行防治，还结合水土流失重点防治区的划分和治理规划的要求，对项目区原有的水土流失进行治理。工程建设过程中的水土流失防治按照水土流失防治分区，针对不同区域、不同工程部位，因地制宜布置水土流失防治措施。采取工程措施、植物措施、临时措施和预防保护措施相结合的综合防治措施，在时间和空间上形成一个完整的水土保持防治体系。因此本项目的建设不会对项目区域生态功能区产生明显的环境影响。</w:t>
            </w:r>
          </w:p>
          <w:p>
            <w:pPr>
              <w:autoSpaceDE w:val="0"/>
              <w:autoSpaceDN w:val="0"/>
              <w:adjustRightInd w:val="0"/>
              <w:snapToGrid w:val="0"/>
              <w:spacing w:line="360" w:lineRule="auto"/>
              <w:ind w:firstLine="482" w:firstLineChars="200"/>
              <w:rPr>
                <w:rFonts w:ascii="Times New Roman"/>
                <w:b/>
                <w:color w:val="000000" w:themeColor="text1"/>
                <w:kern w:val="0"/>
                <w:sz w:val="24"/>
                <w:highlight w:val="none"/>
                <w14:textFill>
                  <w14:solidFill>
                    <w14:schemeClr w14:val="tx1"/>
                  </w14:solidFill>
                </w14:textFill>
              </w:rPr>
            </w:pPr>
            <w:r>
              <w:rPr>
                <w:rFonts w:hint="eastAsia" w:ascii="Times New Roman"/>
                <w:b/>
                <w:color w:val="000000" w:themeColor="text1"/>
                <w:kern w:val="0"/>
                <w:sz w:val="24"/>
                <w:highlight w:val="none"/>
                <w:lang w:val="en-US" w:eastAsia="zh-CN"/>
                <w14:textFill>
                  <w14:solidFill>
                    <w14:schemeClr w14:val="tx1"/>
                  </w14:solidFill>
                </w14:textFill>
              </w:rPr>
              <w:t>7</w:t>
            </w:r>
            <w:r>
              <w:rPr>
                <w:rFonts w:ascii="Times New Roman"/>
                <w:b/>
                <w:color w:val="000000" w:themeColor="text1"/>
                <w:kern w:val="0"/>
                <w:sz w:val="24"/>
                <w:highlight w:val="none"/>
                <w14:textFill>
                  <w14:solidFill>
                    <w14:schemeClr w14:val="tx1"/>
                  </w14:solidFill>
                </w14:textFill>
              </w:rPr>
              <w:t>、</w:t>
            </w:r>
            <w:r>
              <w:rPr>
                <w:rFonts w:hint="eastAsia" w:ascii="Times New Roman"/>
                <w:b/>
                <w:color w:val="000000" w:themeColor="text1"/>
                <w:kern w:val="0"/>
                <w:sz w:val="24"/>
                <w:highlight w:val="none"/>
                <w14:textFill>
                  <w14:solidFill>
                    <w14:schemeClr w14:val="tx1"/>
                  </w14:solidFill>
                </w14:textFill>
              </w:rPr>
              <w:t>与国土空间总体规划相符性</w:t>
            </w:r>
          </w:p>
          <w:p>
            <w:pPr>
              <w:autoSpaceDE w:val="0"/>
              <w:autoSpaceDN w:val="0"/>
              <w:adjustRightInd w:val="0"/>
              <w:snapToGrid w:val="0"/>
              <w:spacing w:line="360" w:lineRule="auto"/>
              <w:ind w:firstLine="480" w:firstLineChars="200"/>
              <w:rPr>
                <w:rFonts w:ascii="Times New Roman"/>
                <w:b/>
                <w:color w:val="000000" w:themeColor="text1"/>
                <w:kern w:val="0"/>
                <w:sz w:val="24"/>
                <w:highlight w:val="none"/>
                <w14:textFill>
                  <w14:solidFill>
                    <w14:schemeClr w14:val="tx1"/>
                  </w14:solidFill>
                </w14:textFill>
              </w:rPr>
            </w:pPr>
            <w:r>
              <w:rPr>
                <w:rFonts w:hint="eastAsia" w:ascii="Times New Roman"/>
                <w:color w:val="000000" w:themeColor="text1"/>
                <w:kern w:val="0"/>
                <w:sz w:val="24"/>
                <w:highlight w:val="none"/>
                <w14:textFill>
                  <w14:solidFill>
                    <w14:schemeClr w14:val="tx1"/>
                  </w14:solidFill>
                </w14:textFill>
              </w:rPr>
              <w:t>根据《承德市国土空间总体规划（2021-2035年）》产业发展空间规划，“培育壮大三大支撑产业-清洁能源”，“以围场、丰宁、</w:t>
            </w:r>
            <w:r>
              <w:rPr>
                <w:rFonts w:hint="eastAsia" w:ascii="Times New Roman"/>
                <w:color w:val="000000" w:themeColor="text1"/>
                <w:kern w:val="0"/>
                <w:sz w:val="24"/>
                <w:highlight w:val="none"/>
                <w:lang w:eastAsia="zh-CN"/>
                <w14:textFill>
                  <w14:solidFill>
                    <w14:schemeClr w14:val="tx1"/>
                  </w14:solidFill>
                </w14:textFill>
              </w:rPr>
              <w:t>隆化</w:t>
            </w:r>
            <w:r>
              <w:rPr>
                <w:rFonts w:hint="eastAsia" w:ascii="Times New Roman"/>
                <w:color w:val="000000" w:themeColor="text1"/>
                <w:kern w:val="0"/>
                <w:sz w:val="24"/>
                <w:highlight w:val="none"/>
                <w14:textFill>
                  <w14:solidFill>
                    <w14:schemeClr w14:val="tx1"/>
                  </w14:solidFill>
                </w14:textFill>
              </w:rPr>
              <w:t>为重点，以风</w:t>
            </w:r>
            <w:r>
              <w:rPr>
                <w:rFonts w:hint="eastAsia" w:ascii="Times New Roman"/>
                <w:color w:val="000000" w:themeColor="text1"/>
                <w:kern w:val="0"/>
                <w:sz w:val="24"/>
                <w:highlight w:val="none"/>
                <w:lang w:eastAsia="zh-CN"/>
                <w14:textFill>
                  <w14:solidFill>
                    <w14:schemeClr w14:val="tx1"/>
                  </w14:solidFill>
                </w14:textFill>
              </w:rPr>
              <w:t>、</w:t>
            </w:r>
            <w:r>
              <w:rPr>
                <w:rFonts w:hint="eastAsia" w:ascii="Times New Roman"/>
                <w:color w:val="000000" w:themeColor="text1"/>
                <w:kern w:val="0"/>
                <w:sz w:val="24"/>
                <w:highlight w:val="none"/>
                <w14:textFill>
                  <w14:solidFill>
                    <w14:schemeClr w14:val="tx1"/>
                  </w14:solidFill>
                </w14:textFill>
              </w:rPr>
              <w:t>光、水三个千万千瓦级发电基地为依托，推动“风光储氢”一体化发展，打造“中国绿氢谷”，</w:t>
            </w:r>
            <w:r>
              <w:rPr>
                <w:rFonts w:ascii="Times New Roman"/>
                <w:color w:val="000000" w:themeColor="text1"/>
                <w:kern w:val="0"/>
                <w:sz w:val="24"/>
                <w:highlight w:val="none"/>
                <w14:textFill>
                  <w14:solidFill>
                    <w14:schemeClr w14:val="tx1"/>
                  </w14:solidFill>
                </w14:textFill>
              </w:rPr>
              <w:t>本项目</w:t>
            </w:r>
            <w:r>
              <w:rPr>
                <w:rFonts w:hint="eastAsia" w:ascii="Times New Roman"/>
                <w:color w:val="000000" w:themeColor="text1"/>
                <w:kern w:val="0"/>
                <w:sz w:val="24"/>
                <w:highlight w:val="none"/>
                <w14:textFill>
                  <w14:solidFill>
                    <w14:schemeClr w14:val="tx1"/>
                  </w14:solidFill>
                </w14:textFill>
              </w:rPr>
              <w:t>位于承德市</w:t>
            </w:r>
            <w:r>
              <w:rPr>
                <w:rFonts w:hint="eastAsia" w:ascii="Times New Roman"/>
                <w:color w:val="000000" w:themeColor="text1"/>
                <w:kern w:val="0"/>
                <w:sz w:val="24"/>
                <w:highlight w:val="none"/>
                <w:lang w:val="en-US" w:eastAsia="zh-CN"/>
                <w14:textFill>
                  <w14:solidFill>
                    <w14:schemeClr w14:val="tx1"/>
                  </w14:solidFill>
                </w14:textFill>
              </w:rPr>
              <w:t>围场满族蒙古族自治县</w:t>
            </w:r>
            <w:r>
              <w:rPr>
                <w:rFonts w:hint="eastAsia" w:ascii="Times New Roman"/>
                <w:color w:val="000000" w:themeColor="text1"/>
                <w:kern w:val="0"/>
                <w:sz w:val="24"/>
                <w:highlight w:val="none"/>
                <w14:textFill>
                  <w14:solidFill>
                    <w14:schemeClr w14:val="tx1"/>
                  </w14:solidFill>
                </w14:textFill>
              </w:rPr>
              <w:t>，属于“清洁能源发电基地”，本项目建设升压站，</w:t>
            </w:r>
            <w:r>
              <w:rPr>
                <w:rFonts w:hint="eastAsia" w:ascii="Times New Roman"/>
                <w:color w:val="000000" w:themeColor="text1"/>
                <w:kern w:val="0"/>
                <w:sz w:val="24"/>
                <w:highlight w:val="none"/>
                <w:lang w:val="en-US" w:eastAsia="zh-CN"/>
                <w14:textFill>
                  <w14:solidFill>
                    <w14:schemeClr w14:val="tx1"/>
                  </w14:solidFill>
                </w14:textFill>
              </w:rPr>
              <w:t>为配套风电场服务</w:t>
            </w:r>
            <w:r>
              <w:rPr>
                <w:rFonts w:hint="eastAsia" w:ascii="Times New Roman"/>
                <w:color w:val="000000" w:themeColor="text1"/>
                <w:kern w:val="0"/>
                <w:sz w:val="24"/>
                <w:highlight w:val="none"/>
                <w14:textFill>
                  <w14:solidFill>
                    <w14:schemeClr w14:val="tx1"/>
                  </w14:solidFill>
                </w14:textFill>
              </w:rPr>
              <w:t>，属于清洁能源发电</w:t>
            </w:r>
            <w:r>
              <w:rPr>
                <w:rFonts w:hint="eastAsia" w:ascii="Times New Roman"/>
                <w:color w:val="000000" w:themeColor="text1"/>
                <w:kern w:val="0"/>
                <w:sz w:val="24"/>
                <w:highlight w:val="none"/>
                <w:lang w:val="en-US" w:eastAsia="zh-CN"/>
                <w14:textFill>
                  <w14:solidFill>
                    <w14:schemeClr w14:val="tx1"/>
                  </w14:solidFill>
                </w14:textFill>
              </w:rPr>
              <w:t>项目，</w:t>
            </w:r>
            <w:r>
              <w:rPr>
                <w:rFonts w:hint="eastAsia" w:ascii="Times New Roman"/>
                <w:bCs/>
                <w:color w:val="000000" w:themeColor="text1"/>
                <w:sz w:val="24"/>
                <w:szCs w:val="24"/>
                <w:highlight w:val="none"/>
                <w14:textFill>
                  <w14:solidFill>
                    <w14:schemeClr w14:val="tx1"/>
                  </w14:solidFill>
                </w14:textFill>
              </w:rPr>
              <w:t>因此，本项目</w:t>
            </w:r>
            <w:r>
              <w:rPr>
                <w:rFonts w:hint="eastAsia" w:ascii="Times New Roman"/>
                <w:color w:val="000000" w:themeColor="text1"/>
                <w:kern w:val="0"/>
                <w:sz w:val="24"/>
                <w:highlight w:val="none"/>
                <w14:textFill>
                  <w14:solidFill>
                    <w14:schemeClr w14:val="tx1"/>
                  </w14:solidFill>
                </w14:textFill>
              </w:rPr>
              <w:t>符合《承德市国土空间总体规划（2021-2035年）》</w:t>
            </w:r>
            <w:r>
              <w:rPr>
                <w:rFonts w:hint="eastAsia" w:ascii="Times New Roman"/>
                <w:color w:val="000000" w:themeColor="text1"/>
                <w:kern w:val="0"/>
                <w:sz w:val="24"/>
                <w:highlight w:val="none"/>
                <w:lang w:val="en-US" w:eastAsia="zh-CN"/>
                <w14:textFill>
                  <w14:solidFill>
                    <w14:schemeClr w14:val="tx1"/>
                  </w14:solidFill>
                </w14:textFill>
              </w:rPr>
              <w:t>要求</w:t>
            </w:r>
            <w:r>
              <w:rPr>
                <w:rFonts w:ascii="Times New Roman"/>
                <w:color w:val="000000" w:themeColor="text1"/>
                <w:kern w:val="0"/>
                <w:sz w:val="24"/>
                <w:highlight w:val="none"/>
                <w14:textFill>
                  <w14:solidFill>
                    <w14:schemeClr w14:val="tx1"/>
                  </w14:solidFill>
                </w14:textFill>
              </w:rPr>
              <w:t>。</w:t>
            </w:r>
          </w:p>
          <w:p>
            <w:pPr>
              <w:autoSpaceDE w:val="0"/>
              <w:autoSpaceDN w:val="0"/>
              <w:adjustRightInd w:val="0"/>
              <w:snapToGrid w:val="0"/>
              <w:spacing w:line="360" w:lineRule="auto"/>
              <w:ind w:firstLine="482" w:firstLineChars="200"/>
              <w:rPr>
                <w:rFonts w:hint="default" w:ascii="Times New Roman" w:eastAsia="宋体"/>
                <w:b/>
                <w:color w:val="000000" w:themeColor="text1"/>
                <w:kern w:val="0"/>
                <w:sz w:val="24"/>
                <w:highlight w:val="none"/>
                <w:lang w:val="en-US" w:eastAsia="zh-CN"/>
                <w14:textFill>
                  <w14:solidFill>
                    <w14:schemeClr w14:val="tx1"/>
                  </w14:solidFill>
                </w14:textFill>
              </w:rPr>
            </w:pPr>
            <w:r>
              <w:rPr>
                <w:rFonts w:hint="eastAsia" w:ascii="Times New Roman"/>
                <w:b/>
                <w:color w:val="000000" w:themeColor="text1"/>
                <w:kern w:val="0"/>
                <w:sz w:val="24"/>
                <w:highlight w:val="none"/>
                <w:lang w:val="en-US" w:eastAsia="zh-CN"/>
                <w14:textFill>
                  <w14:solidFill>
                    <w14:schemeClr w14:val="tx1"/>
                  </w14:solidFill>
                </w14:textFill>
              </w:rPr>
              <w:t>8、与防沙治沙相关要求符合性分析</w:t>
            </w:r>
          </w:p>
          <w:p>
            <w:pPr>
              <w:autoSpaceDE w:val="0"/>
              <w:autoSpaceDN w:val="0"/>
              <w:adjustRightInd w:val="0"/>
              <w:snapToGrid w:val="0"/>
              <w:spacing w:line="360" w:lineRule="auto"/>
              <w:ind w:firstLine="480" w:firstLineChars="200"/>
              <w:rPr>
                <w:rFonts w:hint="eastAsia" w:ascii="Times New Roman"/>
                <w:color w:val="000000" w:themeColor="text1"/>
                <w:kern w:val="0"/>
                <w:sz w:val="24"/>
                <w:highlight w:val="none"/>
                <w14:textFill>
                  <w14:solidFill>
                    <w14:schemeClr w14:val="tx1"/>
                  </w14:solidFill>
                </w14:textFill>
              </w:rPr>
            </w:pPr>
            <w:r>
              <w:rPr>
                <w:rFonts w:hint="eastAsia" w:ascii="Times New Roman"/>
                <w:color w:val="000000" w:themeColor="text1"/>
                <w:kern w:val="0"/>
                <w:sz w:val="24"/>
                <w:highlight w:val="none"/>
                <w14:textFill>
                  <w14:solidFill>
                    <w14:schemeClr w14:val="tx1"/>
                  </w14:solidFill>
                </w14:textFill>
              </w:rPr>
              <w:t>根据《进一步做好沙区建设项目环境影响评价工作的通知》（冀环办字函〔2023〕326 号），承德市</w:t>
            </w:r>
            <w:r>
              <w:rPr>
                <w:rFonts w:hint="eastAsia" w:ascii="Times New Roman"/>
                <w:color w:val="000000" w:themeColor="text1"/>
                <w:kern w:val="0"/>
                <w:sz w:val="24"/>
                <w:highlight w:val="none"/>
                <w:lang w:eastAsia="zh-CN"/>
                <w14:textFill>
                  <w14:solidFill>
                    <w14:schemeClr w14:val="tx1"/>
                  </w14:solidFill>
                </w14:textFill>
              </w:rPr>
              <w:t>围场满族蒙古族自治县</w:t>
            </w:r>
            <w:r>
              <w:rPr>
                <w:rFonts w:hint="eastAsia" w:ascii="Times New Roman"/>
                <w:color w:val="000000" w:themeColor="text1"/>
                <w:kern w:val="0"/>
                <w:sz w:val="24"/>
                <w:highlight w:val="none"/>
                <w14:textFill>
                  <w14:solidFill>
                    <w14:schemeClr w14:val="tx1"/>
                  </w14:solidFill>
                </w14:textFill>
              </w:rPr>
              <w:t>涉及沙区范围。经与河北省“三线一单”数据平台核实，本项目位置</w:t>
            </w:r>
            <w:r>
              <w:rPr>
                <w:rFonts w:hint="eastAsia" w:ascii="Times New Roman"/>
                <w:color w:val="000000" w:themeColor="text1"/>
                <w:kern w:val="0"/>
                <w:sz w:val="24"/>
                <w:highlight w:val="none"/>
                <w:lang w:val="en-US" w:eastAsia="zh-CN"/>
                <w14:textFill>
                  <w14:solidFill>
                    <w14:schemeClr w14:val="tx1"/>
                  </w14:solidFill>
                </w14:textFill>
              </w:rPr>
              <w:t>属于沙化土地范围</w:t>
            </w:r>
            <w:r>
              <w:rPr>
                <w:rFonts w:hint="eastAsia" w:ascii="Times New Roman"/>
                <w:color w:val="000000" w:themeColor="text1"/>
                <w:kern w:val="0"/>
                <w:sz w:val="24"/>
                <w:highlight w:val="none"/>
                <w:lang w:eastAsia="zh-CN"/>
                <w14:textFill>
                  <w14:solidFill>
                    <w14:schemeClr w14:val="tx1"/>
                  </w14:solidFill>
                </w14:textFill>
              </w:rPr>
              <w:t>，</w:t>
            </w:r>
            <w:r>
              <w:rPr>
                <w:rFonts w:hint="eastAsia" w:ascii="Times New Roman"/>
                <w:color w:val="000000" w:themeColor="text1"/>
                <w:kern w:val="0"/>
                <w:sz w:val="24"/>
                <w:highlight w:val="none"/>
                <w:lang w:val="en-US" w:eastAsia="zh-CN"/>
                <w14:textFill>
                  <w14:solidFill>
                    <w14:schemeClr w14:val="tx1"/>
                  </w14:solidFill>
                </w14:textFill>
              </w:rPr>
              <w:t>位置关系见图1-4</w:t>
            </w:r>
            <w:r>
              <w:rPr>
                <w:rFonts w:hint="eastAsia" w:ascii="Times New Roman"/>
                <w:color w:val="000000" w:themeColor="text1"/>
                <w:kern w:val="0"/>
                <w:sz w:val="24"/>
                <w:highlight w:val="none"/>
                <w14:textFill>
                  <w14:solidFill>
                    <w14:schemeClr w14:val="tx1"/>
                  </w14:solidFill>
                </w14:textFill>
              </w:rPr>
              <w:t>。</w:t>
            </w:r>
          </w:p>
          <w:p>
            <w:pPr>
              <w:spacing w:line="360" w:lineRule="auto"/>
              <w:jc w:val="center"/>
              <w:rPr>
                <w:rFonts w:hint="eastAsia" w:ascii="Times New Roman" w:eastAsia="宋体"/>
                <w:b/>
                <w:bCs/>
                <w:color w:val="000000" w:themeColor="text1"/>
                <w:sz w:val="24"/>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3970655</wp:posOffset>
                  </wp:positionH>
                  <wp:positionV relativeFrom="paragraph">
                    <wp:posOffset>63500</wp:posOffset>
                  </wp:positionV>
                  <wp:extent cx="301625" cy="520065"/>
                  <wp:effectExtent l="0" t="0" r="3175" b="13335"/>
                  <wp:wrapNone/>
                  <wp:docPr id="5" name="图片 5" descr="指北针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指北针啊"/>
                          <pic:cNvPicPr>
                            <a:picLocks noChangeAspect="1"/>
                          </pic:cNvPicPr>
                        </pic:nvPicPr>
                        <pic:blipFill>
                          <a:blip r:embed="rId17"/>
                          <a:stretch>
                            <a:fillRect/>
                          </a:stretch>
                        </pic:blipFill>
                        <pic:spPr>
                          <a:xfrm>
                            <a:off x="0" y="0"/>
                            <a:ext cx="301625" cy="520065"/>
                          </a:xfrm>
                          <a:prstGeom prst="rect">
                            <a:avLst/>
                          </a:prstGeom>
                        </pic:spPr>
                      </pic:pic>
                    </a:graphicData>
                  </a:graphic>
                </wp:anchor>
              </w:drawing>
            </w:r>
            <w:r>
              <w:rPr>
                <w:color w:val="000000" w:themeColor="text1"/>
                <w:sz w:val="24"/>
                <w:highlight w:val="none"/>
                <w14:textFill>
                  <w14:solidFill>
                    <w14:schemeClr w14:val="tx1"/>
                  </w14:solidFill>
                </w14:textFill>
              </w:rPr>
              <w:drawing>
                <wp:inline distT="0" distB="0" distL="114300" distR="114300">
                  <wp:extent cx="4340860" cy="2937510"/>
                  <wp:effectExtent l="0" t="0" r="0" b="0"/>
                  <wp:docPr id="3" name="图片 3" descr="沙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沙区"/>
                          <pic:cNvPicPr>
                            <a:picLocks noChangeAspect="1"/>
                          </pic:cNvPicPr>
                        </pic:nvPicPr>
                        <pic:blipFill>
                          <a:blip r:embed="rId18"/>
                          <a:srcRect b="4283"/>
                          <a:stretch>
                            <a:fillRect/>
                          </a:stretch>
                        </pic:blipFill>
                        <pic:spPr>
                          <a:xfrm>
                            <a:off x="0" y="0"/>
                            <a:ext cx="4340860" cy="2937510"/>
                          </a:xfrm>
                          <a:prstGeom prst="rect">
                            <a:avLst/>
                          </a:prstGeom>
                        </pic:spPr>
                      </pic:pic>
                    </a:graphicData>
                  </a:graphic>
                </wp:inline>
              </w:drawing>
            </w:r>
          </w:p>
          <w:p>
            <w:pPr>
              <w:spacing w:line="360" w:lineRule="auto"/>
              <w:jc w:val="center"/>
              <w:rPr>
                <w:rFonts w:hint="eastAsia" w:eastAsia="宋体"/>
                <w:color w:val="000000" w:themeColor="text1"/>
                <w:highlight w:val="none"/>
                <w:lang w:eastAsia="zh-CN"/>
                <w14:textFill>
                  <w14:solidFill>
                    <w14:schemeClr w14:val="tx1"/>
                  </w14:solidFill>
                </w14:textFill>
              </w:rPr>
            </w:pPr>
            <w:r>
              <w:rPr>
                <w:rFonts w:hint="eastAsia" w:ascii="Times New Roman"/>
                <w:b/>
                <w:bCs/>
                <w:color w:val="000000" w:themeColor="text1"/>
                <w:sz w:val="24"/>
                <w:highlight w:val="none"/>
                <w14:textFill>
                  <w14:solidFill>
                    <w14:schemeClr w14:val="tx1"/>
                  </w14:solidFill>
                </w14:textFill>
              </w:rPr>
              <w:t>图1-</w:t>
            </w:r>
            <w:r>
              <w:rPr>
                <w:rFonts w:hint="eastAsia" w:ascii="Times New Roman"/>
                <w:b/>
                <w:bCs/>
                <w:color w:val="000000" w:themeColor="text1"/>
                <w:sz w:val="24"/>
                <w:highlight w:val="none"/>
                <w:lang w:val="en-US" w:eastAsia="zh-CN"/>
                <w14:textFill>
                  <w14:solidFill>
                    <w14:schemeClr w14:val="tx1"/>
                  </w14:solidFill>
                </w14:textFill>
              </w:rPr>
              <w:t>2</w:t>
            </w:r>
            <w:r>
              <w:rPr>
                <w:rFonts w:hint="eastAsia" w:ascii="Times New Roman"/>
                <w:b/>
                <w:bCs/>
                <w:color w:val="000000" w:themeColor="text1"/>
                <w:sz w:val="24"/>
                <w:highlight w:val="none"/>
                <w14:textFill>
                  <w14:solidFill>
                    <w14:schemeClr w14:val="tx1"/>
                  </w14:solidFill>
                </w14:textFill>
              </w:rPr>
              <w:t xml:space="preserve">  </w:t>
            </w:r>
            <w:r>
              <w:rPr>
                <w:rFonts w:hint="eastAsia" w:ascii="Times New Roman"/>
                <w:b/>
                <w:bCs/>
                <w:color w:val="000000" w:themeColor="text1"/>
                <w:sz w:val="24"/>
                <w:highlight w:val="none"/>
                <w:lang w:val="en-US" w:eastAsia="zh-CN"/>
                <w14:textFill>
                  <w14:solidFill>
                    <w14:schemeClr w14:val="tx1"/>
                  </w14:solidFill>
                </w14:textFill>
              </w:rPr>
              <w:t>项目</w:t>
            </w:r>
            <w:r>
              <w:rPr>
                <w:rFonts w:hint="eastAsia" w:hAnsi="宋体" w:cs="宋体"/>
                <w:b/>
                <w:bCs/>
                <w:color w:val="000000" w:themeColor="text1"/>
                <w:kern w:val="0"/>
                <w:sz w:val="24"/>
                <w:szCs w:val="24"/>
                <w:highlight w:val="none"/>
                <w:lang w:val="en-US" w:eastAsia="zh-CN" w:bidi="ar"/>
                <w14:textFill>
                  <w14:solidFill>
                    <w14:schemeClr w14:val="tx1"/>
                  </w14:solidFill>
                </w14:textFill>
              </w:rPr>
              <w:t>与“沙区”位置关系</w:t>
            </w:r>
            <w:r>
              <w:rPr>
                <w:rFonts w:hint="eastAsia" w:hAnsi="宋体" w:cs="宋体"/>
                <w:b/>
                <w:bCs/>
                <w:color w:val="000000" w:themeColor="text1"/>
                <w:kern w:val="0"/>
                <w:sz w:val="24"/>
                <w:szCs w:val="24"/>
                <w:highlight w:val="none"/>
                <w:lang w:bidi="ar"/>
                <w14:textFill>
                  <w14:solidFill>
                    <w14:schemeClr w14:val="tx1"/>
                  </w14:solidFill>
                </w14:textFill>
              </w:rPr>
              <w:t>图</w:t>
            </w:r>
          </w:p>
          <w:p>
            <w:pPr>
              <w:autoSpaceDE w:val="0"/>
              <w:autoSpaceDN w:val="0"/>
              <w:adjustRightInd w:val="0"/>
              <w:snapToGrid w:val="0"/>
              <w:spacing w:line="360" w:lineRule="auto"/>
              <w:ind w:firstLine="480" w:firstLineChars="200"/>
              <w:rPr>
                <w:rFonts w:hint="eastAsia" w:ascii="Times New Roman"/>
                <w:color w:val="000000" w:themeColor="text1"/>
                <w:kern w:val="0"/>
                <w:sz w:val="24"/>
                <w:highlight w:val="none"/>
                <w14:textFill>
                  <w14:solidFill>
                    <w14:schemeClr w14:val="tx1"/>
                  </w14:solidFill>
                </w14:textFill>
              </w:rPr>
            </w:pPr>
            <w:r>
              <w:rPr>
                <w:rFonts w:hint="eastAsia" w:ascii="Times New Roman"/>
                <w:color w:val="000000" w:themeColor="text1"/>
                <w:kern w:val="0"/>
                <w:sz w:val="24"/>
                <w:highlight w:val="none"/>
                <w14:textFill>
                  <w14:solidFill>
                    <w14:schemeClr w14:val="tx1"/>
                  </w14:solidFill>
                </w14:textFill>
              </w:rPr>
              <w:t>项目施工过程中应加强对施工人员关于防沙治沙的宣传教育，严格控制占地范围，减少压占植被面积，保护原有沙生植被，施工结束后通过灌草结合的方式恢复地表植被</w:t>
            </w:r>
            <w:r>
              <w:rPr>
                <w:rFonts w:hint="eastAsia" w:ascii="Times New Roman"/>
                <w:color w:val="000000" w:themeColor="text1"/>
                <w:kern w:val="0"/>
                <w:sz w:val="24"/>
                <w:highlight w:val="none"/>
                <w:lang w:eastAsia="zh-CN"/>
                <w14:textFill>
                  <w14:solidFill>
                    <w14:schemeClr w14:val="tx1"/>
                  </w14:solidFill>
                </w14:textFill>
              </w:rPr>
              <w:t>，</w:t>
            </w:r>
            <w:r>
              <w:rPr>
                <w:rFonts w:hint="eastAsia" w:ascii="Times New Roman"/>
                <w:color w:val="000000" w:themeColor="text1"/>
                <w:kern w:val="0"/>
                <w:sz w:val="24"/>
                <w:highlight w:val="none"/>
                <w:lang w:val="en-US" w:eastAsia="zh-CN"/>
                <w14:textFill>
                  <w14:solidFill>
                    <w14:schemeClr w14:val="tx1"/>
                  </w14:solidFill>
                </w14:textFill>
              </w:rPr>
              <w:t>增加占地范围内绿化面积</w:t>
            </w:r>
            <w:r>
              <w:rPr>
                <w:rFonts w:hint="eastAsia" w:ascii="Times New Roman"/>
                <w:color w:val="000000" w:themeColor="text1"/>
                <w:kern w:val="0"/>
                <w:sz w:val="24"/>
                <w:highlight w:val="none"/>
                <w14:textFill>
                  <w14:solidFill>
                    <w14:schemeClr w14:val="tx1"/>
                  </w14:solidFill>
                </w14:textFill>
              </w:rPr>
              <w:t>，减轻风沙危害，提高防风固沙能力</w:t>
            </w:r>
            <w:r>
              <w:rPr>
                <w:rFonts w:hint="eastAsia" w:ascii="Times New Roman"/>
                <w:color w:val="000000" w:themeColor="text1"/>
                <w:kern w:val="0"/>
                <w:sz w:val="24"/>
                <w:highlight w:val="none"/>
                <w:lang w:eastAsia="zh-CN"/>
                <w14:textFill>
                  <w14:solidFill>
                    <w14:schemeClr w14:val="tx1"/>
                  </w14:solidFill>
                </w14:textFill>
              </w:rPr>
              <w:t>；</w:t>
            </w:r>
            <w:r>
              <w:rPr>
                <w:rFonts w:hint="eastAsia" w:ascii="Times New Roman"/>
                <w:color w:val="000000" w:themeColor="text1"/>
                <w:kern w:val="0"/>
                <w:sz w:val="24"/>
                <w:highlight w:val="none"/>
                <w:lang w:val="en-US" w:eastAsia="zh-CN"/>
                <w14:textFill>
                  <w14:solidFill>
                    <w14:schemeClr w14:val="tx1"/>
                  </w14:solidFill>
                </w14:textFill>
              </w:rPr>
              <w:t>项目无废弃土石方产生，建筑垃圾中的碎石碎砖块清运至项目场区洼地处填埋</w:t>
            </w:r>
            <w:r>
              <w:rPr>
                <w:rFonts w:hint="eastAsia" w:ascii="Times New Roman"/>
                <w:color w:val="000000" w:themeColor="text1"/>
                <w:kern w:val="0"/>
                <w:sz w:val="24"/>
                <w:highlight w:val="none"/>
                <w14:textFill>
                  <w14:solidFill>
                    <w14:schemeClr w14:val="tx1"/>
                  </w14:solidFill>
                </w14:textFill>
              </w:rPr>
              <w:t>。项目在严格落实以上防沙治沙措施的基础上，符合《</w:t>
            </w:r>
            <w:r>
              <w:rPr>
                <w:rFonts w:hint="eastAsia" w:ascii="Times New Roman"/>
                <w:color w:val="000000" w:themeColor="text1"/>
                <w:kern w:val="0"/>
                <w:sz w:val="24"/>
                <w:highlight w:val="none"/>
                <w:lang w:val="en-US" w:eastAsia="zh-CN"/>
                <w14:textFill>
                  <w14:solidFill>
                    <w14:schemeClr w14:val="tx1"/>
                  </w14:solidFill>
                </w14:textFill>
              </w:rPr>
              <w:t>中华人民共和国</w:t>
            </w:r>
            <w:r>
              <w:rPr>
                <w:rFonts w:hint="eastAsia" w:ascii="Times New Roman"/>
                <w:color w:val="000000" w:themeColor="text1"/>
                <w:kern w:val="0"/>
                <w:sz w:val="24"/>
                <w:highlight w:val="none"/>
                <w14:textFill>
                  <w14:solidFill>
                    <w14:schemeClr w14:val="tx1"/>
                  </w14:solidFill>
                </w14:textFill>
              </w:rPr>
              <w:t>防沙治沙法》、《河北省人民政府关于进一步加强防沙治沙工作的决定》（冀政〔2007〕87号）及《河北省防沙治沙规划（2021-2030年）》等法律、政策文件的相关要求。</w:t>
            </w:r>
          </w:p>
          <w:p>
            <w:pPr>
              <w:snapToGrid w:val="0"/>
              <w:spacing w:line="360" w:lineRule="auto"/>
              <w:ind w:firstLine="482" w:firstLineChars="200"/>
              <w:rPr>
                <w:rFonts w:ascii="Times New Roman"/>
                <w:b/>
                <w:color w:val="000000" w:themeColor="text1"/>
                <w:sz w:val="24"/>
                <w:highlight w:val="none"/>
                <w14:textFill>
                  <w14:solidFill>
                    <w14:schemeClr w14:val="tx1"/>
                  </w14:solidFill>
                </w14:textFill>
              </w:rPr>
            </w:pPr>
            <w:r>
              <w:rPr>
                <w:rFonts w:hint="eastAsia" w:ascii="Times New Roman"/>
                <w:b/>
                <w:color w:val="000000" w:themeColor="text1"/>
                <w:kern w:val="0"/>
                <w:sz w:val="24"/>
                <w:highlight w:val="none"/>
                <w:lang w:val="en-US" w:eastAsia="zh-CN"/>
                <w14:textFill>
                  <w14:solidFill>
                    <w14:schemeClr w14:val="tx1"/>
                  </w14:solidFill>
                </w14:textFill>
              </w:rPr>
              <w:t>9</w:t>
            </w:r>
            <w:r>
              <w:rPr>
                <w:rFonts w:hint="eastAsia" w:ascii="Times New Roman"/>
                <w:b/>
                <w:color w:val="000000" w:themeColor="text1"/>
                <w:kern w:val="0"/>
                <w:sz w:val="24"/>
                <w:highlight w:val="none"/>
                <w14:textFill>
                  <w14:solidFill>
                    <w14:schemeClr w14:val="tx1"/>
                  </w14:solidFill>
                </w14:textFill>
              </w:rPr>
              <w:t>、</w:t>
            </w:r>
            <w:r>
              <w:rPr>
                <w:rFonts w:ascii="Times New Roman"/>
                <w:b/>
                <w:color w:val="000000" w:themeColor="text1"/>
                <w:sz w:val="24"/>
                <w:highlight w:val="none"/>
                <w14:textFill>
                  <w14:solidFill>
                    <w14:schemeClr w14:val="tx1"/>
                  </w14:solidFill>
                </w14:textFill>
              </w:rPr>
              <w:t>选址合理性分析</w:t>
            </w:r>
          </w:p>
          <w:p>
            <w:pPr>
              <w:adjustRightInd w:val="0"/>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bCs/>
                <w:color w:val="000000" w:themeColor="text1"/>
                <w:sz w:val="24"/>
                <w:highlight w:val="none"/>
                <w14:textFill>
                  <w14:solidFill>
                    <w14:schemeClr w14:val="tx1"/>
                  </w14:solidFill>
                </w14:textFill>
              </w:rPr>
              <w:t>本项目</w:t>
            </w:r>
            <w:r>
              <w:rPr>
                <w:rFonts w:ascii="Times New Roman"/>
                <w:bCs/>
                <w:color w:val="000000" w:themeColor="text1"/>
                <w:sz w:val="24"/>
                <w:highlight w:val="none"/>
                <w14:textFill>
                  <w14:solidFill>
                    <w14:schemeClr w14:val="tx1"/>
                  </w14:solidFill>
                </w14:textFill>
              </w:rPr>
              <w:t>站址位于</w:t>
            </w:r>
            <w:r>
              <w:rPr>
                <w:rFonts w:ascii="Times New Roman"/>
                <w:color w:val="000000" w:themeColor="text1"/>
                <w:sz w:val="24"/>
                <w:highlight w:val="none"/>
                <w14:textFill>
                  <w14:solidFill>
                    <w14:schemeClr w14:val="tx1"/>
                  </w14:solidFill>
                </w14:textFill>
              </w:rPr>
              <w:t>承德市</w:t>
            </w:r>
            <w:r>
              <w:rPr>
                <w:rFonts w:hint="eastAsia" w:ascii="Times New Roman"/>
                <w:color w:val="000000" w:themeColor="text1"/>
                <w:sz w:val="24"/>
                <w:highlight w:val="none"/>
                <w:lang w:eastAsia="zh-CN"/>
                <w14:textFill>
                  <w14:solidFill>
                    <w14:schemeClr w14:val="tx1"/>
                  </w14:solidFill>
                </w14:textFill>
              </w:rPr>
              <w:t>围场满族蒙古族自治县围场镇坡字村坡来南沟东北约1.97km</w:t>
            </w:r>
            <w:r>
              <w:rPr>
                <w:rFonts w:ascii="Times New Roman"/>
                <w:bCs/>
                <w:color w:val="000000" w:themeColor="text1"/>
                <w:sz w:val="24"/>
                <w:highlight w:val="none"/>
                <w14:textFill>
                  <w14:solidFill>
                    <w14:schemeClr w14:val="tx1"/>
                  </w14:solidFill>
                </w14:textFill>
              </w:rPr>
              <w:t>，</w:t>
            </w:r>
            <w:r>
              <w:rPr>
                <w:rFonts w:hint="eastAsia" w:ascii="Times New Roman"/>
                <w:bCs/>
                <w:color w:val="000000" w:themeColor="text1"/>
                <w:sz w:val="24"/>
                <w:highlight w:val="none"/>
                <w:lang w:val="en-US" w:eastAsia="zh-CN"/>
                <w14:textFill>
                  <w14:solidFill>
                    <w14:schemeClr w14:val="tx1"/>
                  </w14:solidFill>
                </w14:textFill>
              </w:rPr>
              <w:t>项目已取得承德市自然资源和规划局核发的建设项目用地预审与选址意见书，根据该选址意见书，承德燕能宝石山风电场项目拟用地面积1.88公顷，变电站及运行管理中心用地1.16公顷，风电机组用地0.72公顷。本项目为承德燕能宝石山风电场项目配套220kV升压站，</w:t>
            </w:r>
            <w:r>
              <w:rPr>
                <w:rFonts w:ascii="Times New Roman"/>
                <w:bCs/>
                <w:color w:val="000000" w:themeColor="text1"/>
                <w:sz w:val="24"/>
                <w:highlight w:val="none"/>
                <w14:textFill>
                  <w14:solidFill>
                    <w14:schemeClr w14:val="tx1"/>
                  </w14:solidFill>
                </w14:textFill>
              </w:rPr>
              <w:t>占地面积约</w:t>
            </w:r>
            <w:r>
              <w:rPr>
                <w:rFonts w:hint="eastAsia" w:ascii="Times New Roman"/>
                <w:bCs/>
                <w:color w:val="000000" w:themeColor="text1"/>
                <w:sz w:val="24"/>
                <w:highlight w:val="none"/>
                <w14:textFill>
                  <w14:solidFill>
                    <w14:schemeClr w14:val="tx1"/>
                  </w14:solidFill>
                </w14:textFill>
              </w:rPr>
              <w:t>11600</w:t>
            </w:r>
            <w:r>
              <w:rPr>
                <w:rFonts w:ascii="Times New Roman"/>
                <w:bCs/>
                <w:color w:val="000000" w:themeColor="text1"/>
                <w:sz w:val="24"/>
                <w:highlight w:val="none"/>
                <w14:textFill>
                  <w14:solidFill>
                    <w14:schemeClr w14:val="tx1"/>
                  </w14:solidFill>
                </w14:textFill>
              </w:rPr>
              <w:t>m</w:t>
            </w:r>
            <w:r>
              <w:rPr>
                <w:rFonts w:ascii="Times New Roman"/>
                <w:bCs/>
                <w:color w:val="000000" w:themeColor="text1"/>
                <w:sz w:val="24"/>
                <w:highlight w:val="none"/>
                <w:vertAlign w:val="superscript"/>
                <w14:textFill>
                  <w14:solidFill>
                    <w14:schemeClr w14:val="tx1"/>
                  </w14:solidFill>
                </w14:textFill>
              </w:rPr>
              <w:t>2</w:t>
            </w:r>
            <w:r>
              <w:rPr>
                <w:rFonts w:hint="eastAsia" w:ascii="Times New Roman"/>
                <w:bCs/>
                <w:color w:val="000000" w:themeColor="text1"/>
                <w:sz w:val="24"/>
                <w:highlight w:val="none"/>
                <w:vertAlign w:val="baseline"/>
                <w:lang w:eastAsia="zh-CN"/>
                <w14:textFill>
                  <w14:solidFill>
                    <w14:schemeClr w14:val="tx1"/>
                  </w14:solidFill>
                </w14:textFill>
              </w:rPr>
              <w:t>（</w:t>
            </w:r>
            <w:r>
              <w:rPr>
                <w:rFonts w:hint="eastAsia" w:ascii="Times New Roman"/>
                <w:bCs/>
                <w:color w:val="000000" w:themeColor="text1"/>
                <w:sz w:val="24"/>
                <w:highlight w:val="none"/>
                <w:lang w:val="en-US" w:eastAsia="zh-CN"/>
                <w14:textFill>
                  <w14:solidFill>
                    <w14:schemeClr w14:val="tx1"/>
                  </w14:solidFill>
                </w14:textFill>
              </w:rPr>
              <w:t>1.16公顷</w:t>
            </w:r>
            <w:r>
              <w:rPr>
                <w:rFonts w:hint="eastAsia" w:ascii="Times New Roman"/>
                <w:bCs/>
                <w:color w:val="000000" w:themeColor="text1"/>
                <w:sz w:val="24"/>
                <w:highlight w:val="none"/>
                <w:vertAlign w:val="baseline"/>
                <w:lang w:eastAsia="zh-CN"/>
                <w14:textFill>
                  <w14:solidFill>
                    <w14:schemeClr w14:val="tx1"/>
                  </w14:solidFill>
                </w14:textFill>
              </w:rPr>
              <w:t>）</w:t>
            </w:r>
            <w:r>
              <w:rPr>
                <w:rFonts w:hint="eastAsia" w:ascii="Times New Roman"/>
                <w:bCs/>
                <w:color w:val="000000" w:themeColor="text1"/>
                <w:sz w:val="24"/>
                <w:highlight w:val="none"/>
                <w:lang w:eastAsia="zh-CN"/>
                <w14:textFill>
                  <w14:solidFill>
                    <w14:schemeClr w14:val="tx1"/>
                  </w14:solidFill>
                </w14:textFill>
              </w:rPr>
              <w:t>，</w:t>
            </w:r>
            <w:r>
              <w:rPr>
                <w:rFonts w:hint="eastAsia" w:ascii="Times New Roman"/>
                <w:bCs/>
                <w:color w:val="000000" w:themeColor="text1"/>
                <w:sz w:val="24"/>
                <w:highlight w:val="none"/>
                <w:lang w:val="en-US" w:eastAsia="zh-CN"/>
                <w14:textFill>
                  <w14:solidFill>
                    <w14:schemeClr w14:val="tx1"/>
                  </w14:solidFill>
                </w14:textFill>
              </w:rPr>
              <w:t>用地类型</w:t>
            </w:r>
            <w:r>
              <w:rPr>
                <w:rFonts w:ascii="Times New Roman"/>
                <w:bCs/>
                <w:color w:val="000000" w:themeColor="text1"/>
                <w:sz w:val="24"/>
                <w:highlight w:val="none"/>
                <w14:textFill>
                  <w14:solidFill>
                    <w14:schemeClr w14:val="tx1"/>
                  </w14:solidFill>
                </w14:textFill>
              </w:rPr>
              <w:t>为</w:t>
            </w:r>
            <w:r>
              <w:rPr>
                <w:rFonts w:hint="eastAsia" w:ascii="Times New Roman"/>
                <w:bCs/>
                <w:color w:val="000000" w:themeColor="text1"/>
                <w:sz w:val="24"/>
                <w:highlight w:val="none"/>
                <w:lang w:val="en-US" w:eastAsia="zh-CN"/>
                <w14:textFill>
                  <w14:solidFill>
                    <w14:schemeClr w14:val="tx1"/>
                  </w14:solidFill>
                </w14:textFill>
              </w:rPr>
              <w:t>农用地</w:t>
            </w:r>
            <w:r>
              <w:rPr>
                <w:rFonts w:ascii="Times New Roman"/>
                <w:bCs/>
                <w:color w:val="000000" w:themeColor="text1"/>
                <w:sz w:val="24"/>
                <w:highlight w:val="none"/>
                <w14:textFill>
                  <w14:solidFill>
                    <w14:schemeClr w14:val="tx1"/>
                  </w14:solidFill>
                </w14:textFill>
              </w:rPr>
              <w:t>。站址区域不涉及文教区、自然保护区、风景名胜区、世界文化和自然遗产地、饮用水水源保护区等环境敏感区。</w:t>
            </w:r>
            <w:r>
              <w:rPr>
                <w:rFonts w:hint="eastAsia" w:ascii="Times New Roman"/>
                <w:bCs/>
                <w:color w:val="000000" w:themeColor="text1"/>
                <w:sz w:val="24"/>
                <w:highlight w:val="none"/>
                <w14:textFill>
                  <w14:solidFill>
                    <w14:schemeClr w14:val="tx1"/>
                  </w14:solidFill>
                </w14:textFill>
              </w:rPr>
              <w:t>本项目不在城镇开发边界，与城镇开发边界管控要求不冲突。</w:t>
            </w:r>
            <w:r>
              <w:rPr>
                <w:rFonts w:hint="eastAsia" w:ascii="Times New Roman"/>
                <w:bCs/>
                <w:color w:val="000000" w:themeColor="text1"/>
                <w:sz w:val="24"/>
                <w:highlight w:val="none"/>
                <w:lang w:val="en-US" w:eastAsia="zh-CN"/>
                <w14:textFill>
                  <w14:solidFill>
                    <w14:schemeClr w14:val="tx1"/>
                  </w14:solidFill>
                </w14:textFill>
              </w:rPr>
              <w:t>项目</w:t>
            </w:r>
            <w:r>
              <w:rPr>
                <w:rFonts w:hint="eastAsia" w:ascii="Times New Roman"/>
                <w:bCs/>
                <w:color w:val="000000" w:themeColor="text1"/>
                <w:sz w:val="24"/>
                <w:highlight w:val="none"/>
                <w14:textFill>
                  <w14:solidFill>
                    <w14:schemeClr w14:val="tx1"/>
                  </w14:solidFill>
                </w14:textFill>
              </w:rPr>
              <w:t>不占用永久基本农田和生态保护红线。</w:t>
            </w:r>
          </w:p>
          <w:p>
            <w:pPr>
              <w:autoSpaceDE w:val="0"/>
              <w:autoSpaceDN w:val="0"/>
              <w:adjustRightInd w:val="0"/>
              <w:snapToGrid w:val="0"/>
              <w:spacing w:line="360" w:lineRule="auto"/>
              <w:ind w:firstLine="482" w:firstLineChars="200"/>
              <w:rPr>
                <w:rFonts w:ascii="Times New Roman"/>
                <w:b/>
                <w:color w:val="000000" w:themeColor="text1"/>
                <w:kern w:val="0"/>
                <w:sz w:val="24"/>
                <w:highlight w:val="none"/>
                <w14:textFill>
                  <w14:solidFill>
                    <w14:schemeClr w14:val="tx1"/>
                  </w14:solidFill>
                </w14:textFill>
              </w:rPr>
            </w:pPr>
            <w:r>
              <w:rPr>
                <w:rFonts w:hint="eastAsia" w:ascii="Times New Roman"/>
                <w:b/>
                <w:color w:val="000000" w:themeColor="text1"/>
                <w:kern w:val="0"/>
                <w:sz w:val="24"/>
                <w:highlight w:val="none"/>
                <w:lang w:eastAsia="zh-CN"/>
                <w14:textFill>
                  <w14:solidFill>
                    <w14:schemeClr w14:val="tx1"/>
                  </w14:solidFill>
                </w14:textFill>
              </w:rPr>
              <w:t>（</w:t>
            </w:r>
            <w:r>
              <w:rPr>
                <w:rFonts w:hint="eastAsia" w:ascii="Times New Roman"/>
                <w:b/>
                <w:color w:val="000000" w:themeColor="text1"/>
                <w:kern w:val="0"/>
                <w:sz w:val="24"/>
                <w:highlight w:val="none"/>
                <w:lang w:val="en-US" w:eastAsia="zh-CN"/>
                <w14:textFill>
                  <w14:solidFill>
                    <w14:schemeClr w14:val="tx1"/>
                  </w14:solidFill>
                </w14:textFill>
              </w:rPr>
              <w:t>1</w:t>
            </w:r>
            <w:r>
              <w:rPr>
                <w:rFonts w:hint="eastAsia" w:ascii="Times New Roman"/>
                <w:b/>
                <w:color w:val="000000" w:themeColor="text1"/>
                <w:kern w:val="0"/>
                <w:sz w:val="24"/>
                <w:highlight w:val="none"/>
                <w:lang w:eastAsia="zh-CN"/>
                <w14:textFill>
                  <w14:solidFill>
                    <w14:schemeClr w14:val="tx1"/>
                  </w14:solidFill>
                </w14:textFill>
              </w:rPr>
              <w:t>）</w:t>
            </w:r>
            <w:r>
              <w:rPr>
                <w:rFonts w:ascii="Times New Roman"/>
                <w:b/>
                <w:color w:val="000000" w:themeColor="text1"/>
                <w:kern w:val="0"/>
                <w:sz w:val="24"/>
                <w:highlight w:val="none"/>
                <w14:textFill>
                  <w14:solidFill>
                    <w14:schemeClr w14:val="tx1"/>
                  </w14:solidFill>
                </w14:textFill>
              </w:rPr>
              <w:t>与《输变电建设项目环境保护技术要求》相符性</w:t>
            </w:r>
          </w:p>
          <w:p>
            <w:pPr>
              <w:autoSpaceDE w:val="0"/>
              <w:autoSpaceDN w:val="0"/>
              <w:adjustRightInd w:val="0"/>
              <w:snapToGrid w:val="0"/>
              <w:spacing w:line="360" w:lineRule="auto"/>
              <w:ind w:firstLine="480" w:firstLineChars="200"/>
              <w:rPr>
                <w:rFonts w:ascii="Times New Roman"/>
                <w:color w:val="000000" w:themeColor="text1"/>
                <w:kern w:val="0"/>
                <w:sz w:val="24"/>
                <w:highlight w:val="none"/>
                <w14:textFill>
                  <w14:solidFill>
                    <w14:schemeClr w14:val="tx1"/>
                  </w14:solidFill>
                </w14:textFill>
              </w:rPr>
            </w:pPr>
            <w:r>
              <w:rPr>
                <w:rFonts w:ascii="Times New Roman"/>
                <w:color w:val="000000" w:themeColor="text1"/>
                <w:kern w:val="0"/>
                <w:sz w:val="24"/>
                <w:highlight w:val="none"/>
                <w14:textFill>
                  <w14:solidFill>
                    <w14:schemeClr w14:val="tx1"/>
                  </w14:solidFill>
                </w14:textFill>
              </w:rPr>
              <w:t>本项目与《输变电建设项目环境保护技术要求》(HJ1113-2020)的相符性详见表1-</w:t>
            </w:r>
            <w:r>
              <w:rPr>
                <w:rFonts w:hint="eastAsia" w:ascii="Times New Roman"/>
                <w:color w:val="000000" w:themeColor="text1"/>
                <w:kern w:val="0"/>
                <w:sz w:val="24"/>
                <w:highlight w:val="none"/>
                <w:lang w:val="en-US" w:eastAsia="zh-CN"/>
                <w14:textFill>
                  <w14:solidFill>
                    <w14:schemeClr w14:val="tx1"/>
                  </w14:solidFill>
                </w14:textFill>
              </w:rPr>
              <w:t>4</w:t>
            </w:r>
            <w:r>
              <w:rPr>
                <w:rFonts w:ascii="Times New Roman"/>
                <w:color w:val="000000" w:themeColor="text1"/>
                <w:kern w:val="0"/>
                <w:sz w:val="24"/>
                <w:highlight w:val="none"/>
                <w14:textFill>
                  <w14:solidFill>
                    <w14:schemeClr w14:val="tx1"/>
                  </w14:solidFill>
                </w14:textFill>
              </w:rPr>
              <w:t>。</w:t>
            </w:r>
          </w:p>
          <w:p>
            <w:pPr>
              <w:autoSpaceDE w:val="0"/>
              <w:autoSpaceDN w:val="0"/>
              <w:adjustRightInd w:val="0"/>
              <w:snapToGrid w:val="0"/>
              <w:jc w:val="center"/>
              <w:rPr>
                <w:rFonts w:ascii="Times New Roman"/>
                <w:b/>
                <w:color w:val="000000" w:themeColor="text1"/>
                <w:kern w:val="0"/>
                <w:sz w:val="24"/>
                <w:highlight w:val="none"/>
                <w14:textFill>
                  <w14:solidFill>
                    <w14:schemeClr w14:val="tx1"/>
                  </w14:solidFill>
                </w14:textFill>
              </w:rPr>
            </w:pPr>
            <w:r>
              <w:rPr>
                <w:rFonts w:ascii="Times New Roman"/>
                <w:b/>
                <w:color w:val="000000" w:themeColor="text1"/>
                <w:kern w:val="0"/>
                <w:sz w:val="24"/>
                <w:highlight w:val="none"/>
                <w14:textFill>
                  <w14:solidFill>
                    <w14:schemeClr w14:val="tx1"/>
                  </w14:solidFill>
                </w14:textFill>
              </w:rPr>
              <w:t>表1-</w:t>
            </w:r>
            <w:r>
              <w:rPr>
                <w:rFonts w:hint="eastAsia" w:ascii="Times New Roman"/>
                <w:b/>
                <w:color w:val="000000" w:themeColor="text1"/>
                <w:kern w:val="0"/>
                <w:sz w:val="24"/>
                <w:highlight w:val="none"/>
                <w:lang w:val="en-US" w:eastAsia="zh-CN"/>
                <w14:textFill>
                  <w14:solidFill>
                    <w14:schemeClr w14:val="tx1"/>
                  </w14:solidFill>
                </w14:textFill>
              </w:rPr>
              <w:t>4</w:t>
            </w:r>
            <w:r>
              <w:rPr>
                <w:rFonts w:ascii="Times New Roman"/>
                <w:b/>
                <w:color w:val="000000" w:themeColor="text1"/>
                <w:kern w:val="0"/>
                <w:sz w:val="24"/>
                <w:highlight w:val="none"/>
                <w14:textFill>
                  <w14:solidFill>
                    <w14:schemeClr w14:val="tx1"/>
                  </w14:solidFill>
                </w14:textFill>
              </w:rPr>
              <w:t xml:space="preserve">  本项目与《输变电建设项目环境保护技术要求》的相符性</w:t>
            </w:r>
          </w:p>
          <w:tbl>
            <w:tblPr>
              <w:tblStyle w:val="5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22"/>
              <w:gridCol w:w="2766"/>
              <w:gridCol w:w="6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b/>
                      <w:color w:val="000000" w:themeColor="text1"/>
                      <w:kern w:val="0"/>
                      <w:highlight w:val="none"/>
                      <w14:textFill>
                        <w14:solidFill>
                          <w14:schemeClr w14:val="tx1"/>
                        </w14:solidFill>
                      </w14:textFill>
                    </w:rPr>
                  </w:pPr>
                  <w:r>
                    <w:rPr>
                      <w:rFonts w:ascii="Times New Roman"/>
                      <w:b/>
                      <w:color w:val="000000" w:themeColor="text1"/>
                      <w:kern w:val="0"/>
                      <w:highlight w:val="none"/>
                      <w14:textFill>
                        <w14:solidFill>
                          <w14:schemeClr w14:val="tx1"/>
                        </w14:solidFill>
                      </w14:textFill>
                    </w:rPr>
                    <w:t>要求</w:t>
                  </w:r>
                </w:p>
              </w:tc>
              <w:tc>
                <w:tcPr>
                  <w:tcW w:w="2024" w:type="pct"/>
                  <w:vAlign w:val="center"/>
                </w:tcPr>
                <w:p>
                  <w:pPr>
                    <w:autoSpaceDE w:val="0"/>
                    <w:autoSpaceDN w:val="0"/>
                    <w:adjustRightInd w:val="0"/>
                    <w:snapToGrid w:val="0"/>
                    <w:jc w:val="center"/>
                    <w:rPr>
                      <w:rFonts w:ascii="Times New Roman"/>
                      <w:b/>
                      <w:color w:val="000000" w:themeColor="text1"/>
                      <w:kern w:val="0"/>
                      <w:highlight w:val="none"/>
                      <w14:textFill>
                        <w14:solidFill>
                          <w14:schemeClr w14:val="tx1"/>
                        </w14:solidFill>
                      </w14:textFill>
                    </w:rPr>
                  </w:pPr>
                  <w:r>
                    <w:rPr>
                      <w:rFonts w:ascii="Times New Roman"/>
                      <w:b/>
                      <w:color w:val="000000" w:themeColor="text1"/>
                      <w:kern w:val="0"/>
                      <w:highlight w:val="none"/>
                      <w14:textFill>
                        <w14:solidFill>
                          <w14:schemeClr w14:val="tx1"/>
                        </w14:solidFill>
                      </w14:textFill>
                    </w:rPr>
                    <w:t>本项目情况</w:t>
                  </w:r>
                </w:p>
              </w:tc>
              <w:tc>
                <w:tcPr>
                  <w:tcW w:w="472" w:type="pct"/>
                  <w:vAlign w:val="center"/>
                </w:tcPr>
                <w:p>
                  <w:pPr>
                    <w:autoSpaceDE w:val="0"/>
                    <w:autoSpaceDN w:val="0"/>
                    <w:adjustRightInd w:val="0"/>
                    <w:snapToGrid w:val="0"/>
                    <w:jc w:val="center"/>
                    <w:rPr>
                      <w:rFonts w:ascii="Times New Roman"/>
                      <w:b/>
                      <w:color w:val="000000" w:themeColor="text1"/>
                      <w:kern w:val="0"/>
                      <w:highlight w:val="none"/>
                      <w14:textFill>
                        <w14:solidFill>
                          <w14:schemeClr w14:val="tx1"/>
                        </w14:solidFill>
                      </w14:textFill>
                    </w:rPr>
                  </w:pPr>
                  <w:r>
                    <w:rPr>
                      <w:rFonts w:ascii="Times New Roman"/>
                      <w:b/>
                      <w:color w:val="000000" w:themeColor="text1"/>
                      <w:kern w:val="0"/>
                      <w:highlight w:val="none"/>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输变电建设项目选址选线应符合生态保护红线管控要求，避让自然保护区、饮用水水源保护区等环境敏感区。</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14:textFill>
                        <w14:solidFill>
                          <w14:schemeClr w14:val="tx1"/>
                        </w14:solidFill>
                      </w14:textFill>
                    </w:rPr>
                    <w:t>不占用生态保护红线，不涉及</w:t>
                  </w:r>
                  <w:r>
                    <w:rPr>
                      <w:rFonts w:ascii="Times New Roman"/>
                      <w:color w:val="000000" w:themeColor="text1"/>
                      <w:kern w:val="0"/>
                      <w:highlight w:val="none"/>
                      <w14:textFill>
                        <w14:solidFill>
                          <w14:schemeClr w14:val="tx1"/>
                        </w14:solidFill>
                      </w14:textFill>
                    </w:rPr>
                    <w:t>自然保护区、饮用水水源保护区等环境敏感区</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原则上避免在0类声环境功能区建设变电工程。</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14:textFill>
                        <w14:solidFill>
                          <w14:schemeClr w14:val="tx1"/>
                        </w14:solidFill>
                      </w14:textFill>
                    </w:rPr>
                    <w:t>站址区域属于</w:t>
                  </w:r>
                  <w:r>
                    <w:rPr>
                      <w:rFonts w:hint="eastAsia" w:ascii="Times New Roman"/>
                      <w:color w:val="000000" w:themeColor="text1"/>
                      <w:kern w:val="0"/>
                      <w:highlight w:val="none"/>
                      <w:lang w:val="en-US" w:eastAsia="zh-CN"/>
                      <w14:textFill>
                        <w14:solidFill>
                          <w14:schemeClr w14:val="tx1"/>
                        </w14:solidFill>
                      </w14:textFill>
                    </w:rPr>
                    <w:t>1</w:t>
                  </w:r>
                  <w:r>
                    <w:rPr>
                      <w:rFonts w:hint="eastAsia" w:ascii="Times New Roman"/>
                      <w:color w:val="000000" w:themeColor="text1"/>
                      <w:kern w:val="0"/>
                      <w:highlight w:val="none"/>
                      <w14:textFill>
                        <w14:solidFill>
                          <w14:schemeClr w14:val="tx1"/>
                        </w14:solidFill>
                      </w14:textFill>
                    </w:rPr>
                    <w:t>类区，</w:t>
                  </w:r>
                  <w:r>
                    <w:rPr>
                      <w:rFonts w:ascii="Times New Roman"/>
                      <w:color w:val="000000" w:themeColor="text1"/>
                      <w:kern w:val="0"/>
                      <w:highlight w:val="none"/>
                      <w14:textFill>
                        <w14:solidFill>
                          <w14:schemeClr w14:val="tx1"/>
                        </w14:solidFill>
                      </w14:textFill>
                    </w:rPr>
                    <w:t>评价范围内无0类声环境功能区。</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变电工程应设置足够容量的事故油池及其配套的拦截、防雨、防渗等措施和设施。一旦发生泄漏，应能及时进行拦截和处理，确保油及油水混合物全部收集、不外排。</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14:textFill>
                        <w14:solidFill>
                          <w14:schemeClr w14:val="tx1"/>
                        </w14:solidFill>
                      </w14:textFill>
                    </w:rPr>
                    <w:t>升压站</w:t>
                  </w:r>
                  <w:r>
                    <w:rPr>
                      <w:rFonts w:ascii="Times New Roman"/>
                      <w:color w:val="000000" w:themeColor="text1"/>
                      <w:kern w:val="0"/>
                      <w:highlight w:val="none"/>
                      <w14:textFill>
                        <w14:solidFill>
                          <w14:schemeClr w14:val="tx1"/>
                        </w14:solidFill>
                      </w14:textFill>
                    </w:rPr>
                    <w:t>设置</w:t>
                  </w:r>
                  <w:r>
                    <w:rPr>
                      <w:rFonts w:hint="eastAsia" w:ascii="Times New Roman"/>
                      <w:color w:val="000000" w:themeColor="text1"/>
                      <w:kern w:val="0"/>
                      <w:highlight w:val="none"/>
                      <w14:textFill>
                        <w14:solidFill>
                          <w14:schemeClr w14:val="tx1"/>
                        </w14:solidFill>
                      </w14:textFill>
                    </w:rPr>
                    <w:t>一座</w:t>
                  </w:r>
                  <w:r>
                    <w:rPr>
                      <w:rFonts w:ascii="Times New Roman"/>
                      <w:color w:val="000000" w:themeColor="text1"/>
                      <w:kern w:val="0"/>
                      <w:highlight w:val="none"/>
                      <w14:textFill>
                        <w14:solidFill>
                          <w14:schemeClr w14:val="tx1"/>
                        </w14:solidFill>
                      </w14:textFill>
                    </w:rPr>
                    <w:t>事故油池，并进行防渗处理，防渗设计满足规范要求。</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变电工程噪声控制设计应首先从噪声源强上进行控制，选择低噪声设备；对于声源上无法根治的噪声，应采用隔声、吸声、消声、防振、减振等降噪措施，确保厂界排放噪声和周围声环境敏感目标分别满足GB 12348和GB 3096要求。</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本项目采用低噪声主变压器</w:t>
                  </w:r>
                  <w:r>
                    <w:rPr>
                      <w:rFonts w:hint="eastAsia" w:ascii="Times New Roman"/>
                      <w:color w:val="000000" w:themeColor="text1"/>
                      <w:kern w:val="0"/>
                      <w:highlight w:val="none"/>
                      <w14:textFill>
                        <w14:solidFill>
                          <w14:schemeClr w14:val="tx1"/>
                        </w14:solidFill>
                      </w14:textFill>
                    </w:rPr>
                    <w:t>、基础减振等措施</w:t>
                  </w:r>
                  <w:r>
                    <w:rPr>
                      <w:rFonts w:ascii="Times New Roman"/>
                      <w:color w:val="000000" w:themeColor="text1"/>
                      <w:kern w:val="0"/>
                      <w:highlight w:val="none"/>
                      <w14:textFill>
                        <w14:solidFill>
                          <w14:schemeClr w14:val="tx1"/>
                        </w14:solidFill>
                      </w14:textFill>
                    </w:rPr>
                    <w:t>有效降低噪声对周边环境的影响。</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户外</w:t>
                  </w: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变电工程在设计过程中应进行平面布置优化，将主变压器、换流变压器、高压电抗器等主要声源设备布置在站址中央区域或远离站外声环境敏感目标侧的区域。</w:t>
                  </w:r>
                </w:p>
              </w:tc>
              <w:tc>
                <w:tcPr>
                  <w:tcW w:w="2024" w:type="pct"/>
                  <w:vAlign w:val="center"/>
                </w:tcPr>
                <w:p>
                  <w:pPr>
                    <w:autoSpaceDE w:val="0"/>
                    <w:autoSpaceDN w:val="0"/>
                    <w:adjustRightInd w:val="0"/>
                    <w:snapToGrid w:val="0"/>
                    <w:jc w:val="center"/>
                    <w:rPr>
                      <w:rFonts w:hint="eastAsia" w:ascii="Times New Roman" w:eastAsia="宋体"/>
                      <w:color w:val="000000" w:themeColor="text1"/>
                      <w:kern w:val="0"/>
                      <w:highlight w:val="none"/>
                      <w:lang w:eastAsia="zh-CN"/>
                      <w14:textFill>
                        <w14:solidFill>
                          <w14:schemeClr w14:val="tx1"/>
                        </w14:solidFill>
                      </w14:textFill>
                    </w:rPr>
                  </w:pP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14:textFill>
                        <w14:solidFill>
                          <w14:schemeClr w14:val="tx1"/>
                        </w14:solidFill>
                      </w14:textFill>
                    </w:rPr>
                    <w:t>户外</w:t>
                  </w:r>
                  <w:r>
                    <w:rPr>
                      <w:rFonts w:ascii="Times New Roman"/>
                      <w:color w:val="000000" w:themeColor="text1"/>
                      <w:kern w:val="0"/>
                      <w:highlight w:val="none"/>
                      <w14:textFill>
                        <w14:solidFill>
                          <w14:schemeClr w14:val="tx1"/>
                        </w14:solidFill>
                      </w14:textFill>
                    </w:rPr>
                    <w:t>主变压器布置</w:t>
                  </w:r>
                  <w:r>
                    <w:rPr>
                      <w:rFonts w:hint="eastAsia" w:ascii="Times New Roman"/>
                      <w:color w:val="000000" w:themeColor="text1"/>
                      <w:kern w:val="0"/>
                      <w:highlight w:val="none"/>
                      <w14:textFill>
                        <w14:solidFill>
                          <w14:schemeClr w14:val="tx1"/>
                        </w14:solidFill>
                      </w14:textFill>
                    </w:rPr>
                    <w:t>在</w:t>
                  </w:r>
                  <w:r>
                    <w:rPr>
                      <w:rFonts w:ascii="Times New Roman"/>
                      <w:color w:val="000000" w:themeColor="text1"/>
                      <w:kern w:val="0"/>
                      <w:highlight w:val="none"/>
                      <w14:textFill>
                        <w14:solidFill>
                          <w14:schemeClr w14:val="tx1"/>
                        </w14:solidFill>
                      </w14:textFill>
                    </w:rPr>
                    <w:t>站址中央</w:t>
                  </w:r>
                  <w:r>
                    <w:rPr>
                      <w:rFonts w:hint="eastAsia" w:ascii="Times New Roman"/>
                      <w:color w:val="000000" w:themeColor="text1"/>
                      <w:kern w:val="0"/>
                      <w:highlight w:val="none"/>
                      <w:lang w:val="en-US" w:eastAsia="zh-CN"/>
                      <w14:textFill>
                        <w14:solidFill>
                          <w14:schemeClr w14:val="tx1"/>
                        </w14:solidFill>
                      </w14:textFill>
                    </w:rPr>
                    <w:t>区域</w:t>
                  </w:r>
                  <w:r>
                    <w:rPr>
                      <w:rFonts w:hint="eastAsia" w:ascii="Times New Roman"/>
                      <w:color w:val="000000" w:themeColor="text1"/>
                      <w:kern w:val="0"/>
                      <w:highlight w:val="none"/>
                      <w:lang w:eastAsia="zh-CN"/>
                      <w14:textFill>
                        <w14:solidFill>
                          <w14:schemeClr w14:val="tx1"/>
                        </w14:solidFill>
                      </w14:textFill>
                    </w:rPr>
                    <w:t>，</w:t>
                  </w:r>
                  <w:r>
                    <w:rPr>
                      <w:rFonts w:ascii="Times New Roman"/>
                      <w:color w:val="000000" w:themeColor="text1"/>
                      <w:kern w:val="0"/>
                      <w:highlight w:val="none"/>
                      <w14:textFill>
                        <w14:solidFill>
                          <w14:schemeClr w14:val="tx1"/>
                        </w14:solidFill>
                      </w14:textFill>
                    </w:rPr>
                    <w:t>站址周边评价范围内无</w:t>
                  </w:r>
                  <w:r>
                    <w:rPr>
                      <w:rFonts w:hint="eastAsia" w:ascii="Times New Roman"/>
                      <w:color w:val="000000" w:themeColor="text1"/>
                      <w:kern w:val="0"/>
                      <w:highlight w:val="none"/>
                      <w:lang w:val="en-US" w:eastAsia="zh-CN"/>
                      <w14:textFill>
                        <w14:solidFill>
                          <w14:schemeClr w14:val="tx1"/>
                        </w14:solidFill>
                      </w14:textFill>
                    </w:rPr>
                    <w:t>声</w:t>
                  </w:r>
                  <w:r>
                    <w:rPr>
                      <w:rFonts w:ascii="Times New Roman"/>
                      <w:color w:val="000000" w:themeColor="text1"/>
                      <w:kern w:val="0"/>
                      <w:highlight w:val="none"/>
                      <w14:textFill>
                        <w14:solidFill>
                          <w14:schemeClr w14:val="tx1"/>
                        </w14:solidFill>
                      </w14:textFill>
                    </w:rPr>
                    <w:t>环境保护目标</w:t>
                  </w:r>
                  <w:r>
                    <w:rPr>
                      <w:rFonts w:hint="eastAsia" w:ascii="Times New Roman"/>
                      <w:color w:val="000000" w:themeColor="text1"/>
                      <w:kern w:val="0"/>
                      <w:highlight w:val="none"/>
                      <w:lang w:eastAsia="zh-CN"/>
                      <w14:textFill>
                        <w14:solidFill>
                          <w14:schemeClr w14:val="tx1"/>
                        </w14:solidFill>
                      </w14:textFill>
                    </w:rPr>
                    <w:t>。</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变电工程应采取降低低频噪声影响的防治措施，以减少噪声扰民。</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项目采用低噪声</w:t>
                  </w:r>
                  <w:r>
                    <w:rPr>
                      <w:rFonts w:hint="eastAsia" w:ascii="Times New Roman"/>
                      <w:color w:val="000000" w:themeColor="text1"/>
                      <w:kern w:val="0"/>
                      <w:highlight w:val="none"/>
                      <w14:textFill>
                        <w14:solidFill>
                          <w14:schemeClr w14:val="tx1"/>
                        </w14:solidFill>
                      </w14:textFill>
                    </w:rPr>
                    <w:t>变</w:t>
                  </w:r>
                  <w:r>
                    <w:rPr>
                      <w:rFonts w:ascii="Times New Roman"/>
                      <w:color w:val="000000" w:themeColor="text1"/>
                      <w:kern w:val="0"/>
                      <w:highlight w:val="none"/>
                      <w14:textFill>
                        <w14:solidFill>
                          <w14:schemeClr w14:val="tx1"/>
                        </w14:solidFill>
                      </w14:textFill>
                    </w:rPr>
                    <w:t>压器，</w:t>
                  </w:r>
                  <w:r>
                    <w:rPr>
                      <w:rFonts w:hint="eastAsia" w:ascii="Times New Roman"/>
                      <w:color w:val="000000" w:themeColor="text1"/>
                      <w:kern w:val="0"/>
                      <w:highlight w:val="none"/>
                      <w14:textFill>
                        <w14:solidFill>
                          <w14:schemeClr w14:val="tx1"/>
                        </w14:solidFill>
                      </w14:textFill>
                    </w:rPr>
                    <w:t>基础减振等措施</w:t>
                  </w:r>
                  <w:r>
                    <w:rPr>
                      <w:rFonts w:ascii="Times New Roman"/>
                      <w:color w:val="000000" w:themeColor="text1"/>
                      <w:kern w:val="0"/>
                      <w:highlight w:val="none"/>
                      <w14:textFill>
                        <w14:solidFill>
                          <w14:schemeClr w14:val="tx1"/>
                        </w14:solidFill>
                      </w14:textFill>
                    </w:rPr>
                    <w:t>有效降低噪声对周边环境的影响。</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输变电建设项目临时占地，应因地制宜进行土地功能恢复设计。</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通过严格控制施工作业带，施工道路利用原有道路，施工时做好土石方平衡，施工营地位于</w:t>
                  </w:r>
                  <w:r>
                    <w:rPr>
                      <w:rFonts w:hint="eastAsia" w:ascii="Times New Roman"/>
                      <w:color w:val="000000" w:themeColor="text1"/>
                      <w:kern w:val="0"/>
                      <w:highlight w:val="none"/>
                      <w14:textFill>
                        <w14:solidFill>
                          <w14:schemeClr w14:val="tx1"/>
                        </w14:solidFill>
                      </w14:textFill>
                    </w:rPr>
                    <w:t>本项目占地范围</w:t>
                  </w:r>
                  <w:r>
                    <w:rPr>
                      <w:rFonts w:ascii="Times New Roman"/>
                      <w:color w:val="000000" w:themeColor="text1"/>
                      <w:kern w:val="0"/>
                      <w:highlight w:val="none"/>
                      <w14:textFill>
                        <w14:solidFill>
                          <w14:schemeClr w14:val="tx1"/>
                        </w14:solidFill>
                      </w14:textFill>
                    </w:rPr>
                    <w:t>内。</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变电工程应采取节水措施，加强水的重复利用，减少废(污)水排放。雨水和生活污水应采取分流制。</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食堂废水经隔油池处理，与生活污水经一体化污水处理装置处理达标后送到清水池，再通过回用水泵回用于绿化，不外排。</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输</w:t>
                  </w:r>
                  <w:r>
                    <w:rPr>
                      <w:rFonts w:ascii="Times New Roman"/>
                      <w:color w:val="000000" w:themeColor="text1"/>
                      <w:kern w:val="0"/>
                      <w:highlight w:val="none"/>
                      <w14:textFill>
                        <w14:solidFill>
                          <w14:schemeClr w14:val="tx1"/>
                        </w14:solidFill>
                      </w14:textFill>
                    </w:rPr>
                    <w:t>变电工程站内产生的生活污水宜考虑处理后纳入城市污水管网；不具备纳入城市污水管网条件的变电工程，应根据站内生活污水产生情况设置生活污水处理装置(化粪池、地埋式污水处理装置、回用水池、蒸发池等)，生活污水经处理后回收利用、定期清理或外排，外排时应严格执行相应的国家和地方水污染物排放标准相关要求。</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本项目占地区域</w:t>
                  </w:r>
                  <w:r>
                    <w:rPr>
                      <w:rFonts w:ascii="Times New Roman"/>
                      <w:color w:val="000000" w:themeColor="text1"/>
                      <w:kern w:val="0"/>
                      <w:highlight w:val="none"/>
                      <w14:textFill>
                        <w14:solidFill>
                          <w14:schemeClr w14:val="tx1"/>
                        </w14:solidFill>
                      </w14:textFill>
                    </w:rPr>
                    <w:t>不具备纳入城市污水管网条件</w:t>
                  </w:r>
                  <w:r>
                    <w:rPr>
                      <w:rFonts w:hint="eastAsia" w:ascii="Times New Roman"/>
                      <w:color w:val="000000" w:themeColor="text1"/>
                      <w:kern w:val="0"/>
                      <w:highlight w:val="none"/>
                      <w14:textFill>
                        <w14:solidFill>
                          <w14:schemeClr w14:val="tx1"/>
                        </w14:solidFill>
                      </w14:textFill>
                    </w:rPr>
                    <w:t>，</w:t>
                  </w: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lang w:eastAsia="zh-CN"/>
                      <w14:textFill>
                        <w14:solidFill>
                          <w14:schemeClr w14:val="tx1"/>
                        </w14:solidFill>
                      </w14:textFill>
                    </w:rPr>
                    <w:t>运营期</w:t>
                  </w:r>
                  <w:r>
                    <w:rPr>
                      <w:rFonts w:ascii="Times New Roman"/>
                      <w:color w:val="000000" w:themeColor="text1"/>
                      <w:kern w:val="0"/>
                      <w:highlight w:val="none"/>
                      <w14:textFill>
                        <w14:solidFill>
                          <w14:schemeClr w14:val="tx1"/>
                        </w14:solidFill>
                      </w14:textFill>
                    </w:rPr>
                    <w:t>不产生生产废水，</w:t>
                  </w:r>
                  <w:r>
                    <w:rPr>
                      <w:rFonts w:hint="eastAsia"/>
                      <w:color w:val="000000" w:themeColor="text1"/>
                      <w:szCs w:val="21"/>
                      <w:highlight w:val="none"/>
                      <w:lang w:val="en-US" w:eastAsia="zh-CN"/>
                      <w14:textFill>
                        <w14:solidFill>
                          <w14:schemeClr w14:val="tx1"/>
                        </w14:solidFill>
                      </w14:textFill>
                    </w:rPr>
                    <w:t>食堂废水经隔油池处理，与生活污水经</w:t>
                  </w:r>
                  <w:r>
                    <w:rPr>
                      <w:rFonts w:hint="eastAsia"/>
                      <w:color w:val="000000" w:themeColor="text1"/>
                      <w:sz w:val="21"/>
                      <w:szCs w:val="21"/>
                      <w:highlight w:val="none"/>
                      <w:lang w:val="en-US" w:eastAsia="zh-CN"/>
                      <w14:textFill>
                        <w14:solidFill>
                          <w14:schemeClr w14:val="tx1"/>
                        </w14:solidFill>
                      </w14:textFill>
                    </w:rPr>
                    <w:t>一体化污水处理装置处理达标后送到清水池，再通过回用水泵回用于绿化，不外排</w:t>
                  </w:r>
                  <w:r>
                    <w:rPr>
                      <w:rFonts w:hint="eastAsia" w:ascii="Times New Roman"/>
                      <w:color w:val="000000" w:themeColor="text1"/>
                      <w:kern w:val="0"/>
                      <w:highlight w:val="none"/>
                      <w14:textFill>
                        <w14:solidFill>
                          <w14:schemeClr w14:val="tx1"/>
                        </w14:solidFill>
                      </w14:textFill>
                    </w:rPr>
                    <w:t>。</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输变电建设项目施工占用耕地、园地、林地和草地，应做好表土剥离、分类存放和回填利用。</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本项目施工表土进行剥离，分层开挖，分层堆放，分层回填</w:t>
                  </w:r>
                  <w:r>
                    <w:rPr>
                      <w:rFonts w:hint="eastAsia" w:ascii="Times New Roman"/>
                      <w:color w:val="000000" w:themeColor="text1"/>
                      <w:kern w:val="0"/>
                      <w:highlight w:val="none"/>
                      <w14:textFill>
                        <w14:solidFill>
                          <w14:schemeClr w14:val="tx1"/>
                        </w14:solidFill>
                      </w14:textFill>
                    </w:rPr>
                    <w:t>。</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施工临时道路应尽可能利用机耕路、林区小路等现有道路，新建道路应严格控制道路宽度，以减少临时工程对生态环境的影响。</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施工临时道路</w:t>
                  </w:r>
                  <w:r>
                    <w:rPr>
                      <w:rFonts w:hint="eastAsia" w:ascii="Times New Roman"/>
                      <w:color w:val="000000" w:themeColor="text1"/>
                      <w:kern w:val="0"/>
                      <w:highlight w:val="none"/>
                      <w14:textFill>
                        <w14:solidFill>
                          <w14:schemeClr w14:val="tx1"/>
                        </w14:solidFill>
                      </w14:textFill>
                    </w:rPr>
                    <w:t>利用</w:t>
                  </w:r>
                  <w:r>
                    <w:rPr>
                      <w:rFonts w:ascii="Times New Roman"/>
                      <w:color w:val="000000" w:themeColor="text1"/>
                      <w:kern w:val="0"/>
                      <w:highlight w:val="none"/>
                      <w14:textFill>
                        <w14:solidFill>
                          <w14:schemeClr w14:val="tx1"/>
                        </w14:solidFill>
                      </w14:textFill>
                    </w:rPr>
                    <w:t>现有道路，不设置施工专用道路。</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施工现场使用带油料的机械器具，应采取措施防止油料跑、冒、滴、漏，防止对土壤和水体造成污染。</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本项目施工采用专用机械并定期进行检查保养，保证良好运行状态。</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施工结束后，应及时清理施工现场，因地制宜进行土地功能恢复。</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施工结束后对临时占地及时进行植被恢复并进行抚育化管理。</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施工期间禁止向水体排放、倾倒垃圾、弃土、弃渣，禁止排放未经处理的钻浆等废弃物。</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施工前进行土石方平衡设计，施工垃圾、弃土等分类收集，统一清运。</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变电工程施工现场临时厕所的化粪池应进行防渗处理。</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本项目</w:t>
                  </w:r>
                  <w:r>
                    <w:rPr>
                      <w:rFonts w:ascii="Times New Roman"/>
                      <w:color w:val="000000" w:themeColor="text1"/>
                      <w:kern w:val="0"/>
                      <w:highlight w:val="none"/>
                      <w14:textFill>
                        <w14:solidFill>
                          <w14:schemeClr w14:val="tx1"/>
                        </w14:solidFill>
                      </w14:textFill>
                    </w:rPr>
                    <w:t>施工营地设置防渗</w:t>
                  </w:r>
                  <w:r>
                    <w:rPr>
                      <w:rFonts w:hint="eastAsia" w:ascii="Times New Roman"/>
                      <w:color w:val="000000" w:themeColor="text1"/>
                      <w:kern w:val="0"/>
                      <w:highlight w:val="none"/>
                      <w14:textFill>
                        <w14:solidFill>
                          <w14:schemeClr w14:val="tx1"/>
                        </w14:solidFill>
                      </w14:textFill>
                    </w:rPr>
                    <w:t>旱厕</w:t>
                  </w:r>
                  <w:r>
                    <w:rPr>
                      <w:rFonts w:ascii="Times New Roman"/>
                      <w:color w:val="000000" w:themeColor="text1"/>
                      <w:kern w:val="0"/>
                      <w:highlight w:val="none"/>
                      <w14:textFill>
                        <w14:solidFill>
                          <w14:schemeClr w14:val="tx1"/>
                        </w14:solidFill>
                      </w14:textFill>
                    </w:rPr>
                    <w:t>。</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施工过程中，应当加强对施工现场和物料运输的管理，在施工工地设置硬质围挡，保持道路清洁，管控料堆和渣土堆放，防治扬尘污染。</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本项目采用商品混凝土，不在现场进行搅拌，施工物料及渣土进行苫盖。</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施工过程中，对易起尘的临时堆土、运输过程中的土石方等应采用密闭式防尘布(网)进行苫盖，施工面集中且有条件的地方宜采取洒水降尘等有效措施，减少易造成大气污染的施工作业。</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采用密闭型车辆进行运输，施工场地及时进行洒水抑尘。</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施工过程中，建设单位应当对裸露地面进行覆盖；暂时不能开工的建设用地超过三个月的，应当进行绿化、铺装或者遮盖。</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施工中对裸露地表进行覆盖，减少扬尘污染及水土流失。</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施工现场禁止将包装物、可燃垃圾等固体废弃物就地焚烧。</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施工包装物及施工垃圾及时进行清运，不进行焚烧。</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施工过程中产生的土石方、建筑垃圾、生活垃圾应分类集中收集，并按国家和地方有关规定定期进行清运处置，施工完成后及时做好迹地清理工作。</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施工过程中产生的土石方、建筑垃圾、生活垃圾应分类集中收集，并按国家和地方有关规定定期进行清运处置，施工结束后及时进行生态恢复。</w:t>
                  </w:r>
                </w:p>
              </w:tc>
              <w:tc>
                <w:tcPr>
                  <w:tcW w:w="472"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lang w:eastAsia="zh-CN"/>
                      <w14:textFill>
                        <w14:solidFill>
                          <w14:schemeClr w14:val="tx1"/>
                        </w14:solidFill>
                      </w14:textFill>
                    </w:rPr>
                    <w:t>运营期</w:t>
                  </w:r>
                  <w:r>
                    <w:rPr>
                      <w:rFonts w:ascii="Times New Roman"/>
                      <w:color w:val="000000" w:themeColor="text1"/>
                      <w:kern w:val="0"/>
                      <w:highlight w:val="none"/>
                      <w14:textFill>
                        <w14:solidFill>
                          <w14:schemeClr w14:val="tx1"/>
                        </w14:solidFill>
                      </w14:textFill>
                    </w:rPr>
                    <w:t>做好环境保护设施的维护和运行管理，加强巡查和检查，保障发挥环境保护作用。定期开展环境监测，确保电磁、噪声、废水排放符合GB 8702、GB 12348、GB 8978等国家标准要求，并及时解决公众合理的环境保护诉求。</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本项目明确监测方案，试运行后及时进行验收。定期开展环境监测。</w:t>
                  </w:r>
                </w:p>
              </w:tc>
              <w:tc>
                <w:tcPr>
                  <w:tcW w:w="472"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03"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变电工程运行过程中产生的变压器油、高抗油等矿物油应进行回收处理。废矿物油和废铅蓄电池作为危险废物应交由有资质的单位回收处理，严禁随意丢弃。不能立即回收处理的应暂存在危险废物暂存间或暂存区。</w:t>
                  </w:r>
                </w:p>
              </w:tc>
              <w:tc>
                <w:tcPr>
                  <w:tcW w:w="2024"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本项目</w:t>
                  </w:r>
                  <w:r>
                    <w:rPr>
                      <w:rFonts w:hint="eastAsia" w:ascii="Times New Roman"/>
                      <w:color w:val="000000" w:themeColor="text1"/>
                      <w:kern w:val="0"/>
                      <w:highlight w:val="none"/>
                      <w:lang w:eastAsia="zh-CN"/>
                      <w14:textFill>
                        <w14:solidFill>
                          <w14:schemeClr w14:val="tx1"/>
                        </w14:solidFill>
                      </w14:textFill>
                    </w:rPr>
                    <w:t>运营期</w:t>
                  </w:r>
                  <w:r>
                    <w:rPr>
                      <w:rFonts w:ascii="Times New Roman"/>
                      <w:color w:val="000000" w:themeColor="text1"/>
                      <w:kern w:val="0"/>
                      <w:highlight w:val="none"/>
                      <w14:textFill>
                        <w14:solidFill>
                          <w14:schemeClr w14:val="tx1"/>
                        </w14:solidFill>
                      </w14:textFill>
                    </w:rPr>
                    <w:t>产生的废矿物油和废铅蓄电池交由有资质的单位</w:t>
                  </w:r>
                  <w:r>
                    <w:rPr>
                      <w:rFonts w:hint="eastAsia" w:ascii="Times New Roman"/>
                      <w:color w:val="000000" w:themeColor="text1"/>
                      <w:kern w:val="0"/>
                      <w:highlight w:val="none"/>
                      <w14:textFill>
                        <w14:solidFill>
                          <w14:schemeClr w14:val="tx1"/>
                        </w14:solidFill>
                      </w14:textFill>
                    </w:rPr>
                    <w:t>处置</w:t>
                  </w:r>
                  <w:r>
                    <w:rPr>
                      <w:rFonts w:ascii="Times New Roman"/>
                      <w:color w:val="000000" w:themeColor="text1"/>
                      <w:kern w:val="0"/>
                      <w:highlight w:val="none"/>
                      <w14:textFill>
                        <w14:solidFill>
                          <w14:schemeClr w14:val="tx1"/>
                        </w14:solidFill>
                      </w14:textFill>
                    </w:rPr>
                    <w:t>。</w:t>
                  </w:r>
                </w:p>
              </w:tc>
              <w:tc>
                <w:tcPr>
                  <w:tcW w:w="472" w:type="pct"/>
                  <w:vAlign w:val="center"/>
                </w:tcPr>
                <w:p>
                  <w:pPr>
                    <w:autoSpaceDE w:val="0"/>
                    <w:autoSpaceDN w:val="0"/>
                    <w:adjustRightInd w:val="0"/>
                    <w:snapToGrid w:val="0"/>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符合</w:t>
                  </w:r>
                </w:p>
              </w:tc>
            </w:tr>
          </w:tbl>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kern w:val="0"/>
                <w:sz w:val="24"/>
                <w:highlight w:val="none"/>
                <w14:textFill>
                  <w14:solidFill>
                    <w14:schemeClr w14:val="tx1"/>
                  </w14:solidFill>
                </w14:textFill>
              </w:rPr>
              <w:t>综上，</w:t>
            </w:r>
            <w:r>
              <w:rPr>
                <w:rFonts w:ascii="Times New Roman"/>
                <w:color w:val="000000" w:themeColor="text1"/>
                <w:kern w:val="0"/>
                <w:sz w:val="24"/>
                <w:highlight w:val="none"/>
                <w14:textFill>
                  <w14:solidFill>
                    <w14:schemeClr w14:val="tx1"/>
                  </w14:solidFill>
                </w14:textFill>
              </w:rPr>
              <w:t>本项目</w:t>
            </w:r>
            <w:r>
              <w:rPr>
                <w:rFonts w:hint="eastAsia" w:ascii="Times New Roman"/>
                <w:color w:val="000000" w:themeColor="text1"/>
                <w:kern w:val="0"/>
                <w:sz w:val="24"/>
                <w:highlight w:val="none"/>
                <w14:textFill>
                  <w14:solidFill>
                    <w14:schemeClr w14:val="tx1"/>
                  </w14:solidFill>
                </w14:textFill>
              </w:rPr>
              <w:t>符合</w:t>
            </w:r>
            <w:r>
              <w:rPr>
                <w:rFonts w:ascii="Times New Roman"/>
                <w:color w:val="000000" w:themeColor="text1"/>
                <w:kern w:val="0"/>
                <w:sz w:val="24"/>
                <w:highlight w:val="none"/>
                <w14:textFill>
                  <w14:solidFill>
                    <w14:schemeClr w14:val="tx1"/>
                  </w14:solidFill>
                </w14:textFill>
              </w:rPr>
              <w:t>《输变电建设项目环境保护技术要求》(HJ1113-2020)</w:t>
            </w:r>
            <w:r>
              <w:rPr>
                <w:rFonts w:hint="eastAsia" w:ascii="Times New Roman"/>
                <w:color w:val="000000" w:themeColor="text1"/>
                <w:kern w:val="0"/>
                <w:sz w:val="24"/>
                <w:highlight w:val="none"/>
                <w14:textFill>
                  <w14:solidFill>
                    <w14:schemeClr w14:val="tx1"/>
                  </w14:solidFill>
                </w14:textFill>
              </w:rPr>
              <w:t>的要求。</w:t>
            </w: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（2）</w:t>
            </w:r>
            <w:r>
              <w:rPr>
                <w:rFonts w:hint="eastAsia" w:ascii="Times New Roman"/>
                <w:color w:val="000000" w:themeColor="text1"/>
                <w:kern w:val="0"/>
                <w:sz w:val="24"/>
                <w:szCs w:val="24"/>
                <w:highlight w:val="none"/>
                <w14:textFill>
                  <w14:solidFill>
                    <w14:schemeClr w14:val="tx1"/>
                  </w14:solidFill>
                </w14:textFill>
              </w:rPr>
              <w:t>各部门意见</w:t>
            </w:r>
          </w:p>
          <w:p>
            <w:pPr>
              <w:snapToGrid w:val="0"/>
              <w:spacing w:line="360" w:lineRule="auto"/>
              <w:ind w:firstLine="480" w:firstLineChars="200"/>
              <w:rPr>
                <w:rFonts w:hint="eastAsia" w:ascii="Times New Roman" w:eastAsia="宋体"/>
                <w:color w:val="000000" w:themeColor="text1"/>
                <w:sz w:val="24"/>
                <w:highlight w:val="none"/>
                <w:lang w:val="en-US" w:eastAsia="zh-CN"/>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本项目位于</w:t>
            </w:r>
            <w:r>
              <w:rPr>
                <w:rFonts w:hint="eastAsia" w:ascii="Times New Roman"/>
                <w:color w:val="000000" w:themeColor="text1"/>
                <w:sz w:val="24"/>
                <w:highlight w:val="none"/>
                <w:lang w:eastAsia="zh-CN"/>
                <w14:textFill>
                  <w14:solidFill>
                    <w14:schemeClr w14:val="tx1"/>
                  </w14:solidFill>
                </w14:textFill>
              </w:rPr>
              <w:t>围场满族蒙古族自治县</w:t>
            </w:r>
            <w:r>
              <w:rPr>
                <w:rFonts w:ascii="Times New Roman"/>
                <w:color w:val="000000" w:themeColor="text1"/>
                <w:kern w:val="0"/>
                <w:sz w:val="24"/>
                <w:szCs w:val="24"/>
                <w:highlight w:val="none"/>
                <w14:textFill>
                  <w14:solidFill>
                    <w14:schemeClr w14:val="tx1"/>
                  </w14:solidFill>
                </w14:textFill>
              </w:rPr>
              <w:t>，</w:t>
            </w:r>
            <w:r>
              <w:rPr>
                <w:rFonts w:hint="eastAsia" w:ascii="Times New Roman"/>
                <w:color w:val="000000" w:themeColor="text1"/>
                <w:kern w:val="0"/>
                <w:sz w:val="24"/>
                <w:szCs w:val="24"/>
                <w:highlight w:val="none"/>
                <w14:textFill>
                  <w14:solidFill>
                    <w14:schemeClr w14:val="tx1"/>
                  </w14:solidFill>
                </w14:textFill>
              </w:rPr>
              <w:t>为避免与有关单位的现有及规划设施发生矛盾，本工程征求了各</w:t>
            </w:r>
            <w:r>
              <w:rPr>
                <w:rFonts w:hint="eastAsia" w:ascii="Times New Roman"/>
                <w:color w:val="000000" w:themeColor="text1"/>
                <w:kern w:val="0"/>
                <w:sz w:val="24"/>
                <w:szCs w:val="24"/>
                <w:highlight w:val="none"/>
                <w:lang w:val="en-US" w:eastAsia="zh-CN"/>
                <w14:textFill>
                  <w14:solidFill>
                    <w14:schemeClr w14:val="tx1"/>
                  </w14:solidFill>
                </w14:textFill>
              </w:rPr>
              <w:t>相关</w:t>
            </w:r>
            <w:r>
              <w:rPr>
                <w:rFonts w:hint="eastAsia" w:ascii="Times New Roman"/>
                <w:color w:val="000000" w:themeColor="text1"/>
                <w:kern w:val="0"/>
                <w:sz w:val="24"/>
                <w:szCs w:val="24"/>
                <w:highlight w:val="none"/>
                <w14:textFill>
                  <w14:solidFill>
                    <w14:schemeClr w14:val="tx1"/>
                  </w14:solidFill>
                </w14:textFill>
              </w:rPr>
              <w:t>单位对</w:t>
            </w:r>
            <w:r>
              <w:rPr>
                <w:rFonts w:hint="eastAsia" w:ascii="Times New Roman"/>
                <w:color w:val="000000" w:themeColor="text1"/>
                <w:kern w:val="0"/>
                <w:sz w:val="24"/>
                <w:szCs w:val="24"/>
                <w:highlight w:val="none"/>
                <w:lang w:val="en-US" w:eastAsia="zh-CN"/>
                <w14:textFill>
                  <w14:solidFill>
                    <w14:schemeClr w14:val="tx1"/>
                  </w14:solidFill>
                </w14:textFill>
              </w:rPr>
              <w:t>项目</w:t>
            </w:r>
            <w:r>
              <w:rPr>
                <w:rFonts w:hint="eastAsia" w:ascii="Times New Roman"/>
                <w:color w:val="000000" w:themeColor="text1"/>
                <w:kern w:val="0"/>
                <w:sz w:val="24"/>
                <w:szCs w:val="24"/>
                <w:highlight w:val="none"/>
                <w14:textFill>
                  <w14:solidFill>
                    <w14:schemeClr w14:val="tx1"/>
                  </w14:solidFill>
                </w14:textFill>
              </w:rPr>
              <w:t>建设方案的意见</w:t>
            </w:r>
            <w:r>
              <w:rPr>
                <w:rFonts w:ascii="Times New Roman"/>
                <w:color w:val="000000" w:themeColor="text1"/>
                <w:kern w:val="0"/>
                <w:sz w:val="24"/>
                <w:szCs w:val="24"/>
                <w:highlight w:val="none"/>
                <w14:textFill>
                  <w14:solidFill>
                    <w14:schemeClr w14:val="tx1"/>
                  </w14:solidFill>
                </w14:textFill>
              </w:rPr>
              <w:t>（详见附件），</w:t>
            </w:r>
            <w:r>
              <w:rPr>
                <w:rFonts w:hint="eastAsia" w:ascii="Times New Roman"/>
                <w:color w:val="000000" w:themeColor="text1"/>
                <w:kern w:val="0"/>
                <w:sz w:val="24"/>
                <w:szCs w:val="24"/>
                <w:highlight w:val="none"/>
                <w14:textFill>
                  <w14:solidFill>
                    <w14:schemeClr w14:val="tx1"/>
                  </w14:solidFill>
                </w14:textFill>
              </w:rPr>
              <w:t>见</w:t>
            </w:r>
            <w:r>
              <w:rPr>
                <w:rFonts w:hint="eastAsia" w:ascii="Times New Roman"/>
                <w:color w:val="000000" w:themeColor="text1"/>
                <w:kern w:val="0"/>
                <w:sz w:val="24"/>
                <w:szCs w:val="24"/>
                <w:highlight w:val="none"/>
                <w:lang w:val="en-US" w:eastAsia="zh-CN"/>
                <w14:textFill>
                  <w14:solidFill>
                    <w14:schemeClr w14:val="tx1"/>
                  </w14:solidFill>
                </w14:textFill>
              </w:rPr>
              <w:t>下</w:t>
            </w:r>
            <w:r>
              <w:rPr>
                <w:rFonts w:ascii="Times New Roman"/>
                <w:color w:val="000000" w:themeColor="text1"/>
                <w:kern w:val="0"/>
                <w:sz w:val="24"/>
                <w:szCs w:val="24"/>
                <w:highlight w:val="none"/>
                <w14:textFill>
                  <w14:solidFill>
                    <w14:schemeClr w14:val="tx1"/>
                  </w14:solidFill>
                </w14:textFill>
              </w:rPr>
              <w:t>表所示</w:t>
            </w:r>
            <w:r>
              <w:rPr>
                <w:rFonts w:hint="eastAsia" w:ascii="Times New Roman"/>
                <w:color w:val="000000" w:themeColor="text1"/>
                <w:kern w:val="0"/>
                <w:sz w:val="24"/>
                <w:szCs w:val="24"/>
                <w:highlight w:val="none"/>
                <w:lang w:eastAsia="zh-CN"/>
                <w14:textFill>
                  <w14:solidFill>
                    <w14:schemeClr w14:val="tx1"/>
                  </w14:solidFill>
                </w14:textFill>
              </w:rPr>
              <w:t>。</w:t>
            </w:r>
          </w:p>
          <w:p>
            <w:pPr>
              <w:spacing w:line="360" w:lineRule="auto"/>
              <w:jc w:val="center"/>
              <w:rPr>
                <w:rFonts w:ascii="Times New Roman"/>
                <w:b/>
                <w:bCs/>
                <w:color w:val="000000" w:themeColor="text1"/>
                <w:kern w:val="0"/>
                <w:sz w:val="24"/>
                <w:szCs w:val="24"/>
                <w:highlight w:val="none"/>
                <w14:textFill>
                  <w14:solidFill>
                    <w14:schemeClr w14:val="tx1"/>
                  </w14:solidFill>
                </w14:textFill>
              </w:rPr>
            </w:pPr>
            <w:r>
              <w:rPr>
                <w:rFonts w:hint="eastAsia" w:ascii="Times New Roman"/>
                <w:b/>
                <w:bCs/>
                <w:color w:val="000000" w:themeColor="text1"/>
                <w:kern w:val="0"/>
                <w:sz w:val="24"/>
                <w:szCs w:val="24"/>
                <w:highlight w:val="none"/>
                <w14:textFill>
                  <w14:solidFill>
                    <w14:schemeClr w14:val="tx1"/>
                  </w14:solidFill>
                </w14:textFill>
              </w:rPr>
              <w:t>表</w:t>
            </w:r>
            <w:r>
              <w:rPr>
                <w:rFonts w:ascii="Times New Roman"/>
                <w:b/>
                <w:bCs/>
                <w:color w:val="000000" w:themeColor="text1"/>
                <w:kern w:val="0"/>
                <w:sz w:val="24"/>
                <w:szCs w:val="24"/>
                <w:highlight w:val="none"/>
                <w14:textFill>
                  <w14:solidFill>
                    <w14:schemeClr w14:val="tx1"/>
                  </w14:solidFill>
                </w14:textFill>
              </w:rPr>
              <w:t xml:space="preserve">1-5  </w:t>
            </w:r>
            <w:r>
              <w:rPr>
                <w:rFonts w:hint="eastAsia" w:ascii="Times New Roman"/>
                <w:b/>
                <w:bCs/>
                <w:color w:val="000000" w:themeColor="text1"/>
                <w:kern w:val="0"/>
                <w:sz w:val="24"/>
                <w:szCs w:val="24"/>
                <w:highlight w:val="none"/>
                <w14:textFill>
                  <w14:solidFill>
                    <w14:schemeClr w14:val="tx1"/>
                  </w14:solidFill>
                </w14:textFill>
              </w:rPr>
              <w:t>意见征求统计表</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2153"/>
              <w:gridCol w:w="4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noWrap w:val="0"/>
                  <w:vAlign w:val="center"/>
                </w:tcPr>
                <w:p>
                  <w:pPr>
                    <w:jc w:val="center"/>
                    <w:rPr>
                      <w:rFonts w:ascii="Times New Roman"/>
                      <w:color w:val="000000" w:themeColor="text1"/>
                      <w:kern w:val="0"/>
                      <w:highlight w:val="none"/>
                      <w14:textFill>
                        <w14:solidFill>
                          <w14:schemeClr w14:val="tx1"/>
                        </w14:solidFill>
                      </w14:textFill>
                    </w:rPr>
                  </w:pPr>
                  <w:bookmarkStart w:id="9" w:name="_Hlk151735469"/>
                  <w:r>
                    <w:rPr>
                      <w:rFonts w:ascii="Times New Roman"/>
                      <w:color w:val="000000" w:themeColor="text1"/>
                      <w:kern w:val="0"/>
                      <w:highlight w:val="none"/>
                      <w14:textFill>
                        <w14:solidFill>
                          <w14:schemeClr w14:val="tx1"/>
                        </w14:solidFill>
                      </w14:textFill>
                    </w:rPr>
                    <w:t>序号</w:t>
                  </w:r>
                </w:p>
              </w:tc>
              <w:tc>
                <w:tcPr>
                  <w:tcW w:w="1574"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单  位</w:t>
                  </w:r>
                </w:p>
              </w:tc>
              <w:tc>
                <w:tcPr>
                  <w:tcW w:w="295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意见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noWrap w:val="0"/>
                  <w:vAlign w:val="center"/>
                </w:tcPr>
                <w:p>
                  <w:pPr>
                    <w:jc w:val="center"/>
                    <w:rPr>
                      <w:rFonts w:hint="eastAsia" w:ascii="Times New Roman" w:eastAsia="宋体"/>
                      <w:color w:val="000000" w:themeColor="text1"/>
                      <w:kern w:val="0"/>
                      <w:highlight w:val="none"/>
                      <w:lang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1</w:t>
                  </w:r>
                </w:p>
              </w:tc>
              <w:tc>
                <w:tcPr>
                  <w:tcW w:w="1574"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河北省围场满族蒙古族自治县人民武装部</w:t>
                  </w:r>
                </w:p>
              </w:tc>
              <w:tc>
                <w:tcPr>
                  <w:tcW w:w="2956" w:type="pct"/>
                  <w:noWrap w:val="0"/>
                  <w:vAlign w:val="center"/>
                </w:tcPr>
                <w:p>
                  <w:pPr>
                    <w:jc w:val="center"/>
                    <w:rPr>
                      <w:rFonts w:hint="eastAsia" w:ascii="Times New Roman" w:eastAsia="宋体"/>
                      <w:color w:val="000000" w:themeColor="text1"/>
                      <w:kern w:val="0"/>
                      <w:highlight w:val="none"/>
                      <w:lang w:eastAsia="zh-CN"/>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选址范围内无我部管辖的军事设施和国防工程，原则上同意选址。</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noWrap w:val="0"/>
                  <w:vAlign w:val="center"/>
                </w:tcPr>
                <w:p>
                  <w:pPr>
                    <w:jc w:val="center"/>
                    <w:rPr>
                      <w:rFonts w:hint="eastAsia"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2</w:t>
                  </w:r>
                </w:p>
              </w:tc>
              <w:tc>
                <w:tcPr>
                  <w:tcW w:w="1574"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围场满族蒙古族自治县林业和草原局</w:t>
                  </w:r>
                </w:p>
              </w:tc>
              <w:tc>
                <w:tcPr>
                  <w:tcW w:w="2956"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该项目用地范围不涉及风景名胜区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noWrap w:val="0"/>
                  <w:vAlign w:val="center"/>
                </w:tcPr>
                <w:p>
                  <w:pPr>
                    <w:jc w:val="center"/>
                    <w:rPr>
                      <w:rFonts w:hint="eastAsia"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3</w:t>
                  </w:r>
                </w:p>
              </w:tc>
              <w:tc>
                <w:tcPr>
                  <w:tcW w:w="1574"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围场满族蒙古族自治县自然资源和规划局</w:t>
                  </w:r>
                </w:p>
              </w:tc>
              <w:tc>
                <w:tcPr>
                  <w:tcW w:w="2956" w:type="pct"/>
                  <w:noWrap w:val="0"/>
                  <w:vAlign w:val="center"/>
                </w:tcPr>
                <w:p>
                  <w:pPr>
                    <w:jc w:val="center"/>
                    <w:rPr>
                      <w:rFonts w:hint="default"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该项目不占生态保护红线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noWrap w:val="0"/>
                  <w:vAlign w:val="center"/>
                </w:tcPr>
                <w:p>
                  <w:pPr>
                    <w:jc w:val="center"/>
                    <w:rPr>
                      <w:rFonts w:hint="default" w:ascii="Times New Roman"/>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4</w:t>
                  </w:r>
                </w:p>
              </w:tc>
              <w:tc>
                <w:tcPr>
                  <w:tcW w:w="1574" w:type="pct"/>
                  <w:noWrap w:val="0"/>
                  <w:vAlign w:val="center"/>
                </w:tcPr>
                <w:p>
                  <w:pPr>
                    <w:jc w:val="center"/>
                    <w:rPr>
                      <w:rFonts w:hint="eastAsia"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承德市生态环境局围场满族蒙古族自治县分局</w:t>
                  </w:r>
                </w:p>
              </w:tc>
              <w:tc>
                <w:tcPr>
                  <w:tcW w:w="2956" w:type="pct"/>
                  <w:noWrap w:val="0"/>
                  <w:vAlign w:val="center"/>
                </w:tcPr>
                <w:p>
                  <w:pPr>
                    <w:jc w:val="center"/>
                    <w:rPr>
                      <w:rFonts w:hint="default" w:ascii="Times New Roman"/>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根据2023年9月1日出具的《承德市生态环境局围场满族蒙古族自治县分局关于&lt;承德燕能宝石山风电场项目环境影响报告表&gt;的批复》（围环评[2023]28号）：项目在落实《报告表》中确定的污染防治措施的情况下，项目建设不会改变当地环境功能，外排污染物能够做到达标排放。从环保角度可行。</w:t>
                  </w:r>
                </w:p>
              </w:tc>
            </w:tr>
            <w:bookmarkEnd w:id="9"/>
          </w:tbl>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（3）周边环境相容性</w:t>
            </w: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本项目周边无《建设项目环境影响评价分类管理名录》（2021年版）中列出的“第三条（一）国家公园、自然保护区、风景名胜区、世界文化和自然遗产地海洋特别保护饮用水源保护区源保护区”，升压站站界外侧40m范围内无“第三条中的以居住、医疗卫生、文化教育科研行政办公等为主要功能的区域”。因此，本项目与周边环境相容性较好。</w:t>
            </w: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综上所述</w:t>
            </w:r>
            <w:r>
              <w:rPr>
                <w:rFonts w:ascii="Times New Roman"/>
                <w:color w:val="000000" w:themeColor="text1"/>
                <w:sz w:val="24"/>
                <w:highlight w:val="none"/>
                <w14:textFill>
                  <w14:solidFill>
                    <w14:schemeClr w14:val="tx1"/>
                  </w14:solidFill>
                </w14:textFill>
              </w:rPr>
              <w:t>，本</w:t>
            </w:r>
            <w:r>
              <w:rPr>
                <w:rFonts w:hint="eastAsia" w:ascii="Times New Roman"/>
                <w:color w:val="000000" w:themeColor="text1"/>
                <w:sz w:val="24"/>
                <w:highlight w:val="none"/>
                <w14:textFill>
                  <w14:solidFill>
                    <w14:schemeClr w14:val="tx1"/>
                  </w14:solidFill>
                </w14:textFill>
              </w:rPr>
              <w:t>项目</w:t>
            </w:r>
            <w:r>
              <w:rPr>
                <w:rFonts w:ascii="Times New Roman"/>
                <w:color w:val="000000" w:themeColor="text1"/>
                <w:sz w:val="24"/>
                <w:highlight w:val="none"/>
                <w14:textFill>
                  <w14:solidFill>
                    <w14:schemeClr w14:val="tx1"/>
                  </w14:solidFill>
                </w14:textFill>
              </w:rPr>
              <w:t>选址合理。</w:t>
            </w: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p>
          <w:p>
            <w:pPr>
              <w:snapToGrid w:val="0"/>
              <w:spacing w:line="360" w:lineRule="auto"/>
              <w:ind w:firstLine="480" w:firstLineChars="200"/>
              <w:rPr>
                <w:rFonts w:hint="eastAsia" w:ascii="Times New Roman"/>
                <w:color w:val="000000" w:themeColor="text1"/>
                <w:sz w:val="24"/>
                <w:highlight w:val="none"/>
                <w:lang w:val="en-US" w:eastAsia="zh-CN"/>
                <w14:textFill>
                  <w14:solidFill>
                    <w14:schemeClr w14:val="tx1"/>
                  </w14:solidFill>
                </w14:textFill>
              </w:rPr>
            </w:pPr>
          </w:p>
          <w:p>
            <w:pPr>
              <w:snapToGrid w:val="0"/>
              <w:spacing w:line="360" w:lineRule="auto"/>
              <w:ind w:firstLine="420" w:firstLineChars="200"/>
              <w:rPr>
                <w:rFonts w:hint="eastAsia" w:eastAsia="黑体"/>
                <w:color w:val="000000" w:themeColor="text1"/>
                <w:highlight w:val="none"/>
                <w:lang w:eastAsia="zh-CN"/>
                <w14:textFill>
                  <w14:solidFill>
                    <w14:schemeClr w14:val="tx1"/>
                  </w14:solidFill>
                </w14:textFill>
              </w:rPr>
            </w:pPr>
          </w:p>
        </w:tc>
      </w:tr>
    </w:tbl>
    <w:p>
      <w:pPr>
        <w:pStyle w:val="46"/>
        <w:spacing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footerReference r:id="rId9" w:type="default"/>
          <w:footerReference r:id="rId10"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10" w:name="_Toc5871"/>
      <w:r>
        <w:rPr>
          <w:rFonts w:ascii="Times New Roman" w:hAnsi="Times New Roman" w:eastAsia="黑体"/>
          <w:snapToGrid w:val="0"/>
          <w:color w:val="000000" w:themeColor="text1"/>
          <w:sz w:val="30"/>
          <w:szCs w:val="30"/>
          <w:highlight w:val="none"/>
          <w14:textFill>
            <w14:solidFill>
              <w14:schemeClr w14:val="tx1"/>
            </w14:solidFill>
          </w14:textFill>
        </w:rPr>
        <w:t>二、建设项目工程分析</w:t>
      </w:r>
      <w:bookmarkEnd w:id="10"/>
    </w:p>
    <w:tbl>
      <w:tblPr>
        <w:tblStyle w:val="53"/>
        <w:tblW w:w="888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58"/>
        <w:gridCol w:w="812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27" w:hRule="atLeast"/>
          <w:jc w:val="center"/>
        </w:trPr>
        <w:tc>
          <w:tcPr>
            <w:tcW w:w="758" w:type="dxa"/>
            <w:vAlign w:val="center"/>
          </w:tcPr>
          <w:p>
            <w:pPr>
              <w:pStyle w:val="46"/>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建设内容</w:t>
            </w:r>
          </w:p>
        </w:tc>
        <w:tc>
          <w:tcPr>
            <w:tcW w:w="8129" w:type="dxa"/>
          </w:tcPr>
          <w:p>
            <w:pPr>
              <w:adjustRightInd w:val="0"/>
              <w:spacing w:before="120"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一、</w:t>
            </w:r>
            <w:r>
              <w:rPr>
                <w:rFonts w:ascii="Times New Roman"/>
                <w:b/>
                <w:bCs/>
                <w:color w:val="000000" w:themeColor="text1"/>
                <w:sz w:val="24"/>
                <w:szCs w:val="24"/>
                <w:highlight w:val="none"/>
                <w14:textFill>
                  <w14:solidFill>
                    <w14:schemeClr w14:val="tx1"/>
                  </w14:solidFill>
                </w14:textFill>
              </w:rPr>
              <w:t>项目由来</w:t>
            </w:r>
          </w:p>
          <w:p>
            <w:pPr>
              <w:snapToGrid w:val="0"/>
              <w:spacing w:line="360" w:lineRule="auto"/>
              <w:ind w:firstLine="480" w:firstLineChars="200"/>
              <w:rPr>
                <w:rFonts w:hint="eastAsia"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1、建设背景</w:t>
            </w:r>
          </w:p>
          <w:p>
            <w:pPr>
              <w:snapToGrid w:val="0"/>
              <w:spacing w:line="360" w:lineRule="auto"/>
              <w:ind w:firstLine="480" w:firstLineChars="200"/>
              <w:rPr>
                <w:rFonts w:hint="eastAsia"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风力发电作为无污染绿色能源，可替代部分一次能源，优化能源结构。开发利用风能资源不仅可以提供新的电源，</w:t>
            </w:r>
            <w:r>
              <w:rPr>
                <w:rFonts w:hint="eastAsia" w:ascii="Times New Roman"/>
                <w:snapToGrid w:val="0"/>
                <w:color w:val="000000" w:themeColor="text1"/>
                <w:sz w:val="24"/>
                <w:szCs w:val="24"/>
                <w:highlight w:val="none"/>
                <w:lang w:val="en-US" w:eastAsia="zh-CN"/>
                <w14:textFill>
                  <w14:solidFill>
                    <w14:schemeClr w14:val="tx1"/>
                  </w14:solidFill>
                </w14:textFill>
              </w:rPr>
              <w:t>优化电源结构，</w:t>
            </w:r>
            <w:r>
              <w:rPr>
                <w:rFonts w:hint="eastAsia" w:ascii="Times New Roman"/>
                <w:color w:val="000000" w:themeColor="text1"/>
                <w:sz w:val="24"/>
                <w:szCs w:val="24"/>
                <w:highlight w:val="none"/>
                <w:lang w:val="en-US" w:eastAsia="zh-CN"/>
                <w14:textFill>
                  <w14:solidFill>
                    <w14:schemeClr w14:val="tx1"/>
                  </w14:solidFill>
                </w14:textFill>
              </w:rPr>
              <w:t>能够有效减少常规能源尤其是煤炭等</w:t>
            </w:r>
            <w:r>
              <w:rPr>
                <w:rFonts w:hint="eastAsia" w:ascii="Times New Roman"/>
                <w:snapToGrid w:val="0"/>
                <w:color w:val="000000" w:themeColor="text1"/>
                <w:sz w:val="24"/>
                <w:szCs w:val="24"/>
                <w:highlight w:val="none"/>
                <w:lang w:val="en-US" w:eastAsia="zh-CN"/>
                <w14:textFill>
                  <w14:solidFill>
                    <w14:schemeClr w14:val="tx1"/>
                  </w14:solidFill>
                </w14:textFill>
              </w:rPr>
              <w:t>化石能源</w:t>
            </w:r>
            <w:r>
              <w:rPr>
                <w:rFonts w:hint="eastAsia" w:ascii="Times New Roman"/>
                <w:color w:val="000000" w:themeColor="text1"/>
                <w:sz w:val="24"/>
                <w:szCs w:val="24"/>
                <w:highlight w:val="none"/>
                <w:lang w:val="en-US" w:eastAsia="zh-CN"/>
                <w14:textFill>
                  <w14:solidFill>
                    <w14:schemeClr w14:val="tx1"/>
                  </w14:solidFill>
                </w14:textFill>
              </w:rPr>
              <w:t>的消耗</w:t>
            </w:r>
            <w:r>
              <w:rPr>
                <w:rFonts w:hint="eastAsia" w:ascii="Times New Roman"/>
                <w:snapToGrid w:val="0"/>
                <w:color w:val="000000" w:themeColor="text1"/>
                <w:sz w:val="24"/>
                <w:szCs w:val="24"/>
                <w:highlight w:val="none"/>
                <w:lang w:val="en-US" w:eastAsia="zh-CN"/>
                <w14:textFill>
                  <w14:solidFill>
                    <w14:schemeClr w14:val="tx1"/>
                  </w14:solidFill>
                </w14:textFill>
              </w:rPr>
              <w:t>，</w:t>
            </w:r>
            <w:r>
              <w:rPr>
                <w:rFonts w:hint="eastAsia" w:ascii="Times New Roman"/>
                <w:snapToGrid w:val="0"/>
                <w:color w:val="000000" w:themeColor="text1"/>
                <w:sz w:val="24"/>
                <w:szCs w:val="24"/>
                <w:highlight w:val="none"/>
                <w14:textFill>
                  <w14:solidFill>
                    <w14:schemeClr w14:val="tx1"/>
                  </w14:solidFill>
                </w14:textFill>
              </w:rPr>
              <w:t>减少二氧化碳和其它有害气体的排放，环境效益非常突出。近年来，我国以风电、光伏发电为代表的新能源发展成效显著，“十四五”规划提出全面推进风电和太阳能发电大规模开发和高质量发展，因地制宜发展其他可再生能源。</w:t>
            </w:r>
          </w:p>
          <w:p>
            <w:pPr>
              <w:snapToGrid w:val="0"/>
              <w:spacing w:line="360" w:lineRule="auto"/>
              <w:ind w:firstLine="480" w:firstLineChars="200"/>
              <w:rPr>
                <w:rFonts w:hint="eastAsia" w:ascii="Times New Roman"/>
                <w:snapToGrid w:val="0"/>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承德地区风能资源丰富，适宜建设风力发电场，为贯彻国家能源发展战略，落实对可再生资源的开发利用，</w:t>
            </w:r>
            <w:r>
              <w:rPr>
                <w:rFonts w:hint="eastAsia" w:ascii="Times New Roman"/>
                <w:snapToGrid w:val="0"/>
                <w:color w:val="000000" w:themeColor="text1"/>
                <w:sz w:val="24"/>
                <w:szCs w:val="24"/>
                <w:highlight w:val="none"/>
                <w:lang w:eastAsia="zh-CN"/>
                <w14:textFill>
                  <w14:solidFill>
                    <w14:schemeClr w14:val="tx1"/>
                  </w14:solidFill>
                </w14:textFill>
              </w:rPr>
              <w:t>承德燕能新能源科技有限公司</w:t>
            </w:r>
            <w:r>
              <w:rPr>
                <w:rFonts w:hint="eastAsia" w:ascii="Times New Roman"/>
                <w:snapToGrid w:val="0"/>
                <w:color w:val="000000" w:themeColor="text1"/>
                <w:sz w:val="24"/>
                <w:szCs w:val="24"/>
                <w:highlight w:val="none"/>
                <w14:textFill>
                  <w14:solidFill>
                    <w14:schemeClr w14:val="tx1"/>
                  </w14:solidFill>
                </w14:textFill>
              </w:rPr>
              <w:t>拟投资</w:t>
            </w:r>
            <w:r>
              <w:rPr>
                <w:rFonts w:hint="eastAsia" w:ascii="Times New Roman"/>
                <w:snapToGrid w:val="0"/>
                <w:color w:val="000000" w:themeColor="text1"/>
                <w:sz w:val="24"/>
                <w:szCs w:val="24"/>
                <w:highlight w:val="none"/>
                <w:lang w:val="en-US" w:eastAsia="zh-CN"/>
                <w14:textFill>
                  <w14:solidFill>
                    <w14:schemeClr w14:val="tx1"/>
                  </w14:solidFill>
                </w14:textFill>
              </w:rPr>
              <w:t>65252.37</w:t>
            </w:r>
            <w:r>
              <w:rPr>
                <w:rFonts w:hint="eastAsia" w:ascii="Times New Roman"/>
                <w:snapToGrid w:val="0"/>
                <w:color w:val="000000" w:themeColor="text1"/>
                <w:sz w:val="24"/>
                <w:szCs w:val="24"/>
                <w:highlight w:val="none"/>
                <w14:textFill>
                  <w14:solidFill>
                    <w14:schemeClr w14:val="tx1"/>
                  </w14:solidFill>
                </w14:textFill>
              </w:rPr>
              <w:t>万元，建设承德燕能宝石山风电场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w:t>
            </w:r>
            <w:r>
              <w:rPr>
                <w:rFonts w:hint="eastAsia" w:ascii="Times New Roman"/>
                <w:snapToGrid w:val="0"/>
                <w:color w:val="000000" w:themeColor="text1"/>
                <w:sz w:val="24"/>
                <w:szCs w:val="24"/>
                <w:highlight w:val="none"/>
                <w14:textFill>
                  <w14:solidFill>
                    <w14:schemeClr w14:val="tx1"/>
                  </w14:solidFill>
                </w14:textFill>
              </w:rPr>
              <w:t>。该项目已编制环境影响报告表</w:t>
            </w:r>
            <w:r>
              <w:rPr>
                <w:rFonts w:hint="eastAsia" w:ascii="Times New Roman"/>
                <w:snapToGrid w:val="0"/>
                <w:color w:val="000000" w:themeColor="text1"/>
                <w:sz w:val="24"/>
                <w:szCs w:val="24"/>
                <w:highlight w:val="none"/>
                <w:lang w:eastAsia="zh-CN"/>
                <w14:textFill>
                  <w14:solidFill>
                    <w14:schemeClr w14:val="tx1"/>
                  </w14:solidFill>
                </w14:textFill>
              </w:rPr>
              <w:t>（</w:t>
            </w:r>
            <w:r>
              <w:rPr>
                <w:rFonts w:hint="eastAsia" w:ascii="Times New Roman"/>
                <w:snapToGrid w:val="0"/>
                <w:color w:val="000000" w:themeColor="text1"/>
                <w:sz w:val="24"/>
                <w:szCs w:val="24"/>
                <w:highlight w:val="none"/>
                <w:lang w:val="en-US" w:eastAsia="zh-CN"/>
                <w14:textFill>
                  <w14:solidFill>
                    <w14:schemeClr w14:val="tx1"/>
                  </w14:solidFill>
                </w14:textFill>
              </w:rPr>
              <w:t>不包含电磁辐射环评</w:t>
            </w:r>
            <w:r>
              <w:rPr>
                <w:rFonts w:hint="eastAsia" w:ascii="Times New Roman"/>
                <w:snapToGrid w:val="0"/>
                <w:color w:val="000000" w:themeColor="text1"/>
                <w:sz w:val="24"/>
                <w:szCs w:val="24"/>
                <w:highlight w:val="none"/>
                <w:lang w:eastAsia="zh-CN"/>
                <w14:textFill>
                  <w14:solidFill>
                    <w14:schemeClr w14:val="tx1"/>
                  </w14:solidFill>
                </w14:textFill>
              </w:rPr>
              <w:t>）</w:t>
            </w:r>
            <w:r>
              <w:rPr>
                <w:rFonts w:hint="eastAsia" w:ascii="Times New Roman"/>
                <w:snapToGrid w:val="0"/>
                <w:color w:val="000000" w:themeColor="text1"/>
                <w:sz w:val="24"/>
                <w:szCs w:val="24"/>
                <w:highlight w:val="none"/>
                <w14:textFill>
                  <w14:solidFill>
                    <w14:schemeClr w14:val="tx1"/>
                  </w14:solidFill>
                </w14:textFill>
              </w:rPr>
              <w:t>，并于2023年</w:t>
            </w:r>
            <w:r>
              <w:rPr>
                <w:rFonts w:hint="eastAsia" w:ascii="Times New Roman"/>
                <w:snapToGrid w:val="0"/>
                <w:color w:val="000000" w:themeColor="text1"/>
                <w:sz w:val="24"/>
                <w:szCs w:val="24"/>
                <w:highlight w:val="none"/>
                <w:lang w:val="en-US" w:eastAsia="zh-CN"/>
                <w14:textFill>
                  <w14:solidFill>
                    <w14:schemeClr w14:val="tx1"/>
                  </w14:solidFill>
                </w14:textFill>
              </w:rPr>
              <w:t>9</w:t>
            </w:r>
            <w:r>
              <w:rPr>
                <w:rFonts w:hint="eastAsia" w:ascii="Times New Roman"/>
                <w:snapToGrid w:val="0"/>
                <w:color w:val="000000" w:themeColor="text1"/>
                <w:sz w:val="24"/>
                <w:szCs w:val="24"/>
                <w:highlight w:val="none"/>
                <w14:textFill>
                  <w14:solidFill>
                    <w14:schemeClr w14:val="tx1"/>
                  </w14:solidFill>
                </w14:textFill>
              </w:rPr>
              <w:t>月1日取得承德市生态环境局</w:t>
            </w:r>
            <w:r>
              <w:rPr>
                <w:rFonts w:hint="eastAsia" w:ascii="Times New Roman"/>
                <w:snapToGrid w:val="0"/>
                <w:color w:val="000000" w:themeColor="text1"/>
                <w:sz w:val="24"/>
                <w:szCs w:val="24"/>
                <w:highlight w:val="none"/>
                <w:lang w:eastAsia="zh-CN"/>
                <w14:textFill>
                  <w14:solidFill>
                    <w14:schemeClr w14:val="tx1"/>
                  </w14:solidFill>
                </w14:textFill>
              </w:rPr>
              <w:t>围场满族蒙古族自治县</w:t>
            </w:r>
            <w:r>
              <w:rPr>
                <w:rFonts w:hint="eastAsia" w:ascii="Times New Roman"/>
                <w:snapToGrid w:val="0"/>
                <w:color w:val="000000" w:themeColor="text1"/>
                <w:sz w:val="24"/>
                <w:szCs w:val="24"/>
                <w:highlight w:val="none"/>
                <w14:textFill>
                  <w14:solidFill>
                    <w14:schemeClr w14:val="tx1"/>
                  </w14:solidFill>
                </w14:textFill>
              </w:rPr>
              <w:t>分局的审批意见（</w:t>
            </w:r>
            <w:r>
              <w:rPr>
                <w:rFonts w:hint="eastAsia" w:ascii="Times New Roman"/>
                <w:snapToGrid w:val="0"/>
                <w:color w:val="000000" w:themeColor="text1"/>
                <w:sz w:val="24"/>
                <w:szCs w:val="24"/>
                <w:highlight w:val="none"/>
                <w:lang w:val="en-US" w:eastAsia="zh-CN"/>
                <w14:textFill>
                  <w14:solidFill>
                    <w14:schemeClr w14:val="tx1"/>
                  </w14:solidFill>
                </w14:textFill>
              </w:rPr>
              <w:t>围环评</w:t>
            </w:r>
            <w:r>
              <w:rPr>
                <w:rFonts w:hint="eastAsia" w:ascii="Times New Roman"/>
                <w:snapToGrid w:val="0"/>
                <w:color w:val="000000" w:themeColor="text1"/>
                <w:sz w:val="24"/>
                <w:szCs w:val="24"/>
                <w:highlight w:val="none"/>
                <w14:textFill>
                  <w14:solidFill>
                    <w14:schemeClr w14:val="tx1"/>
                  </w14:solidFill>
                </w14:textFill>
              </w:rPr>
              <w:t>[2023]2</w:t>
            </w:r>
            <w:r>
              <w:rPr>
                <w:rFonts w:hint="eastAsia" w:ascii="Times New Roman"/>
                <w:snapToGrid w:val="0"/>
                <w:color w:val="000000" w:themeColor="text1"/>
                <w:sz w:val="24"/>
                <w:szCs w:val="24"/>
                <w:highlight w:val="none"/>
                <w:lang w:val="en-US" w:eastAsia="zh-CN"/>
                <w14:textFill>
                  <w14:solidFill>
                    <w14:schemeClr w14:val="tx1"/>
                  </w14:solidFill>
                </w14:textFill>
              </w:rPr>
              <w:t>8</w:t>
            </w:r>
            <w:r>
              <w:rPr>
                <w:rFonts w:hint="eastAsia" w:ascii="Times New Roman"/>
                <w:snapToGrid w:val="0"/>
                <w:color w:val="000000" w:themeColor="text1"/>
                <w:sz w:val="24"/>
                <w:szCs w:val="24"/>
                <w:highlight w:val="none"/>
                <w14:textFill>
                  <w14:solidFill>
                    <w14:schemeClr w14:val="tx1"/>
                  </w14:solidFill>
                </w14:textFill>
              </w:rPr>
              <w:t>号）。承德燕能宝石山风电场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w:t>
            </w:r>
            <w:r>
              <w:rPr>
                <w:rFonts w:hint="eastAsia" w:ascii="Times New Roman"/>
                <w:snapToGrid w:val="0"/>
                <w:color w:val="000000" w:themeColor="text1"/>
                <w:sz w:val="24"/>
                <w:szCs w:val="24"/>
                <w:highlight w:val="none"/>
                <w14:textFill>
                  <w14:solidFill>
                    <w14:schemeClr w14:val="tx1"/>
                  </w14:solidFill>
                </w14:textFill>
              </w:rPr>
              <w:t>占地面积1.88公顷，建筑面积1617.52m，项目规划装机容量为100MW，安装15台单机容量为5.6MW和3台单机容量为5.27MW的风力发电机组，建设集电线路25.2km，建设一座220kV升压站及附属配套设施，升压站占地面积1.16公顷，升压站主变建设规模1</w:t>
            </w:r>
            <w:r>
              <w:rPr>
                <w:rFonts w:hint="eastAsia" w:ascii="Times New Roman"/>
                <w:snapToGrid w:val="0"/>
                <w:color w:val="000000" w:themeColor="text1"/>
                <w:sz w:val="24"/>
                <w:szCs w:val="24"/>
                <w:highlight w:val="none"/>
                <w:lang w:val="en-US" w:eastAsia="zh-CN"/>
                <w14:textFill>
                  <w14:solidFill>
                    <w14:schemeClr w14:val="tx1"/>
                  </w14:solidFill>
                </w14:textFill>
              </w:rPr>
              <w:t>×</w:t>
            </w:r>
            <w:r>
              <w:rPr>
                <w:rFonts w:hint="eastAsia" w:ascii="Times New Roman"/>
                <w:snapToGrid w:val="0"/>
                <w:color w:val="000000" w:themeColor="text1"/>
                <w:sz w:val="24"/>
                <w:szCs w:val="24"/>
                <w:highlight w:val="none"/>
                <w14:textFill>
                  <w14:solidFill>
                    <w14:schemeClr w14:val="tx1"/>
                  </w14:solidFill>
                </w14:textFill>
              </w:rPr>
              <w:t>100MVA，配套建设15MW/60MWh储能装置。</w:t>
            </w:r>
          </w:p>
          <w:p>
            <w:pPr>
              <w:snapToGrid w:val="0"/>
              <w:spacing w:line="360" w:lineRule="auto"/>
              <w:ind w:firstLine="480" w:firstLineChars="200"/>
              <w:rPr>
                <w:rFonts w:hint="eastAsia" w:ascii="Times New Roman"/>
                <w:snapToGrid w:val="0"/>
                <w:color w:val="000000" w:themeColor="text1"/>
                <w:sz w:val="24"/>
                <w:szCs w:val="24"/>
                <w:highlight w:val="none"/>
                <w:lang w:val="en-US" w:eastAsia="zh-CN"/>
                <w14:textFill>
                  <w14:solidFill>
                    <w14:schemeClr w14:val="tx1"/>
                  </w14:solidFill>
                </w14:textFill>
              </w:rPr>
            </w:pPr>
            <w:r>
              <w:rPr>
                <w:rFonts w:hint="eastAsia" w:ascii="Times New Roman"/>
                <w:snapToGrid w:val="0"/>
                <w:color w:val="000000" w:themeColor="text1"/>
                <w:sz w:val="24"/>
                <w:szCs w:val="24"/>
                <w:highlight w:val="none"/>
                <w:lang w:val="en-US" w:eastAsia="zh-CN"/>
                <w14:textFill>
                  <w14:solidFill>
                    <w14:schemeClr w14:val="tx1"/>
                  </w14:solidFill>
                </w14:textFill>
              </w:rPr>
              <w:t>本项目为</w:t>
            </w:r>
            <w:r>
              <w:rPr>
                <w:rFonts w:hint="eastAsia" w:ascii="Times New Roman"/>
                <w:snapToGrid w:val="0"/>
                <w:color w:val="000000" w:themeColor="text1"/>
                <w:sz w:val="24"/>
                <w:szCs w:val="24"/>
                <w:highlight w:val="none"/>
                <w14:textFill>
                  <w14:solidFill>
                    <w14:schemeClr w14:val="tx1"/>
                  </w14:solidFill>
                </w14:textFill>
              </w:rPr>
              <w:t>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项目的</w:t>
            </w:r>
            <w:r>
              <w:rPr>
                <w:rFonts w:hint="eastAsia" w:ascii="Times New Roman"/>
                <w:snapToGrid w:val="0"/>
                <w:color w:val="000000" w:themeColor="text1"/>
                <w:sz w:val="24"/>
                <w:szCs w:val="24"/>
                <w:highlight w:val="none"/>
                <w14:textFill>
                  <w14:solidFill>
                    <w14:schemeClr w14:val="tx1"/>
                  </w14:solidFill>
                </w14:textFill>
              </w:rPr>
              <w:t>220kV</w:t>
            </w:r>
            <w:r>
              <w:rPr>
                <w:rFonts w:hint="eastAsia" w:ascii="Times New Roman"/>
                <w:snapToGrid w:val="0"/>
                <w:color w:val="000000" w:themeColor="text1"/>
                <w:sz w:val="24"/>
                <w:szCs w:val="24"/>
                <w:highlight w:val="none"/>
                <w:lang w:val="en-US" w:eastAsia="zh-CN"/>
                <w14:textFill>
                  <w14:solidFill>
                    <w14:schemeClr w14:val="tx1"/>
                  </w14:solidFill>
                </w14:textFill>
              </w:rPr>
              <w:t>升压站工程。针对</w:t>
            </w:r>
            <w:r>
              <w:rPr>
                <w:rFonts w:hint="eastAsia" w:ascii="Times New Roman"/>
                <w:snapToGrid w:val="0"/>
                <w:color w:val="000000" w:themeColor="text1"/>
                <w:sz w:val="24"/>
                <w:szCs w:val="24"/>
                <w:highlight w:val="none"/>
                <w14:textFill>
                  <w14:solidFill>
                    <w14:schemeClr w14:val="tx1"/>
                  </w14:solidFill>
                </w14:textFill>
              </w:rPr>
              <w:t>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项目配套建设的220kV升压站辐射开展环境影响评价，为</w:t>
            </w:r>
            <w:r>
              <w:rPr>
                <w:rFonts w:hint="eastAsia" w:ascii="Times New Roman"/>
                <w:snapToGrid w:val="0"/>
                <w:color w:val="000000" w:themeColor="text1"/>
                <w:sz w:val="24"/>
                <w:szCs w:val="24"/>
                <w:highlight w:val="none"/>
                <w14:textFill>
                  <w14:solidFill>
                    <w14:schemeClr w14:val="tx1"/>
                  </w14:solidFill>
                </w14:textFill>
              </w:rPr>
              <w:t>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项目环评的补充。</w:t>
            </w:r>
          </w:p>
          <w:p>
            <w:pPr>
              <w:snapToGrid w:val="0"/>
              <w:spacing w:line="360" w:lineRule="auto"/>
              <w:ind w:firstLine="480" w:firstLineChars="200"/>
              <w:rPr>
                <w:rFonts w:hint="default" w:ascii="Times New Roman"/>
                <w:snapToGrid w:val="0"/>
                <w:color w:val="000000" w:themeColor="text1"/>
                <w:sz w:val="24"/>
                <w:szCs w:val="24"/>
                <w:highlight w:val="none"/>
                <w:lang w:val="en-US" w:eastAsia="zh-CN"/>
                <w14:textFill>
                  <w14:solidFill>
                    <w14:schemeClr w14:val="tx1"/>
                  </w14:solidFill>
                </w14:textFill>
              </w:rPr>
            </w:pPr>
            <w:r>
              <w:rPr>
                <w:rFonts w:hint="eastAsia" w:ascii="Times New Roman"/>
                <w:snapToGrid w:val="0"/>
                <w:color w:val="000000" w:themeColor="text1"/>
                <w:sz w:val="24"/>
                <w:szCs w:val="24"/>
                <w:highlight w:val="none"/>
                <w:lang w:val="en-US" w:eastAsia="zh-CN"/>
                <w14:textFill>
                  <w14:solidFill>
                    <w14:schemeClr w14:val="tx1"/>
                  </w14:solidFill>
                </w14:textFill>
              </w:rPr>
              <w:t>本次为重大变动重新报批项目，承德燕能新能源科技有限公司委托河北碧洁环保科技有限公司编制了该</w:t>
            </w:r>
            <w:r>
              <w:rPr>
                <w:rFonts w:hint="eastAsia" w:ascii="Times New Roman"/>
                <w:snapToGrid w:val="0"/>
                <w:color w:val="000000" w:themeColor="text1"/>
                <w:sz w:val="24"/>
                <w:szCs w:val="24"/>
                <w:highlight w:val="none"/>
                <w14:textFill>
                  <w14:solidFill>
                    <w14:schemeClr w14:val="tx1"/>
                  </w14:solidFill>
                </w14:textFill>
              </w:rPr>
              <w:t>220kV</w:t>
            </w:r>
            <w:r>
              <w:rPr>
                <w:rFonts w:hint="eastAsia" w:ascii="Times New Roman"/>
                <w:snapToGrid w:val="0"/>
                <w:color w:val="000000" w:themeColor="text1"/>
                <w:sz w:val="24"/>
                <w:szCs w:val="24"/>
                <w:highlight w:val="none"/>
                <w:lang w:val="en-US" w:eastAsia="zh-CN"/>
                <w14:textFill>
                  <w14:solidFill>
                    <w14:schemeClr w14:val="tx1"/>
                  </w14:solidFill>
                </w14:textFill>
              </w:rPr>
              <w:t>升压站工程环境影响报告表，并于2023年10月19日取得承德市行政审批局批复（承审批</w:t>
            </w:r>
            <w:r>
              <w:rPr>
                <w:rFonts w:hint="eastAsia" w:ascii="Times New Roman"/>
                <w:snapToGrid w:val="0"/>
                <w:color w:val="000000" w:themeColor="text1"/>
                <w:sz w:val="24"/>
                <w:szCs w:val="24"/>
                <w:highlight w:val="none"/>
                <w14:textFill>
                  <w14:solidFill>
                    <w14:schemeClr w14:val="tx1"/>
                  </w14:solidFill>
                </w14:textFill>
              </w:rPr>
              <w:t>[2023]</w:t>
            </w:r>
            <w:r>
              <w:rPr>
                <w:rFonts w:hint="eastAsia" w:ascii="Times New Roman"/>
                <w:snapToGrid w:val="0"/>
                <w:color w:val="000000" w:themeColor="text1"/>
                <w:sz w:val="24"/>
                <w:szCs w:val="24"/>
                <w:highlight w:val="none"/>
                <w:lang w:val="en-US" w:eastAsia="zh-CN"/>
                <w14:textFill>
                  <w14:solidFill>
                    <w14:schemeClr w14:val="tx1"/>
                  </w14:solidFill>
                </w14:textFill>
              </w:rPr>
              <w:t>404</w:t>
            </w:r>
            <w:r>
              <w:rPr>
                <w:rFonts w:hint="eastAsia" w:ascii="Times New Roman"/>
                <w:snapToGrid w:val="0"/>
                <w:color w:val="000000" w:themeColor="text1"/>
                <w:sz w:val="24"/>
                <w:szCs w:val="24"/>
                <w:highlight w:val="none"/>
                <w14:textFill>
                  <w14:solidFill>
                    <w14:schemeClr w14:val="tx1"/>
                  </w14:solidFill>
                </w14:textFill>
              </w:rPr>
              <w:t>号</w:t>
            </w:r>
            <w:r>
              <w:rPr>
                <w:rFonts w:hint="eastAsia" w:ascii="Times New Roman"/>
                <w:snapToGrid w:val="0"/>
                <w:color w:val="000000" w:themeColor="text1"/>
                <w:sz w:val="24"/>
                <w:szCs w:val="24"/>
                <w:highlight w:val="none"/>
                <w:lang w:val="en-US" w:eastAsia="zh-CN"/>
                <w14:textFill>
                  <w14:solidFill>
                    <w14:schemeClr w14:val="tx1"/>
                  </w14:solidFill>
                </w14:textFill>
              </w:rPr>
              <w:t>）。批复后，由于升压站拟选址位置压占了围场县正在申报的硅砂整合区，承德燕能新能源科技有限公司重新对本升压站进行了选址，征求了相关部门对项目选址的意见。升压站选址发生变化后，距离已批复升压站站址最近距离约800m，根据《输变电建设项目重大变动清单（试行）》，属于重大变动，需重新报批环境影响评价文件。升压站原址未动工，未对环境造成不利影响，本次拟选址升压站位置现状为空地。</w:t>
            </w:r>
          </w:p>
          <w:p>
            <w:pPr>
              <w:spacing w:line="360" w:lineRule="auto"/>
              <w:ind w:firstLine="480" w:firstLineChars="200"/>
              <w:rPr>
                <w:rFonts w:hint="default" w:ascii="Times New Roman"/>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根据《承德市发展和改革委员会关于下达2021年市场化并网风电、光伏发电项目实施计划的通知》（承发改能源〔2022〕71号），承德燕能宝石山风电场已列入承德市市场化并网风电、光伏发电项目实施计划表，本项目针对承德燕能宝石山风电场项目配套建设的220kV升压站辐射开展环境影响评价，为承德燕能宝石山风电场项目环评的补充，项目的建设符合《承德市发展和改革委员会关于下达2021年市场化并网风电、光伏发电项目实施计划的通知》（承发改能源〔2022〕71号）要求。</w:t>
            </w:r>
          </w:p>
          <w:p>
            <w:pPr>
              <w:spacing w:line="360" w:lineRule="auto"/>
              <w:ind w:firstLine="480" w:firstLineChars="200"/>
              <w:rPr>
                <w:rFonts w:hint="eastAsia" w:ascii="Times New Roman"/>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2、接入系统方案</w:t>
            </w:r>
          </w:p>
          <w:p>
            <w:pPr>
              <w:spacing w:line="360" w:lineRule="auto"/>
              <w:ind w:firstLine="480" w:firstLineChars="200"/>
              <w:rPr>
                <w:rFonts w:hint="eastAsia" w:ascii="Times New Roman"/>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本项目不包含220kV送出线路工程，根据《国网北电力有限公司关于印发承德燕能宝石山风电场接入系统设计方案的通知》(冀北电发展[2023]613号)中的相关内容，接入系统方案如下：项目新建宝石山220千伏升压站，新建1台100兆伏安主变，电压等级220/35千伏。风电机组通过4回集电线路接入宝石山220千伏升压站主变低压侧，升压后通过宝石山220千伏升压站~德佑220千伏升压站~牌楼500千伏变电站的1回220千伏线路并网运行。</w:t>
            </w:r>
          </w:p>
          <w:p>
            <w:pPr>
              <w:spacing w:line="360" w:lineRule="auto"/>
              <w:ind w:firstLine="482" w:firstLineChars="200"/>
              <w:rPr>
                <w:rFonts w:ascii="Times New Roman"/>
                <w:b/>
                <w:color w:val="000000" w:themeColor="text1"/>
                <w:sz w:val="24"/>
                <w:szCs w:val="24"/>
                <w:highlight w:val="none"/>
                <w14:textFill>
                  <w14:solidFill>
                    <w14:schemeClr w14:val="tx1"/>
                  </w14:solidFill>
                </w14:textFill>
              </w:rPr>
            </w:pPr>
            <w:r>
              <w:rPr>
                <w:rFonts w:hint="eastAsia" w:ascii="Times New Roman"/>
                <w:b/>
                <w:color w:val="000000" w:themeColor="text1"/>
                <w:sz w:val="24"/>
                <w:szCs w:val="24"/>
                <w:highlight w:val="none"/>
                <w14:textFill>
                  <w14:solidFill>
                    <w14:schemeClr w14:val="tx1"/>
                  </w14:solidFill>
                </w14:textFill>
              </w:rPr>
              <w:t>二</w:t>
            </w:r>
            <w:r>
              <w:rPr>
                <w:rFonts w:ascii="Times New Roman"/>
                <w:b/>
                <w:color w:val="000000" w:themeColor="text1"/>
                <w:sz w:val="24"/>
                <w:szCs w:val="24"/>
                <w:highlight w:val="none"/>
                <w14:textFill>
                  <w14:solidFill>
                    <w14:schemeClr w14:val="tx1"/>
                  </w14:solidFill>
                </w14:textFill>
              </w:rPr>
              <w:t>、</w:t>
            </w:r>
            <w:r>
              <w:rPr>
                <w:rFonts w:hint="eastAsia" w:ascii="Times New Roman"/>
                <w:b/>
                <w:color w:val="000000" w:themeColor="text1"/>
                <w:sz w:val="24"/>
                <w:szCs w:val="24"/>
                <w:highlight w:val="none"/>
                <w14:textFill>
                  <w14:solidFill>
                    <w14:schemeClr w14:val="tx1"/>
                  </w14:solidFill>
                </w14:textFill>
              </w:rPr>
              <w:t>建设项目基本信息</w:t>
            </w:r>
          </w:p>
          <w:p>
            <w:pPr>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bookmarkStart w:id="11" w:name="_Hlk110004228"/>
            <w:r>
              <w:rPr>
                <w:rFonts w:hint="eastAsia" w:ascii="Times New Roman"/>
                <w:color w:val="000000" w:themeColor="text1"/>
                <w:sz w:val="24"/>
                <w:szCs w:val="24"/>
                <w:highlight w:val="none"/>
                <w14:textFill>
                  <w14:solidFill>
                    <w14:schemeClr w14:val="tx1"/>
                  </w14:solidFill>
                </w14:textFill>
              </w:rPr>
              <w:t>1、</w:t>
            </w:r>
            <w:r>
              <w:rPr>
                <w:rFonts w:ascii="Times New Roman"/>
                <w:color w:val="000000" w:themeColor="text1"/>
                <w:sz w:val="24"/>
                <w:szCs w:val="24"/>
                <w:highlight w:val="none"/>
                <w14:textFill>
                  <w14:solidFill>
                    <w14:schemeClr w14:val="tx1"/>
                  </w14:solidFill>
                </w14:textFill>
              </w:rPr>
              <w:t>工程名称：</w:t>
            </w:r>
            <w:r>
              <w:rPr>
                <w:rFonts w:hint="eastAsia" w:ascii="Times New Roman"/>
                <w:color w:val="000000" w:themeColor="text1"/>
                <w:sz w:val="24"/>
                <w:szCs w:val="24"/>
                <w:highlight w:val="none"/>
                <w:lang w:eastAsia="zh-CN"/>
                <w14:textFill>
                  <w14:solidFill>
                    <w14:schemeClr w14:val="tx1"/>
                  </w14:solidFill>
                </w14:textFill>
              </w:rPr>
              <w:t>承德燕能宝石山风电场项目220kV升压站工程（变更）</w:t>
            </w:r>
          </w:p>
          <w:p>
            <w:pPr>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建设单位：</w:t>
            </w:r>
            <w:r>
              <w:rPr>
                <w:rFonts w:hint="eastAsia" w:ascii="Times New Roman"/>
                <w:color w:val="000000" w:themeColor="text1"/>
                <w:sz w:val="24"/>
                <w:szCs w:val="24"/>
                <w:highlight w:val="none"/>
                <w:lang w:eastAsia="zh-CN"/>
                <w14:textFill>
                  <w14:solidFill>
                    <w14:schemeClr w14:val="tx1"/>
                  </w14:solidFill>
                </w14:textFill>
              </w:rPr>
              <w:t>承德燕能新能源科技有限公司</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建设性质：新建</w:t>
            </w:r>
          </w:p>
          <w:p>
            <w:pPr>
              <w:spacing w:line="360" w:lineRule="auto"/>
              <w:ind w:firstLine="480" w:firstLineChars="200"/>
              <w:rPr>
                <w:rFonts w:ascii="Times New Roman"/>
                <w:bCs/>
                <w:color w:val="000000" w:themeColor="text1"/>
                <w:sz w:val="24"/>
                <w:szCs w:val="24"/>
                <w:highlight w:val="none"/>
                <w14:textFill>
                  <w14:solidFill>
                    <w14:schemeClr w14:val="tx1"/>
                  </w14:solidFill>
                </w14:textFill>
              </w:rPr>
            </w:pPr>
            <w:r>
              <w:rPr>
                <w:rFonts w:hint="eastAsia" w:ascii="Times New Roman"/>
                <w:bCs/>
                <w:color w:val="000000" w:themeColor="text1"/>
                <w:sz w:val="24"/>
                <w:szCs w:val="24"/>
                <w:highlight w:val="none"/>
                <w14:textFill>
                  <w14:solidFill>
                    <w14:schemeClr w14:val="tx1"/>
                  </w14:solidFill>
                </w14:textFill>
              </w:rPr>
              <w:t>4、</w:t>
            </w:r>
            <w:r>
              <w:rPr>
                <w:rFonts w:ascii="Times New Roman"/>
                <w:bCs/>
                <w:color w:val="000000" w:themeColor="text1"/>
                <w:sz w:val="24"/>
                <w:szCs w:val="24"/>
                <w:highlight w:val="none"/>
                <w14:textFill>
                  <w14:solidFill>
                    <w14:schemeClr w14:val="tx1"/>
                  </w14:solidFill>
                </w14:textFill>
              </w:rPr>
              <w:t>工程内容及规模</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eastAsia" w:ascii="Times New Roman"/>
                <w:color w:val="000000" w:themeColor="text1"/>
                <w:sz w:val="24"/>
                <w:szCs w:val="24"/>
                <w:highlight w:val="none"/>
                <w:lang w:bidi="ar"/>
                <w14:textFill>
                  <w14:solidFill>
                    <w14:schemeClr w14:val="tx1"/>
                  </w14:solidFill>
                </w14:textFill>
              </w:rPr>
            </w:pPr>
            <w:r>
              <w:rPr>
                <w:rFonts w:hint="eastAsia" w:ascii="Times New Roman"/>
                <w:snapToGrid w:val="0"/>
                <w:color w:val="000000" w:themeColor="text1"/>
                <w:sz w:val="24"/>
                <w:szCs w:val="24"/>
                <w:highlight w:val="none"/>
                <w:lang w:val="en-US" w:eastAsia="zh-CN"/>
                <w14:textFill>
                  <w14:solidFill>
                    <w14:schemeClr w14:val="tx1"/>
                  </w14:solidFill>
                </w14:textFill>
              </w:rPr>
              <w:t>本项目</w:t>
            </w:r>
            <w:r>
              <w:rPr>
                <w:rFonts w:hint="eastAsia" w:ascii="Times New Roman"/>
                <w:snapToGrid w:val="0"/>
                <w:color w:val="000000" w:themeColor="text1"/>
                <w:sz w:val="24"/>
                <w:szCs w:val="24"/>
                <w:highlight w:val="none"/>
                <w14:textFill>
                  <w14:solidFill>
                    <w14:schemeClr w14:val="tx1"/>
                  </w14:solidFill>
                </w14:textFill>
              </w:rPr>
              <w:t>建设一座220KV升压站，</w:t>
            </w:r>
            <w:r>
              <w:rPr>
                <w:rFonts w:hint="eastAsia" w:ascii="Times New Roman"/>
                <w:snapToGrid w:val="0"/>
                <w:color w:val="000000" w:themeColor="text1"/>
                <w:sz w:val="24"/>
                <w:szCs w:val="24"/>
                <w:highlight w:val="none"/>
                <w:lang w:val="en-US" w:eastAsia="zh-CN"/>
                <w14:textFill>
                  <w14:solidFill>
                    <w14:schemeClr w14:val="tx1"/>
                  </w14:solidFill>
                </w14:textFill>
              </w:rPr>
              <w:t>位于风电场中间偏西区域，</w:t>
            </w:r>
            <w:r>
              <w:rPr>
                <w:rFonts w:hint="eastAsia" w:ascii="Times New Roman"/>
                <w:color w:val="000000" w:themeColor="text1"/>
                <w:sz w:val="24"/>
                <w:szCs w:val="24"/>
                <w:highlight w:val="none"/>
                <w:lang w:bidi="ar"/>
                <w14:textFill>
                  <w14:solidFill>
                    <w14:schemeClr w14:val="tx1"/>
                  </w14:solidFill>
                </w14:textFill>
              </w:rPr>
              <w:t>站址中心位置坐标为东经</w:t>
            </w:r>
            <w:r>
              <w:rPr>
                <w:rFonts w:hint="default" w:ascii="Times New Roman" w:hAnsi="Times New Roman" w:cs="Times New Roman"/>
                <w:color w:val="000000" w:themeColor="text1"/>
                <w:sz w:val="24"/>
                <w:szCs w:val="24"/>
                <w:highlight w:val="none"/>
                <w:lang w:bidi="ar"/>
                <w14:textFill>
                  <w14:solidFill>
                    <w14:schemeClr w14:val="tx1"/>
                  </w14:solidFill>
                </w14:textFill>
              </w:rPr>
              <w:t>117°49′37.702″，北纬41°55′24.398″</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z w:val="24"/>
                <w:szCs w:val="24"/>
                <w:highlight w:val="none"/>
                <w:lang w:val="en-US" w:eastAsia="zh-CN" w:bidi="ar"/>
                <w14:textFill>
                  <w14:solidFill>
                    <w14:schemeClr w14:val="tx1"/>
                  </w14:solidFill>
                </w14:textFill>
              </w:rPr>
              <w:t>升压站内配套</w:t>
            </w:r>
            <w:r>
              <w:rPr>
                <w:rFonts w:hint="eastAsia" w:ascii="Times New Roman"/>
                <w:snapToGrid w:val="0"/>
                <w:color w:val="000000" w:themeColor="text1"/>
                <w:sz w:val="24"/>
                <w:szCs w:val="24"/>
                <w:highlight w:val="none"/>
                <w:lang w:val="en-US" w:eastAsia="zh-CN"/>
                <w14:textFill>
                  <w14:solidFill>
                    <w14:schemeClr w14:val="tx1"/>
                  </w14:solidFill>
                </w14:textFill>
              </w:rPr>
              <w:t>生活区</w:t>
            </w:r>
            <w:r>
              <w:rPr>
                <w:rFonts w:hint="eastAsia" w:ascii="Times New Roman"/>
                <w:snapToGrid w:val="0"/>
                <w:color w:val="000000" w:themeColor="text1"/>
                <w:sz w:val="24"/>
                <w:szCs w:val="24"/>
                <w:highlight w:val="none"/>
                <w:lang w:eastAsia="zh-CN"/>
                <w14:textFill>
                  <w14:solidFill>
                    <w14:schemeClr w14:val="tx1"/>
                  </w14:solidFill>
                </w14:textFill>
              </w:rPr>
              <w:t>、</w:t>
            </w:r>
            <w:r>
              <w:rPr>
                <w:rFonts w:hint="eastAsia" w:ascii="Times New Roman"/>
                <w:snapToGrid w:val="0"/>
                <w:color w:val="000000" w:themeColor="text1"/>
                <w:sz w:val="24"/>
                <w:szCs w:val="24"/>
                <w:highlight w:val="none"/>
                <w:lang w:val="en-US" w:eastAsia="zh-CN"/>
                <w14:textFill>
                  <w14:solidFill>
                    <w14:schemeClr w14:val="tx1"/>
                  </w14:solidFill>
                </w14:textFill>
              </w:rPr>
              <w:t>生产区</w:t>
            </w:r>
            <w:r>
              <w:rPr>
                <w:rFonts w:hint="eastAsia" w:ascii="Times New Roman"/>
                <w:snapToGrid w:val="0"/>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bidi="ar"/>
                <w14:textFill>
                  <w14:solidFill>
                    <w14:schemeClr w14:val="tx1"/>
                  </w14:solidFill>
                </w14:textFill>
              </w:rPr>
              <w:t>升压站围墙内占地面积约</w:t>
            </w:r>
            <w:r>
              <w:rPr>
                <w:rFonts w:hint="eastAsia" w:ascii="Times New Roman"/>
                <w:bCs/>
                <w:color w:val="000000" w:themeColor="text1"/>
                <w:sz w:val="24"/>
                <w:szCs w:val="24"/>
                <w:highlight w:val="none"/>
                <w:lang w:val="en-US" w:eastAsia="zh-CN"/>
                <w14:textFill>
                  <w14:solidFill>
                    <w14:schemeClr w14:val="tx1"/>
                  </w14:solidFill>
                </w14:textFill>
              </w:rPr>
              <w:t>10716</w:t>
            </w:r>
            <w:r>
              <w:rPr>
                <w:rFonts w:hint="eastAsia" w:ascii="Times New Roman"/>
                <w:color w:val="000000" w:themeColor="text1"/>
                <w:sz w:val="24"/>
                <w:szCs w:val="24"/>
                <w:highlight w:val="none"/>
                <w:lang w:bidi="ar"/>
                <w14:textFill>
                  <w14:solidFill>
                    <w14:schemeClr w14:val="tx1"/>
                  </w14:solidFill>
                </w14:textFill>
              </w:rPr>
              <w:t>m</w:t>
            </w:r>
            <w:r>
              <w:rPr>
                <w:rFonts w:hint="eastAsia" w:ascii="Times New Roman"/>
                <w:color w:val="000000" w:themeColor="text1"/>
                <w:sz w:val="24"/>
                <w:szCs w:val="24"/>
                <w:highlight w:val="none"/>
                <w:vertAlign w:val="superscript"/>
                <w:lang w:bidi="ar"/>
                <w14:textFill>
                  <w14:solidFill>
                    <w14:schemeClr w14:val="tx1"/>
                  </w14:solidFill>
                </w14:textFill>
              </w:rPr>
              <w:t>2</w:t>
            </w:r>
            <w:r>
              <w:rPr>
                <w:rFonts w:hint="eastAsia" w:ascii="Times New Roman"/>
                <w:color w:val="000000" w:themeColor="text1"/>
                <w:sz w:val="24"/>
                <w:szCs w:val="24"/>
                <w:highlight w:val="none"/>
                <w:lang w:bidi="ar"/>
                <w14:textFill>
                  <w14:solidFill>
                    <w14:schemeClr w14:val="tx1"/>
                  </w14:solidFill>
                </w14:textFill>
              </w:rPr>
              <w:t>。储能系统采用租赁方式，升压站内不考虑储能装置设备布置。</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本项目主要建设内容详见表2-1。</w:t>
            </w:r>
          </w:p>
          <w:p>
            <w:pPr>
              <w:jc w:val="center"/>
              <w:rPr>
                <w:rFonts w:ascii="Times New Roman"/>
                <w:b/>
                <w:bCs/>
                <w:color w:val="000000" w:themeColor="text1"/>
                <w:sz w:val="24"/>
                <w:szCs w:val="24"/>
                <w:highlight w:val="none"/>
                <w14:textFill>
                  <w14:solidFill>
                    <w14:schemeClr w14:val="tx1"/>
                  </w14:solidFill>
                </w14:textFill>
              </w:rPr>
            </w:pPr>
          </w:p>
          <w:p>
            <w:pPr>
              <w:jc w:val="center"/>
              <w:rPr>
                <w:rFonts w:ascii="Times New Roman"/>
                <w:b/>
                <w:bCs/>
                <w:color w:val="000000" w:themeColor="text1"/>
                <w:sz w:val="24"/>
                <w:szCs w:val="24"/>
                <w:highlight w:val="none"/>
                <w14:textFill>
                  <w14:solidFill>
                    <w14:schemeClr w14:val="tx1"/>
                  </w14:solidFill>
                </w14:textFill>
              </w:rPr>
            </w:pPr>
          </w:p>
          <w:p>
            <w:pPr>
              <w:jc w:val="center"/>
              <w:rPr>
                <w:rFonts w:ascii="Times New Roman"/>
                <w:b/>
                <w:bCs/>
                <w:color w:val="000000" w:themeColor="text1"/>
                <w:sz w:val="24"/>
                <w:szCs w:val="24"/>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表2-1  本</w:t>
            </w:r>
            <w:r>
              <w:rPr>
                <w:rFonts w:hint="eastAsia" w:ascii="Times New Roman"/>
                <w:b/>
                <w:bCs/>
                <w:color w:val="000000" w:themeColor="text1"/>
                <w:sz w:val="24"/>
                <w:szCs w:val="24"/>
                <w:highlight w:val="none"/>
                <w14:textFill>
                  <w14:solidFill>
                    <w14:schemeClr w14:val="tx1"/>
                  </w14:solidFill>
                </w14:textFill>
              </w:rPr>
              <w:t>工程建设组成一览表</w:t>
            </w:r>
          </w:p>
          <w:bookmarkEnd w:id="11"/>
          <w:tbl>
            <w:tblPr>
              <w:tblStyle w:val="54"/>
              <w:tblW w:w="485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112"/>
              <w:gridCol w:w="5149"/>
              <w:gridCol w:w="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6" w:type="pct"/>
                  <w:gridSpan w:val="2"/>
                  <w:tcBorders>
                    <w:tl2br w:val="nil"/>
                    <w:tr2bl w:val="nil"/>
                  </w:tcBorders>
                  <w:vAlign w:val="center"/>
                </w:tcPr>
                <w:p>
                  <w:pPr>
                    <w:pStyle w:val="2"/>
                    <w:ind w:firstLine="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分类</w:t>
                  </w:r>
                </w:p>
              </w:tc>
              <w:tc>
                <w:tcPr>
                  <w:tcW w:w="3349" w:type="pct"/>
                  <w:tcBorders>
                    <w:tl2br w:val="nil"/>
                    <w:tr2bl w:val="nil"/>
                  </w:tcBorders>
                  <w:vAlign w:val="center"/>
                </w:tcPr>
                <w:p>
                  <w:pPr>
                    <w:pStyle w:val="2"/>
                    <w:ind w:firstLine="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工程内容与参数</w:t>
                  </w:r>
                </w:p>
              </w:tc>
              <w:tc>
                <w:tcPr>
                  <w:tcW w:w="614" w:type="pct"/>
                  <w:tcBorders>
                    <w:tl2br w:val="nil"/>
                    <w:tr2bl w:val="nil"/>
                  </w:tcBorders>
                  <w:vAlign w:val="center"/>
                </w:tcPr>
                <w:p>
                  <w:pPr>
                    <w:pStyle w:val="2"/>
                    <w:ind w:firstLine="0"/>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主体工程</w:t>
                  </w:r>
                </w:p>
              </w:tc>
              <w:tc>
                <w:tcPr>
                  <w:tcW w:w="723" w:type="pct"/>
                  <w:tcBorders>
                    <w:tl2br w:val="nil"/>
                    <w:tr2bl w:val="nil"/>
                  </w:tcBorders>
                  <w:vAlign w:val="center"/>
                </w:tcPr>
                <w:p>
                  <w:pPr>
                    <w:pStyle w:val="2"/>
                    <w:ind w:firstLine="0"/>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升压站</w:t>
                  </w:r>
                </w:p>
              </w:tc>
              <w:tc>
                <w:tcPr>
                  <w:tcW w:w="3349" w:type="pct"/>
                  <w:tcBorders>
                    <w:tl2br w:val="nil"/>
                    <w:tr2bl w:val="nil"/>
                  </w:tcBorders>
                  <w:vAlign w:val="center"/>
                </w:tcPr>
                <w:p>
                  <w:pPr>
                    <w:widowControl w:val="0"/>
                    <w:autoSpaceDE w:val="0"/>
                    <w:autoSpaceDN w:val="0"/>
                    <w:adjustRightInd w:val="0"/>
                    <w:ind w:firstLine="0"/>
                    <w:jc w:val="left"/>
                    <w:textAlignment w:val="baseline"/>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“围环评[2023]28号”建设内容：新建一座220kV升压站，升压站主要分为</w:t>
                  </w:r>
                  <w:r>
                    <w:rPr>
                      <w:rFonts w:hint="eastAsia" w:ascii="Times New Roman" w:cs="Times New Roman"/>
                      <w:color w:val="000000" w:themeColor="text1"/>
                      <w:kern w:val="2"/>
                      <w:sz w:val="21"/>
                      <w:szCs w:val="21"/>
                      <w:highlight w:val="none"/>
                      <w:lang w:val="en-US" w:eastAsia="zh-CN" w:bidi="ar-SA"/>
                      <w14:textFill>
                        <w14:solidFill>
                          <w14:schemeClr w14:val="tx1"/>
                        </w14:solidFill>
                      </w14:textFill>
                    </w:rPr>
                    <w:t>两</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个区域。生活区主要布置：综合楼、综合水泵房及辅房、污水处理设施等；生产区主要布置：主变压器、SVG、接地变、GIS、35kV及站用电预制舱、二次舱等。升压站总占地面积11600m</w:t>
                  </w:r>
                  <w: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pPr>
                    <w:widowControl w:val="0"/>
                    <w:autoSpaceDE w:val="0"/>
                    <w:autoSpaceDN w:val="0"/>
                    <w:adjustRightInd w:val="0"/>
                    <w:ind w:firstLine="0"/>
                    <w:jc w:val="left"/>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实际建设：</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①主变设施：建设一台容量为100MVA的主变压器，</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选用</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浸三相双绕组有载调压自冷升压变压器，型号SZ18-100000/220，额定容量100MVA，额定电压230±8×1.25%/37kV，户外布置；②220kV配电装置：1回220kV线路出线，采用户内GIS配电装置；③35kV配电装置：出线4回，选用户内铠装型手车式交流金属封闭开关设备，采用1段单母线接线，35kV配电室预留FC滤波电容器位置。④无功补偿装置、接地变兼站变及10kV备变采用户外布置。</w:t>
                  </w:r>
                </w:p>
                <w:p>
                  <w:pPr>
                    <w:widowControl w:val="0"/>
                    <w:autoSpaceDE w:val="0"/>
                    <w:autoSpaceDN w:val="0"/>
                    <w:adjustRightInd w:val="0"/>
                    <w:ind w:firstLine="0" w:firstLineChars="0"/>
                    <w:jc w:val="left"/>
                    <w:textAlignment w:val="baseline"/>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升压站主要分为两个区域。生活区位于站区东侧，主要布置：综合楼、综合水泵房及辅房、污水处理设施等；生产区位于生活区西侧，主要布置：主变压器、SVG、接地变、G</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IS</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k</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V</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及站用电预制舱、二次舱等。升压站总占地面积11600m</w:t>
                  </w:r>
                  <w:r>
                    <w:rPr>
                      <w:rFonts w:hint="eastAsia"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tc>
              <w:tc>
                <w:tcPr>
                  <w:tcW w:w="614" w:type="pct"/>
                  <w:tcBorders>
                    <w:tl2br w:val="nil"/>
                    <w:tr2bl w:val="nil"/>
                  </w:tcBorders>
                  <w:vAlign w:val="center"/>
                </w:tcPr>
                <w:p>
                  <w:pPr>
                    <w:pStyle w:val="2"/>
                    <w:ind w:firstLine="0"/>
                    <w:jc w:val="center"/>
                    <w:rPr>
                      <w:rFonts w:hint="default"/>
                      <w:b/>
                      <w:bCs/>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升压站内布置有变动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储能站</w:t>
                  </w:r>
                </w:p>
              </w:tc>
              <w:tc>
                <w:tcPr>
                  <w:tcW w:w="3349" w:type="pct"/>
                  <w:tcBorders>
                    <w:tl2br w:val="nil"/>
                    <w:tr2bl w:val="nil"/>
                  </w:tcBorders>
                  <w:vAlign w:val="center"/>
                </w:tcPr>
                <w:p>
                  <w:pP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“围环评[2023]28号”建设内容：储能区位于电气区西侧，</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建设15MW/60MWh储能装置</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包含6套2.5MW/10MWh电池储能系统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w:t>
                  </w:r>
                </w:p>
                <w:p>
                  <w:pP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实际建设：</w:t>
                  </w:r>
                  <w:r>
                    <w:rPr>
                      <w:rFonts w:hint="eastAsia" w:ascii="宋体" w:hAnsi="Times New Roman" w:eastAsia="宋体" w:cs="Times New Roman"/>
                      <w:color w:val="000000" w:themeColor="text1"/>
                      <w:kern w:val="2"/>
                      <w:sz w:val="21"/>
                      <w:szCs w:val="21"/>
                      <w:highlight w:val="none"/>
                      <w14:textFill>
                        <w14:solidFill>
                          <w14:schemeClr w14:val="tx1"/>
                        </w14:solidFill>
                      </w14:textFill>
                    </w:rPr>
                    <w:t>以租赁形式为本项目配置</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15MW/60MWh</w:t>
                  </w:r>
                  <w:r>
                    <w:rPr>
                      <w:rFonts w:hint="eastAsia" w:ascii="宋体" w:hAnsi="Times New Roman" w:eastAsia="宋体" w:cs="Times New Roman"/>
                      <w:color w:val="000000" w:themeColor="text1"/>
                      <w:kern w:val="2"/>
                      <w:sz w:val="21"/>
                      <w:szCs w:val="21"/>
                      <w:highlight w:val="none"/>
                      <w14:textFill>
                        <w14:solidFill>
                          <w14:schemeClr w14:val="tx1"/>
                        </w14:solidFill>
                      </w14:textFill>
                    </w:rPr>
                    <w:t>储能系统</w:t>
                  </w:r>
                </w:p>
              </w:tc>
              <w:tc>
                <w:tcPr>
                  <w:tcW w:w="614" w:type="pct"/>
                  <w:tcBorders>
                    <w:tl2br w:val="nil"/>
                    <w:tr2bl w:val="nil"/>
                  </w:tcBorders>
                  <w:vAlign w:val="center"/>
                </w:tcPr>
                <w:p>
                  <w:pPr>
                    <w:pStyle w:val="2"/>
                    <w:ind w:firstLine="0"/>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有变动，升压站内不设储能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辅助工程</w:t>
                  </w: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综合</w:t>
                  </w:r>
                  <w:r>
                    <w:rPr>
                      <w:color w:val="000000" w:themeColor="text1"/>
                      <w:sz w:val="21"/>
                      <w:szCs w:val="21"/>
                      <w:highlight w:val="none"/>
                      <w14:textFill>
                        <w14:solidFill>
                          <w14:schemeClr w14:val="tx1"/>
                        </w14:solidFill>
                      </w14:textFill>
                    </w:rPr>
                    <w:t>楼</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为3层建筑，布置有风电发电场10人员工宿舍、会议室、办公室、通讯设备间、活动室、主控室、资料室、厨房、餐厅、卫生间、工具间、洗衣房等</w:t>
                  </w:r>
                </w:p>
              </w:tc>
              <w:tc>
                <w:tcPr>
                  <w:tcW w:w="614" w:type="pct"/>
                  <w:tcBorders>
                    <w:tl2br w:val="nil"/>
                    <w:tr2bl w:val="nil"/>
                  </w:tcBorders>
                  <w:vAlign w:val="center"/>
                </w:tcPr>
                <w:p>
                  <w:pPr>
                    <w:pStyle w:val="2"/>
                    <w:ind w:firstLine="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危废间</w:t>
                  </w:r>
                </w:p>
              </w:tc>
              <w:tc>
                <w:tcPr>
                  <w:tcW w:w="3349" w:type="pct"/>
                  <w:tcBorders>
                    <w:tl2br w:val="nil"/>
                    <w:tr2bl w:val="nil"/>
                  </w:tcBorders>
                  <w:vAlign w:val="center"/>
                </w:tcPr>
                <w:p>
                  <w:pPr>
                    <w:pStyle w:val="228"/>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升压站内东南角处设置1间42m</w:t>
                  </w:r>
                  <w:r>
                    <w:rPr>
                      <w:rFonts w:hint="eastAsia"/>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危废间</w:t>
                  </w:r>
                </w:p>
              </w:tc>
              <w:tc>
                <w:tcPr>
                  <w:tcW w:w="614" w:type="pct"/>
                  <w:tcBorders>
                    <w:tl2br w:val="nil"/>
                    <w:tr2bl w:val="nil"/>
                  </w:tcBorders>
                  <w:vAlign w:val="center"/>
                </w:tcPr>
                <w:p>
                  <w:pPr>
                    <w:pStyle w:val="228"/>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事故油池</w:t>
                  </w:r>
                </w:p>
              </w:tc>
              <w:tc>
                <w:tcPr>
                  <w:tcW w:w="3349" w:type="pct"/>
                  <w:tcBorders>
                    <w:tl2br w:val="nil"/>
                    <w:tr2bl w:val="nil"/>
                  </w:tcBorders>
                  <w:vAlign w:val="center"/>
                </w:tcPr>
                <w:p>
                  <w:pPr>
                    <w:pStyle w:val="228"/>
                    <w:jc w:val="left"/>
                    <w:rPr>
                      <w:rFonts w:hint="eastAsia"/>
                      <w:color w:val="000000" w:themeColor="text1"/>
                      <w:sz w:val="21"/>
                      <w:szCs w:val="21"/>
                      <w:highlight w:val="none"/>
                      <w:vertAlign w:val="baseline"/>
                      <w:lang w:eastAsia="zh-CN"/>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”建设内容：容积为</w:t>
                  </w:r>
                  <w:r>
                    <w:rPr>
                      <w:rFonts w:hint="eastAsia"/>
                      <w:color w:val="000000" w:themeColor="text1"/>
                      <w:sz w:val="21"/>
                      <w:szCs w:val="21"/>
                      <w:highlight w:val="none"/>
                      <w:lang w:val="en-US" w:eastAsia="zh-CN"/>
                      <w14:textFill>
                        <w14:solidFill>
                          <w14:schemeClr w14:val="tx1"/>
                        </w14:solidFill>
                      </w14:textFill>
                    </w:rPr>
                    <w:t>5</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vertAlign w:val="baseline"/>
                      <w:lang w:eastAsia="zh-CN"/>
                      <w14:textFill>
                        <w14:solidFill>
                          <w14:schemeClr w14:val="tx1"/>
                        </w14:solidFill>
                      </w14:textFill>
                    </w:rPr>
                    <w:t>；</w:t>
                  </w:r>
                </w:p>
                <w:p>
                  <w:pPr>
                    <w:pStyle w:val="228"/>
                    <w:jc w:val="left"/>
                    <w:rPr>
                      <w:rFonts w:hint="default" w:ascii="Times New Roman" w:hAnsi="Times New Roman" w:eastAsia="宋体" w:cs="Times New Roman"/>
                      <w:color w:val="000000" w:themeColor="text1"/>
                      <w:kern w:val="2"/>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vertAlign w:val="baseline"/>
                      <w:lang w:val="en-US" w:eastAsia="zh-CN"/>
                      <w14:textFill>
                        <w14:solidFill>
                          <w14:schemeClr w14:val="tx1"/>
                        </w14:solidFill>
                      </w14:textFill>
                    </w:rPr>
                    <w:t>实际建设：</w:t>
                  </w:r>
                  <w:r>
                    <w:rPr>
                      <w:color w:val="000000" w:themeColor="text1"/>
                      <w:sz w:val="21"/>
                      <w:szCs w:val="21"/>
                      <w:highlight w:val="none"/>
                      <w14:textFill>
                        <w14:solidFill>
                          <w14:schemeClr w14:val="tx1"/>
                        </w14:solidFill>
                      </w14:textFill>
                    </w:rPr>
                    <w:t>容积为</w:t>
                  </w:r>
                  <w:r>
                    <w:rPr>
                      <w:rFonts w:hint="eastAsia"/>
                      <w:color w:val="000000" w:themeColor="text1"/>
                      <w:sz w:val="21"/>
                      <w:szCs w:val="21"/>
                      <w:highlight w:val="none"/>
                      <w:lang w:val="en-US" w:eastAsia="zh-CN"/>
                      <w14:textFill>
                        <w14:solidFill>
                          <w14:schemeClr w14:val="tx1"/>
                        </w14:solidFill>
                      </w14:textFill>
                    </w:rPr>
                    <w:t>9</w:t>
                  </w:r>
                  <w:r>
                    <w:rPr>
                      <w:rFonts w:hint="eastAsia"/>
                      <w:color w:val="000000" w:themeColor="text1"/>
                      <w:sz w:val="21"/>
                      <w:szCs w:val="21"/>
                      <w:highlight w:val="none"/>
                      <w14:textFill>
                        <w14:solidFill>
                          <w14:schemeClr w14:val="tx1"/>
                        </w14:solidFill>
                      </w14:textFill>
                    </w:rPr>
                    <w:t>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3</w:t>
                  </w:r>
                </w:p>
              </w:tc>
              <w:tc>
                <w:tcPr>
                  <w:tcW w:w="614" w:type="pct"/>
                  <w:tcBorders>
                    <w:tl2br w:val="nil"/>
                    <w:tr2bl w:val="nil"/>
                  </w:tcBorders>
                  <w:vAlign w:val="center"/>
                </w:tcPr>
                <w:p>
                  <w:pPr>
                    <w:pStyle w:val="228"/>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有变动，容积加大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进站道路</w:t>
                  </w:r>
                </w:p>
              </w:tc>
              <w:tc>
                <w:tcPr>
                  <w:tcW w:w="3349" w:type="pct"/>
                  <w:tcBorders>
                    <w:tl2br w:val="nil"/>
                    <w:tr2bl w:val="nil"/>
                  </w:tcBorders>
                  <w:vAlign w:val="center"/>
                </w:tcPr>
                <w:p>
                  <w:pPr>
                    <w:pStyle w:val="228"/>
                    <w:jc w:val="left"/>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进站道路长度约200m</w:t>
                  </w:r>
                </w:p>
              </w:tc>
              <w:tc>
                <w:tcPr>
                  <w:tcW w:w="614" w:type="pct"/>
                  <w:tcBorders>
                    <w:tl2br w:val="nil"/>
                    <w:tr2bl w:val="nil"/>
                  </w:tcBorders>
                  <w:vAlign w:val="center"/>
                </w:tcPr>
                <w:p>
                  <w:pPr>
                    <w:pStyle w:val="228"/>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公用工程</w:t>
                  </w: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供</w:t>
                  </w:r>
                  <w:r>
                    <w:rPr>
                      <w:color w:val="000000" w:themeColor="text1"/>
                      <w:sz w:val="21"/>
                      <w:szCs w:val="21"/>
                      <w:highlight w:val="none"/>
                      <w14:textFill>
                        <w14:solidFill>
                          <w14:schemeClr w14:val="tx1"/>
                        </w14:solidFill>
                      </w14:textFill>
                    </w:rPr>
                    <w:t>水</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供水用水通过罐车从附近村庄拉运</w:t>
                  </w:r>
                </w:p>
              </w:tc>
              <w:tc>
                <w:tcPr>
                  <w:tcW w:w="614" w:type="pct"/>
                  <w:tcBorders>
                    <w:tl2br w:val="nil"/>
                    <w:tr2bl w:val="nil"/>
                  </w:tcBorders>
                  <w:vAlign w:val="center"/>
                </w:tcPr>
                <w:p>
                  <w:pPr>
                    <w:pStyle w:val="2"/>
                    <w:ind w:firstLine="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排水</w:t>
                  </w:r>
                </w:p>
              </w:tc>
              <w:tc>
                <w:tcPr>
                  <w:tcW w:w="3349" w:type="pct"/>
                  <w:tcBorders>
                    <w:tl2br w:val="nil"/>
                    <w:tr2bl w:val="nil"/>
                  </w:tcBorders>
                  <w:vAlign w:val="center"/>
                </w:tcPr>
                <w:p>
                  <w:pPr>
                    <w:pStyle w:val="2"/>
                    <w:ind w:firstLine="0"/>
                    <w:jc w:val="left"/>
                    <w:rPr>
                      <w:rFonts w:hint="eastAsia"/>
                      <w:color w:val="000000" w:themeColor="text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生活污水</w:t>
                  </w:r>
                  <w:r>
                    <w:rPr>
                      <w:rFonts w:hint="eastAsia"/>
                      <w:color w:val="000000" w:themeColor="text1"/>
                      <w:szCs w:val="21"/>
                      <w:highlight w:val="none"/>
                      <w14:textFill>
                        <w14:solidFill>
                          <w14:schemeClr w14:val="tx1"/>
                        </w14:solidFill>
                      </w14:textFill>
                    </w:rPr>
                    <w:t>经升压站</w:t>
                  </w:r>
                  <w:r>
                    <w:rPr>
                      <w:color w:val="000000" w:themeColor="text1"/>
                      <w:szCs w:val="21"/>
                      <w:highlight w:val="none"/>
                      <w14:textFill>
                        <w14:solidFill>
                          <w14:schemeClr w14:val="tx1"/>
                        </w14:solidFill>
                      </w14:textFill>
                    </w:rPr>
                    <w:t>化粪池</w:t>
                  </w:r>
                  <w:r>
                    <w:rPr>
                      <w:rFonts w:hint="eastAsia"/>
                      <w:color w:val="000000" w:themeColor="text1"/>
                      <w:szCs w:val="21"/>
                      <w:highlight w:val="none"/>
                      <w14:textFill>
                        <w14:solidFill>
                          <w14:schemeClr w14:val="tx1"/>
                        </w14:solidFill>
                      </w14:textFill>
                    </w:rPr>
                    <w:t>沉淀处理后</w:t>
                  </w:r>
                  <w:r>
                    <w:rPr>
                      <w:color w:val="000000" w:themeColor="text1"/>
                      <w:szCs w:val="21"/>
                      <w:highlight w:val="none"/>
                      <w14:textFill>
                        <w14:solidFill>
                          <w14:schemeClr w14:val="tx1"/>
                        </w14:solidFill>
                      </w14:textFill>
                    </w:rPr>
                    <w:t>定期清掏</w:t>
                  </w:r>
                  <w:r>
                    <w:rPr>
                      <w:rFonts w:hint="eastAsia"/>
                      <w:color w:val="000000" w:themeColor="text1"/>
                      <w:szCs w:val="21"/>
                      <w:highlight w:val="none"/>
                      <w:lang w:eastAsia="zh-CN"/>
                      <w14:textFill>
                        <w14:solidFill>
                          <w14:schemeClr w14:val="tx1"/>
                        </w14:solidFill>
                      </w14:textFill>
                    </w:rPr>
                    <w:t>。</w:t>
                  </w:r>
                </w:p>
                <w:p>
                  <w:pPr>
                    <w:pStyle w:val="2"/>
                    <w:ind w:firstLine="0"/>
                    <w:jc w:val="left"/>
                    <w:rPr>
                      <w:color w:val="000000" w:themeColor="text1"/>
                      <w:sz w:val="2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实际建设：食堂废水经隔油池处理，与生活污水经</w:t>
                  </w:r>
                  <w:r>
                    <w:rPr>
                      <w:rFonts w:hint="eastAsia"/>
                      <w:color w:val="000000" w:themeColor="text1"/>
                      <w:sz w:val="21"/>
                      <w:szCs w:val="21"/>
                      <w:highlight w:val="none"/>
                      <w:lang w:val="en-US" w:eastAsia="zh-CN"/>
                      <w14:textFill>
                        <w14:solidFill>
                          <w14:schemeClr w14:val="tx1"/>
                        </w14:solidFill>
                      </w14:textFill>
                    </w:rPr>
                    <w:t>一体化污水处理装置处理达标后送到清水池，再通过回用水泵回用于绿化，不外排</w:t>
                  </w:r>
                  <w:r>
                    <w:rPr>
                      <w:rFonts w:hint="eastAsia"/>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2"/>
                    <w:ind w:firstLine="0"/>
                    <w:jc w:val="center"/>
                    <w:rPr>
                      <w:rStyle w:val="219"/>
                      <w:rFonts w:hint="default" w:cs="Times New Roman"/>
                      <w:b/>
                      <w:bCs/>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优化生活污水处理措施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供电</w:t>
                  </w:r>
                </w:p>
              </w:tc>
              <w:tc>
                <w:tcPr>
                  <w:tcW w:w="3349" w:type="pct"/>
                  <w:tcBorders>
                    <w:tl2br w:val="nil"/>
                    <w:tr2bl w:val="nil"/>
                  </w:tcBorders>
                  <w:vAlign w:val="center"/>
                </w:tcPr>
                <w:p>
                  <w:pPr>
                    <w:pStyle w:val="2"/>
                    <w:ind w:firstLine="0"/>
                    <w:jc w:val="left"/>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施工期间电源由附近的电网以10kV电压等级引入，并在电站管理区设置降压变，该降压变按永临结合考虑，在施工结束可作为站用变使用。运营期，主电源由风电场内35kV母线引接，备用电源与施工期一致</w:t>
                  </w:r>
                  <w:r>
                    <w:rPr>
                      <w:rFonts w:hint="eastAsia"/>
                      <w:color w:val="000000" w:themeColor="text1"/>
                      <w:sz w:val="21"/>
                      <w:szCs w:val="21"/>
                      <w:highlight w:val="none"/>
                      <w:lang w:eastAsia="zh-CN"/>
                      <w14:textFill>
                        <w14:solidFill>
                          <w14:schemeClr w14:val="tx1"/>
                        </w14:solidFill>
                      </w14:textFill>
                    </w:rPr>
                    <w:t>。</w:t>
                  </w:r>
                </w:p>
              </w:tc>
              <w:tc>
                <w:tcPr>
                  <w:tcW w:w="614" w:type="pct"/>
                  <w:tcBorders>
                    <w:tl2br w:val="nil"/>
                    <w:tr2bl w:val="nil"/>
                  </w:tcBorders>
                  <w:vAlign w:val="center"/>
                </w:tcPr>
                <w:p>
                  <w:pPr>
                    <w:pStyle w:val="2"/>
                    <w:ind w:firstLine="0"/>
                    <w:jc w:val="center"/>
                    <w:rPr>
                      <w:rFonts w:hint="eastAsia"/>
                      <w:b/>
                      <w:bCs/>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消防</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为“围环评[2023]28号”建设内容：站区所有建筑内布置移动式灭火器，在户外主变附近配置推车式干粉灭火器，用于主变等带油设备的灭火。同时建设消防水池：有效容积为200m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，为矩形钢筋混凝土地下式结构</w:t>
                  </w:r>
                </w:p>
              </w:tc>
              <w:tc>
                <w:tcPr>
                  <w:tcW w:w="614" w:type="pct"/>
                  <w:tcBorders>
                    <w:tl2br w:val="nil"/>
                    <w:tr2bl w:val="nil"/>
                  </w:tcBorders>
                  <w:vAlign w:val="center"/>
                </w:tcPr>
                <w:p>
                  <w:pPr>
                    <w:pStyle w:val="2"/>
                    <w:ind w:firstLine="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供热</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”建设内容：本项目</w:t>
                  </w:r>
                  <w:r>
                    <w:rPr>
                      <w:rFonts w:hint="eastAsia"/>
                      <w:color w:val="000000" w:themeColor="text1"/>
                      <w:sz w:val="21"/>
                      <w:szCs w:val="21"/>
                      <w:highlight w:val="none"/>
                      <w:lang w:val="en-US" w:eastAsia="zh-CN"/>
                      <w14:textFill>
                        <w14:solidFill>
                          <w14:schemeClr w14:val="tx1"/>
                        </w14:solidFill>
                      </w14:textFill>
                    </w:rPr>
                    <w:t>供热</w:t>
                  </w:r>
                  <w:r>
                    <w:rPr>
                      <w:color w:val="000000" w:themeColor="text1"/>
                      <w:sz w:val="21"/>
                      <w:szCs w:val="21"/>
                      <w:highlight w:val="none"/>
                      <w14:textFill>
                        <w14:solidFill>
                          <w14:schemeClr w14:val="tx1"/>
                        </w14:solidFill>
                      </w14:textFill>
                    </w:rPr>
                    <w:t>采用</w:t>
                  </w:r>
                  <w:r>
                    <w:rPr>
                      <w:rFonts w:hint="eastAsia"/>
                      <w:color w:val="000000" w:themeColor="text1"/>
                      <w:sz w:val="21"/>
                      <w:szCs w:val="21"/>
                      <w:highlight w:val="none"/>
                      <w:lang w:val="en-US" w:eastAsia="zh-CN"/>
                      <w14:textFill>
                        <w14:solidFill>
                          <w14:schemeClr w14:val="tx1"/>
                        </w14:solidFill>
                      </w14:textFill>
                    </w:rPr>
                    <w:t>电取暖</w:t>
                  </w:r>
                  <w:r>
                    <w:rPr>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临时工程</w:t>
                  </w: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施工营地</w:t>
                  </w:r>
                </w:p>
              </w:tc>
              <w:tc>
                <w:tcPr>
                  <w:tcW w:w="3349" w:type="pct"/>
                  <w:tcBorders>
                    <w:tl2br w:val="nil"/>
                    <w:tr2bl w:val="nil"/>
                  </w:tcBorders>
                  <w:vAlign w:val="center"/>
                </w:tcPr>
                <w:p>
                  <w:pPr>
                    <w:pStyle w:val="2"/>
                    <w:ind w:firstLine="0"/>
                    <w:jc w:val="left"/>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lang w:val="en-US" w:eastAsia="zh-CN"/>
                      <w14:textFill>
                        <w14:solidFill>
                          <w14:schemeClr w14:val="tx1"/>
                        </w14:solidFill>
                      </w14:textFill>
                    </w:rPr>
                    <w:t>升压站施工期劳动力30人，不设施工人员食宿营地，施工生产用项目部办公室(临时板房)设置在升压站占地范围内</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施工场地</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14:textFill>
                        <w14:solidFill>
                          <w14:schemeClr w14:val="tx1"/>
                        </w14:solidFill>
                      </w14:textFill>
                    </w:rPr>
                    <w:t>升压站施工场地为升压站占地范围内，不新增施工占地</w:t>
                  </w:r>
                  <w:r>
                    <w:rPr>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渣土处置</w:t>
                  </w:r>
                </w:p>
              </w:tc>
              <w:tc>
                <w:tcPr>
                  <w:tcW w:w="3349" w:type="pct"/>
                  <w:tcBorders>
                    <w:tl2br w:val="nil"/>
                    <w:tr2bl w:val="nil"/>
                  </w:tcBorders>
                  <w:vAlign w:val="center"/>
                </w:tcPr>
                <w:p>
                  <w:pPr>
                    <w:pStyle w:val="2"/>
                    <w:ind w:firstLine="0"/>
                    <w:jc w:val="left"/>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rFonts w:hint="eastAsia"/>
                      <w:color w:val="000000" w:themeColor="text1"/>
                      <w:sz w:val="21"/>
                      <w:szCs w:val="21"/>
                      <w:highlight w:val="none"/>
                      <w:lang w:val="en-US" w:eastAsia="zh-CN"/>
                      <w14:textFill>
                        <w14:solidFill>
                          <w14:schemeClr w14:val="tx1"/>
                        </w14:solidFill>
                      </w14:textFill>
                    </w:rPr>
                    <w:t>未</w:t>
                  </w:r>
                  <w:r>
                    <w:rPr>
                      <w:rFonts w:hint="eastAsia" w:eastAsia="宋体"/>
                      <w:color w:val="000000" w:themeColor="text1"/>
                      <w:sz w:val="21"/>
                      <w:szCs w:val="21"/>
                      <w:highlight w:val="none"/>
                      <w:lang w:val="en-US" w:eastAsia="zh-CN"/>
                      <w14:textFill>
                        <w14:solidFill>
                          <w14:schemeClr w14:val="tx1"/>
                        </w14:solidFill>
                      </w14:textFill>
                    </w:rPr>
                    <w:t>专门设置渣场及弃土场</w:t>
                  </w:r>
                  <w:r>
                    <w:rPr>
                      <w:rFonts w:hint="eastAsia"/>
                      <w:color w:val="000000" w:themeColor="text1"/>
                      <w:sz w:val="21"/>
                      <w:szCs w:val="21"/>
                      <w:highlight w:val="none"/>
                      <w:lang w:val="en-US" w:eastAsia="zh-CN"/>
                      <w14:textFill>
                        <w14:solidFill>
                          <w14:schemeClr w14:val="tx1"/>
                        </w14:solidFill>
                      </w14:textFill>
                    </w:rPr>
                    <w:t>，建筑垃圾中的碎石碎砖块清运至项目场区洼地处填埋</w:t>
                  </w:r>
                  <w:r>
                    <w:rPr>
                      <w:rFonts w:hint="eastAsia" w:eastAsia="宋体"/>
                      <w:color w:val="000000" w:themeColor="text1"/>
                      <w:sz w:val="21"/>
                      <w:szCs w:val="21"/>
                      <w:highlight w:val="none"/>
                      <w:lang w:val="en-US" w:eastAsia="zh-CN"/>
                      <w14:textFill>
                        <w14:solidFill>
                          <w14:schemeClr w14:val="tx1"/>
                        </w14:solidFill>
                      </w14:textFill>
                    </w:rPr>
                    <w:t>。</w:t>
                  </w:r>
                </w:p>
              </w:tc>
              <w:tc>
                <w:tcPr>
                  <w:tcW w:w="614" w:type="pct"/>
                  <w:tcBorders>
                    <w:tl2br w:val="nil"/>
                    <w:tr2bl w:val="nil"/>
                  </w:tcBorders>
                  <w:vAlign w:val="center"/>
                </w:tcPr>
                <w:p>
                  <w:pPr>
                    <w:pStyle w:val="2"/>
                    <w:ind w:firstLine="0"/>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施工便道</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r>
                    <w:rPr>
                      <w:color w:val="000000" w:themeColor="text1"/>
                      <w:kern w:val="0"/>
                      <w:sz w:val="21"/>
                      <w:szCs w:val="21"/>
                      <w:highlight w:val="none"/>
                      <w14:textFill>
                        <w14:solidFill>
                          <w14:schemeClr w14:val="tx1"/>
                        </w14:solidFill>
                      </w14:textFill>
                    </w:rPr>
                    <w:t>施工临时道路利用现有道路，不设置施工专用道路</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restar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环保工程</w:t>
                  </w:r>
                </w:p>
              </w:tc>
              <w:tc>
                <w:tcPr>
                  <w:tcW w:w="723" w:type="pct"/>
                  <w:tcBorders>
                    <w:tl2br w:val="nil"/>
                    <w:tr2bl w:val="nil"/>
                  </w:tcBorders>
                  <w:vAlign w:val="center"/>
                </w:tcPr>
                <w:p>
                  <w:pPr>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废气治理工程</w:t>
                  </w:r>
                </w:p>
              </w:tc>
              <w:tc>
                <w:tcPr>
                  <w:tcW w:w="3349" w:type="pct"/>
                  <w:tcBorders>
                    <w:tl2br w:val="nil"/>
                    <w:tr2bl w:val="nil"/>
                  </w:tcBorders>
                  <w:vAlign w:val="center"/>
                </w:tcPr>
                <w:p>
                  <w:pPr>
                    <w:pStyle w:val="2"/>
                    <w:ind w:firstLine="0"/>
                    <w:jc w:val="left"/>
                    <w:rPr>
                      <w:b/>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jc w:val="left"/>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施工期：</w:t>
                  </w:r>
                  <w:r>
                    <w:rPr>
                      <w:rFonts w:hint="eastAsia"/>
                      <w:color w:val="000000" w:themeColor="text1"/>
                      <w:sz w:val="21"/>
                      <w:szCs w:val="21"/>
                      <w:highlight w:val="none"/>
                      <w14:textFill>
                        <w14:solidFill>
                          <w14:schemeClr w14:val="tx1"/>
                        </w14:solidFill>
                      </w14:textFill>
                    </w:rPr>
                    <w:t>回填土、临时堆料在指定地点堆放，采取围挡、覆盖措施，临时弃土及时回填；装卸建筑材料(尤其是泥沙石），必须采用封闭式车辆运输；大风天禁止作业</w:t>
                  </w:r>
                  <w:r>
                    <w:rPr>
                      <w:color w:val="000000" w:themeColor="text1"/>
                      <w:sz w:val="21"/>
                      <w:szCs w:val="21"/>
                      <w:highlight w:val="none"/>
                      <w14:textFill>
                        <w14:solidFill>
                          <w14:schemeClr w14:val="tx1"/>
                        </w14:solidFill>
                      </w14:textFill>
                    </w:rPr>
                    <w:t>。</w:t>
                  </w:r>
                </w:p>
                <w:p>
                  <w:pPr>
                    <w:pStyle w:val="2"/>
                    <w:ind w:firstLine="0"/>
                    <w:jc w:val="left"/>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运营期</w:t>
                  </w:r>
                  <w:r>
                    <w:rPr>
                      <w:b/>
                      <w:bCs/>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饮食油烟由升压站配备的油烟净化装置处理，最后由屋顶排放</w:t>
                  </w:r>
                  <w:r>
                    <w:rPr>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2"/>
                    <w:ind w:firstLine="0"/>
                    <w:jc w:val="center"/>
                    <w:rPr>
                      <w:rFonts w:hint="eastAsia"/>
                      <w:b/>
                      <w:bCs/>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废水治理工程</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jc w:val="left"/>
                    <w:rPr>
                      <w:rStyle w:val="219"/>
                      <w:rFonts w:hint="eastAsia" w:ascii="Times New Roman" w:hAnsi="Times New Roman" w:cs="Times New Roman"/>
                      <w:color w:val="000000" w:themeColor="text1"/>
                      <w:sz w:val="21"/>
                      <w:szCs w:val="21"/>
                      <w:highlight w:val="none"/>
                      <w:lang w:bidi="ar"/>
                      <w14:textFill>
                        <w14:solidFill>
                          <w14:schemeClr w14:val="tx1"/>
                        </w14:solidFill>
                      </w14:textFill>
                    </w:rPr>
                  </w:pPr>
                  <w:r>
                    <w:rPr>
                      <w:rStyle w:val="219"/>
                      <w:rFonts w:ascii="Times New Roman" w:hAnsi="Times New Roman" w:cs="Times New Roman"/>
                      <w:b/>
                      <w:bCs/>
                      <w:color w:val="000000" w:themeColor="text1"/>
                      <w:sz w:val="21"/>
                      <w:szCs w:val="21"/>
                      <w:highlight w:val="none"/>
                      <w:lang w:bidi="ar"/>
                      <w14:textFill>
                        <w14:solidFill>
                          <w14:schemeClr w14:val="tx1"/>
                        </w14:solidFill>
                      </w14:textFill>
                    </w:rPr>
                    <w:t>施工期：</w:t>
                  </w:r>
                  <w:r>
                    <w:rPr>
                      <w:rStyle w:val="219"/>
                      <w:rFonts w:hint="eastAsia" w:ascii="Times New Roman" w:hAnsi="Times New Roman" w:cs="Times New Roman"/>
                      <w:color w:val="000000" w:themeColor="text1"/>
                      <w:sz w:val="21"/>
                      <w:szCs w:val="21"/>
                      <w:highlight w:val="none"/>
                      <w:lang w:bidi="ar"/>
                      <w14:textFill>
                        <w14:solidFill>
                          <w14:schemeClr w14:val="tx1"/>
                        </w14:solidFill>
                      </w14:textFill>
                    </w:rPr>
                    <w:t>施工期车辆冲洗废水经沉淀池处理后，循环使用，不外排；施工期设置临时防渗旱厕，定期清掏用作农肥。</w:t>
                  </w:r>
                </w:p>
                <w:p>
                  <w:pPr>
                    <w:pStyle w:val="2"/>
                    <w:ind w:firstLine="0"/>
                    <w:jc w:val="left"/>
                    <w:rPr>
                      <w:color w:val="000000" w:themeColor="text1"/>
                      <w:sz w:val="21"/>
                      <w:szCs w:val="21"/>
                      <w:highlight w:val="none"/>
                      <w14:textFill>
                        <w14:solidFill>
                          <w14:schemeClr w14:val="tx1"/>
                        </w14:solidFill>
                      </w14:textFill>
                    </w:rPr>
                  </w:pPr>
                  <w:r>
                    <w:rPr>
                      <w:rStyle w:val="219"/>
                      <w:rFonts w:hint="eastAsia" w:cs="Times New Roman"/>
                      <w:b/>
                      <w:bCs/>
                      <w:color w:val="000000" w:themeColor="text1"/>
                      <w:sz w:val="21"/>
                      <w:szCs w:val="21"/>
                      <w:highlight w:val="none"/>
                      <w:lang w:eastAsia="zh-CN" w:bidi="ar"/>
                      <w14:textFill>
                        <w14:solidFill>
                          <w14:schemeClr w14:val="tx1"/>
                        </w14:solidFill>
                      </w14:textFill>
                    </w:rPr>
                    <w:t>运营期</w:t>
                  </w:r>
                  <w:r>
                    <w:rPr>
                      <w:rStyle w:val="219"/>
                      <w:rFonts w:ascii="Times New Roman" w:hAnsi="Times New Roman" w:cs="Times New Roman"/>
                      <w:b/>
                      <w:bCs/>
                      <w:color w:val="000000" w:themeColor="text1"/>
                      <w:sz w:val="21"/>
                      <w:szCs w:val="21"/>
                      <w:highlight w:val="none"/>
                      <w:lang w:bidi="ar"/>
                      <w14:textFill>
                        <w14:solidFill>
                          <w14:schemeClr w14:val="tx1"/>
                        </w14:solidFill>
                      </w14:textFill>
                    </w:rPr>
                    <w:t>：</w:t>
                  </w:r>
                  <w:r>
                    <w:rPr>
                      <w:rStyle w:val="219"/>
                      <w:rFonts w:hint="eastAsia" w:ascii="Times New Roman" w:hAnsi="Times New Roman" w:eastAsia="宋体" w:cs="Times New Roman"/>
                      <w:color w:val="000000" w:themeColor="text1"/>
                      <w:sz w:val="21"/>
                      <w:szCs w:val="21"/>
                      <w:highlight w:val="none"/>
                      <w:lang w:bidi="ar"/>
                      <w14:textFill>
                        <w14:solidFill>
                          <w14:schemeClr w14:val="tx1"/>
                        </w14:solidFill>
                      </w14:textFill>
                    </w:rPr>
                    <w:t>食堂废水经隔油池处理，与生活污水经一体化污水处理装置处理达标后送到清水池，再通过回用水泵回用于绿化，不外排</w:t>
                  </w:r>
                  <w:r>
                    <w:rPr>
                      <w:rStyle w:val="219"/>
                      <w:rFonts w:ascii="Times New Roman" w:hAnsi="Times New Roman" w:cs="Times New Roman"/>
                      <w:color w:val="000000" w:themeColor="text1"/>
                      <w:sz w:val="21"/>
                      <w:szCs w:val="21"/>
                      <w:highlight w:val="none"/>
                      <w:lang w:bidi="ar"/>
                      <w14:textFill>
                        <w14:solidFill>
                          <w14:schemeClr w14:val="tx1"/>
                        </w14:solidFill>
                      </w14:textFill>
                    </w:rPr>
                    <w:t>。</w:t>
                  </w:r>
                </w:p>
              </w:tc>
              <w:tc>
                <w:tcPr>
                  <w:tcW w:w="614" w:type="pct"/>
                  <w:tcBorders>
                    <w:tl2br w:val="nil"/>
                    <w:tr2bl w:val="nil"/>
                  </w:tcBorders>
                  <w:vAlign w:val="center"/>
                </w:tcPr>
                <w:p>
                  <w:pPr>
                    <w:pStyle w:val="2"/>
                    <w:ind w:firstLine="0"/>
                    <w:jc w:val="center"/>
                    <w:rPr>
                      <w:rStyle w:val="219"/>
                      <w:rFonts w:hint="default" w:cs="Times New Roman"/>
                      <w:b/>
                      <w:bCs/>
                      <w:color w:val="000000" w:themeColor="text1"/>
                      <w:sz w:val="21"/>
                      <w:szCs w:val="21"/>
                      <w:highlight w:val="none"/>
                      <w:lang w:val="en-US" w:eastAsia="zh-CN" w:bidi="ar"/>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优化废水措施，建设一体化污水处理装置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噪声治理工程</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jc w:val="left"/>
                    <w:rPr>
                      <w:rFonts w:hint="eastAsia"/>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施工期：</w:t>
                  </w:r>
                  <w:r>
                    <w:rPr>
                      <w:rFonts w:hint="eastAsia"/>
                      <w:color w:val="000000" w:themeColor="text1"/>
                      <w:sz w:val="21"/>
                      <w:szCs w:val="21"/>
                      <w:highlight w:val="none"/>
                      <w14:textFill>
                        <w14:solidFill>
                          <w14:schemeClr w14:val="tx1"/>
                        </w14:solidFill>
                      </w14:textFill>
                    </w:rPr>
                    <w:t>禁止夜间施工，选用低噪声机械设备，车辆通过村庄时减速慢行</w:t>
                  </w:r>
                </w:p>
                <w:p>
                  <w:pPr>
                    <w:pStyle w:val="2"/>
                    <w:ind w:firstLine="0"/>
                    <w:jc w:val="left"/>
                    <w:rPr>
                      <w:color w:val="000000" w:themeColor="text1"/>
                      <w:sz w:val="21"/>
                      <w:szCs w:val="21"/>
                      <w:highlight w:val="none"/>
                      <w14:textFill>
                        <w14:solidFill>
                          <w14:schemeClr w14:val="tx1"/>
                        </w14:solidFill>
                      </w14:textFill>
                    </w:rPr>
                  </w:pPr>
                  <w:r>
                    <w:rPr>
                      <w:rStyle w:val="219"/>
                      <w:rFonts w:hint="eastAsia" w:cs="Times New Roman"/>
                      <w:b/>
                      <w:bCs/>
                      <w:color w:val="000000" w:themeColor="text1"/>
                      <w:sz w:val="21"/>
                      <w:szCs w:val="21"/>
                      <w:highlight w:val="none"/>
                      <w:lang w:eastAsia="zh-CN" w:bidi="ar"/>
                      <w14:textFill>
                        <w14:solidFill>
                          <w14:schemeClr w14:val="tx1"/>
                        </w14:solidFill>
                      </w14:textFill>
                    </w:rPr>
                    <w:t>运营期</w:t>
                  </w:r>
                  <w:r>
                    <w:rPr>
                      <w:rStyle w:val="219"/>
                      <w:rFonts w:ascii="Times New Roman" w:hAnsi="Times New Roman" w:cs="Times New Roman"/>
                      <w:b/>
                      <w:bCs/>
                      <w:color w:val="000000" w:themeColor="text1"/>
                      <w:sz w:val="21"/>
                      <w:szCs w:val="21"/>
                      <w:highlight w:val="none"/>
                      <w:lang w:bidi="ar"/>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升压站主</w:t>
                  </w:r>
                  <w:r>
                    <w:rPr>
                      <w:color w:val="000000" w:themeColor="text1"/>
                      <w:sz w:val="21"/>
                      <w:szCs w:val="21"/>
                      <w:highlight w:val="none"/>
                      <w14:textFill>
                        <w14:solidFill>
                          <w14:schemeClr w14:val="tx1"/>
                        </w14:solidFill>
                      </w14:textFill>
                    </w:rPr>
                    <w:t>设备选用低噪声设备，</w:t>
                  </w:r>
                  <w:r>
                    <w:rPr>
                      <w:rFonts w:hint="eastAsia"/>
                      <w:color w:val="000000" w:themeColor="text1"/>
                      <w:sz w:val="21"/>
                      <w:szCs w:val="21"/>
                      <w:highlight w:val="none"/>
                      <w:lang w:val="en-US" w:eastAsia="zh-CN"/>
                      <w14:textFill>
                        <w14:solidFill>
                          <w14:schemeClr w14:val="tx1"/>
                        </w14:solidFill>
                      </w14:textFill>
                    </w:rPr>
                    <w:t>基础减震，</w:t>
                  </w:r>
                  <w:r>
                    <w:rPr>
                      <w:color w:val="000000" w:themeColor="text1"/>
                      <w:sz w:val="21"/>
                      <w:szCs w:val="21"/>
                      <w:highlight w:val="none"/>
                      <w14:textFill>
                        <w14:solidFill>
                          <w14:schemeClr w14:val="tx1"/>
                        </w14:solidFill>
                      </w14:textFill>
                    </w:rPr>
                    <w:t>加强运行维护管理</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固体废物治理工程</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jc w:val="left"/>
                    <w:rPr>
                      <w:rFonts w:hint="eastAsia"/>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生活垃圾</w:t>
                  </w:r>
                  <w:r>
                    <w:rPr>
                      <w:rFonts w:hint="eastAsia"/>
                      <w:color w:val="000000" w:themeColor="text1"/>
                      <w:sz w:val="21"/>
                      <w:szCs w:val="21"/>
                      <w:highlight w:val="none"/>
                      <w14:textFill>
                        <w14:solidFill>
                          <w14:schemeClr w14:val="tx1"/>
                        </w14:solidFill>
                      </w14:textFill>
                    </w:rPr>
                    <w:t>设置垃圾桶</w:t>
                  </w:r>
                  <w:r>
                    <w:rPr>
                      <w:color w:val="000000" w:themeColor="text1"/>
                      <w:sz w:val="21"/>
                      <w:szCs w:val="21"/>
                      <w:highlight w:val="none"/>
                      <w14:textFill>
                        <w14:solidFill>
                          <w14:schemeClr w14:val="tx1"/>
                        </w14:solidFill>
                      </w14:textFill>
                    </w:rPr>
                    <w:t>收集后交由环卫部门统一处理</w:t>
                  </w:r>
                  <w:r>
                    <w:rPr>
                      <w:rFonts w:hint="eastAsia"/>
                      <w:color w:val="000000" w:themeColor="text1"/>
                      <w:sz w:val="21"/>
                      <w:szCs w:val="21"/>
                      <w:highlight w:val="none"/>
                      <w:lang w:eastAsia="zh-CN"/>
                      <w14:textFill>
                        <w14:solidFill>
                          <w14:schemeClr w14:val="tx1"/>
                        </w14:solidFill>
                      </w14:textFill>
                    </w:rPr>
                    <w:t>；废润滑油、废油桶和废蓄电池暂存于危废暂存间，委托有资质单位处理。</w:t>
                  </w:r>
                </w:p>
                <w:p>
                  <w:pPr>
                    <w:pStyle w:val="2"/>
                    <w:ind w:firstLine="0"/>
                    <w:jc w:val="left"/>
                    <w:rPr>
                      <w:rFonts w:hint="eastAsia" w:eastAsia="宋体"/>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实际建设</w:t>
                  </w:r>
                  <w:r>
                    <w:rPr>
                      <w:rFonts w:hint="eastAsia"/>
                      <w:color w:val="000000" w:themeColor="text1"/>
                      <w:sz w:val="21"/>
                      <w:szCs w:val="21"/>
                      <w:highlight w:val="none"/>
                      <w:lang w:val="en-US" w:eastAsia="zh-CN"/>
                      <w14:textFill>
                        <w14:solidFill>
                          <w14:schemeClr w14:val="tx1"/>
                        </w14:solidFill>
                      </w14:textFill>
                    </w:rPr>
                    <w:t>：</w:t>
                  </w:r>
                  <w:r>
                    <w:rPr>
                      <w:color w:val="000000" w:themeColor="text1"/>
                      <w:sz w:val="21"/>
                      <w:szCs w:val="21"/>
                      <w:highlight w:val="none"/>
                      <w14:textFill>
                        <w14:solidFill>
                          <w14:schemeClr w14:val="tx1"/>
                        </w14:solidFill>
                      </w14:textFill>
                    </w:rPr>
                    <w:t>生活垃圾</w:t>
                  </w:r>
                  <w:r>
                    <w:rPr>
                      <w:rFonts w:hint="eastAsia"/>
                      <w:color w:val="000000" w:themeColor="text1"/>
                      <w:sz w:val="21"/>
                      <w:szCs w:val="21"/>
                      <w:highlight w:val="none"/>
                      <w14:textFill>
                        <w14:solidFill>
                          <w14:schemeClr w14:val="tx1"/>
                        </w14:solidFill>
                      </w14:textFill>
                    </w:rPr>
                    <w:t>设置垃圾桶</w:t>
                  </w:r>
                  <w:r>
                    <w:rPr>
                      <w:color w:val="000000" w:themeColor="text1"/>
                      <w:sz w:val="21"/>
                      <w:szCs w:val="21"/>
                      <w:highlight w:val="none"/>
                      <w14:textFill>
                        <w14:solidFill>
                          <w14:schemeClr w14:val="tx1"/>
                        </w14:solidFill>
                      </w14:textFill>
                    </w:rPr>
                    <w:t>收集后交由环卫部门统一处理</w:t>
                  </w:r>
                  <w:r>
                    <w:rPr>
                      <w:rFonts w:hint="eastAsia"/>
                      <w:color w:val="000000" w:themeColor="text1"/>
                      <w:sz w:val="21"/>
                      <w:szCs w:val="21"/>
                      <w:highlight w:val="none"/>
                      <w:lang w:eastAsia="zh-CN"/>
                      <w14:textFill>
                        <w14:solidFill>
                          <w14:schemeClr w14:val="tx1"/>
                        </w14:solidFill>
                      </w14:textFill>
                    </w:rPr>
                    <w:t>；</w:t>
                  </w:r>
                  <w:r>
                    <w:rPr>
                      <w:rFonts w:ascii="Times New Roman"/>
                      <w:color w:val="000000" w:themeColor="text1"/>
                      <w:kern w:val="0"/>
                      <w:highlight w:val="none"/>
                      <w14:textFill>
                        <w14:solidFill>
                          <w14:schemeClr w14:val="tx1"/>
                        </w14:solidFill>
                      </w14:textFill>
                    </w:rPr>
                    <w:t>升压站内产生的废蓄电池由有资质单位进行处理；升压站内设置事故油池，事故油池进行防渗处理，发生事故时事故废油交由有资质单位处理，不在站区贮存；检修</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维护</w:t>
                  </w:r>
                  <w:r>
                    <w:rPr>
                      <w:rFonts w:ascii="Times New Roman"/>
                      <w:color w:val="000000" w:themeColor="text1"/>
                      <w:kern w:val="0"/>
                      <w:highlight w:val="none"/>
                      <w14:textFill>
                        <w14:solidFill>
                          <w14:schemeClr w14:val="tx1"/>
                        </w14:solidFill>
                      </w14:textFill>
                    </w:rPr>
                    <w:t>期间产生的少量废机油、</w:t>
                  </w:r>
                  <w:r>
                    <w:rPr>
                      <w:rFonts w:hint="eastAsia"/>
                      <w:color w:val="000000" w:themeColor="text1"/>
                      <w:kern w:val="0"/>
                      <w:highlight w:val="none"/>
                      <w:lang w:val="en-US" w:eastAsia="zh-CN"/>
                      <w14:textFill>
                        <w14:solidFill>
                          <w14:schemeClr w14:val="tx1"/>
                        </w14:solidFill>
                      </w14:textFill>
                    </w:rPr>
                    <w:t>废</w:t>
                  </w:r>
                  <w:r>
                    <w:rPr>
                      <w:rFonts w:ascii="Times New Roman"/>
                      <w:color w:val="000000" w:themeColor="text1"/>
                      <w:kern w:val="0"/>
                      <w:highlight w:val="none"/>
                      <w14:textFill>
                        <w14:solidFill>
                          <w14:schemeClr w14:val="tx1"/>
                        </w14:solidFill>
                      </w14:textFill>
                    </w:rPr>
                    <w:t>润滑油</w:t>
                  </w:r>
                  <w:r>
                    <w:rPr>
                      <w:rFonts w:hint="eastAsia"/>
                      <w:color w:val="000000" w:themeColor="text1"/>
                      <w:kern w:val="0"/>
                      <w:highlight w:val="none"/>
                      <w:lang w:eastAsia="zh-CN"/>
                      <w14:textFill>
                        <w14:solidFill>
                          <w14:schemeClr w14:val="tx1"/>
                        </w14:solidFill>
                      </w14:textFill>
                    </w:rPr>
                    <w:t>、</w:t>
                  </w:r>
                  <w:r>
                    <w:rPr>
                      <w:rFonts w:hint="eastAsia"/>
                      <w:color w:val="000000" w:themeColor="text1"/>
                      <w:kern w:val="0"/>
                      <w:highlight w:val="none"/>
                      <w:lang w:val="en-US" w:eastAsia="zh-CN"/>
                      <w14:textFill>
                        <w14:solidFill>
                          <w14:schemeClr w14:val="tx1"/>
                        </w14:solidFill>
                      </w14:textFill>
                    </w:rPr>
                    <w:t>废变压器油、废油桶</w:t>
                  </w:r>
                  <w:r>
                    <w:rPr>
                      <w:rFonts w:ascii="Times New Roman"/>
                      <w:color w:val="000000" w:themeColor="text1"/>
                      <w:kern w:val="0"/>
                      <w:highlight w:val="none"/>
                      <w14:textFill>
                        <w14:solidFill>
                          <w14:schemeClr w14:val="tx1"/>
                        </w14:solidFill>
                      </w14:textFill>
                    </w:rPr>
                    <w:t>，</w:t>
                  </w:r>
                  <w:r>
                    <w:rPr>
                      <w:rFonts w:hint="eastAsia" w:ascii="Times New Roman"/>
                      <w:color w:val="000000" w:themeColor="text1"/>
                      <w:kern w:val="0"/>
                      <w:highlight w:val="none"/>
                      <w14:textFill>
                        <w14:solidFill>
                          <w14:schemeClr w14:val="tx1"/>
                        </w14:solidFill>
                      </w14:textFill>
                    </w:rPr>
                    <w:t>暂存于危废暂存间，定期交由有资质的单位处置</w:t>
                  </w:r>
                  <w:r>
                    <w:rPr>
                      <w:rFonts w:hint="eastAsia"/>
                      <w:color w:val="000000" w:themeColor="text1"/>
                      <w:sz w:val="21"/>
                      <w:szCs w:val="21"/>
                      <w:highlight w:val="none"/>
                      <w:lang w:eastAsia="zh-CN"/>
                      <w14:textFill>
                        <w14:solidFill>
                          <w14:schemeClr w14:val="tx1"/>
                        </w14:solidFill>
                      </w14:textFill>
                    </w:rPr>
                    <w:t>。</w:t>
                  </w:r>
                </w:p>
              </w:tc>
              <w:tc>
                <w:tcPr>
                  <w:tcW w:w="614" w:type="pct"/>
                  <w:tcBorders>
                    <w:tl2br w:val="nil"/>
                    <w:tr2bl w:val="nil"/>
                  </w:tcBorders>
                  <w:vAlign w:val="center"/>
                </w:tcPr>
                <w:p>
                  <w:pPr>
                    <w:pStyle w:val="2"/>
                    <w:ind w:firstLine="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增加类别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电磁环境</w:t>
                  </w:r>
                  <w:r>
                    <w:rPr>
                      <w:rFonts w:ascii="Times New Roman"/>
                      <w:color w:val="000000" w:themeColor="text1"/>
                      <w:sz w:val="21"/>
                      <w:szCs w:val="21"/>
                      <w:highlight w:val="none"/>
                      <w14:textFill>
                        <w14:solidFill>
                          <w14:schemeClr w14:val="tx1"/>
                        </w14:solidFill>
                      </w14:textFill>
                    </w:rPr>
                    <w:t>治理工程</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加强日常管理和维护、检查，使电气设备保持良好的运行状态。</w:t>
                  </w:r>
                </w:p>
              </w:tc>
              <w:tc>
                <w:tcPr>
                  <w:tcW w:w="614" w:type="pct"/>
                  <w:tcBorders>
                    <w:tl2br w:val="nil"/>
                    <w:tr2bl w:val="nil"/>
                  </w:tcBorders>
                  <w:vAlign w:val="center"/>
                </w:tcPr>
                <w:p>
                  <w:pPr>
                    <w:pStyle w:val="2"/>
                    <w:ind w:firstLine="0"/>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防渗工程</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重点防渗区：主要包括</w:t>
                  </w:r>
                  <w:r>
                    <w:rPr>
                      <w:rFonts w:hint="eastAsia"/>
                      <w:color w:val="000000" w:themeColor="text1"/>
                      <w:sz w:val="21"/>
                      <w:szCs w:val="21"/>
                      <w:highlight w:val="none"/>
                      <w14:textFill>
                        <w14:solidFill>
                          <w14:schemeClr w14:val="tx1"/>
                        </w14:solidFill>
                      </w14:textFill>
                    </w:rPr>
                    <w:t>危废间</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隔油池</w:t>
                  </w:r>
                  <w:r>
                    <w:rPr>
                      <w:color w:val="000000" w:themeColor="text1"/>
                      <w:sz w:val="21"/>
                      <w:szCs w:val="21"/>
                      <w:highlight w:val="none"/>
                      <w14:textFill>
                        <w14:solidFill>
                          <w14:schemeClr w14:val="tx1"/>
                        </w14:solidFill>
                      </w14:textFill>
                    </w:rPr>
                    <w:t>及事故油池等。防渗措施为：采用抗渗混凝土进行防渗+2mm厚高密度聚乙烯膜等人工防渗材料，等效黏土层Mb≥6.0m、K≤1.0×10</w:t>
                  </w:r>
                  <w:r>
                    <w:rPr>
                      <w:color w:val="000000" w:themeColor="text1"/>
                      <w:sz w:val="21"/>
                      <w:szCs w:val="21"/>
                      <w:highlight w:val="none"/>
                      <w:vertAlign w:val="superscript"/>
                      <w14:textFill>
                        <w14:solidFill>
                          <w14:schemeClr w14:val="tx1"/>
                        </w14:solidFill>
                      </w14:textFill>
                    </w:rPr>
                    <w:t>-10</w:t>
                  </w:r>
                  <w:r>
                    <w:rPr>
                      <w:color w:val="000000" w:themeColor="text1"/>
                      <w:sz w:val="21"/>
                      <w:szCs w:val="21"/>
                      <w:highlight w:val="none"/>
                      <w14:textFill>
                        <w14:solidFill>
                          <w14:schemeClr w14:val="tx1"/>
                        </w14:solidFill>
                      </w14:textFill>
                    </w:rPr>
                    <w:t>cm/s。</w:t>
                  </w:r>
                </w:p>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一般防渗区：主要包括</w:t>
                  </w:r>
                  <w:r>
                    <w:rPr>
                      <w:rFonts w:hint="eastAsia"/>
                      <w:color w:val="000000" w:themeColor="text1"/>
                      <w:sz w:val="21"/>
                      <w:szCs w:val="21"/>
                      <w:highlight w:val="none"/>
                      <w:lang w:val="en-US" w:eastAsia="zh-CN"/>
                      <w14:textFill>
                        <w14:solidFill>
                          <w14:schemeClr w14:val="tx1"/>
                        </w14:solidFill>
                      </w14:textFill>
                    </w:rPr>
                    <w:t>污水处理装置区</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升压变预制舱，35</w:t>
                  </w:r>
                  <w:r>
                    <w:rPr>
                      <w:rFonts w:hint="eastAsia"/>
                      <w:color w:val="000000" w:themeColor="text1"/>
                      <w:sz w:val="21"/>
                      <w:szCs w:val="21"/>
                      <w:highlight w:val="none"/>
                      <w14:textFill>
                        <w14:solidFill>
                          <w14:schemeClr w14:val="tx1"/>
                        </w14:solidFill>
                      </w14:textFill>
                    </w:rPr>
                    <w:t>k</w:t>
                  </w:r>
                  <w:r>
                    <w:rPr>
                      <w:color w:val="000000" w:themeColor="text1"/>
                      <w:sz w:val="21"/>
                      <w:szCs w:val="21"/>
                      <w:highlight w:val="none"/>
                      <w14:textFill>
                        <w14:solidFill>
                          <w14:schemeClr w14:val="tx1"/>
                        </w14:solidFill>
                      </w14:textFill>
                    </w:rPr>
                    <w:t>V预制舱等。等效黏土层Mb≥1.5m、K≤1.0×10</w:t>
                  </w:r>
                  <w:r>
                    <w:rPr>
                      <w:color w:val="000000" w:themeColor="text1"/>
                      <w:sz w:val="21"/>
                      <w:szCs w:val="21"/>
                      <w:highlight w:val="none"/>
                      <w:vertAlign w:val="superscript"/>
                      <w14:textFill>
                        <w14:solidFill>
                          <w14:schemeClr w14:val="tx1"/>
                        </w14:solidFill>
                      </w14:textFill>
                    </w:rPr>
                    <w:t>-7</w:t>
                  </w:r>
                  <w:r>
                    <w:rPr>
                      <w:color w:val="000000" w:themeColor="text1"/>
                      <w:sz w:val="21"/>
                      <w:szCs w:val="21"/>
                      <w:highlight w:val="none"/>
                      <w14:textFill>
                        <w14:solidFill>
                          <w14:schemeClr w14:val="tx1"/>
                        </w14:solidFill>
                      </w14:textFill>
                    </w:rPr>
                    <w:t>cm/s或参照GB16889执行。</w:t>
                  </w:r>
                </w:p>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简单防渗区：</w:t>
                  </w:r>
                  <w:r>
                    <w:rPr>
                      <w:rFonts w:hint="eastAsia"/>
                      <w:color w:val="000000" w:themeColor="text1"/>
                      <w:sz w:val="21"/>
                      <w:szCs w:val="21"/>
                      <w:highlight w:val="none"/>
                      <w14:textFill>
                        <w14:solidFill>
                          <w14:schemeClr w14:val="tx1"/>
                        </w14:solidFill>
                      </w14:textFill>
                    </w:rPr>
                    <w:t>重点和一般污染防治区外的其他建筑地面、升压站地面除绿化用地外的其他用地，水泥硬化</w:t>
                  </w:r>
                  <w:r>
                    <w:rPr>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 w:type="pct"/>
                  <w:vMerge w:val="continue"/>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p>
              </w:tc>
              <w:tc>
                <w:tcPr>
                  <w:tcW w:w="723" w:type="pct"/>
                  <w:tcBorders>
                    <w:tl2br w:val="nil"/>
                    <w:tr2bl w:val="nil"/>
                  </w:tcBorders>
                  <w:vAlign w:val="center"/>
                </w:tcPr>
                <w:p>
                  <w:pPr>
                    <w:pStyle w:val="2"/>
                    <w:ind w:firstLine="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生态保护</w:t>
                  </w:r>
                </w:p>
              </w:tc>
              <w:tc>
                <w:tcPr>
                  <w:tcW w:w="3349" w:type="pct"/>
                  <w:tcBorders>
                    <w:tl2br w:val="nil"/>
                    <w:tr2bl w:val="nil"/>
                  </w:tcBorders>
                  <w:vAlign w:val="center"/>
                </w:tcPr>
                <w:p>
                  <w:pPr>
                    <w:pStyle w:val="2"/>
                    <w:ind w:firstLine="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围环评[2023]28号</w:t>
                  </w:r>
                  <w:r>
                    <w:rPr>
                      <w:color w:val="000000" w:themeColor="text1"/>
                      <w:sz w:val="21"/>
                      <w:szCs w:val="21"/>
                      <w:highlight w:val="none"/>
                      <w14:textFill>
                        <w14:solidFill>
                          <w14:schemeClr w14:val="tx1"/>
                        </w14:solidFill>
                      </w14:textFill>
                    </w:rPr>
                    <w:t>”建设内容：</w:t>
                  </w:r>
                </w:p>
                <w:p>
                  <w:pPr>
                    <w:pStyle w:val="2"/>
                    <w:ind w:firstLine="0"/>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施工期：</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对临时占地恢复原有使用功能及水土保持内容</w:t>
                  </w:r>
                  <w:r>
                    <w:rPr>
                      <w:rFonts w:hint="eastAsia" w:cs="Times New Roman"/>
                      <w:color w:val="000000" w:themeColor="text1"/>
                      <w:kern w:val="2"/>
                      <w:sz w:val="21"/>
                      <w:szCs w:val="21"/>
                      <w:highlight w:val="none"/>
                      <w:lang w:val="en-US" w:eastAsia="zh-CN" w:bidi="ar-SA"/>
                      <w14:textFill>
                        <w14:solidFill>
                          <w14:schemeClr w14:val="tx1"/>
                        </w14:solidFill>
                      </w14:textFill>
                    </w:rPr>
                    <w:t>，站内可绿化区域进行绿化，撒播草种</w:t>
                  </w:r>
                  <w:r>
                    <w:rPr>
                      <w:color w:val="000000" w:themeColor="text1"/>
                      <w:sz w:val="21"/>
                      <w:szCs w:val="21"/>
                      <w:highlight w:val="none"/>
                      <w14:textFill>
                        <w14:solidFill>
                          <w14:schemeClr w14:val="tx1"/>
                        </w14:solidFill>
                      </w14:textFill>
                    </w:rPr>
                    <w:t>。</w:t>
                  </w:r>
                </w:p>
                <w:p>
                  <w:pPr>
                    <w:pStyle w:val="19"/>
                    <w:numPr>
                      <w:ilvl w:val="255"/>
                      <w:numId w:val="0"/>
                    </w:numPr>
                    <w:spacing w:before="0" w:after="0" w:line="240" w:lineRule="auto"/>
                    <w:ind w:right="0"/>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运营期</w:t>
                  </w:r>
                  <w:r>
                    <w:rPr>
                      <w:b/>
                      <w:bCs/>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w:t>
                  </w:r>
                </w:p>
              </w:tc>
              <w:tc>
                <w:tcPr>
                  <w:tcW w:w="614" w:type="pct"/>
                  <w:tcBorders>
                    <w:tl2br w:val="nil"/>
                    <w:tr2bl w:val="nil"/>
                  </w:tcBorders>
                  <w:vAlign w:val="center"/>
                </w:tcPr>
                <w:p>
                  <w:pPr>
                    <w:pStyle w:val="19"/>
                    <w:numPr>
                      <w:ilvl w:val="255"/>
                      <w:numId w:val="0"/>
                    </w:numPr>
                    <w:spacing w:before="0" w:after="0" w:line="240" w:lineRule="auto"/>
                    <w:ind w:right="0"/>
                    <w:jc w:val="center"/>
                    <w:rPr>
                      <w:rFonts w:hint="eastAsia"/>
                      <w:b/>
                      <w:bCs/>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无变动</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5</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建设地点</w:t>
            </w:r>
            <w:r>
              <w:rPr>
                <w:rFonts w:hint="eastAsia" w:ascii="Times New Roman"/>
                <w:color w:val="000000" w:themeColor="text1"/>
                <w:sz w:val="24"/>
                <w:szCs w:val="24"/>
                <w:highlight w:val="none"/>
                <w:lang w:val="en-US" w:eastAsia="zh-CN"/>
                <w14:textFill>
                  <w14:solidFill>
                    <w14:schemeClr w14:val="tx1"/>
                  </w14:solidFill>
                </w14:textFill>
              </w:rPr>
              <w:t>及周边</w:t>
            </w:r>
            <w:r>
              <w:rPr>
                <w:rFonts w:hint="eastAsia" w:ascii="Times New Roman"/>
                <w:color w:val="000000" w:themeColor="text1"/>
                <w:sz w:val="24"/>
                <w:szCs w:val="24"/>
                <w:highlight w:val="none"/>
                <w14:textFill>
                  <w14:solidFill>
                    <w14:schemeClr w14:val="tx1"/>
                  </w14:solidFill>
                </w14:textFill>
              </w:rPr>
              <w:t>关系</w:t>
            </w:r>
            <w:r>
              <w:rPr>
                <w:rFonts w:ascii="Times New Roman"/>
                <w:color w:val="000000" w:themeColor="text1"/>
                <w:sz w:val="24"/>
                <w:szCs w:val="24"/>
                <w:highlight w:val="none"/>
                <w14:textFill>
                  <w14:solidFill>
                    <w14:schemeClr w14:val="tx1"/>
                  </w14:solidFill>
                </w14:textFill>
              </w:rPr>
              <w:t>：位于</w:t>
            </w:r>
            <w:r>
              <w:rPr>
                <w:rFonts w:hint="eastAsia" w:ascii="Times New Roman"/>
                <w:color w:val="000000" w:themeColor="text1"/>
                <w:sz w:val="24"/>
                <w:szCs w:val="24"/>
                <w:highlight w:val="none"/>
                <w:lang w:bidi="ar"/>
                <w14:textFill>
                  <w14:solidFill>
                    <w14:schemeClr w14:val="tx1"/>
                  </w14:solidFill>
                </w14:textFill>
              </w:rPr>
              <w:t>河北省</w:t>
            </w:r>
            <w:r>
              <w:rPr>
                <w:rFonts w:hint="eastAsia" w:ascii="Times New Roman"/>
                <w:color w:val="000000" w:themeColor="text1"/>
                <w:sz w:val="24"/>
                <w:szCs w:val="24"/>
                <w:highlight w:val="none"/>
                <w:lang w:eastAsia="zh-CN" w:bidi="ar"/>
                <w14:textFill>
                  <w14:solidFill>
                    <w14:schemeClr w14:val="tx1"/>
                  </w14:solidFill>
                </w14:textFill>
              </w:rPr>
              <w:t>承德市</w:t>
            </w:r>
            <w:r>
              <w:rPr>
                <w:rFonts w:hint="eastAsia" w:ascii="Times New Roman"/>
                <w:color w:val="000000" w:themeColor="text1"/>
                <w:sz w:val="24"/>
                <w:szCs w:val="24"/>
                <w:highlight w:val="none"/>
                <w:lang w:eastAsia="zh-CN"/>
                <w14:textFill>
                  <w14:solidFill>
                    <w14:schemeClr w14:val="tx1"/>
                  </w14:solidFill>
                </w14:textFill>
              </w:rPr>
              <w:t>围场满族蒙古族自治县围场镇坡字村坡来南沟东北约1.97km</w:t>
            </w:r>
            <w:r>
              <w:rPr>
                <w:rFonts w:hint="eastAsia" w:ascii="Times New Roman"/>
                <w:color w:val="000000" w:themeColor="text1"/>
                <w:sz w:val="24"/>
                <w:szCs w:val="24"/>
                <w:highlight w:val="none"/>
                <w:lang w:bidi="ar"/>
                <w14:textFill>
                  <w14:solidFill>
                    <w14:schemeClr w14:val="tx1"/>
                  </w14:solidFill>
                </w14:textFill>
              </w:rPr>
              <w:t>；站址中心位置坐标为东经</w:t>
            </w:r>
            <w:r>
              <w:rPr>
                <w:rFonts w:hint="default" w:ascii="Times New Roman" w:hAnsi="Times New Roman" w:cs="Times New Roman"/>
                <w:color w:val="000000" w:themeColor="text1"/>
                <w:sz w:val="24"/>
                <w:szCs w:val="24"/>
                <w:highlight w:val="none"/>
                <w:lang w:bidi="ar"/>
                <w14:textFill>
                  <w14:solidFill>
                    <w14:schemeClr w14:val="tx1"/>
                  </w14:solidFill>
                </w14:textFill>
              </w:rPr>
              <w:t>117°49′37.702″，北纬41°55′24.398″</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z w:val="24"/>
                <w:szCs w:val="24"/>
                <w:highlight w:val="none"/>
                <w:lang w:val="en-US" w:eastAsia="zh-CN" w:bidi="ar"/>
                <w14:textFill>
                  <w14:solidFill>
                    <w14:schemeClr w14:val="tx1"/>
                  </w14:solidFill>
                </w14:textFill>
              </w:rPr>
              <w:t>站址四周</w:t>
            </w:r>
            <w:r>
              <w:rPr>
                <w:rFonts w:hint="eastAsia" w:ascii="Times New Roman"/>
                <w:color w:val="000000" w:themeColor="text1"/>
                <w:sz w:val="24"/>
                <w:szCs w:val="24"/>
                <w:highlight w:val="none"/>
                <w:lang w:bidi="ar"/>
                <w14:textFill>
                  <w14:solidFill>
                    <w14:schemeClr w14:val="tx1"/>
                  </w14:solidFill>
                </w14:textFill>
              </w:rPr>
              <w:t>为空地</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项目站址区占地</w:t>
            </w:r>
            <w:r>
              <w:rPr>
                <w:rFonts w:hint="eastAsia" w:ascii="Times New Roman"/>
                <w:color w:val="000000" w:themeColor="text1"/>
                <w:sz w:val="24"/>
                <w:szCs w:val="24"/>
                <w:highlight w:val="none"/>
                <w14:textFill>
                  <w14:solidFill>
                    <w14:schemeClr w14:val="tx1"/>
                  </w14:solidFill>
                </w14:textFill>
              </w:rPr>
              <w:t>类型为农用地，</w:t>
            </w:r>
            <w:r>
              <w:rPr>
                <w:rFonts w:hint="eastAsia" w:ascii="Times New Roman"/>
                <w:color w:val="000000" w:themeColor="text1"/>
                <w:sz w:val="24"/>
                <w:highlight w:val="none"/>
                <w:lang w:val="en-US" w:eastAsia="zh-CN"/>
                <w14:textFill>
                  <w14:solidFill>
                    <w14:schemeClr w14:val="tx1"/>
                  </w14:solidFill>
                </w14:textFill>
              </w:rPr>
              <w:t>站址</w:t>
            </w:r>
            <w:r>
              <w:rPr>
                <w:rFonts w:hint="eastAsia" w:ascii="Times New Roman"/>
                <w:color w:val="000000" w:themeColor="text1"/>
                <w:sz w:val="24"/>
                <w:highlight w:val="none"/>
                <w14:textFill>
                  <w14:solidFill>
                    <w14:schemeClr w14:val="tx1"/>
                  </w14:solidFill>
                </w14:textFill>
              </w:rPr>
              <w:t>拐点坐标见下表。</w:t>
            </w:r>
          </w:p>
          <w:p>
            <w:pPr>
              <w:jc w:val="center"/>
              <w:rPr>
                <w:rFonts w:ascii="Times New Roman"/>
                <w:b/>
                <w:bCs/>
                <w:color w:val="000000" w:themeColor="text1"/>
                <w:sz w:val="24"/>
                <w:szCs w:val="24"/>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表2-</w:t>
            </w:r>
            <w:r>
              <w:rPr>
                <w:rFonts w:hint="eastAsia" w:ascii="Times New Roman"/>
                <w:b/>
                <w:bCs/>
                <w:color w:val="000000" w:themeColor="text1"/>
                <w:sz w:val="24"/>
                <w:szCs w:val="24"/>
                <w:highlight w:val="none"/>
                <w14:textFill>
                  <w14:solidFill>
                    <w14:schemeClr w14:val="tx1"/>
                  </w14:solidFill>
                </w14:textFill>
              </w:rPr>
              <w:t>2</w:t>
            </w:r>
            <w:r>
              <w:rPr>
                <w:rFonts w:ascii="Times New Roman"/>
                <w:b/>
                <w:bCs/>
                <w:color w:val="000000" w:themeColor="text1"/>
                <w:sz w:val="24"/>
                <w:szCs w:val="24"/>
                <w:highlight w:val="none"/>
                <w14:textFill>
                  <w14:solidFill>
                    <w14:schemeClr w14:val="tx1"/>
                  </w14:solidFill>
                </w14:textFill>
              </w:rPr>
              <w:t xml:space="preserve">  </w:t>
            </w:r>
            <w:r>
              <w:rPr>
                <w:rFonts w:hint="eastAsia" w:ascii="Times New Roman"/>
                <w:b/>
                <w:bCs/>
                <w:color w:val="000000" w:themeColor="text1"/>
                <w:sz w:val="24"/>
                <w:szCs w:val="24"/>
                <w:highlight w:val="none"/>
                <w:lang w:val="en-US" w:eastAsia="zh-CN"/>
                <w14:textFill>
                  <w14:solidFill>
                    <w14:schemeClr w14:val="tx1"/>
                  </w14:solidFill>
                </w14:textFill>
              </w:rPr>
              <w:t>升压站</w:t>
            </w:r>
            <w:r>
              <w:rPr>
                <w:rFonts w:hint="eastAsia" w:ascii="Times New Roman"/>
                <w:b/>
                <w:bCs/>
                <w:color w:val="000000" w:themeColor="text1"/>
                <w:sz w:val="24"/>
                <w:szCs w:val="24"/>
                <w:highlight w:val="none"/>
                <w14:textFill>
                  <w14:solidFill>
                    <w14:schemeClr w14:val="tx1"/>
                  </w14:solidFill>
                </w14:textFill>
              </w:rPr>
              <w:t>厂界拐点坐标一览表</w:t>
            </w:r>
          </w:p>
          <w:tbl>
            <w:tblPr>
              <w:tblStyle w:val="5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85"/>
              <w:gridCol w:w="3150"/>
              <w:gridCol w:w="29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vMerge w:val="restart"/>
                  <w:tcBorders>
                    <w:tl2br w:val="nil"/>
                    <w:tr2bl w:val="nil"/>
                  </w:tcBorders>
                  <w:shd w:val="clear" w:color="auto" w:fill="auto"/>
                  <w:noWrap/>
                  <w:vAlign w:val="center"/>
                </w:tcPr>
                <w:p>
                  <w:pPr>
                    <w:pStyle w:val="2"/>
                    <w:ind w:firstLine="0"/>
                    <w:jc w:val="center"/>
                    <w:rPr>
                      <w:b/>
                      <w:bCs/>
                      <w:color w:val="000000" w:themeColor="text1"/>
                      <w:szCs w:val="21"/>
                      <w:highlight w:val="none"/>
                      <w14:textFill>
                        <w14:solidFill>
                          <w14:schemeClr w14:val="tx1"/>
                        </w14:solidFill>
                      </w14:textFill>
                    </w:rPr>
                  </w:pPr>
                  <w:r>
                    <w:rPr>
                      <w:rFonts w:hint="eastAsia"/>
                      <w:b/>
                      <w:bCs/>
                      <w:color w:val="000000" w:themeColor="text1"/>
                      <w:szCs w:val="21"/>
                      <w:highlight w:val="none"/>
                      <w14:textFill>
                        <w14:solidFill>
                          <w14:schemeClr w14:val="tx1"/>
                        </w14:solidFill>
                      </w14:textFill>
                    </w:rPr>
                    <w:t>序号</w:t>
                  </w:r>
                </w:p>
              </w:tc>
              <w:tc>
                <w:tcPr>
                  <w:tcW w:w="3871" w:type="pct"/>
                  <w:gridSpan w:val="2"/>
                  <w:tcBorders>
                    <w:tl2br w:val="nil"/>
                    <w:tr2bl w:val="nil"/>
                  </w:tcBorders>
                  <w:shd w:val="clear" w:color="auto" w:fill="auto"/>
                  <w:noWrap/>
                  <w:vAlign w:val="center"/>
                </w:tcPr>
                <w:p>
                  <w:pPr>
                    <w:pStyle w:val="2"/>
                    <w:ind w:firstLine="0"/>
                    <w:jc w:val="center"/>
                    <w:rPr>
                      <w:rFonts w:hint="eastAsia"/>
                      <w:b/>
                      <w:bCs/>
                      <w:color w:val="000000" w:themeColor="text1"/>
                      <w:szCs w:val="21"/>
                      <w:highlight w:val="none"/>
                      <w:lang w:val="en-US" w:eastAsia="zh-CN"/>
                      <w14:textFill>
                        <w14:solidFill>
                          <w14:schemeClr w14:val="tx1"/>
                        </w14:solidFill>
                      </w14:textFill>
                    </w:rPr>
                  </w:pPr>
                  <w:r>
                    <w:rPr>
                      <w:b/>
                      <w:bCs/>
                      <w:color w:val="000000" w:themeColor="text1"/>
                      <w:szCs w:val="21"/>
                      <w:highlight w:val="none"/>
                      <w14:textFill>
                        <w14:solidFill>
                          <w14:schemeClr w14:val="tx1"/>
                        </w14:solidFill>
                      </w14:textFill>
                    </w:rPr>
                    <w:t>2000国家大地坐标系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vMerge w:val="continue"/>
                  <w:tcBorders>
                    <w:tl2br w:val="nil"/>
                    <w:tr2bl w:val="nil"/>
                  </w:tcBorders>
                  <w:shd w:val="clear" w:color="auto" w:fill="auto"/>
                  <w:noWrap/>
                  <w:vAlign w:val="center"/>
                </w:tcPr>
                <w:p>
                  <w:pPr>
                    <w:pStyle w:val="2"/>
                    <w:ind w:firstLine="0"/>
                    <w:jc w:val="center"/>
                    <w:rPr>
                      <w:b/>
                      <w:bCs/>
                      <w:color w:val="000000" w:themeColor="text1"/>
                      <w:szCs w:val="21"/>
                      <w:highlight w:val="none"/>
                      <w14:textFill>
                        <w14:solidFill>
                          <w14:schemeClr w14:val="tx1"/>
                        </w14:solidFill>
                      </w14:textFill>
                    </w:rPr>
                  </w:pPr>
                </w:p>
              </w:tc>
              <w:tc>
                <w:tcPr>
                  <w:tcW w:w="1991" w:type="pct"/>
                  <w:tcBorders>
                    <w:tl2br w:val="nil"/>
                    <w:tr2bl w:val="nil"/>
                  </w:tcBorders>
                  <w:shd w:val="clear" w:color="auto" w:fill="auto"/>
                  <w:noWrap/>
                  <w:vAlign w:val="center"/>
                </w:tcPr>
                <w:p>
                  <w:pPr>
                    <w:pStyle w:val="2"/>
                    <w:ind w:firstLine="0"/>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X</w:t>
                  </w:r>
                </w:p>
              </w:tc>
              <w:tc>
                <w:tcPr>
                  <w:tcW w:w="1880" w:type="pct"/>
                  <w:tcBorders>
                    <w:tl2br w:val="nil"/>
                    <w:tr2bl w:val="nil"/>
                  </w:tcBorders>
                  <w:shd w:val="clear" w:color="auto" w:fill="auto"/>
                  <w:noWrap/>
                  <w:vAlign w:val="center"/>
                </w:tcPr>
                <w:p>
                  <w:pPr>
                    <w:pStyle w:val="2"/>
                    <w:ind w:firstLine="0"/>
                    <w:jc w:val="center"/>
                    <w:rPr>
                      <w:rFonts w:hint="eastAsia" w:eastAsia="宋体"/>
                      <w:b/>
                      <w:bCs/>
                      <w:color w:val="000000" w:themeColor="text1"/>
                      <w:szCs w:val="21"/>
                      <w:highlight w:val="none"/>
                      <w:lang w:eastAsia="zh-CN"/>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Y</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J</w:t>
                  </w:r>
                  <w:r>
                    <w:rPr>
                      <w:rFonts w:hint="eastAsia"/>
                      <w:color w:val="000000" w:themeColor="text1"/>
                      <w:szCs w:val="21"/>
                      <w:highlight w:val="none"/>
                      <w14:textFill>
                        <w14:solidFill>
                          <w14:schemeClr w14:val="tx1"/>
                        </w14:solidFill>
                      </w14:textFill>
                    </w:rPr>
                    <w:t>1</w:t>
                  </w:r>
                </w:p>
              </w:tc>
              <w:tc>
                <w:tcPr>
                  <w:tcW w:w="1991"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39568538.431</w:t>
                  </w:r>
                </w:p>
              </w:tc>
              <w:tc>
                <w:tcPr>
                  <w:tcW w:w="1880"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4643509.393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J</w:t>
                  </w:r>
                  <w:r>
                    <w:rPr>
                      <w:rFonts w:hint="eastAsia"/>
                      <w:color w:val="000000" w:themeColor="text1"/>
                      <w:szCs w:val="21"/>
                      <w:highlight w:val="none"/>
                      <w14:textFill>
                        <w14:solidFill>
                          <w14:schemeClr w14:val="tx1"/>
                        </w14:solidFill>
                      </w14:textFill>
                    </w:rPr>
                    <w:t>2</w:t>
                  </w:r>
                </w:p>
              </w:tc>
              <w:tc>
                <w:tcPr>
                  <w:tcW w:w="1991"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39568683.431</w:t>
                  </w:r>
                </w:p>
              </w:tc>
              <w:tc>
                <w:tcPr>
                  <w:tcW w:w="1880"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4643509.393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J</w:t>
                  </w:r>
                  <w:r>
                    <w:rPr>
                      <w:rFonts w:hint="eastAsia"/>
                      <w:color w:val="000000" w:themeColor="text1"/>
                      <w:szCs w:val="21"/>
                      <w:highlight w:val="none"/>
                      <w14:textFill>
                        <w14:solidFill>
                          <w14:schemeClr w14:val="tx1"/>
                        </w14:solidFill>
                      </w14:textFill>
                    </w:rPr>
                    <w:t>3</w:t>
                  </w:r>
                </w:p>
              </w:tc>
              <w:tc>
                <w:tcPr>
                  <w:tcW w:w="1991"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39568683.431</w:t>
                  </w:r>
                </w:p>
              </w:tc>
              <w:tc>
                <w:tcPr>
                  <w:tcW w:w="1880"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4643429.393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8" w:hRule="atLeast"/>
                <w:jc w:val="center"/>
              </w:trPr>
              <w:tc>
                <w:tcPr>
                  <w:tcW w:w="1128"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J</w:t>
                  </w:r>
                  <w:r>
                    <w:rPr>
                      <w:rFonts w:hint="eastAsia"/>
                      <w:color w:val="000000" w:themeColor="text1"/>
                      <w:szCs w:val="21"/>
                      <w:highlight w:val="none"/>
                      <w14:textFill>
                        <w14:solidFill>
                          <w14:schemeClr w14:val="tx1"/>
                        </w14:solidFill>
                      </w14:textFill>
                    </w:rPr>
                    <w:t>4</w:t>
                  </w:r>
                </w:p>
              </w:tc>
              <w:tc>
                <w:tcPr>
                  <w:tcW w:w="1991"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39568538.431</w:t>
                  </w:r>
                </w:p>
              </w:tc>
              <w:tc>
                <w:tcPr>
                  <w:tcW w:w="1880" w:type="pct"/>
                  <w:tcBorders>
                    <w:tl2br w:val="nil"/>
                    <w:tr2bl w:val="nil"/>
                  </w:tcBorders>
                  <w:shd w:val="clear" w:color="auto" w:fill="auto"/>
                  <w:noWrap/>
                  <w:vAlign w:val="center"/>
                </w:tcPr>
                <w:p>
                  <w:pPr>
                    <w:pStyle w:val="2"/>
                    <w:ind w:firstLine="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4643429.393</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6</w:t>
            </w:r>
            <w:r>
              <w:rPr>
                <w:rFonts w:hint="eastAsia" w:ascii="Times New Roman"/>
                <w:color w:val="000000" w:themeColor="text1"/>
                <w:sz w:val="24"/>
                <w:szCs w:val="24"/>
                <w:highlight w:val="none"/>
                <w14:textFill>
                  <w14:solidFill>
                    <w14:schemeClr w14:val="tx1"/>
                  </w14:solidFill>
                </w14:textFill>
              </w:rPr>
              <w:t>、平面布置</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升压站主要分为</w:t>
            </w:r>
            <w:r>
              <w:rPr>
                <w:rFonts w:hint="eastAsia" w:ascii="Times New Roman"/>
                <w:color w:val="000000" w:themeColor="text1"/>
                <w:sz w:val="24"/>
                <w:szCs w:val="24"/>
                <w:highlight w:val="none"/>
                <w:lang w:val="en-US" w:eastAsia="zh-CN"/>
                <w14:textFill>
                  <w14:solidFill>
                    <w14:schemeClr w14:val="tx1"/>
                  </w14:solidFill>
                </w14:textFill>
              </w:rPr>
              <w:t>两</w:t>
            </w:r>
            <w:r>
              <w:rPr>
                <w:rFonts w:hint="eastAsia" w:ascii="Times New Roman"/>
                <w:color w:val="000000" w:themeColor="text1"/>
                <w:sz w:val="24"/>
                <w:szCs w:val="24"/>
                <w:highlight w:val="none"/>
                <w14:textFill>
                  <w14:solidFill>
                    <w14:schemeClr w14:val="tx1"/>
                  </w14:solidFill>
                </w14:textFill>
              </w:rPr>
              <w:t>个区域。生活区位于站区东侧，主要布置：综合楼、综合水泵房及辅房</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危废间</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污水处理设施</w:t>
            </w:r>
            <w:r>
              <w:rPr>
                <w:rFonts w:hint="eastAsia" w:ascii="Times New Roman"/>
                <w:color w:val="000000" w:themeColor="text1"/>
                <w:sz w:val="24"/>
                <w:szCs w:val="24"/>
                <w:highlight w:val="none"/>
                <w14:textFill>
                  <w14:solidFill>
                    <w14:schemeClr w14:val="tx1"/>
                  </w14:solidFill>
                </w14:textFill>
              </w:rPr>
              <w:t>等；生产区位于生活区西侧，主要布置：主变压器、SVG、接地变、GIS、35kV及站用电预制舱、二次舱</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事故油池</w:t>
            </w:r>
            <w:r>
              <w:rPr>
                <w:rFonts w:hint="eastAsia" w:ascii="Times New Roman"/>
                <w:color w:val="000000" w:themeColor="text1"/>
                <w:sz w:val="24"/>
                <w:szCs w:val="24"/>
                <w:highlight w:val="none"/>
                <w14:textFill>
                  <w14:solidFill>
                    <w14:schemeClr w14:val="tx1"/>
                  </w14:solidFill>
                </w14:textFill>
              </w:rPr>
              <w:t>等。站区大门设置在站区南侧，进站道路由南侧县乡道路引接。</w:t>
            </w:r>
            <w:r>
              <w:rPr>
                <w:rFonts w:hint="eastAsia" w:ascii="Times New Roman"/>
                <w:bCs/>
                <w:color w:val="000000" w:themeColor="text1"/>
                <w:sz w:val="24"/>
                <w:szCs w:val="24"/>
                <w:highlight w:val="none"/>
                <w14:textFill>
                  <w14:solidFill>
                    <w14:schemeClr w14:val="tx1"/>
                  </w14:solidFill>
                </w14:textFill>
              </w:rPr>
              <w:t>本项目</w:t>
            </w:r>
            <w:r>
              <w:rPr>
                <w:rFonts w:ascii="Times New Roman"/>
                <w:bCs/>
                <w:color w:val="000000" w:themeColor="text1"/>
                <w:sz w:val="24"/>
                <w:szCs w:val="24"/>
                <w:highlight w:val="none"/>
                <w14:textFill>
                  <w14:solidFill>
                    <w14:schemeClr w14:val="tx1"/>
                  </w14:solidFill>
                </w14:textFill>
              </w:rPr>
              <w:t>平面布置见附图3。</w:t>
            </w:r>
          </w:p>
          <w:p>
            <w:pPr>
              <w:snapToGrid w:val="0"/>
              <w:spacing w:line="360" w:lineRule="auto"/>
              <w:ind w:firstLine="480" w:firstLineChars="200"/>
              <w:rPr>
                <w:rFonts w:ascii="Times New Roman"/>
                <w:bCs/>
                <w:color w:val="000000" w:themeColor="text1"/>
                <w:sz w:val="24"/>
                <w:szCs w:val="24"/>
                <w:highlight w:val="none"/>
                <w14:textFill>
                  <w14:solidFill>
                    <w14:schemeClr w14:val="tx1"/>
                  </w14:solidFill>
                </w14:textFill>
              </w:rPr>
            </w:pPr>
            <w:r>
              <w:rPr>
                <w:rFonts w:hint="eastAsia" w:ascii="Times New Roman"/>
                <w:bCs/>
                <w:color w:val="000000" w:themeColor="text1"/>
                <w:sz w:val="24"/>
                <w:szCs w:val="24"/>
                <w:highlight w:val="none"/>
                <w14:textFill>
                  <w14:solidFill>
                    <w14:schemeClr w14:val="tx1"/>
                  </w14:solidFill>
                </w14:textFill>
              </w:rPr>
              <w:t>7</w:t>
            </w:r>
            <w:r>
              <w:rPr>
                <w:rFonts w:ascii="Times New Roman"/>
                <w:bCs/>
                <w:color w:val="000000" w:themeColor="text1"/>
                <w:sz w:val="24"/>
                <w:szCs w:val="24"/>
                <w:highlight w:val="none"/>
                <w14:textFill>
                  <w14:solidFill>
                    <w14:schemeClr w14:val="tx1"/>
                  </w14:solidFill>
                </w14:textFill>
              </w:rPr>
              <w:t>、项目占地</w:t>
            </w:r>
          </w:p>
          <w:p>
            <w:pPr>
              <w:spacing w:line="360" w:lineRule="auto"/>
              <w:ind w:firstLine="480" w:firstLineChars="200"/>
              <w:rPr>
                <w:rFonts w:hint="eastAsia" w:ascii="Times New Roman" w:eastAsia="宋体"/>
                <w:color w:val="000000" w:themeColor="text1"/>
                <w:sz w:val="24"/>
                <w:highlight w:val="none"/>
                <w:lang w:eastAsia="zh-CN"/>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1</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永久占地</w:t>
            </w:r>
          </w:p>
          <w:p>
            <w:pPr>
              <w:spacing w:line="360" w:lineRule="auto"/>
              <w:ind w:firstLine="480" w:firstLineChars="200"/>
              <w:rPr>
                <w:rFonts w:hint="eastAsia" w:ascii="Times New Roman"/>
                <w:color w:val="000000" w:themeColor="text1"/>
                <w:sz w:val="24"/>
                <w:szCs w:val="24"/>
                <w:highlight w:val="none"/>
                <w:lang w:bidi="ar"/>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本项目永久占地为</w:t>
            </w:r>
            <w:r>
              <w:rPr>
                <w:rFonts w:hint="eastAsia" w:ascii="Times New Roman"/>
                <w:color w:val="000000" w:themeColor="text1"/>
                <w:sz w:val="24"/>
                <w:highlight w:val="none"/>
                <w:lang w:val="en-US" w:eastAsia="zh-CN"/>
                <w14:textFill>
                  <w14:solidFill>
                    <w14:schemeClr w14:val="tx1"/>
                  </w14:solidFill>
                </w14:textFill>
              </w:rPr>
              <w:t>升压站</w:t>
            </w:r>
            <w:r>
              <w:rPr>
                <w:rFonts w:hint="eastAsia" w:ascii="Times New Roman"/>
                <w:color w:val="000000" w:themeColor="text1"/>
                <w:sz w:val="24"/>
                <w:highlight w:val="none"/>
                <w14:textFill>
                  <w14:solidFill>
                    <w14:schemeClr w14:val="tx1"/>
                  </w14:solidFill>
                </w14:textFill>
              </w:rPr>
              <w:t>占地，</w:t>
            </w:r>
            <w:r>
              <w:rPr>
                <w:rFonts w:hint="eastAsia" w:ascii="Times New Roman"/>
                <w:color w:val="000000" w:themeColor="text1"/>
                <w:sz w:val="24"/>
                <w:highlight w:val="none"/>
                <w:lang w:val="en-US" w:eastAsia="zh-CN"/>
                <w14:textFill>
                  <w14:solidFill>
                    <w14:schemeClr w14:val="tx1"/>
                  </w14:solidFill>
                </w14:textFill>
              </w:rPr>
              <w:t>占地面积11600</w:t>
            </w:r>
            <w:r>
              <w:rPr>
                <w:rFonts w:hint="default" w:ascii="Times New Roman" w:hAnsi="Times New Roman" w:cs="Times New Roman"/>
                <w:color w:val="000000" w:themeColor="text1"/>
                <w:sz w:val="24"/>
                <w:szCs w:val="24"/>
                <w:highlight w:val="none"/>
                <w14:textFill>
                  <w14:solidFill>
                    <w14:schemeClr w14:val="tx1"/>
                  </w14:solidFill>
                </w14:textFill>
              </w:rPr>
              <w:t>m</w:t>
            </w:r>
            <w:r>
              <w:rPr>
                <w:rFonts w:hint="default" w:ascii="Times New Roman" w:hAnsi="Times New Roman" w:cs="Times New Roman"/>
                <w:color w:val="000000" w:themeColor="text1"/>
                <w:sz w:val="24"/>
                <w:szCs w:val="24"/>
                <w:highlight w:val="none"/>
                <w:vertAlign w:val="superscript"/>
                <w14:textFill>
                  <w14:solidFill>
                    <w14:schemeClr w14:val="tx1"/>
                  </w14:solidFill>
                </w14:textFill>
              </w:rPr>
              <w:t>2</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围墙内</w:t>
            </w:r>
            <w:r>
              <w:rPr>
                <w:rFonts w:hint="eastAsia" w:ascii="Times New Roman"/>
                <w:color w:val="000000" w:themeColor="text1"/>
                <w:sz w:val="24"/>
                <w:szCs w:val="24"/>
                <w:highlight w:val="none"/>
                <w:lang w:bidi="ar"/>
                <w14:textFill>
                  <w14:solidFill>
                    <w14:schemeClr w14:val="tx1"/>
                  </w14:solidFill>
                </w14:textFill>
              </w:rPr>
              <w:t>占地面积约</w:t>
            </w:r>
            <w:r>
              <w:rPr>
                <w:rFonts w:hint="eastAsia" w:ascii="Times New Roman"/>
                <w:bCs/>
                <w:color w:val="000000" w:themeColor="text1"/>
                <w:sz w:val="24"/>
                <w:szCs w:val="24"/>
                <w:highlight w:val="none"/>
                <w:lang w:val="en-US" w:eastAsia="zh-CN"/>
                <w14:textFill>
                  <w14:solidFill>
                    <w14:schemeClr w14:val="tx1"/>
                  </w14:solidFill>
                </w14:textFill>
              </w:rPr>
              <w:t>10716</w:t>
            </w:r>
            <w:r>
              <w:rPr>
                <w:rFonts w:hint="eastAsia" w:ascii="Times New Roman"/>
                <w:color w:val="000000" w:themeColor="text1"/>
                <w:sz w:val="24"/>
                <w:szCs w:val="24"/>
                <w:highlight w:val="none"/>
                <w:lang w:bidi="ar"/>
                <w14:textFill>
                  <w14:solidFill>
                    <w14:schemeClr w14:val="tx1"/>
                  </w14:solidFill>
                </w14:textFill>
              </w:rPr>
              <w:t>m</w:t>
            </w:r>
            <w:r>
              <w:rPr>
                <w:rFonts w:hint="eastAsia" w:ascii="Times New Roman"/>
                <w:color w:val="000000" w:themeColor="text1"/>
                <w:sz w:val="24"/>
                <w:szCs w:val="24"/>
                <w:highlight w:val="none"/>
                <w:vertAlign w:val="superscript"/>
                <w:lang w:bidi="ar"/>
                <w14:textFill>
                  <w14:solidFill>
                    <w14:schemeClr w14:val="tx1"/>
                  </w14:solidFill>
                </w14:textFill>
              </w:rPr>
              <w:t>2</w:t>
            </w:r>
            <w:r>
              <w:rPr>
                <w:rFonts w:hint="eastAsia" w:ascii="Times New Roman"/>
                <w:color w:val="000000" w:themeColor="text1"/>
                <w:sz w:val="24"/>
                <w:szCs w:val="24"/>
                <w:highlight w:val="none"/>
                <w:lang w:bidi="ar"/>
                <w14:textFill>
                  <w14:solidFill>
                    <w14:schemeClr w14:val="tx1"/>
                  </w14:solidFill>
                </w14:textFill>
              </w:rPr>
              <w:t>。</w:t>
            </w:r>
          </w:p>
          <w:p>
            <w:pPr>
              <w:spacing w:line="360" w:lineRule="auto"/>
              <w:ind w:firstLine="480" w:firstLineChars="200"/>
              <w:rPr>
                <w:rFonts w:hint="eastAsia" w:ascii="Times New Roman" w:eastAsia="宋体"/>
                <w:color w:val="000000" w:themeColor="text1"/>
                <w:sz w:val="24"/>
                <w:highlight w:val="none"/>
                <w:lang w:eastAsia="zh-CN"/>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2</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临时占地</w:t>
            </w:r>
          </w:p>
          <w:p>
            <w:pPr>
              <w:spacing w:line="360" w:lineRule="auto"/>
              <w:ind w:firstLine="480" w:firstLineChars="200"/>
              <w:rPr>
                <w:rFonts w:hint="eastAsia"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val="en-US" w:eastAsia="zh-CN"/>
                <w14:textFill>
                  <w14:solidFill>
                    <w14:schemeClr w14:val="tx1"/>
                  </w14:solidFill>
                </w14:textFill>
              </w:rPr>
              <w:t>项目</w:t>
            </w:r>
            <w:r>
              <w:rPr>
                <w:rFonts w:hint="eastAsia" w:ascii="Times New Roman"/>
                <w:color w:val="000000" w:themeColor="text1"/>
                <w:sz w:val="24"/>
                <w:highlight w:val="none"/>
                <w14:textFill>
                  <w14:solidFill>
                    <w14:schemeClr w14:val="tx1"/>
                  </w14:solidFill>
                </w14:textFill>
              </w:rPr>
              <w:t>不设施工人员食宿营地，施工生产用项目部办公室(临时板房)设置在升压站占地范围内</w:t>
            </w:r>
            <w:r>
              <w:rPr>
                <w:rFonts w:hint="eastAsia" w:ascii="Times New Roman"/>
                <w:color w:val="000000" w:themeColor="text1"/>
                <w:sz w:val="24"/>
                <w:highlight w:val="none"/>
                <w:lang w:eastAsia="zh-CN"/>
                <w14:textFill>
                  <w14:solidFill>
                    <w14:schemeClr w14:val="tx1"/>
                  </w14:solidFill>
                </w14:textFill>
              </w:rPr>
              <w:t>，不新增施工占地</w:t>
            </w:r>
            <w:r>
              <w:rPr>
                <w:rFonts w:hint="eastAsia" w:ascii="Times New Roman"/>
                <w:color w:val="000000" w:themeColor="text1"/>
                <w:sz w:val="24"/>
                <w:highlight w:val="none"/>
                <w14:textFill>
                  <w14:solidFill>
                    <w14:schemeClr w14:val="tx1"/>
                  </w14:solidFill>
                </w14:textFill>
              </w:rPr>
              <w:t>。</w:t>
            </w:r>
          </w:p>
          <w:p>
            <w:pPr>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3</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土石方平衡</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w:t>
            </w:r>
            <w:r>
              <w:rPr>
                <w:rFonts w:hint="eastAsia" w:ascii="Times New Roman"/>
                <w:color w:val="000000" w:themeColor="text1"/>
                <w:sz w:val="24"/>
                <w:szCs w:val="24"/>
                <w:highlight w:val="none"/>
                <w:lang w:val="en-US" w:eastAsia="zh-CN"/>
                <w14:textFill>
                  <w14:solidFill>
                    <w14:schemeClr w14:val="tx1"/>
                  </w14:solidFill>
                </w14:textFill>
              </w:rPr>
              <w:t>升压站土石方平衡见下表</w:t>
            </w:r>
            <w:r>
              <w:rPr>
                <w:rFonts w:hint="eastAsia" w:ascii="Times New Roman"/>
                <w:color w:val="000000" w:themeColor="text1"/>
                <w:sz w:val="24"/>
                <w:szCs w:val="24"/>
                <w:highlight w:val="none"/>
                <w14:textFill>
                  <w14:solidFill>
                    <w14:schemeClr w14:val="tx1"/>
                  </w14:solidFill>
                </w14:textFill>
              </w:rPr>
              <w:t>。</w:t>
            </w:r>
          </w:p>
          <w:p>
            <w:pPr>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表2-3  升压站土石方平衡一览表    单位m</w:t>
            </w:r>
            <w:r>
              <w:rPr>
                <w:rFonts w:hint="eastAsia" w:ascii="Times New Roman" w:hAnsi="Times New Roman" w:eastAsia="宋体" w:cs="Times New Roman"/>
                <w:b/>
                <w:bCs/>
                <w:color w:val="000000" w:themeColor="text1"/>
                <w:sz w:val="24"/>
                <w:szCs w:val="24"/>
                <w:highlight w:val="none"/>
                <w:vertAlign w:val="superscript"/>
                <w:lang w:val="en-US" w:eastAsia="zh-CN"/>
                <w14:textFill>
                  <w14:solidFill>
                    <w14:schemeClr w14:val="tx1"/>
                  </w14:solidFill>
                </w14:textFill>
              </w:rPr>
              <w:t>3</w:t>
            </w:r>
          </w:p>
          <w:tbl>
            <w:tblPr>
              <w:tblStyle w:val="53"/>
              <w:tblW w:w="79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43"/>
              <w:gridCol w:w="635"/>
              <w:gridCol w:w="1539"/>
              <w:gridCol w:w="700"/>
              <w:gridCol w:w="700"/>
              <w:gridCol w:w="734"/>
              <w:gridCol w:w="795"/>
              <w:gridCol w:w="832"/>
              <w:gridCol w:w="657"/>
              <w:gridCol w:w="9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360" w:type="pct"/>
                  <w:gridSpan w:val="2"/>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项目</w:t>
                  </w:r>
                </w:p>
              </w:tc>
              <w:tc>
                <w:tcPr>
                  <w:tcW w:w="43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土方</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开挖</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量</w:t>
                  </w:r>
                </w:p>
              </w:tc>
              <w:tc>
                <w:tcPr>
                  <w:tcW w:w="437"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土石方</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回填量</w:t>
                  </w:r>
                </w:p>
              </w:tc>
              <w:tc>
                <w:tcPr>
                  <w:tcW w:w="459"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余方</w:t>
                  </w:r>
                </w:p>
              </w:tc>
              <w:tc>
                <w:tcPr>
                  <w:tcW w:w="1018"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调出</w:t>
                  </w:r>
                </w:p>
              </w:tc>
              <w:tc>
                <w:tcPr>
                  <w:tcW w:w="1009" w:type="pct"/>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调入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1360" w:type="pct"/>
                  <w:gridSpan w:val="2"/>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3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5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p>
              </w:tc>
              <w:tc>
                <w:tcPr>
                  <w:tcW w:w="49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5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去向</w:t>
                  </w:r>
                </w:p>
              </w:tc>
              <w:tc>
                <w:tcPr>
                  <w:tcW w:w="411"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数量</w:t>
                  </w:r>
                </w:p>
              </w:tc>
              <w:tc>
                <w:tcPr>
                  <w:tcW w:w="59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w:t>
                  </w:r>
                </w:p>
              </w:tc>
              <w:tc>
                <w:tcPr>
                  <w:tcW w:w="39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220kV升压站</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工程</w:t>
                  </w: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35kV预制舱</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730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270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460</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460</w:t>
                  </w:r>
                </w:p>
              </w:tc>
              <w:tc>
                <w:tcPr>
                  <w:tcW w:w="520"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风电场区场地平整及道路建设使用</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主变压器基础工程</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150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75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75</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主变架构及基础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166</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123</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220kV进线架构及基础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166</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123</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220kV出线架构及基础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166</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123</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43</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SVG集装箱基础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160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40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120</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SVG电抗器</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140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105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接地变</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90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45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45</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电缆沟</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680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150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530</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530</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端子箱、检修箱设备基础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8</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站用变</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30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13</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17</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独立避雷针及基础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100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70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电压互感器支架基础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3</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避雷器支架基础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18</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9</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中性点成套装置</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5</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2</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27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w:t>
                  </w:r>
                </w:p>
              </w:tc>
              <w:tc>
                <w:tcPr>
                  <w:tcW w:w="39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96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GIS基础</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880</w:t>
                  </w:r>
                </w:p>
              </w:tc>
              <w:tc>
                <w:tcPr>
                  <w:tcW w:w="43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460</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420</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420</w:t>
                  </w:r>
                </w:p>
              </w:tc>
              <w:tc>
                <w:tcPr>
                  <w:tcW w:w="520"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637" w:type="pct"/>
                  <w:gridSpan w:val="3"/>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3504</w:t>
                  </w:r>
                </w:p>
              </w:tc>
              <w:tc>
                <w:tcPr>
                  <w:tcW w:w="43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1617.5</w:t>
                  </w:r>
                </w:p>
              </w:tc>
              <w:tc>
                <w:tcPr>
                  <w:tcW w:w="4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1886.5</w:t>
                  </w:r>
                </w:p>
              </w:tc>
              <w:tc>
                <w:tcPr>
                  <w:tcW w:w="497"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1886.5</w:t>
                  </w:r>
                </w:p>
              </w:tc>
              <w:tc>
                <w:tcPr>
                  <w:tcW w:w="520"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2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411"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lang w:val="en-US" w:eastAsia="zh-CN"/>
                      <w14:textFill>
                        <w14:solidFill>
                          <w14:schemeClr w14:val="tx1"/>
                        </w14:solidFill>
                      </w14:textFill>
                    </w:rPr>
                    <w:t>0</w:t>
                  </w:r>
                </w:p>
              </w:tc>
              <w:tc>
                <w:tcPr>
                  <w:tcW w:w="59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320" w:lineRule="exact"/>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cs="Times New Roman"/>
                      <w:color w:val="000000" w:themeColor="text1"/>
                      <w:kern w:val="0"/>
                      <w:sz w:val="21"/>
                      <w:szCs w:val="21"/>
                      <w:highlight w:val="none"/>
                      <w:lang w:val="en-US" w:eastAsia="zh-CN" w:bidi="ar"/>
                      <w14:textFill>
                        <w14:solidFill>
                          <w14:schemeClr w14:val="tx1"/>
                        </w14:solidFill>
                      </w14:textFill>
                    </w:rPr>
                    <w:t>/</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8</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项目投资：</w:t>
            </w:r>
            <w:r>
              <w:rPr>
                <w:rFonts w:hint="eastAsia" w:ascii="Times New Roman"/>
                <w:color w:val="000000" w:themeColor="text1"/>
                <w:sz w:val="24"/>
                <w:szCs w:val="24"/>
                <w:highlight w:val="none"/>
                <w:lang w:val="en-US" w:eastAsia="zh-CN"/>
                <w14:textFill>
                  <w14:solidFill>
                    <w14:schemeClr w14:val="tx1"/>
                  </w14:solidFill>
                </w14:textFill>
              </w:rPr>
              <w:t>由于升压站站址变更，在项目设计阶段，升压站内平面布置总体进行了细化，考虑了调相机投资，因该设备投资较大，且在升压站设计阶段重新考虑了升压站总体布局，导致投资额发生变化。经重新核算，</w:t>
            </w:r>
            <w:r>
              <w:rPr>
                <w:rFonts w:ascii="Times New Roman"/>
                <w:color w:val="000000" w:themeColor="text1"/>
                <w:sz w:val="24"/>
                <w:szCs w:val="24"/>
                <w:highlight w:val="none"/>
                <w14:textFill>
                  <w14:solidFill>
                    <w14:schemeClr w14:val="tx1"/>
                  </w14:solidFill>
                </w14:textFill>
              </w:rPr>
              <w:t>本项目</w:t>
            </w:r>
            <w:r>
              <w:rPr>
                <w:rFonts w:hint="eastAsia" w:ascii="Times New Roman"/>
                <w:color w:val="000000" w:themeColor="text1"/>
                <w:sz w:val="24"/>
                <w:szCs w:val="24"/>
                <w:highlight w:val="none"/>
                <w:lang w:val="en-US" w:eastAsia="zh-CN"/>
                <w14:textFill>
                  <w14:solidFill>
                    <w14:schemeClr w14:val="tx1"/>
                  </w14:solidFill>
                </w14:textFill>
              </w:rPr>
              <w:t>升压站投资变更为</w:t>
            </w:r>
            <w:r>
              <w:rPr>
                <w:rFonts w:ascii="Times New Roman"/>
                <w:color w:val="000000" w:themeColor="text1"/>
                <w:sz w:val="24"/>
                <w:szCs w:val="24"/>
                <w:highlight w:val="none"/>
                <w14:textFill>
                  <w14:solidFill>
                    <w14:schemeClr w14:val="tx1"/>
                  </w14:solidFill>
                </w14:textFill>
              </w:rPr>
              <w:t>总投资</w:t>
            </w:r>
            <w:r>
              <w:rPr>
                <w:rFonts w:hint="eastAsia" w:ascii="Times New Roman"/>
                <w:color w:val="000000" w:themeColor="text1"/>
                <w:sz w:val="24"/>
                <w:szCs w:val="24"/>
                <w:highlight w:val="none"/>
                <w:lang w:val="en-US" w:eastAsia="zh-CN"/>
                <w14:textFill>
                  <w14:solidFill>
                    <w14:schemeClr w14:val="tx1"/>
                  </w14:solidFill>
                </w14:textFill>
              </w:rPr>
              <w:t>77</w:t>
            </w:r>
            <w:r>
              <w:rPr>
                <w:rFonts w:hint="eastAsia" w:ascii="Times New Roman"/>
                <w:color w:val="000000" w:themeColor="text1"/>
                <w:sz w:val="24"/>
                <w:szCs w:val="24"/>
                <w:highlight w:val="none"/>
                <w14:textFill>
                  <w14:solidFill>
                    <w14:schemeClr w14:val="tx1"/>
                  </w14:solidFill>
                </w14:textFill>
              </w:rPr>
              <w:t>00</w:t>
            </w:r>
            <w:r>
              <w:rPr>
                <w:rFonts w:ascii="Times New Roman"/>
                <w:color w:val="000000" w:themeColor="text1"/>
                <w:sz w:val="24"/>
                <w:szCs w:val="24"/>
                <w:highlight w:val="none"/>
                <w14:textFill>
                  <w14:solidFill>
                    <w14:schemeClr w14:val="tx1"/>
                  </w14:solidFill>
                </w14:textFill>
              </w:rPr>
              <w:t>万元，环保投资</w:t>
            </w:r>
            <w:r>
              <w:rPr>
                <w:rFonts w:hint="eastAsia" w:ascii="Times New Roman"/>
                <w:color w:val="000000" w:themeColor="text1"/>
                <w:sz w:val="24"/>
                <w:szCs w:val="24"/>
                <w:highlight w:val="none"/>
                <w:lang w:val="en-US" w:eastAsia="zh-CN"/>
                <w14:textFill>
                  <w14:solidFill>
                    <w14:schemeClr w14:val="tx1"/>
                  </w14:solidFill>
                </w14:textFill>
              </w:rPr>
              <w:t>70</w:t>
            </w:r>
            <w:r>
              <w:rPr>
                <w:rFonts w:ascii="Times New Roman"/>
                <w:color w:val="000000" w:themeColor="text1"/>
                <w:sz w:val="24"/>
                <w:szCs w:val="24"/>
                <w:highlight w:val="none"/>
                <w14:textFill>
                  <w14:solidFill>
                    <w14:schemeClr w14:val="tx1"/>
                  </w14:solidFill>
                </w14:textFill>
              </w:rPr>
              <w:t>万元，环保投资占总投资的</w:t>
            </w:r>
            <w:r>
              <w:rPr>
                <w:rFonts w:hint="eastAsia" w:ascii="Times New Roman"/>
                <w:color w:val="000000" w:themeColor="text1"/>
                <w:sz w:val="24"/>
                <w:szCs w:val="24"/>
                <w:highlight w:val="none"/>
                <w:lang w:val="en-US" w:eastAsia="zh-CN"/>
                <w14:textFill>
                  <w14:solidFill>
                    <w14:schemeClr w14:val="tx1"/>
                  </w14:solidFill>
                </w14:textFill>
              </w:rPr>
              <w:t>0.91</w:t>
            </w:r>
            <w:r>
              <w:rPr>
                <w:rFonts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9</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劳动定员及工作制度：项目日常驻站人员为</w:t>
            </w:r>
            <w:r>
              <w:rPr>
                <w:rFonts w:hint="eastAsia" w:ascii="Times New Roman"/>
                <w:color w:val="000000" w:themeColor="text1"/>
                <w:sz w:val="24"/>
                <w:szCs w:val="24"/>
                <w:highlight w:val="none"/>
                <w:lang w:val="en-US" w:eastAsia="zh-CN"/>
                <w14:textFill>
                  <w14:solidFill>
                    <w14:schemeClr w14:val="tx1"/>
                  </w14:solidFill>
                </w14:textFill>
              </w:rPr>
              <w:t>8</w:t>
            </w:r>
            <w:r>
              <w:rPr>
                <w:rFonts w:ascii="Times New Roman"/>
                <w:color w:val="000000" w:themeColor="text1"/>
                <w:sz w:val="24"/>
                <w:szCs w:val="24"/>
                <w:highlight w:val="none"/>
                <w14:textFill>
                  <w14:solidFill>
                    <w14:schemeClr w14:val="tx1"/>
                  </w14:solidFill>
                </w14:textFill>
              </w:rPr>
              <w:t>人，负责升压站运行和日常维护工作。</w:t>
            </w:r>
            <w:r>
              <w:rPr>
                <w:rFonts w:hint="eastAsia" w:ascii="Times New Roman"/>
                <w:color w:val="000000" w:themeColor="text1"/>
                <w:sz w:val="24"/>
                <w:szCs w:val="24"/>
                <w:highlight w:val="none"/>
                <w:lang w:val="en-US" w:eastAsia="zh-CN"/>
                <w14:textFill>
                  <w14:solidFill>
                    <w14:schemeClr w14:val="tx1"/>
                  </w14:solidFill>
                </w14:textFill>
              </w:rPr>
              <w:t>每天运行</w:t>
            </w:r>
            <w:r>
              <w:rPr>
                <w:rFonts w:hint="eastAsia" w:ascii="Times New Roman"/>
                <w:color w:val="000000" w:themeColor="text1"/>
                <w:sz w:val="24"/>
                <w:szCs w:val="24"/>
                <w:highlight w:val="none"/>
                <w14:textFill>
                  <w14:solidFill>
                    <w14:schemeClr w14:val="tx1"/>
                  </w14:solidFill>
                </w14:textFill>
              </w:rPr>
              <w:t>24小时，全年工作365d。</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10、主</w:t>
            </w:r>
            <w:r>
              <w:rPr>
                <w:rFonts w:hint="eastAsia" w:ascii="Times New Roman"/>
                <w:color w:val="000000" w:themeColor="text1"/>
                <w:sz w:val="24"/>
                <w:szCs w:val="24"/>
                <w:highlight w:val="none"/>
                <w:lang w:val="en-US" w:eastAsia="zh-CN"/>
                <w14:textFill>
                  <w14:solidFill>
                    <w14:schemeClr w14:val="tx1"/>
                  </w14:solidFill>
                </w14:textFill>
              </w:rPr>
              <w:t>要设备</w:t>
            </w:r>
            <w:r>
              <w:rPr>
                <w:rFonts w:hint="eastAsia" w:ascii="Times New Roman"/>
                <w:color w:val="000000" w:themeColor="text1"/>
                <w:sz w:val="24"/>
                <w:szCs w:val="24"/>
                <w:highlight w:val="none"/>
                <w14:textFill>
                  <w14:solidFill>
                    <w14:schemeClr w14:val="tx1"/>
                  </w14:solidFill>
                </w14:textFill>
              </w:rPr>
              <w:t>参数</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本项目主要设备</w:t>
            </w:r>
            <w:r>
              <w:rPr>
                <w:rFonts w:ascii="Times New Roman"/>
                <w:color w:val="000000" w:themeColor="text1"/>
                <w:sz w:val="24"/>
                <w:szCs w:val="24"/>
                <w:highlight w:val="none"/>
                <w14:textFill>
                  <w14:solidFill>
                    <w14:schemeClr w14:val="tx1"/>
                  </w14:solidFill>
                </w14:textFill>
              </w:rPr>
              <w:t>见表2-</w:t>
            </w:r>
            <w:r>
              <w:rPr>
                <w:rFonts w:hint="eastAsia" w:ascii="Times New Roman"/>
                <w:color w:val="000000" w:themeColor="text1"/>
                <w:sz w:val="24"/>
                <w:szCs w:val="24"/>
                <w:highlight w:val="none"/>
                <w:lang w:val="en-US" w:eastAsia="zh-CN"/>
                <w14:textFill>
                  <w14:solidFill>
                    <w14:schemeClr w14:val="tx1"/>
                  </w14:solidFill>
                </w14:textFill>
              </w:rPr>
              <w:t>4</w:t>
            </w:r>
            <w:r>
              <w:rPr>
                <w:rFonts w:ascii="Times New Roman"/>
                <w:color w:val="000000" w:themeColor="text1"/>
                <w:sz w:val="24"/>
                <w:szCs w:val="24"/>
                <w:highlight w:val="none"/>
                <w14:textFill>
                  <w14:solidFill>
                    <w14:schemeClr w14:val="tx1"/>
                  </w14:solidFill>
                </w14:textFill>
              </w:rPr>
              <w:t>。</w:t>
            </w:r>
          </w:p>
          <w:p>
            <w:pPr>
              <w:snapToGrid w:val="0"/>
              <w:jc w:val="center"/>
              <w:rPr>
                <w:rFonts w:ascii="Times New Roman"/>
                <w:b/>
                <w:bCs/>
                <w:color w:val="000000" w:themeColor="text1"/>
                <w:sz w:val="24"/>
                <w:szCs w:val="24"/>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表2-</w:t>
            </w:r>
            <w:r>
              <w:rPr>
                <w:rFonts w:hint="eastAsia" w:ascii="Times New Roman"/>
                <w:b/>
                <w:bCs/>
                <w:color w:val="000000" w:themeColor="text1"/>
                <w:sz w:val="24"/>
                <w:szCs w:val="24"/>
                <w:highlight w:val="none"/>
                <w:lang w:val="en-US" w:eastAsia="zh-CN"/>
                <w14:textFill>
                  <w14:solidFill>
                    <w14:schemeClr w14:val="tx1"/>
                  </w14:solidFill>
                </w14:textFill>
              </w:rPr>
              <w:t>4</w:t>
            </w:r>
            <w:r>
              <w:rPr>
                <w:rFonts w:ascii="Times New Roman"/>
                <w:b/>
                <w:bCs/>
                <w:color w:val="000000" w:themeColor="text1"/>
                <w:sz w:val="24"/>
                <w:szCs w:val="24"/>
                <w:highlight w:val="none"/>
                <w14:textFill>
                  <w14:solidFill>
                    <w14:schemeClr w14:val="tx1"/>
                  </w14:solidFill>
                </w14:textFill>
              </w:rPr>
              <w:t xml:space="preserve">  </w:t>
            </w:r>
            <w:r>
              <w:rPr>
                <w:rFonts w:hint="eastAsia" w:ascii="Times New Roman"/>
                <w:b/>
                <w:bCs/>
                <w:color w:val="000000" w:themeColor="text1"/>
                <w:sz w:val="24"/>
                <w:szCs w:val="24"/>
                <w:highlight w:val="none"/>
                <w:lang w:val="en-US" w:eastAsia="zh-CN"/>
                <w14:textFill>
                  <w14:solidFill>
                    <w14:schemeClr w14:val="tx1"/>
                  </w14:solidFill>
                </w14:textFill>
              </w:rPr>
              <w:t>主要设备</w:t>
            </w:r>
            <w:r>
              <w:rPr>
                <w:rFonts w:hint="eastAsia" w:ascii="Times New Roman"/>
                <w:b/>
                <w:bCs/>
                <w:color w:val="000000" w:themeColor="text1"/>
                <w:sz w:val="24"/>
                <w:szCs w:val="24"/>
                <w:highlight w:val="none"/>
                <w14:textFill>
                  <w14:solidFill>
                    <w14:schemeClr w14:val="tx1"/>
                  </w14:solidFill>
                </w14:textFill>
              </w:rPr>
              <w:t>技术参数一览表</w:t>
            </w:r>
          </w:p>
          <w:tbl>
            <w:tblPr>
              <w:tblStyle w:val="5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620"/>
              <w:gridCol w:w="49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54" w:type="pct"/>
                  <w:gridSpan w:val="2"/>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设备名称</w:t>
                  </w:r>
                </w:p>
              </w:tc>
              <w:tc>
                <w:tcPr>
                  <w:tcW w:w="3145" w:type="pc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restar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主变压器</w:t>
                  </w: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类型</w:t>
                  </w:r>
                </w:p>
              </w:tc>
              <w:tc>
                <w:tcPr>
                  <w:tcW w:w="3145" w:type="pct"/>
                  <w:vAlign w:val="center"/>
                </w:tcPr>
                <w:p>
                  <w:pPr>
                    <w:autoSpaceDE w:val="0"/>
                    <w:autoSpaceDN w:val="0"/>
                    <w:jc w:val="center"/>
                    <w:rPr>
                      <w:rFonts w:hint="eastAsia" w:ascii="Times New Roman" w:eastAsia="宋体"/>
                      <w:color w:val="000000" w:themeColor="text1"/>
                      <w:highlight w:val="none"/>
                      <w:lang w:eastAsia="zh-CN"/>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油浸三相双绕组有载调压自冷升压变压器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型号</w:t>
                  </w:r>
                </w:p>
              </w:tc>
              <w:tc>
                <w:tcPr>
                  <w:tcW w:w="3145" w:type="pct"/>
                  <w:vAlign w:val="center"/>
                </w:tcPr>
                <w:p>
                  <w:pPr>
                    <w:autoSpaceDE w:val="0"/>
                    <w:autoSpaceDN w:val="0"/>
                    <w:jc w:val="center"/>
                    <w:rPr>
                      <w:rFonts w:hint="eastAsia" w:ascii="Times New Roman"/>
                      <w:color w:val="000000" w:themeColor="text1"/>
                      <w:highlight w:val="none"/>
                      <w:lang w:eastAsia="zh-CN"/>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SZ18-100000/220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hint="eastAsia" w:ascii="Times New Roman" w:eastAsia="宋体"/>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电压</w:t>
                  </w:r>
                  <w:r>
                    <w:rPr>
                      <w:rFonts w:hint="eastAsia" w:ascii="Times New Roman"/>
                      <w:color w:val="000000" w:themeColor="text1"/>
                      <w:highlight w:val="none"/>
                      <w:lang w:val="en-US" w:eastAsia="zh-CN"/>
                      <w14:textFill>
                        <w14:solidFill>
                          <w14:schemeClr w14:val="tx1"/>
                        </w14:solidFill>
                      </w14:textFill>
                    </w:rPr>
                    <w:t>比</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230±8×1.25%/37kV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w:t>
                  </w:r>
                  <w:r>
                    <w:rPr>
                      <w:rFonts w:ascii="Times New Roman"/>
                      <w:color w:val="000000" w:themeColor="text1"/>
                      <w:highlight w:val="none"/>
                      <w14:textFill>
                        <w14:solidFill>
                          <w14:schemeClr w14:val="tx1"/>
                        </w14:solidFill>
                      </w14:textFill>
                    </w:rPr>
                    <w:t>容量</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10</w:t>
                  </w:r>
                  <w:r>
                    <w:rPr>
                      <w:rFonts w:ascii="Times New Roman"/>
                      <w:color w:val="000000" w:themeColor="text1"/>
                      <w:highlight w:val="none"/>
                      <w14:textFill>
                        <w14:solidFill>
                          <w14:schemeClr w14:val="tx1"/>
                        </w14:solidFill>
                      </w14:textFill>
                    </w:rPr>
                    <w:t>0MVA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阻抗电压</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U</w:t>
                  </w:r>
                  <w:r>
                    <w:rPr>
                      <w:rFonts w:hint="eastAsia" w:ascii="Times New Roman"/>
                      <w:color w:val="000000" w:themeColor="text1"/>
                      <w:highlight w:val="none"/>
                      <w:lang w:val="en-US" w:eastAsia="zh-CN"/>
                      <w14:textFill>
                        <w14:solidFill>
                          <w14:schemeClr w14:val="tx1"/>
                        </w14:solidFill>
                      </w14:textFill>
                    </w:rPr>
                    <w:t>k</w:t>
                  </w:r>
                  <w:r>
                    <w:rPr>
                      <w:rFonts w:ascii="Times New Roman"/>
                      <w:color w:val="000000" w:themeColor="text1"/>
                      <w:highlight w:val="none"/>
                      <w14:textFill>
                        <w14:solidFill>
                          <w14:schemeClr w14:val="tx1"/>
                        </w14:solidFill>
                      </w14:textFill>
                    </w:rPr>
                    <w:t>=1</w:t>
                  </w:r>
                  <w:r>
                    <w:rPr>
                      <w:rFonts w:hint="eastAsia" w:ascii="Times New Roman"/>
                      <w:color w:val="000000" w:themeColor="text1"/>
                      <w:highlight w:val="none"/>
                      <w:lang w:val="en-US" w:eastAsia="zh-CN"/>
                      <w14:textFill>
                        <w14:solidFill>
                          <w14:schemeClr w14:val="tx1"/>
                        </w14:solidFill>
                      </w14:textFill>
                    </w:rPr>
                    <w:t>4</w:t>
                  </w:r>
                  <w:r>
                    <w:rPr>
                      <w:rFonts w:ascii="Times New Roman"/>
                      <w:color w:val="000000" w:themeColor="text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调压方式</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高压侧线端设有载调压分接开关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布置方式</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户外布置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线圈联接组别</w:t>
                  </w:r>
                </w:p>
              </w:tc>
              <w:tc>
                <w:tcPr>
                  <w:tcW w:w="3145" w:type="pct"/>
                  <w:vAlign w:val="center"/>
                </w:tcPr>
                <w:p>
                  <w:pPr>
                    <w:autoSpaceDE w:val="0"/>
                    <w:autoSpaceDN w:val="0"/>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YN，d11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restart"/>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220kV设备</w:t>
                  </w:r>
                </w:p>
              </w:tc>
              <w:tc>
                <w:tcPr>
                  <w:tcW w:w="1024" w:type="pct"/>
                  <w:vMerge w:val="restart"/>
                  <w:vAlign w:val="center"/>
                </w:tcPr>
                <w:p>
                  <w:pPr>
                    <w:autoSpaceDE w:val="0"/>
                    <w:autoSpaceDN w:val="0"/>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220kV高压断路器</w:t>
                  </w: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型式：六氟化硫断路器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最高工作电压：252kV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额定电流：3150A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额定开断电流：50kA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动稳定电流（peak）：125kA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热稳定电流（R.M.S）：50kA，3s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default" w:ascii="Times New Roman"/>
                      <w:color w:val="000000" w:themeColor="text1"/>
                      <w:highlight w:val="none"/>
                      <w:lang w:val="en-US" w:eastAsia="zh-CN"/>
                      <w14:textFill>
                        <w14:solidFill>
                          <w14:schemeClr w14:val="tx1"/>
                        </w14:solidFill>
                      </w14:textFill>
                    </w:rPr>
                    <w:t>220kV</w:t>
                  </w:r>
                  <w:r>
                    <w:rPr>
                      <w:rFonts w:hint="eastAsia" w:ascii="Times New Roman"/>
                      <w:color w:val="000000" w:themeColor="text1"/>
                      <w:highlight w:val="none"/>
                      <w:lang w:val="en-US" w:eastAsia="zh-CN"/>
                      <w14:textFill>
                        <w14:solidFill>
                          <w14:schemeClr w14:val="tx1"/>
                        </w14:solidFill>
                      </w14:textFill>
                    </w:rPr>
                    <w:t>高压隔离开关</w:t>
                  </w: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w:t>
                  </w:r>
                  <w:r>
                    <w:rPr>
                      <w:rFonts w:hint="default" w:ascii="Times New Roman"/>
                      <w:color w:val="000000" w:themeColor="text1"/>
                      <w:highlight w:val="none"/>
                      <w:lang w:val="en-US" w:eastAsia="zh-CN"/>
                      <w14:textFill>
                        <w14:solidFill>
                          <w14:schemeClr w14:val="tx1"/>
                        </w14:solidFill>
                      </w14:textFill>
                    </w:rPr>
                    <w:t>252kV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额定电流：315</w:t>
                  </w:r>
                  <w:r>
                    <w:rPr>
                      <w:rFonts w:hint="default" w:ascii="Times New Roman"/>
                      <w:color w:val="000000" w:themeColor="text1"/>
                      <w:highlight w:val="none"/>
                      <w:lang w:val="en-US" w:eastAsia="zh-CN"/>
                      <w14:textFill>
                        <w14:solidFill>
                          <w14:schemeClr w14:val="tx1"/>
                        </w14:solidFill>
                      </w14:textFill>
                    </w:rPr>
                    <w:t>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额定开断电流：50kA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动稳定电流（peak）：125kA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w:t>
                  </w:r>
                  <w:r>
                    <w:rPr>
                      <w:rFonts w:hint="default" w:ascii="Times New Roman"/>
                      <w:color w:val="000000" w:themeColor="text1"/>
                      <w:highlight w:val="none"/>
                      <w:lang w:val="en-US" w:eastAsia="zh-CN"/>
                      <w14:textFill>
                        <w14:solidFill>
                          <w14:schemeClr w14:val="tx1"/>
                        </w14:solidFill>
                      </w14:textFill>
                    </w:rPr>
                    <w:t>R.M.S</w:t>
                  </w:r>
                  <w:r>
                    <w:rPr>
                      <w:rFonts w:hint="eastAsia" w:ascii="Times New Roman"/>
                      <w:color w:val="000000" w:themeColor="text1"/>
                      <w:highlight w:val="none"/>
                      <w:lang w:val="en-US" w:eastAsia="zh-CN"/>
                      <w14:textFill>
                        <w14:solidFill>
                          <w14:schemeClr w14:val="tx1"/>
                        </w14:solidFill>
                      </w14:textFill>
                    </w:rPr>
                    <w:t>）：</w:t>
                  </w:r>
                  <w:r>
                    <w:rPr>
                      <w:rFonts w:hint="default" w:ascii="Times New Roman"/>
                      <w:color w:val="000000" w:themeColor="text1"/>
                      <w:highlight w:val="none"/>
                      <w:lang w:val="en-US" w:eastAsia="zh-CN"/>
                      <w14:textFill>
                        <w14:solidFill>
                          <w14:schemeClr w14:val="tx1"/>
                        </w14:solidFill>
                      </w14:textFill>
                    </w:rPr>
                    <w:t>50kA</w:t>
                  </w:r>
                  <w:r>
                    <w:rPr>
                      <w:rFonts w:hint="eastAsia" w:ascii="Times New Roman"/>
                      <w:color w:val="000000" w:themeColor="text1"/>
                      <w:highlight w:val="none"/>
                      <w:lang w:val="en-US" w:eastAsia="zh-CN"/>
                      <w14:textFill>
                        <w14:solidFill>
                          <w14:schemeClr w14:val="tx1"/>
                        </w14:solidFill>
                      </w14:textFill>
                    </w:rPr>
                    <w:t>，</w:t>
                  </w:r>
                  <w:r>
                    <w:rPr>
                      <w:rFonts w:hint="default" w:ascii="Times New Roman"/>
                      <w:color w:val="000000" w:themeColor="text1"/>
                      <w:highlight w:val="none"/>
                      <w:lang w:val="en-US" w:eastAsia="zh-CN"/>
                      <w14:textFill>
                        <w14:solidFill>
                          <w14:schemeClr w14:val="tx1"/>
                        </w14:solidFill>
                      </w14:textFill>
                    </w:rPr>
                    <w:t>3s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电流互感器</w:t>
                  </w: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额定电流比：400-1250-2500/1A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准确等级：</w:t>
                  </w:r>
                  <w:r>
                    <w:rPr>
                      <w:rFonts w:hint="default" w:ascii="Times New Roman"/>
                      <w:color w:val="000000" w:themeColor="text1"/>
                      <w:highlight w:val="none"/>
                      <w:lang w:val="en-US" w:eastAsia="zh-CN"/>
                      <w14:textFill>
                        <w14:solidFill>
                          <w14:schemeClr w14:val="tx1"/>
                        </w14:solidFill>
                      </w14:textFill>
                    </w:rPr>
                    <w:t>5P30/5P30/5P30/0.2S/0.2S</w:t>
                  </w:r>
                  <w:r>
                    <w:rPr>
                      <w:rFonts w:hint="eastAsia" w:ascii="Times New Roman"/>
                      <w:color w:val="000000" w:themeColor="text1"/>
                      <w:highlight w:val="none"/>
                      <w:lang w:val="en-US" w:eastAsia="zh-CN"/>
                      <w14:textFill>
                        <w14:solidFill>
                          <w14:schemeClr w14:val="tx1"/>
                        </w14:solidFill>
                      </w14:textFill>
                    </w:rPr>
                    <w:t xml:space="preserve">  </w:t>
                  </w:r>
                  <w:r>
                    <w:rPr>
                      <w:rFonts w:hint="default" w:ascii="Times New Roman"/>
                      <w:color w:val="000000" w:themeColor="text1"/>
                      <w:highlight w:val="none"/>
                      <w:lang w:val="en-US" w:eastAsia="zh-CN"/>
                      <w14:textFill>
                        <w14:solidFill>
                          <w14:schemeClr w14:val="tx1"/>
                        </w14:solidFill>
                      </w14:textFill>
                    </w:rPr>
                    <w:t>5P30/5P30/5P30/5P30/5P30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动稳定电流（peak）：125kA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热稳定电流（R.M.S）：50kA，3s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电压互感器</w:t>
                  </w: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母线PT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w:t>
                  </w:r>
                  <w:r>
                    <w:rPr>
                      <w:rFonts w:hint="eastAsia" w:ascii="Times New Roman"/>
                      <w:color w:val="000000" w:themeColor="text1"/>
                      <w:highlight w:val="none"/>
                      <w14:textFill>
                        <w14:solidFill>
                          <w14:schemeClr w14:val="tx1"/>
                        </w14:solidFill>
                      </w14:textFill>
                    </w:rPr>
                    <w:t>电压比：</w:t>
                  </w:r>
                  <w:r>
                    <w:rPr>
                      <w:rFonts w:hint="eastAsia" w:ascii="Times New Roman"/>
                      <w:color w:val="000000" w:themeColor="text1"/>
                      <w:highlight w:val="none"/>
                      <w:lang w:val="en-US" w:eastAsia="zh-CN"/>
                      <w14:textFill>
                        <w14:solidFill>
                          <w14:schemeClr w14:val="tx1"/>
                        </w14:solidFill>
                      </w14:textFill>
                    </w:rPr>
                    <w:t>220/√3/0.1/√3/0.1/√3/0.1／√3／0.1kV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准确</w:t>
                  </w:r>
                  <w:r>
                    <w:rPr>
                      <w:rFonts w:hint="eastAsia" w:ascii="Times New Roman"/>
                      <w:color w:val="000000" w:themeColor="text1"/>
                      <w:highlight w:val="none"/>
                      <w:lang w:val="en-US" w:eastAsia="zh-CN"/>
                      <w14:textFill>
                        <w14:solidFill>
                          <w14:schemeClr w14:val="tx1"/>
                        </w14:solidFill>
                      </w14:textFill>
                    </w:rPr>
                    <w:t>等级级额定输出</w:t>
                  </w:r>
                  <w:r>
                    <w:rPr>
                      <w:rFonts w:hint="eastAsia" w:ascii="Times New Roman"/>
                      <w:color w:val="000000" w:themeColor="text1"/>
                      <w:highlight w:val="none"/>
                      <w14:textFill>
                        <w14:solidFill>
                          <w14:schemeClr w14:val="tx1"/>
                        </w14:solidFill>
                      </w14:textFill>
                    </w:rPr>
                    <w:t>：0.2/0.2(3P)</w:t>
                  </w:r>
                  <w:r>
                    <w:rPr>
                      <w:rFonts w:hint="eastAsia" w:ascii="Times New Roman"/>
                      <w:color w:val="000000" w:themeColor="text1"/>
                      <w:highlight w:val="none"/>
                      <w:lang w:val="en-US" w:eastAsia="zh-CN"/>
                      <w14:textFill>
                        <w14:solidFill>
                          <w14:schemeClr w14:val="tx1"/>
                        </w14:solidFill>
                      </w14:textFill>
                    </w:rPr>
                    <w:t>/0.2(3P)</w:t>
                  </w:r>
                  <w:r>
                    <w:rPr>
                      <w:rFonts w:hint="eastAsia" w:ascii="Times New Roman"/>
                      <w:color w:val="000000" w:themeColor="text1"/>
                      <w:highlight w:val="none"/>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3</w:t>
                  </w:r>
                  <w:r>
                    <w:rPr>
                      <w:rFonts w:hint="eastAsia" w:ascii="Times New Roman"/>
                      <w:color w:val="000000" w:themeColor="text1"/>
                      <w:highlight w:val="none"/>
                      <w14:textFill>
                        <w14:solidFill>
                          <w14:schemeClr w14:val="tx1"/>
                        </w14:solidFill>
                      </w14:textFill>
                    </w:rPr>
                    <w:t>P</w:t>
                  </w:r>
                  <w:r>
                    <w:rPr>
                      <w:rFonts w:hint="eastAsia" w:ascii="Times New Roman"/>
                      <w:color w:val="000000" w:themeColor="text1"/>
                      <w:highlight w:val="none"/>
                      <w:lang w:val="en-US" w:eastAsia="zh-CN"/>
                      <w14:textFill>
                        <w14:solidFill>
                          <w14:schemeClr w14:val="tx1"/>
                        </w14:solidFill>
                      </w14:textFill>
                    </w:rPr>
                    <w:t>30/30/30/30VA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kern w:val="2"/>
                      <w:sz w:val="21"/>
                      <w:szCs w:val="21"/>
                      <w:highlight w:val="none"/>
                      <w:lang w:val="en-US" w:eastAsia="zh-CN" w:bidi="ar-SA"/>
                      <w14:textFill>
                        <w14:solidFill>
                          <w14:schemeClr w14:val="tx1"/>
                        </w14:solidFill>
                      </w14:textFill>
                    </w:rPr>
                    <w:t>出线PT（户外）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w:t>
                  </w:r>
                  <w:r>
                    <w:rPr>
                      <w:rFonts w:hint="eastAsia" w:ascii="Times New Roman"/>
                      <w:color w:val="000000" w:themeColor="text1"/>
                      <w:highlight w:val="none"/>
                      <w14:textFill>
                        <w14:solidFill>
                          <w14:schemeClr w14:val="tx1"/>
                        </w14:solidFill>
                      </w14:textFill>
                    </w:rPr>
                    <w:t>电压比：</w:t>
                  </w:r>
                  <w:r>
                    <w:rPr>
                      <w:rFonts w:hint="eastAsia" w:ascii="Times New Roman"/>
                      <w:color w:val="000000" w:themeColor="text1"/>
                      <w:highlight w:val="none"/>
                      <w:lang w:val="en-US" w:eastAsia="zh-CN"/>
                      <w14:textFill>
                        <w14:solidFill>
                          <w14:schemeClr w14:val="tx1"/>
                        </w14:solidFill>
                      </w14:textFill>
                    </w:rPr>
                    <w:t>220/√3/0.1/√3/0.1/√3kV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准确</w:t>
                  </w:r>
                  <w:r>
                    <w:rPr>
                      <w:rFonts w:hint="eastAsia" w:ascii="Times New Roman"/>
                      <w:color w:val="000000" w:themeColor="text1"/>
                      <w:highlight w:val="none"/>
                      <w:lang w:val="en-US" w:eastAsia="zh-CN"/>
                      <w14:textFill>
                        <w14:solidFill>
                          <w14:schemeClr w14:val="tx1"/>
                        </w14:solidFill>
                      </w14:textFill>
                    </w:rPr>
                    <w:t>等级级额定输出</w:t>
                  </w:r>
                  <w:r>
                    <w:rPr>
                      <w:rFonts w:hint="eastAsia" w:ascii="Times New Roman"/>
                      <w:color w:val="000000" w:themeColor="text1"/>
                      <w:highlight w:val="none"/>
                      <w14:textFill>
                        <w14:solidFill>
                          <w14:schemeClr w14:val="tx1"/>
                        </w14:solidFill>
                      </w14:textFill>
                    </w:rPr>
                    <w:t>：0.2(3P)</w:t>
                  </w:r>
                  <w:r>
                    <w:rPr>
                      <w:rFonts w:hint="eastAsia" w:ascii="Times New Roman"/>
                      <w:color w:val="000000" w:themeColor="text1"/>
                      <w:highlight w:val="none"/>
                      <w:lang w:val="en-US" w:eastAsia="zh-CN"/>
                      <w14:textFill>
                        <w14:solidFill>
                          <w14:schemeClr w14:val="tx1"/>
                        </w14:solidFill>
                      </w14:textFill>
                    </w:rPr>
                    <w:t>/0.2(3P) 20/20VA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氧化锌避雷器</w:t>
                  </w: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型号：Y10W-204／532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restart"/>
                  <w:vAlign w:val="center"/>
                </w:tcPr>
                <w:p>
                  <w:pPr>
                    <w:autoSpaceDE w:val="0"/>
                    <w:autoSpaceDN w:val="0"/>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接地开关、快速接地开关</w:t>
                  </w: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额定电压：252kV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额定电流：3150A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额定开断电流：50kA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ascii="Times New Roman"/>
                      <w:color w:val="000000" w:themeColor="text1"/>
                      <w:highlight w:val="none"/>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动稳定电流（peak）：125A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ascii="Times New Roman"/>
                      <w:color w:val="000000" w:themeColor="text1"/>
                      <w:highlight w:val="none"/>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热稳定电流（R.M.S）：50kA，3s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restart"/>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35kV设备</w:t>
                  </w:r>
                </w:p>
              </w:tc>
              <w:tc>
                <w:tcPr>
                  <w:tcW w:w="1024" w:type="pct"/>
                  <w:vMerge w:val="restart"/>
                  <w:vAlign w:val="center"/>
                </w:tcPr>
                <w:p>
                  <w:pPr>
                    <w:autoSpaceDE w:val="0"/>
                    <w:autoSpaceDN w:val="0"/>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35kV真空断路器(主变进线、集电线路、接地变兼站变)</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额定电压：40.5kV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额定电流：2500A（主变进线）、1250A（集电线路、接地变兼站变）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额定开断电流：31.5kA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动稳定电流（peak）：80kA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热稳定电流（R.M.S）：31.5kA，4s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35kVSF6断路器(SVG、FC)</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额定电压：40.5kV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额定电流：1250A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额定开断电流：31.5kA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动稳定电流（peak）：80kA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热稳定电流（R.M.S）：31.5kA，4s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35kV电流互感器</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额定电压：35kV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（主变进线）二次组合：5P30/5P30</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额定电流比：2500/1A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（主变隔离）二次组合：5P30/5P30/0.2s/0.2s</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额定电流比：2500/1A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（集电线路）二次组合：5P30/5P30/5P30/0.2s/0.2s</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额定电流比：500-1000/1A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（接地变兼站变）二次组合：5P30/5P30/5P30/0.2/0.2s</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额定电流比：5P30，100/1A；5P30/5P30，1000/1A；0.2/0.2s 100/1A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（SVG）二次组合：5P30/5P30/5P30/0.2s/0.2s</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额定电流比：1000/1A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（FC）二次组合：5P30/5P30/5P30/0.2/0.2s</w:t>
                  </w:r>
                </w:p>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额定电流比：5P30，100/1A；5P30/5P30，1000/1A；0.2/0.2s 100/1A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restart"/>
                  <w:vAlign w:val="center"/>
                </w:tcPr>
                <w:p>
                  <w:pPr>
                    <w:autoSpaceDE w:val="0"/>
                    <w:autoSpaceDN w:val="0"/>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电压互感器</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额定电压比：35/√3/0.1/√3/0.1/√3/0.1/√3/0.1/3kV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tcPr>
                <w:p>
                  <w:pPr>
                    <w:autoSpaceDE w:val="0"/>
                    <w:autoSpaceDN w:val="0"/>
                    <w:jc w:val="center"/>
                    <w:rPr>
                      <w:rFonts w:hint="eastAsia" w:ascii="Times New Roman"/>
                      <w:color w:val="000000" w:themeColor="text1"/>
                      <w:highlight w:val="none"/>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准确级及额定输出：0.2/0.2(3P)/0.2(3P)/6P 30VA/30VA/30VA/30VA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Align w:val="center"/>
                </w:tcPr>
                <w:p>
                  <w:pPr>
                    <w:autoSpaceDE w:val="0"/>
                    <w:autoSpaceDN w:val="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氧化锌避雷器</w:t>
                  </w:r>
                </w:p>
              </w:tc>
              <w:tc>
                <w:tcPr>
                  <w:tcW w:w="3145" w:type="pct"/>
                  <w:vAlign w:val="center"/>
                </w:tcPr>
                <w:p>
                  <w:pPr>
                    <w:autoSpaceDE w:val="0"/>
                    <w:autoSpaceDN w:val="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型号：HY5WZ-51/134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无功补偿装置</w:t>
                  </w:r>
                </w:p>
              </w:tc>
              <w:tc>
                <w:tcPr>
                  <w:tcW w:w="1024" w:type="pct"/>
                  <w:vAlign w:val="center"/>
                </w:tcPr>
                <w:p>
                  <w:pPr>
                    <w:autoSpaceDE w:val="0"/>
                    <w:autoSpaceDN w:val="0"/>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类型</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全封闭水冷直挂式SVG无功补偿装置，采用SVG+FC形式，安装1套SVG容量为±24Mvar，安装3套FC滤波装置，每套容量为3Mvar</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restart"/>
                  <w:vAlign w:val="center"/>
                </w:tcPr>
                <w:p>
                  <w:pPr>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35kV接地变接地电阻成套装置</w:t>
                  </w:r>
                </w:p>
              </w:tc>
              <w:tc>
                <w:tcPr>
                  <w:tcW w:w="1024" w:type="pct"/>
                  <w:vMerge w:val="restart"/>
                  <w:vAlign w:val="center"/>
                </w:tcPr>
                <w:p>
                  <w:pPr>
                    <w:autoSpaceDE w:val="0"/>
                    <w:autoSpaceDN w:val="0"/>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参数</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系统额定电压:U=37kV</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电阻短时允许通流:I10s=300A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短时通流时间:10s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接地电阻:R=U/√3/Ic=37/0.3/1.732=71.2Ω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接地电阻消耗功率:Pr=Ic2×R=3002×71.2=6408kW</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Merge w:val="continue"/>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1024" w:type="pct"/>
                  <w:vMerge w:val="continue"/>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接地变连续运行额定容量:S</w:t>
                  </w:r>
                  <w:r>
                    <w:rPr>
                      <w:rFonts w:hint="default" w:ascii="Times New Roman"/>
                      <w:color w:val="000000" w:themeColor="text1"/>
                      <w:highlight w:val="none"/>
                      <w:lang w:val="en-US" w:eastAsia="zh-CN"/>
                      <w14:textFill>
                        <w14:solidFill>
                          <w14:schemeClr w14:val="tx1"/>
                        </w14:solidFill>
                      </w14:textFill>
                    </w:rPr>
                    <w:t>’</w:t>
                  </w:r>
                  <w:r>
                    <w:rPr>
                      <w:rFonts w:hint="eastAsia" w:ascii="Times New Roman"/>
                      <w:color w:val="000000" w:themeColor="text1"/>
                      <w:highlight w:val="none"/>
                      <w:lang w:val="en-US" w:eastAsia="zh-CN"/>
                      <w14:textFill>
                        <w14:solidFill>
                          <w14:schemeClr w14:val="tx1"/>
                        </w14:solidFill>
                      </w14:textFill>
                    </w:rPr>
                    <w:t>=Pr/10.5=6408÷10.5=610.3kVA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30" w:type="pct"/>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导体选择</w:t>
                  </w:r>
                </w:p>
              </w:tc>
              <w:tc>
                <w:tcPr>
                  <w:tcW w:w="1024" w:type="pct"/>
                  <w:vAlign w:val="center"/>
                </w:tcPr>
                <w:p>
                  <w:pPr>
                    <w:autoSpaceDE w:val="0"/>
                    <w:autoSpaceDN w:val="0"/>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类型</w:t>
                  </w:r>
                </w:p>
              </w:tc>
              <w:tc>
                <w:tcPr>
                  <w:tcW w:w="3145" w:type="pct"/>
                  <w:vAlign w:val="center"/>
                </w:tcPr>
                <w:p>
                  <w:pPr>
                    <w:autoSpaceDE w:val="0"/>
                    <w:autoSpaceDN w:val="0"/>
                    <w:jc w:val="center"/>
                    <w:rPr>
                      <w:rFonts w:hint="eastAsia"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220kV主变进线间隔采用JL/GIA-400/50软导线；主变35kV进线采用全绝缘管母线，母线电压40.5kV，额定电流2500A；SVG电缆选用2×ZC-YJY23-26/35-3×150；FC滤波装置、接地变兼站变出线电缆选用ZC-YJY22-26/35-3×70。</w:t>
                  </w:r>
                </w:p>
              </w:tc>
            </w:tr>
          </w:tbl>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11、公用工程</w:t>
            </w:r>
          </w:p>
          <w:p>
            <w:pPr>
              <w:adjustRightInd w:val="0"/>
              <w:snapToGrid w:val="0"/>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（1）供电</w:t>
            </w:r>
          </w:p>
          <w:p>
            <w:pPr>
              <w:adjustRightInd w:val="0"/>
              <w:snapToGrid w:val="0"/>
              <w:spacing w:line="360" w:lineRule="auto"/>
              <w:ind w:firstLine="496" w:firstLineChars="200"/>
              <w:rPr>
                <w:rFonts w:hint="eastAsia" w:ascii="Times New Roman"/>
                <w:color w:val="000000" w:themeColor="text1"/>
                <w:spacing w:val="4"/>
                <w:sz w:val="24"/>
                <w:szCs w:val="24"/>
                <w:highlight w:val="none"/>
                <w:lang w:eastAsia="zh-CN"/>
                <w14:textFill>
                  <w14:solidFill>
                    <w14:schemeClr w14:val="tx1"/>
                  </w14:solidFill>
                </w14:textFill>
              </w:rPr>
            </w:pPr>
            <w:r>
              <w:rPr>
                <w:rFonts w:ascii="Times New Roman"/>
                <w:color w:val="000000" w:themeColor="text1"/>
                <w:spacing w:val="4"/>
                <w:sz w:val="24"/>
                <w:szCs w:val="24"/>
                <w:highlight w:val="none"/>
                <w14:textFill>
                  <w14:solidFill>
                    <w14:schemeClr w14:val="tx1"/>
                  </w14:solidFill>
                </w14:textFill>
              </w:rPr>
              <w:t>施工期用电：</w:t>
            </w:r>
            <w:r>
              <w:rPr>
                <w:rFonts w:hint="eastAsia" w:ascii="Times New Roman"/>
                <w:color w:val="000000" w:themeColor="text1"/>
                <w:spacing w:val="4"/>
                <w:sz w:val="24"/>
                <w:szCs w:val="24"/>
                <w:highlight w:val="none"/>
                <w14:textFill>
                  <w14:solidFill>
                    <w14:schemeClr w14:val="tx1"/>
                  </w14:solidFill>
                </w14:textFill>
              </w:rPr>
              <w:t>施工期间电源由附近的电网以10kV电压等级引入，并在电站管理区设置降压变，该降压变按永临结合考虑，在施工结束作为站用变使用。运营期</w:t>
            </w:r>
            <w:r>
              <w:rPr>
                <w:rFonts w:hint="eastAsia" w:ascii="Times New Roman"/>
                <w:color w:val="000000" w:themeColor="text1"/>
                <w:spacing w:val="4"/>
                <w:sz w:val="24"/>
                <w:szCs w:val="24"/>
                <w:highlight w:val="none"/>
                <w:lang w:val="en-US" w:eastAsia="zh-CN"/>
                <w14:textFill>
                  <w14:solidFill>
                    <w14:schemeClr w14:val="tx1"/>
                  </w14:solidFill>
                </w14:textFill>
              </w:rPr>
              <w:t>用电</w:t>
            </w:r>
            <w:r>
              <w:rPr>
                <w:rFonts w:hint="eastAsia" w:ascii="Times New Roman"/>
                <w:color w:val="000000" w:themeColor="text1"/>
                <w:spacing w:val="4"/>
                <w:sz w:val="24"/>
                <w:szCs w:val="24"/>
                <w:highlight w:val="none"/>
                <w14:textFill>
                  <w14:solidFill>
                    <w14:schemeClr w14:val="tx1"/>
                  </w14:solidFill>
                </w14:textFill>
              </w:rPr>
              <w:t>主电源由风电场内35kV母线引接，备用电源与施工期一致</w:t>
            </w:r>
            <w:r>
              <w:rPr>
                <w:rFonts w:hint="eastAsia" w:ascii="Times New Roman"/>
                <w:color w:val="000000" w:themeColor="text1"/>
                <w:spacing w:val="4"/>
                <w:sz w:val="24"/>
                <w:szCs w:val="24"/>
                <w:highlight w:val="none"/>
                <w:lang w:eastAsia="zh-CN"/>
                <w14:textFill>
                  <w14:solidFill>
                    <w14:schemeClr w14:val="tx1"/>
                  </w14:solidFill>
                </w14:textFill>
              </w:rPr>
              <w:t>，由地区10kV施工线路引接</w:t>
            </w:r>
            <w:r>
              <w:rPr>
                <w:rFonts w:hint="eastAsia" w:ascii="Times New Roman"/>
                <w:color w:val="000000" w:themeColor="text1"/>
                <w:spacing w:val="4"/>
                <w:sz w:val="24"/>
                <w:szCs w:val="24"/>
                <w:highlight w:val="none"/>
                <w:lang w:val="en-US" w:eastAsia="zh-CN"/>
                <w14:textFill>
                  <w14:solidFill>
                    <w14:schemeClr w14:val="tx1"/>
                  </w14:solidFill>
                </w14:textFill>
              </w:rPr>
              <w:t>。</w:t>
            </w:r>
          </w:p>
          <w:p>
            <w:pPr>
              <w:spacing w:line="360" w:lineRule="auto"/>
              <w:ind w:firstLine="496" w:firstLineChars="200"/>
              <w:rPr>
                <w:rFonts w:hint="default" w:ascii="Times New Roman" w:eastAsia="宋体"/>
                <w:color w:val="000000" w:themeColor="text1"/>
                <w:spacing w:val="4"/>
                <w:sz w:val="24"/>
                <w:szCs w:val="24"/>
                <w:highlight w:val="none"/>
                <w:lang w:val="en-US" w:eastAsia="zh-CN"/>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（2）供热</w:t>
            </w:r>
            <w:r>
              <w:rPr>
                <w:rFonts w:hint="eastAsia" w:ascii="Times New Roman"/>
                <w:color w:val="000000" w:themeColor="text1"/>
                <w:spacing w:val="4"/>
                <w:sz w:val="24"/>
                <w:szCs w:val="24"/>
                <w:highlight w:val="none"/>
                <w:lang w:val="en-US" w:eastAsia="zh-CN"/>
                <w14:textFill>
                  <w14:solidFill>
                    <w14:schemeClr w14:val="tx1"/>
                  </w14:solidFill>
                </w14:textFill>
              </w:rPr>
              <w:t>与制冷</w:t>
            </w:r>
          </w:p>
          <w:p>
            <w:pPr>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本项目</w:t>
            </w:r>
            <w:r>
              <w:rPr>
                <w:rFonts w:hint="eastAsia" w:ascii="Times New Roman"/>
                <w:color w:val="000000" w:themeColor="text1"/>
                <w:spacing w:val="4"/>
                <w:sz w:val="24"/>
                <w:szCs w:val="24"/>
                <w:highlight w:val="none"/>
                <w:lang w:val="en-US" w:eastAsia="zh-CN"/>
                <w14:textFill>
                  <w14:solidFill>
                    <w14:schemeClr w14:val="tx1"/>
                  </w14:solidFill>
                </w14:textFill>
              </w:rPr>
              <w:t>供热</w:t>
            </w:r>
            <w:r>
              <w:rPr>
                <w:rFonts w:hint="eastAsia" w:ascii="Times New Roman"/>
                <w:color w:val="000000" w:themeColor="text1"/>
                <w:spacing w:val="4"/>
                <w:sz w:val="24"/>
                <w:szCs w:val="24"/>
                <w:highlight w:val="none"/>
                <w14:textFill>
                  <w14:solidFill>
                    <w14:schemeClr w14:val="tx1"/>
                  </w14:solidFill>
                </w14:textFill>
              </w:rPr>
              <w:t>采用</w:t>
            </w:r>
            <w:r>
              <w:rPr>
                <w:rFonts w:hint="eastAsia" w:ascii="Times New Roman"/>
                <w:color w:val="000000" w:themeColor="text1"/>
                <w:spacing w:val="4"/>
                <w:sz w:val="24"/>
                <w:szCs w:val="24"/>
                <w:highlight w:val="none"/>
                <w:lang w:val="en-US" w:eastAsia="zh-CN"/>
                <w14:textFill>
                  <w14:solidFill>
                    <w14:schemeClr w14:val="tx1"/>
                  </w14:solidFill>
                </w14:textFill>
              </w:rPr>
              <w:t>电取暖</w:t>
            </w:r>
            <w:r>
              <w:rPr>
                <w:rFonts w:hint="eastAsia" w:ascii="Times New Roman"/>
                <w:color w:val="000000" w:themeColor="text1"/>
                <w:spacing w:val="4"/>
                <w:sz w:val="24"/>
                <w:szCs w:val="24"/>
                <w:highlight w:val="none"/>
                <w14:textFill>
                  <w14:solidFill>
                    <w14:schemeClr w14:val="tx1"/>
                  </w14:solidFill>
                </w14:textFill>
              </w:rPr>
              <w:t>，夏季采用空调制冷。</w:t>
            </w:r>
          </w:p>
          <w:p>
            <w:pPr>
              <w:spacing w:line="360" w:lineRule="auto"/>
              <w:ind w:firstLine="480" w:firstLineChars="200"/>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（3）</w:t>
            </w:r>
            <w:r>
              <w:rPr>
                <w:rFonts w:ascii="Times New Roman"/>
                <w:color w:val="000000" w:themeColor="text1"/>
                <w:spacing w:val="4"/>
                <w:sz w:val="24"/>
                <w:szCs w:val="24"/>
                <w:highlight w:val="none"/>
                <w14:textFill>
                  <w14:solidFill>
                    <w14:schemeClr w14:val="tx1"/>
                  </w14:solidFill>
                </w14:textFill>
              </w:rPr>
              <w:t>给排水</w:t>
            </w:r>
          </w:p>
          <w:p>
            <w:pPr>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ascii="Times New Roman"/>
                <w:color w:val="000000" w:themeColor="text1"/>
                <w:spacing w:val="4"/>
                <w:sz w:val="24"/>
                <w:szCs w:val="24"/>
                <w:highlight w:val="none"/>
                <w14:textFill>
                  <w14:solidFill>
                    <w14:schemeClr w14:val="tx1"/>
                  </w14:solidFill>
                </w14:textFill>
              </w:rPr>
              <w:fldChar w:fldCharType="begin"/>
            </w:r>
            <w:r>
              <w:rPr>
                <w:rFonts w:ascii="Times New Roman"/>
                <w:color w:val="000000" w:themeColor="text1"/>
                <w:spacing w:val="4"/>
                <w:sz w:val="24"/>
                <w:szCs w:val="24"/>
                <w:highlight w:val="none"/>
                <w14:textFill>
                  <w14:solidFill>
                    <w14:schemeClr w14:val="tx1"/>
                  </w14:solidFill>
                </w14:textFill>
              </w:rPr>
              <w:instrText xml:space="preserve"> = 1 \* GB3 </w:instrText>
            </w:r>
            <w:r>
              <w:rPr>
                <w:rFonts w:ascii="Times New Roman"/>
                <w:color w:val="000000" w:themeColor="text1"/>
                <w:spacing w:val="4"/>
                <w:sz w:val="24"/>
                <w:szCs w:val="24"/>
                <w:highlight w:val="none"/>
                <w14:textFill>
                  <w14:solidFill>
                    <w14:schemeClr w14:val="tx1"/>
                  </w14:solidFill>
                </w14:textFill>
              </w:rPr>
              <w:fldChar w:fldCharType="separate"/>
            </w:r>
            <w:r>
              <w:rPr>
                <w:rFonts w:ascii="Times New Roman"/>
                <w:color w:val="000000" w:themeColor="text1"/>
                <w:spacing w:val="4"/>
                <w:sz w:val="24"/>
                <w:szCs w:val="24"/>
                <w:highlight w:val="none"/>
                <w14:textFill>
                  <w14:solidFill>
                    <w14:schemeClr w14:val="tx1"/>
                  </w14:solidFill>
                </w14:textFill>
              </w:rPr>
              <w:t>①</w:t>
            </w:r>
            <w:r>
              <w:rPr>
                <w:rFonts w:ascii="Times New Roman"/>
                <w:color w:val="000000" w:themeColor="text1"/>
                <w:spacing w:val="4"/>
                <w:sz w:val="24"/>
                <w:szCs w:val="24"/>
                <w:highlight w:val="none"/>
                <w14:textFill>
                  <w14:solidFill>
                    <w14:schemeClr w14:val="tx1"/>
                  </w14:solidFill>
                </w14:textFill>
              </w:rPr>
              <w:fldChar w:fldCharType="end"/>
            </w:r>
            <w:r>
              <w:rPr>
                <w:rFonts w:ascii="Times New Roman"/>
                <w:color w:val="000000" w:themeColor="text1"/>
                <w:spacing w:val="4"/>
                <w:sz w:val="24"/>
                <w:szCs w:val="24"/>
                <w:highlight w:val="none"/>
                <w14:textFill>
                  <w14:solidFill>
                    <w14:schemeClr w14:val="tx1"/>
                  </w14:solidFill>
                </w14:textFill>
              </w:rPr>
              <w:t>供水</w:t>
            </w:r>
          </w:p>
          <w:p>
            <w:pPr>
              <w:spacing w:line="360" w:lineRule="auto"/>
              <w:ind w:firstLine="496" w:firstLineChars="200"/>
              <w:rPr>
                <w:rFonts w:hint="eastAsia" w:ascii="Times New Roman"/>
                <w:color w:val="000000" w:themeColor="text1"/>
                <w:spacing w:val="4"/>
                <w:sz w:val="24"/>
                <w:szCs w:val="24"/>
                <w:highlight w:val="none"/>
                <w:lang w:eastAsia="zh-CN"/>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施工期：施工期临建区的生活用水通过罐车从附近村庄拉运</w:t>
            </w:r>
            <w:r>
              <w:rPr>
                <w:rFonts w:hint="eastAsia" w:ascii="Times New Roman"/>
                <w:color w:val="000000" w:themeColor="text1"/>
                <w:spacing w:val="4"/>
                <w:sz w:val="24"/>
                <w:szCs w:val="24"/>
                <w:highlight w:val="none"/>
                <w:lang w:eastAsia="zh-CN"/>
                <w14:textFill>
                  <w14:solidFill>
                    <w14:schemeClr w14:val="tx1"/>
                  </w14:solidFill>
                </w14:textFill>
              </w:rPr>
              <w:t>。</w:t>
            </w:r>
          </w:p>
          <w:p>
            <w:pPr>
              <w:widowControl w:val="0"/>
              <w:spacing w:line="360" w:lineRule="auto"/>
              <w:ind w:firstLine="496" w:firstLineChars="200"/>
              <w:jc w:val="both"/>
              <w:rPr>
                <w:color w:val="000000" w:themeColor="text1"/>
                <w:kern w:val="0"/>
                <w:sz w:val="24"/>
                <w:szCs w:val="24"/>
                <w:highlight w:val="none"/>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运营期：运营期生活用水通过罐车从附近村庄拉运。运营期用水为生活用水，</w:t>
            </w:r>
            <w:r>
              <w:rPr>
                <w:rFonts w:hint="eastAsia" w:ascii="Times New Roman"/>
                <w:color w:val="000000" w:themeColor="text1"/>
                <w:spacing w:val="4"/>
                <w:sz w:val="24"/>
                <w:szCs w:val="24"/>
                <w:highlight w:val="none"/>
                <w:lang w:val="en-US" w:eastAsia="zh-CN"/>
                <w14:textFill>
                  <w14:solidFill>
                    <w14:schemeClr w14:val="tx1"/>
                  </w14:solidFill>
                </w14:textFill>
              </w:rPr>
              <w:t>升压站内设置食堂，</w:t>
            </w:r>
            <w:r>
              <w:rPr>
                <w:rFonts w:hint="eastAsia" w:ascii="Times New Roman"/>
                <w:color w:val="000000" w:themeColor="text1"/>
                <w:spacing w:val="4"/>
                <w:sz w:val="24"/>
                <w:szCs w:val="24"/>
                <w:highlight w:val="none"/>
                <w14:textFill>
                  <w14:solidFill>
                    <w14:schemeClr w14:val="tx1"/>
                  </w14:solidFill>
                </w14:textFill>
              </w:rPr>
              <w:t>本项目劳动定员</w:t>
            </w:r>
            <w:r>
              <w:rPr>
                <w:rFonts w:hint="eastAsia" w:ascii="Times New Roman"/>
                <w:color w:val="000000" w:themeColor="text1"/>
                <w:spacing w:val="4"/>
                <w:sz w:val="24"/>
                <w:szCs w:val="24"/>
                <w:highlight w:val="none"/>
                <w:lang w:val="en-US" w:eastAsia="zh-CN"/>
                <w14:textFill>
                  <w14:solidFill>
                    <w14:schemeClr w14:val="tx1"/>
                  </w14:solidFill>
                </w14:textFill>
              </w:rPr>
              <w:t>8</w:t>
            </w:r>
            <w:r>
              <w:rPr>
                <w:rFonts w:hint="eastAsia" w:ascii="Times New Roman"/>
                <w:color w:val="000000" w:themeColor="text1"/>
                <w:spacing w:val="4"/>
                <w:sz w:val="24"/>
                <w:szCs w:val="24"/>
                <w:highlight w:val="none"/>
                <w14:textFill>
                  <w14:solidFill>
                    <w14:schemeClr w14:val="tx1"/>
                  </w14:solidFill>
                </w14:textFill>
              </w:rPr>
              <w:t>人，员工生活用水依据河北省地方标准《生活与服务业用水定额第1部分：居民生活》(DB13/T5450.1-2021)表1居民生活用水定额中农村居民用水定额标准，按22m</w:t>
            </w:r>
            <w:r>
              <w:rPr>
                <w:rFonts w:hint="eastAsia" w:ascii="Times New Roman"/>
                <w:color w:val="000000" w:themeColor="text1"/>
                <w:spacing w:val="4"/>
                <w:sz w:val="24"/>
                <w:szCs w:val="24"/>
                <w:highlight w:val="none"/>
                <w:vertAlign w:val="superscript"/>
                <w14:textFill>
                  <w14:solidFill>
                    <w14:schemeClr w14:val="tx1"/>
                  </w14:solidFill>
                </w14:textFill>
              </w:rPr>
              <w:t>3</w:t>
            </w:r>
            <w:r>
              <w:rPr>
                <w:rFonts w:hint="eastAsia" w:ascii="Times New Roman"/>
                <w:color w:val="000000" w:themeColor="text1"/>
                <w:spacing w:val="4"/>
                <w:sz w:val="24"/>
                <w:szCs w:val="24"/>
                <w:highlight w:val="none"/>
                <w14:textFill>
                  <w14:solidFill>
                    <w14:schemeClr w14:val="tx1"/>
                  </w14:solidFill>
                </w14:textFill>
              </w:rPr>
              <w:t>/(人</w:t>
            </w:r>
            <w:r>
              <w:rPr>
                <w:rFonts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pacing w:val="4"/>
                <w:sz w:val="24"/>
                <w:szCs w:val="24"/>
                <w:highlight w:val="none"/>
                <w14:textFill>
                  <w14:solidFill>
                    <w14:schemeClr w14:val="tx1"/>
                  </w14:solidFill>
                </w14:textFill>
              </w:rPr>
              <w:t>a)，</w:t>
            </w:r>
            <w:r>
              <w:rPr>
                <w:rFonts w:hint="eastAsia" w:ascii="Times New Roman"/>
                <w:color w:val="000000" w:themeColor="text1"/>
                <w:spacing w:val="4"/>
                <w:sz w:val="24"/>
                <w:szCs w:val="24"/>
                <w:highlight w:val="none"/>
                <w:lang w:val="en-US" w:eastAsia="zh-CN"/>
                <w14:textFill>
                  <w14:solidFill>
                    <w14:schemeClr w14:val="tx1"/>
                  </w14:solidFill>
                </w14:textFill>
              </w:rPr>
              <w:t>则</w:t>
            </w:r>
            <w:r>
              <w:rPr>
                <w:rFonts w:hint="eastAsia" w:ascii="Times New Roman"/>
                <w:color w:val="000000" w:themeColor="text1"/>
                <w:spacing w:val="4"/>
                <w:sz w:val="24"/>
                <w:szCs w:val="24"/>
                <w:highlight w:val="none"/>
                <w14:textFill>
                  <w14:solidFill>
                    <w14:schemeClr w14:val="tx1"/>
                  </w14:solidFill>
                </w14:textFill>
              </w:rPr>
              <w:t>生活用水量为0.</w:t>
            </w:r>
            <w:r>
              <w:rPr>
                <w:rFonts w:hint="eastAsia" w:ascii="Times New Roman"/>
                <w:color w:val="000000" w:themeColor="text1"/>
                <w:spacing w:val="4"/>
                <w:sz w:val="24"/>
                <w:szCs w:val="24"/>
                <w:highlight w:val="none"/>
                <w:lang w:val="en-US" w:eastAsia="zh-CN"/>
                <w14:textFill>
                  <w14:solidFill>
                    <w14:schemeClr w14:val="tx1"/>
                  </w14:solidFill>
                </w14:textFill>
              </w:rPr>
              <w:t>48</w:t>
            </w:r>
            <w:r>
              <w:rPr>
                <w:rFonts w:hint="eastAsia" w:ascii="Times New Roman"/>
                <w:color w:val="000000" w:themeColor="text1"/>
                <w:spacing w:val="4"/>
                <w:sz w:val="24"/>
                <w:szCs w:val="24"/>
                <w:highlight w:val="none"/>
                <w14:textFill>
                  <w14:solidFill>
                    <w14:schemeClr w14:val="tx1"/>
                  </w14:solidFill>
                </w14:textFill>
              </w:rPr>
              <w:t>m</w:t>
            </w:r>
            <w:r>
              <w:rPr>
                <w:rFonts w:hint="eastAsia" w:ascii="Times New Roman"/>
                <w:color w:val="000000" w:themeColor="text1"/>
                <w:spacing w:val="4"/>
                <w:sz w:val="24"/>
                <w:szCs w:val="24"/>
                <w:highlight w:val="none"/>
                <w:vertAlign w:val="superscript"/>
                <w14:textFill>
                  <w14:solidFill>
                    <w14:schemeClr w14:val="tx1"/>
                  </w14:solidFill>
                </w14:textFill>
              </w:rPr>
              <w:t>3</w:t>
            </w:r>
            <w:r>
              <w:rPr>
                <w:rFonts w:hint="eastAsia" w:ascii="Times New Roman"/>
                <w:color w:val="000000" w:themeColor="text1"/>
                <w:spacing w:val="4"/>
                <w:sz w:val="24"/>
                <w:szCs w:val="24"/>
                <w:highlight w:val="none"/>
                <w14:textFill>
                  <w14:solidFill>
                    <w14:schemeClr w14:val="tx1"/>
                  </w14:solidFill>
                </w14:textFill>
              </w:rPr>
              <w:t>/d(</w:t>
            </w:r>
            <w:r>
              <w:rPr>
                <w:rFonts w:hint="eastAsia" w:ascii="Times New Roman"/>
                <w:color w:val="000000" w:themeColor="text1"/>
                <w:spacing w:val="4"/>
                <w:sz w:val="24"/>
                <w:szCs w:val="24"/>
                <w:highlight w:val="none"/>
                <w:lang w:val="en-US" w:eastAsia="zh-CN"/>
                <w14:textFill>
                  <w14:solidFill>
                    <w14:schemeClr w14:val="tx1"/>
                  </w14:solidFill>
                </w14:textFill>
              </w:rPr>
              <w:t>176</w:t>
            </w:r>
            <w:r>
              <w:rPr>
                <w:rFonts w:hint="eastAsia" w:ascii="Times New Roman"/>
                <w:color w:val="000000" w:themeColor="text1"/>
                <w:spacing w:val="4"/>
                <w:sz w:val="24"/>
                <w:szCs w:val="24"/>
                <w:highlight w:val="none"/>
                <w14:textFill>
                  <w14:solidFill>
                    <w14:schemeClr w14:val="tx1"/>
                  </w14:solidFill>
                </w14:textFill>
              </w:rPr>
              <w:t>m</w:t>
            </w:r>
            <w:r>
              <w:rPr>
                <w:rFonts w:hint="eastAsia" w:ascii="Times New Roman"/>
                <w:color w:val="000000" w:themeColor="text1"/>
                <w:spacing w:val="4"/>
                <w:sz w:val="24"/>
                <w:szCs w:val="24"/>
                <w:highlight w:val="none"/>
                <w:vertAlign w:val="superscript"/>
                <w14:textFill>
                  <w14:solidFill>
                    <w14:schemeClr w14:val="tx1"/>
                  </w14:solidFill>
                </w14:textFill>
              </w:rPr>
              <w:t>3</w:t>
            </w:r>
            <w:r>
              <w:rPr>
                <w:rFonts w:hint="eastAsia" w:ascii="Times New Roman"/>
                <w:color w:val="000000" w:themeColor="text1"/>
                <w:spacing w:val="4"/>
                <w:sz w:val="24"/>
                <w:szCs w:val="24"/>
                <w:highlight w:val="none"/>
                <w14:textFill>
                  <w14:solidFill>
                    <w14:schemeClr w14:val="tx1"/>
                  </w14:solidFill>
                </w14:textFill>
              </w:rPr>
              <w:t>/a)</w:t>
            </w:r>
            <w:r>
              <w:rPr>
                <w:rFonts w:hint="eastAsia" w:ascii="Times New Roman" w:cs="宋体"/>
                <w:color w:val="000000" w:themeColor="text1"/>
                <w:kern w:val="0"/>
                <w:sz w:val="24"/>
                <w:szCs w:val="24"/>
                <w:highlight w:val="none"/>
                <w:lang w:bidi="ar"/>
                <w14:textFill>
                  <w14:solidFill>
                    <w14:schemeClr w14:val="tx1"/>
                  </w14:solidFill>
                </w14:textFill>
              </w:rPr>
              <w:t>。</w:t>
            </w:r>
          </w:p>
          <w:p>
            <w:pPr>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ascii="Times New Roman"/>
                <w:color w:val="000000" w:themeColor="text1"/>
                <w:spacing w:val="4"/>
                <w:sz w:val="24"/>
                <w:szCs w:val="24"/>
                <w:highlight w:val="none"/>
                <w14:textFill>
                  <w14:solidFill>
                    <w14:schemeClr w14:val="tx1"/>
                  </w14:solidFill>
                </w14:textFill>
              </w:rPr>
              <w:fldChar w:fldCharType="begin"/>
            </w:r>
            <w:r>
              <w:rPr>
                <w:rFonts w:ascii="Times New Roman"/>
                <w:color w:val="000000" w:themeColor="text1"/>
                <w:spacing w:val="4"/>
                <w:sz w:val="24"/>
                <w:szCs w:val="24"/>
                <w:highlight w:val="none"/>
                <w14:textFill>
                  <w14:solidFill>
                    <w14:schemeClr w14:val="tx1"/>
                  </w14:solidFill>
                </w14:textFill>
              </w:rPr>
              <w:instrText xml:space="preserve"> = 2 \* GB3 </w:instrText>
            </w:r>
            <w:r>
              <w:rPr>
                <w:rFonts w:ascii="Times New Roman"/>
                <w:color w:val="000000" w:themeColor="text1"/>
                <w:spacing w:val="4"/>
                <w:sz w:val="24"/>
                <w:szCs w:val="24"/>
                <w:highlight w:val="none"/>
                <w14:textFill>
                  <w14:solidFill>
                    <w14:schemeClr w14:val="tx1"/>
                  </w14:solidFill>
                </w14:textFill>
              </w:rPr>
              <w:fldChar w:fldCharType="separate"/>
            </w:r>
            <w:r>
              <w:rPr>
                <w:rFonts w:ascii="Times New Roman"/>
                <w:color w:val="000000" w:themeColor="text1"/>
                <w:spacing w:val="4"/>
                <w:sz w:val="24"/>
                <w:szCs w:val="24"/>
                <w:highlight w:val="none"/>
                <w14:textFill>
                  <w14:solidFill>
                    <w14:schemeClr w14:val="tx1"/>
                  </w14:solidFill>
                </w14:textFill>
              </w:rPr>
              <w:t>②</w:t>
            </w:r>
            <w:r>
              <w:rPr>
                <w:rFonts w:ascii="Times New Roman"/>
                <w:color w:val="000000" w:themeColor="text1"/>
                <w:spacing w:val="4"/>
                <w:sz w:val="24"/>
                <w:szCs w:val="24"/>
                <w:highlight w:val="none"/>
                <w14:textFill>
                  <w14:solidFill>
                    <w14:schemeClr w14:val="tx1"/>
                  </w14:solidFill>
                </w14:textFill>
              </w:rPr>
              <w:fldChar w:fldCharType="end"/>
            </w:r>
            <w:r>
              <w:rPr>
                <w:rFonts w:ascii="Times New Roman"/>
                <w:color w:val="000000" w:themeColor="text1"/>
                <w:spacing w:val="4"/>
                <w:sz w:val="24"/>
                <w:szCs w:val="24"/>
                <w:highlight w:val="none"/>
                <w14:textFill>
                  <w14:solidFill>
                    <w14:schemeClr w14:val="tx1"/>
                  </w14:solidFill>
                </w14:textFill>
              </w:rPr>
              <w:t>排水</w:t>
            </w:r>
          </w:p>
          <w:p>
            <w:pPr>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pacing w:val="4"/>
                <w:sz w:val="24"/>
                <w:szCs w:val="24"/>
                <w:highlight w:val="none"/>
                <w14:textFill>
                  <w14:solidFill>
                    <w14:schemeClr w14:val="tx1"/>
                  </w14:solidFill>
                </w14:textFill>
              </w:rPr>
              <w:t>施工期：养护废水、车辆冲洗废水等经沉淀池处理后用于施工场地抑尘，施工人员</w:t>
            </w:r>
            <w:r>
              <w:rPr>
                <w:rFonts w:hint="eastAsia" w:ascii="Times New Roman"/>
                <w:color w:val="000000" w:themeColor="text1"/>
                <w:spacing w:val="4"/>
                <w:sz w:val="24"/>
                <w:szCs w:val="24"/>
                <w:highlight w:val="none"/>
                <w:lang w:val="en-US" w:eastAsia="zh-CN"/>
                <w14:textFill>
                  <w14:solidFill>
                    <w14:schemeClr w14:val="tx1"/>
                  </w14:solidFill>
                </w14:textFill>
              </w:rPr>
              <w:t>盥洗水</w:t>
            </w:r>
            <w:r>
              <w:rPr>
                <w:rFonts w:hint="eastAsia" w:ascii="Times New Roman"/>
                <w:color w:val="000000" w:themeColor="text1"/>
                <w:spacing w:val="4"/>
                <w:sz w:val="24"/>
                <w:szCs w:val="24"/>
                <w:highlight w:val="none"/>
                <w14:textFill>
                  <w14:solidFill>
                    <w14:schemeClr w14:val="tx1"/>
                  </w14:solidFill>
                </w14:textFill>
              </w:rPr>
              <w:t>排入施工营地旱厕，旱厕定期清掏</w:t>
            </w:r>
            <w:r>
              <w:rPr>
                <w:rFonts w:hint="eastAsia" w:ascii="Times New Roman"/>
                <w:color w:val="000000" w:themeColor="text1"/>
                <w:spacing w:val="4"/>
                <w:sz w:val="24"/>
                <w:szCs w:val="24"/>
                <w:highlight w:val="none"/>
                <w:lang w:val="en-US" w:eastAsia="zh-CN"/>
                <w14:textFill>
                  <w14:solidFill>
                    <w14:schemeClr w14:val="tx1"/>
                  </w14:solidFill>
                </w14:textFill>
              </w:rPr>
              <w:t>用作农肥</w:t>
            </w:r>
            <w:r>
              <w:rPr>
                <w:rFonts w:hint="eastAsia" w:ascii="Times New Roman"/>
                <w:color w:val="000000" w:themeColor="text1"/>
                <w:spacing w:val="4"/>
                <w:sz w:val="24"/>
                <w:szCs w:val="24"/>
                <w:highlight w:val="none"/>
                <w14:textFill>
                  <w14:solidFill>
                    <w14:schemeClr w14:val="tx1"/>
                  </w14:solidFill>
                </w14:textFill>
              </w:rPr>
              <w:t>，不外排。</w:t>
            </w:r>
          </w:p>
          <w:p>
            <w:pPr>
              <w:spacing w:line="360" w:lineRule="auto"/>
              <w:ind w:firstLine="496" w:firstLineChars="200"/>
              <w:rPr>
                <w:rFonts w:ascii="Times New Roman"/>
                <w:color w:val="000000" w:themeColor="text1"/>
                <w:spacing w:val="4"/>
                <w:sz w:val="24"/>
                <w:szCs w:val="24"/>
                <w:highlight w:val="none"/>
                <w14:textFill>
                  <w14:solidFill>
                    <w14:schemeClr w14:val="tx1"/>
                  </w14:solidFill>
                </w14:textFill>
              </w:rPr>
            </w:pPr>
            <w:r>
              <w:rPr>
                <w:rFonts w:hint="eastAsia" w:ascii="Times New Roman"/>
                <w:color w:val="000000" w:themeColor="text1"/>
                <w:spacing w:val="4"/>
                <w:sz w:val="24"/>
                <w:szCs w:val="24"/>
                <w:highlight w:val="none"/>
                <w:lang w:eastAsia="zh-CN"/>
                <w14:textFill>
                  <w14:solidFill>
                    <w14:schemeClr w14:val="tx1"/>
                  </w14:solidFill>
                </w14:textFill>
              </w:rPr>
              <w:t>运营期</w:t>
            </w:r>
            <w:r>
              <w:rPr>
                <w:rFonts w:hint="eastAsia" w:ascii="Times New Roman"/>
                <w:color w:val="000000" w:themeColor="text1"/>
                <w:spacing w:val="4"/>
                <w:sz w:val="24"/>
                <w:szCs w:val="24"/>
                <w:highlight w:val="none"/>
                <w14:textFill>
                  <w14:solidFill>
                    <w14:schemeClr w14:val="tx1"/>
                  </w14:solidFill>
                </w14:textFill>
              </w:rPr>
              <w:t>：</w:t>
            </w:r>
            <w:r>
              <w:rPr>
                <w:rFonts w:ascii="Times New Roman"/>
                <w:color w:val="000000" w:themeColor="text1"/>
                <w:spacing w:val="4"/>
                <w:sz w:val="24"/>
                <w:szCs w:val="24"/>
                <w:highlight w:val="none"/>
                <w14:textFill>
                  <w14:solidFill>
                    <w14:schemeClr w14:val="tx1"/>
                  </w14:solidFill>
                </w14:textFill>
              </w:rPr>
              <w:t>本项目</w:t>
            </w:r>
            <w:r>
              <w:rPr>
                <w:rFonts w:hint="eastAsia" w:ascii="Times New Roman"/>
                <w:color w:val="000000" w:themeColor="text1"/>
                <w:spacing w:val="4"/>
                <w:sz w:val="24"/>
                <w:szCs w:val="24"/>
                <w:highlight w:val="none"/>
                <w:lang w:eastAsia="zh-CN"/>
                <w14:textFill>
                  <w14:solidFill>
                    <w14:schemeClr w14:val="tx1"/>
                  </w14:solidFill>
                </w14:textFill>
              </w:rPr>
              <w:t>运营期</w:t>
            </w:r>
            <w:r>
              <w:rPr>
                <w:rFonts w:ascii="Times New Roman"/>
                <w:color w:val="000000" w:themeColor="text1"/>
                <w:spacing w:val="4"/>
                <w:sz w:val="24"/>
                <w:szCs w:val="24"/>
                <w:highlight w:val="none"/>
                <w14:textFill>
                  <w14:solidFill>
                    <w14:schemeClr w14:val="tx1"/>
                  </w14:solidFill>
                </w14:textFill>
              </w:rPr>
              <w:t>不产生生产废水</w:t>
            </w:r>
            <w:r>
              <w:rPr>
                <w:rFonts w:hint="eastAsia" w:ascii="Times New Roman"/>
                <w:color w:val="000000" w:themeColor="text1"/>
                <w:spacing w:val="4"/>
                <w:sz w:val="24"/>
                <w:szCs w:val="24"/>
                <w:highlight w:val="none"/>
                <w14:textFill>
                  <w14:solidFill>
                    <w14:schemeClr w14:val="tx1"/>
                  </w14:solidFill>
                </w14:textFill>
              </w:rPr>
              <w:t>；</w:t>
            </w:r>
            <w:r>
              <w:rPr>
                <w:rFonts w:hint="eastAsia" w:ascii="Times New Roman"/>
                <w:color w:val="000000" w:themeColor="text1"/>
                <w:sz w:val="24"/>
                <w:szCs w:val="24"/>
                <w:highlight w:val="none"/>
                <w:lang w:bidi="ar"/>
                <w14:textFill>
                  <w14:solidFill>
                    <w14:schemeClr w14:val="tx1"/>
                  </w14:solidFill>
                </w14:textFill>
              </w:rPr>
              <w:t>生活污水产生量以用水量的</w:t>
            </w:r>
            <w:r>
              <w:rPr>
                <w:rFonts w:ascii="Times New Roman"/>
                <w:color w:val="000000" w:themeColor="text1"/>
                <w:sz w:val="24"/>
                <w:szCs w:val="24"/>
                <w:highlight w:val="none"/>
                <w:lang w:bidi="ar"/>
                <w14:textFill>
                  <w14:solidFill>
                    <w14:schemeClr w14:val="tx1"/>
                  </w14:solidFill>
                </w14:textFill>
              </w:rPr>
              <w:t>80%</w:t>
            </w:r>
            <w:r>
              <w:rPr>
                <w:rFonts w:hint="eastAsia" w:ascii="Times New Roman"/>
                <w:color w:val="000000" w:themeColor="text1"/>
                <w:sz w:val="24"/>
                <w:szCs w:val="24"/>
                <w:highlight w:val="none"/>
                <w:lang w:bidi="ar"/>
                <w14:textFill>
                  <w14:solidFill>
                    <w14:schemeClr w14:val="tx1"/>
                  </w14:solidFill>
                </w14:textFill>
              </w:rPr>
              <w:t>计，则职工生活污水产生量为</w:t>
            </w:r>
            <w:r>
              <w:rPr>
                <w:rFonts w:ascii="Times New Roman"/>
                <w:color w:val="000000" w:themeColor="text1"/>
                <w:sz w:val="24"/>
                <w:szCs w:val="24"/>
                <w:highlight w:val="none"/>
                <w:lang w:bidi="ar"/>
                <w14:textFill>
                  <w14:solidFill>
                    <w14:schemeClr w14:val="tx1"/>
                  </w14:solidFill>
                </w14:textFill>
              </w:rPr>
              <w:t>0.</w:t>
            </w:r>
            <w:r>
              <w:rPr>
                <w:rFonts w:hint="eastAsia" w:ascii="Times New Roman"/>
                <w:color w:val="000000" w:themeColor="text1"/>
                <w:sz w:val="24"/>
                <w:szCs w:val="24"/>
                <w:highlight w:val="none"/>
                <w:lang w:val="en-US" w:eastAsia="zh-CN" w:bidi="ar"/>
                <w14:textFill>
                  <w14:solidFill>
                    <w14:schemeClr w14:val="tx1"/>
                  </w14:solidFill>
                </w14:textFill>
              </w:rPr>
              <w:t>39</w:t>
            </w:r>
            <w:r>
              <w:rPr>
                <w:rFonts w:ascii="Times New Roman"/>
                <w:color w:val="000000" w:themeColor="text1"/>
                <w:sz w:val="24"/>
                <w:szCs w:val="24"/>
                <w:highlight w:val="none"/>
                <w:lang w:bidi="ar"/>
                <w14:textFill>
                  <w14:solidFill>
                    <w14:schemeClr w14:val="tx1"/>
                  </w14:solidFill>
                </w14:textFill>
              </w:rPr>
              <w:t>m</w:t>
            </w:r>
            <w:r>
              <w:rPr>
                <w:rFonts w:ascii="Times New Roman"/>
                <w:color w:val="000000" w:themeColor="text1"/>
                <w:sz w:val="24"/>
                <w:szCs w:val="24"/>
                <w:highlight w:val="none"/>
                <w:vertAlign w:val="superscript"/>
                <w:lang w:bidi="ar"/>
                <w14:textFill>
                  <w14:solidFill>
                    <w14:schemeClr w14:val="tx1"/>
                  </w14:solidFill>
                </w14:textFill>
              </w:rPr>
              <w:t>3</w:t>
            </w:r>
            <w:r>
              <w:rPr>
                <w:rFonts w:ascii="Times New Roman"/>
                <w:color w:val="000000" w:themeColor="text1"/>
                <w:sz w:val="24"/>
                <w:szCs w:val="24"/>
                <w:highlight w:val="none"/>
                <w:lang w:bidi="ar"/>
                <w14:textFill>
                  <w14:solidFill>
                    <w14:schemeClr w14:val="tx1"/>
                  </w14:solidFill>
                </w14:textFill>
              </w:rPr>
              <w:t>/d</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z w:val="24"/>
                <w:szCs w:val="24"/>
                <w:highlight w:val="none"/>
                <w:lang w:val="en-US" w:eastAsia="zh-CN" w:bidi="ar"/>
                <w14:textFill>
                  <w14:solidFill>
                    <w14:schemeClr w14:val="tx1"/>
                  </w14:solidFill>
                </w14:textFill>
              </w:rPr>
              <w:t>140.8</w:t>
            </w:r>
            <w:r>
              <w:rPr>
                <w:rFonts w:ascii="Times New Roman"/>
                <w:color w:val="000000" w:themeColor="text1"/>
                <w:sz w:val="24"/>
                <w:szCs w:val="24"/>
                <w:highlight w:val="none"/>
                <w:lang w:bidi="ar"/>
                <w14:textFill>
                  <w14:solidFill>
                    <w14:schemeClr w14:val="tx1"/>
                  </w14:solidFill>
                </w14:textFill>
              </w:rPr>
              <w:t>m</w:t>
            </w:r>
            <w:r>
              <w:rPr>
                <w:rFonts w:ascii="Times New Roman"/>
                <w:color w:val="000000" w:themeColor="text1"/>
                <w:sz w:val="24"/>
                <w:szCs w:val="24"/>
                <w:highlight w:val="none"/>
                <w:vertAlign w:val="superscript"/>
                <w:lang w:bidi="ar"/>
                <w14:textFill>
                  <w14:solidFill>
                    <w14:schemeClr w14:val="tx1"/>
                  </w14:solidFill>
                </w14:textFill>
              </w:rPr>
              <w:t>3</w:t>
            </w:r>
            <w:r>
              <w:rPr>
                <w:rFonts w:ascii="Times New Roman"/>
                <w:color w:val="000000" w:themeColor="text1"/>
                <w:sz w:val="24"/>
                <w:szCs w:val="24"/>
                <w:highlight w:val="none"/>
                <w:lang w:bidi="ar"/>
                <w14:textFill>
                  <w14:solidFill>
                    <w14:schemeClr w14:val="tx1"/>
                  </w14:solidFill>
                </w14:textFill>
              </w:rPr>
              <w:t>/a</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pacing w:val="4"/>
                <w:sz w:val="24"/>
                <w:szCs w:val="24"/>
                <w:highlight w:val="none"/>
                <w14:textFill>
                  <w14:solidFill>
                    <w14:schemeClr w14:val="tx1"/>
                  </w14:solidFill>
                </w14:textFill>
              </w:rPr>
              <w:t>，</w:t>
            </w:r>
            <w:r>
              <w:rPr>
                <w:rFonts w:hint="eastAsia" w:ascii="Times New Roman"/>
                <w:color w:val="000000" w:themeColor="text1"/>
                <w:spacing w:val="4"/>
                <w:sz w:val="24"/>
                <w:szCs w:val="24"/>
                <w:highlight w:val="none"/>
                <w:lang w:val="en-US" w:eastAsia="zh-CN"/>
                <w14:textFill>
                  <w14:solidFill>
                    <w14:schemeClr w14:val="tx1"/>
                  </w14:solidFill>
                </w14:textFill>
              </w:rPr>
              <w:t>食堂废水经隔油池处理，与盥洗水一同经一体</w:t>
            </w:r>
            <w:r>
              <w:rPr>
                <w:rFonts w:hint="eastAsia" w:ascii="Times New Roman"/>
                <w:color w:val="000000" w:themeColor="text1"/>
                <w:sz w:val="24"/>
                <w:szCs w:val="24"/>
                <w:highlight w:val="none"/>
                <w:lang w:bidi="ar"/>
                <w14:textFill>
                  <w14:solidFill>
                    <w14:schemeClr w14:val="tx1"/>
                  </w14:solidFill>
                </w14:textFill>
              </w:rPr>
              <w:t>化污水处理装置处理达标后送到清水池，再通过回用水泵回用于绿化，不外排。</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12、</w:t>
            </w:r>
            <w:r>
              <w:rPr>
                <w:rFonts w:ascii="Times New Roman"/>
                <w:color w:val="000000" w:themeColor="text1"/>
                <w:sz w:val="24"/>
                <w:szCs w:val="24"/>
                <w:highlight w:val="none"/>
                <w14:textFill>
                  <w14:solidFill>
                    <w14:schemeClr w14:val="tx1"/>
                  </w14:solidFill>
                </w14:textFill>
              </w:rPr>
              <w:t>项目</w:t>
            </w:r>
            <w:r>
              <w:rPr>
                <w:rFonts w:hint="eastAsia" w:ascii="Times New Roman"/>
                <w:color w:val="000000" w:themeColor="text1"/>
                <w:sz w:val="24"/>
                <w:szCs w:val="24"/>
                <w:highlight w:val="none"/>
                <w14:textFill>
                  <w14:solidFill>
                    <w14:schemeClr w14:val="tx1"/>
                  </w14:solidFill>
                </w14:textFill>
              </w:rPr>
              <w:t>建设周期</w:t>
            </w:r>
            <w:r>
              <w:rPr>
                <w:rFonts w:ascii="Times New Roman"/>
                <w:color w:val="000000" w:themeColor="text1"/>
                <w:sz w:val="24"/>
                <w:szCs w:val="24"/>
                <w:highlight w:val="none"/>
                <w14:textFill>
                  <w14:solidFill>
                    <w14:schemeClr w14:val="tx1"/>
                  </w14:solidFill>
                </w14:textFill>
              </w:rPr>
              <w:t>：项目拟于202</w:t>
            </w:r>
            <w:r>
              <w:rPr>
                <w:rFonts w:hint="eastAsia" w:ascii="Times New Roman"/>
                <w:color w:val="000000" w:themeColor="text1"/>
                <w:sz w:val="24"/>
                <w:szCs w:val="24"/>
                <w:highlight w:val="none"/>
                <w14:textFill>
                  <w14:solidFill>
                    <w14:schemeClr w14:val="tx1"/>
                  </w14:solidFill>
                </w14:textFill>
              </w:rPr>
              <w:t>4</w:t>
            </w:r>
            <w:r>
              <w:rPr>
                <w:rFonts w:ascii="Times New Roman"/>
                <w:color w:val="000000" w:themeColor="text1"/>
                <w:sz w:val="24"/>
                <w:szCs w:val="24"/>
                <w:highlight w:val="none"/>
                <w14:textFill>
                  <w14:solidFill>
                    <w14:schemeClr w14:val="tx1"/>
                  </w14:solidFill>
                </w14:textFill>
              </w:rPr>
              <w:t>年</w:t>
            </w:r>
            <w:r>
              <w:rPr>
                <w:rFonts w:hint="eastAsia" w:ascii="Times New Roman"/>
                <w:color w:val="000000" w:themeColor="text1"/>
                <w:sz w:val="24"/>
                <w:szCs w:val="24"/>
                <w:highlight w:val="none"/>
                <w:lang w:val="en-US" w:eastAsia="zh-CN"/>
                <w14:textFill>
                  <w14:solidFill>
                    <w14:schemeClr w14:val="tx1"/>
                  </w14:solidFill>
                </w14:textFill>
              </w:rPr>
              <w:t>7</w:t>
            </w:r>
            <w:r>
              <w:rPr>
                <w:rFonts w:ascii="Times New Roman"/>
                <w:color w:val="000000" w:themeColor="text1"/>
                <w:sz w:val="24"/>
                <w:szCs w:val="24"/>
                <w:highlight w:val="none"/>
                <w14:textFill>
                  <w14:solidFill>
                    <w14:schemeClr w14:val="tx1"/>
                  </w14:solidFill>
                </w14:textFill>
              </w:rPr>
              <w:t>月建设，施工期</w:t>
            </w:r>
            <w:r>
              <w:rPr>
                <w:rFonts w:hint="eastAsia" w:ascii="Times New Roman"/>
                <w:color w:val="000000" w:themeColor="text1"/>
                <w:sz w:val="24"/>
                <w:szCs w:val="24"/>
                <w:highlight w:val="none"/>
                <w:lang w:val="en-US" w:eastAsia="zh-CN"/>
                <w14:textFill>
                  <w14:solidFill>
                    <w14:schemeClr w14:val="tx1"/>
                  </w14:solidFill>
                </w14:textFill>
              </w:rPr>
              <w:t>10</w:t>
            </w:r>
            <w:r>
              <w:rPr>
                <w:rFonts w:ascii="Times New Roman"/>
                <w:color w:val="000000" w:themeColor="text1"/>
                <w:sz w:val="24"/>
                <w:szCs w:val="24"/>
                <w:highlight w:val="none"/>
                <w14:textFill>
                  <w14:solidFill>
                    <w14:schemeClr w14:val="tx1"/>
                  </w14:solidFill>
                </w14:textFill>
              </w:rPr>
              <w:t>月，预计202</w:t>
            </w:r>
            <w:r>
              <w:rPr>
                <w:rFonts w:hint="eastAsia" w:ascii="Times New Roman"/>
                <w:color w:val="000000" w:themeColor="text1"/>
                <w:sz w:val="24"/>
                <w:szCs w:val="24"/>
                <w:highlight w:val="none"/>
                <w:lang w:val="en-US" w:eastAsia="zh-CN"/>
                <w14:textFill>
                  <w14:solidFill>
                    <w14:schemeClr w14:val="tx1"/>
                  </w14:solidFill>
                </w14:textFill>
              </w:rPr>
              <w:t>5</w:t>
            </w:r>
            <w:r>
              <w:rPr>
                <w:rFonts w:ascii="Times New Roman"/>
                <w:color w:val="000000" w:themeColor="text1"/>
                <w:sz w:val="24"/>
                <w:szCs w:val="24"/>
                <w:highlight w:val="none"/>
                <w14:textFill>
                  <w14:solidFill>
                    <w14:schemeClr w14:val="tx1"/>
                  </w14:solidFill>
                </w14:textFill>
              </w:rPr>
              <w:t>年</w:t>
            </w:r>
            <w:r>
              <w:rPr>
                <w:rFonts w:hint="eastAsia" w:ascii="Times New Roman"/>
                <w:color w:val="000000" w:themeColor="text1"/>
                <w:sz w:val="24"/>
                <w:szCs w:val="24"/>
                <w:highlight w:val="none"/>
                <w:lang w:val="en-US" w:eastAsia="zh-CN"/>
                <w14:textFill>
                  <w14:solidFill>
                    <w14:schemeClr w14:val="tx1"/>
                  </w14:solidFill>
                </w14:textFill>
              </w:rPr>
              <w:t>4</w:t>
            </w:r>
            <w:r>
              <w:rPr>
                <w:rFonts w:ascii="Times New Roman"/>
                <w:color w:val="000000" w:themeColor="text1"/>
                <w:sz w:val="24"/>
                <w:szCs w:val="24"/>
                <w:highlight w:val="none"/>
                <w14:textFill>
                  <w14:solidFill>
                    <w14:schemeClr w14:val="tx1"/>
                  </w14:solidFill>
                </w14:textFill>
              </w:rPr>
              <w:t>月完成建设并进入并网调式。</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383" w:hRule="atLeast"/>
          <w:jc w:val="center"/>
        </w:trPr>
        <w:tc>
          <w:tcPr>
            <w:tcW w:w="758" w:type="dxa"/>
            <w:vAlign w:val="center"/>
          </w:tcPr>
          <w:p>
            <w:pPr>
              <w:pStyle w:val="46"/>
              <w:adjustRightInd w:val="0"/>
              <w:snapToGrid w:val="0"/>
              <w:spacing w:before="0" w:beforeAutospacing="0" w:after="0" w:afterAutospacing="0" w:line="360" w:lineRule="auto"/>
              <w:jc w:val="center"/>
              <w:rPr>
                <w:rFonts w:ascii="Times New Roman" w:hAnsi="Times New Roman"/>
                <w:color w:val="000000" w:themeColor="text1"/>
                <w:szCs w:val="24"/>
                <w:highlight w:val="none"/>
                <w14:textFill>
                  <w14:solidFill>
                    <w14:schemeClr w14:val="tx1"/>
                  </w14:solidFill>
                </w14:textFill>
              </w:rPr>
            </w:pPr>
            <w:r>
              <w:rPr>
                <w:rFonts w:ascii="Times New Roman" w:hAnsi="Times New Roman"/>
                <w:color w:val="000000" w:themeColor="text1"/>
                <w:szCs w:val="24"/>
                <w:highlight w:val="none"/>
                <w14:textFill>
                  <w14:solidFill>
                    <w14:schemeClr w14:val="tx1"/>
                  </w14:solidFill>
                </w14:textFill>
              </w:rPr>
              <w:t>工艺流程和产排污环节</w:t>
            </w:r>
          </w:p>
        </w:tc>
        <w:tc>
          <w:tcPr>
            <w:tcW w:w="8129" w:type="dxa"/>
          </w:tcPr>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1、工艺流程</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(1)施工期</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本项目施工内容分为土建工程、电气安装工程两大工序，土建</w:t>
            </w:r>
            <w:r>
              <w:rPr>
                <w:rFonts w:hint="eastAsia" w:ascii="Times New Roman"/>
                <w:color w:val="000000" w:themeColor="text1"/>
                <w:sz w:val="24"/>
                <w:szCs w:val="24"/>
                <w:highlight w:val="none"/>
                <w:lang w:val="en-US" w:eastAsia="zh-CN"/>
                <w14:textFill>
                  <w14:solidFill>
                    <w14:schemeClr w14:val="tx1"/>
                  </w14:solidFill>
                </w14:textFill>
              </w:rPr>
              <w:t>工程包括</w:t>
            </w:r>
            <w:r>
              <w:rPr>
                <w:rFonts w:ascii="Times New Roman"/>
                <w:color w:val="000000" w:themeColor="text1"/>
                <w:sz w:val="24"/>
                <w:szCs w:val="24"/>
                <w:highlight w:val="none"/>
                <w14:textFill>
                  <w14:solidFill>
                    <w14:schemeClr w14:val="tx1"/>
                  </w14:solidFill>
                </w14:textFill>
              </w:rPr>
              <w:t>综合楼</w:t>
            </w:r>
            <w:r>
              <w:rPr>
                <w:rFonts w:hint="eastAsia" w:ascii="Times New Roman"/>
                <w:color w:val="000000" w:themeColor="text1"/>
                <w:sz w:val="24"/>
                <w:szCs w:val="24"/>
                <w:highlight w:val="none"/>
                <w14:textFill>
                  <w14:solidFill>
                    <w14:schemeClr w14:val="tx1"/>
                  </w14:solidFill>
                </w14:textFill>
              </w:rPr>
              <w:t>、泵房</w:t>
            </w:r>
            <w:r>
              <w:rPr>
                <w:rFonts w:ascii="Times New Roman"/>
                <w:color w:val="000000" w:themeColor="text1"/>
                <w:sz w:val="24"/>
                <w:szCs w:val="24"/>
                <w:highlight w:val="none"/>
                <w14:textFill>
                  <w14:solidFill>
                    <w14:schemeClr w14:val="tx1"/>
                  </w14:solidFill>
                </w14:textFill>
              </w:rPr>
              <w:t>、围墙、主变基础、户外设备的构支架、电缆通道、下水管网、道路</w:t>
            </w:r>
            <w:r>
              <w:rPr>
                <w:rFonts w:hint="eastAsia" w:ascii="Times New Roman"/>
                <w:color w:val="000000" w:themeColor="text1"/>
                <w:sz w:val="24"/>
                <w:szCs w:val="24"/>
                <w:highlight w:val="none"/>
                <w:lang w:val="en-US" w:eastAsia="zh-CN"/>
                <w14:textFill>
                  <w14:solidFill>
                    <w14:schemeClr w14:val="tx1"/>
                  </w14:solidFill>
                </w14:textFill>
              </w:rPr>
              <w:t>等</w:t>
            </w:r>
            <w:r>
              <w:rPr>
                <w:rFonts w:ascii="Times New Roman"/>
                <w:color w:val="000000" w:themeColor="text1"/>
                <w:sz w:val="24"/>
                <w:szCs w:val="24"/>
                <w:highlight w:val="none"/>
                <w14:textFill>
                  <w14:solidFill>
                    <w14:schemeClr w14:val="tx1"/>
                  </w14:solidFill>
                </w14:textFill>
              </w:rPr>
              <w:t>；电气设备安装分为主变压器系统安装、配电装置安装、控制及保护屏、电缆敷设接线安装、无功系统安装、单体设备及分系统调试等工序，进站道路施工用机械填筑路基、机械碾压，路面实施硬化，施工以机械施工为主，人工施工为辅</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施工流程示意图见图2-</w:t>
            </w:r>
            <w:r>
              <w:rPr>
                <w:rFonts w:hint="eastAsia" w:ascii="Times New Roman"/>
                <w:color w:val="000000" w:themeColor="text1"/>
                <w:sz w:val="24"/>
                <w:szCs w:val="24"/>
                <w:highlight w:val="none"/>
                <w:lang w:val="en-US" w:eastAsia="zh-CN"/>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w:t>
            </w:r>
          </w:p>
          <w:p>
            <w:pPr>
              <w:spacing w:line="360" w:lineRule="auto"/>
              <w:ind w:left="-2" w:leftChars="-1"/>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drawing>
                <wp:inline distT="0" distB="0" distL="114300" distR="114300">
                  <wp:extent cx="3696335" cy="1280160"/>
                  <wp:effectExtent l="0" t="0" r="18415"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19"/>
                          <a:srcRect r="17710"/>
                          <a:stretch>
                            <a:fillRect/>
                          </a:stretch>
                        </pic:blipFill>
                        <pic:spPr>
                          <a:xfrm>
                            <a:off x="0" y="0"/>
                            <a:ext cx="3696335" cy="12801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left="0" w:leftChars="0"/>
              <w:jc w:val="center"/>
              <w:textAlignment w:val="auto"/>
              <w:rPr>
                <w:rFonts w:ascii="Times New Roman"/>
                <w:b/>
                <w:bCs/>
                <w:color w:val="000000" w:themeColor="text1"/>
                <w:sz w:val="24"/>
                <w:szCs w:val="24"/>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图2-</w:t>
            </w:r>
            <w:r>
              <w:rPr>
                <w:rFonts w:hint="eastAsia" w:ascii="Times New Roman"/>
                <w:b/>
                <w:bCs/>
                <w:color w:val="000000" w:themeColor="text1"/>
                <w:sz w:val="24"/>
                <w:szCs w:val="24"/>
                <w:highlight w:val="none"/>
                <w:lang w:val="en-US" w:eastAsia="zh-CN"/>
                <w14:textFill>
                  <w14:solidFill>
                    <w14:schemeClr w14:val="tx1"/>
                  </w14:solidFill>
                </w14:textFill>
              </w:rPr>
              <w:t>1</w:t>
            </w:r>
            <w:r>
              <w:rPr>
                <w:rFonts w:ascii="Times New Roman"/>
                <w:b/>
                <w:bCs/>
                <w:color w:val="000000" w:themeColor="text1"/>
                <w:sz w:val="24"/>
                <w:szCs w:val="24"/>
                <w:highlight w:val="none"/>
                <w14:textFill>
                  <w14:solidFill>
                    <w14:schemeClr w14:val="tx1"/>
                  </w14:solidFill>
                </w14:textFill>
              </w:rPr>
              <w:t xml:space="preserve">  施工流程图</w:t>
            </w:r>
          </w:p>
          <w:p>
            <w:pPr>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w:t>
            </w:r>
            <w:r>
              <w:rPr>
                <w:rFonts w:hint="eastAsia" w:ascii="Times New Roman"/>
                <w:color w:val="000000" w:themeColor="text1"/>
                <w:sz w:val="24"/>
                <w:szCs w:val="24"/>
                <w:highlight w:val="none"/>
                <w:lang w:eastAsia="zh-CN"/>
                <w14:textFill>
                  <w14:solidFill>
                    <w14:schemeClr w14:val="tx1"/>
                  </w14:solidFill>
                </w14:textFill>
              </w:rPr>
              <w:t>运营期</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升压站是电力系统中变换电压、接受和分配电能、控制电力的流向和调整电压的电力设施，它通过其变压器将各级电压的电网联系起来。升压站起变换电压作用的设备是变压器，除此之外，升压站的设备还有开闭电路的开关设备、汇集电流的母线、计量和控制用互感器、仪表、继电保护装置和防雷保护装置、调度通信装置、无功补偿设备等。</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工艺流程与排污环节如图2-</w:t>
            </w:r>
            <w:r>
              <w:rPr>
                <w:rFonts w:hint="eastAsia" w:ascii="Times New Roman"/>
                <w:color w:val="000000" w:themeColor="text1"/>
                <w:sz w:val="24"/>
                <w:szCs w:val="24"/>
                <w:highlight w:val="none"/>
                <w:lang w:val="en-US" w:eastAsia="zh-CN"/>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所示。</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color w:val="000000" w:themeColor="text1"/>
                <w:sz w:val="24"/>
                <w:highlight w:val="none"/>
                <w14:textFill>
                  <w14:solidFill>
                    <w14:schemeClr w14:val="tx1"/>
                  </w14:solidFill>
                </w14:textFill>
              </w:rPr>
              <mc:AlternateContent>
                <mc:Choice Requires="wpg">
                  <w:drawing>
                    <wp:anchor distT="0" distB="0" distL="114300" distR="114300" simplePos="0" relativeHeight="251662336" behindDoc="0" locked="0" layoutInCell="1" allowOverlap="1">
                      <wp:simplePos x="0" y="0"/>
                      <wp:positionH relativeFrom="column">
                        <wp:posOffset>880110</wp:posOffset>
                      </wp:positionH>
                      <wp:positionV relativeFrom="paragraph">
                        <wp:posOffset>53975</wp:posOffset>
                      </wp:positionV>
                      <wp:extent cx="3598545" cy="1355090"/>
                      <wp:effectExtent l="4445" t="4445" r="16510" b="12065"/>
                      <wp:wrapNone/>
                      <wp:docPr id="19" name="组合 19"/>
                      <wp:cNvGraphicFramePr/>
                      <a:graphic xmlns:a="http://schemas.openxmlformats.org/drawingml/2006/main">
                        <a:graphicData uri="http://schemas.microsoft.com/office/word/2010/wordprocessingGroup">
                          <wpg:wgp>
                            <wpg:cNvGrpSpPr/>
                            <wpg:grpSpPr>
                              <a:xfrm>
                                <a:off x="0" y="0"/>
                                <a:ext cx="3598545" cy="1355090"/>
                                <a:chOff x="4235" y="498598"/>
                                <a:chExt cx="5667" cy="2134"/>
                              </a:xfrm>
                            </wpg:grpSpPr>
                            <wps:wsp>
                              <wps:cNvPr id="30" name="矩形 30"/>
                              <wps:cNvSpPr/>
                              <wps:spPr>
                                <a:xfrm>
                                  <a:off x="5886" y="498598"/>
                                  <a:ext cx="2254" cy="2134"/>
                                </a:xfrm>
                                <a:prstGeom prst="rect">
                                  <a:avLst/>
                                </a:prstGeom>
                                <a:noFill/>
                                <a:ln w="6350">
                                  <a:solidFill>
                                    <a:schemeClr val="tx1"/>
                                  </a:solidFill>
                                  <a:prstDash val="dash"/>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矩形 346"/>
                              <wps:cNvSpPr/>
                              <wps:spPr bwMode="auto">
                                <a:xfrm>
                                  <a:off x="6098" y="499211"/>
                                  <a:ext cx="1785" cy="590"/>
                                </a:xfrm>
                                <a:prstGeom prst="rect">
                                  <a:avLst/>
                                </a:prstGeom>
                                <a:solidFill>
                                  <a:srgbClr val="FFFFFF"/>
                                </a:solidFill>
                                <a:ln>
                                  <a:solidFill>
                                    <a:schemeClr val="tx1"/>
                                  </a:solidFill>
                                </a:ln>
                              </wps:spPr>
                              <wps:txbx>
                                <w:txbxContent>
                                  <w:p>
                                    <w:pPr>
                                      <w:jc w:val="center"/>
                                      <w:rPr>
                                        <w:b/>
                                        <w:sz w:val="22"/>
                                      </w:rPr>
                                    </w:pPr>
                                    <w:r>
                                      <w:rPr>
                                        <w:rFonts w:hint="default" w:ascii="Times New Roman" w:hAnsi="Times New Roman" w:cs="Times New Roman"/>
                                        <w:bCs/>
                                        <w:sz w:val="22"/>
                                      </w:rPr>
                                      <w:t>220kV</w:t>
                                    </w:r>
                                    <w:r>
                                      <w:rPr>
                                        <w:rFonts w:hint="eastAsia"/>
                                        <w:bCs/>
                                        <w:sz w:val="22"/>
                                      </w:rPr>
                                      <w:t>升压站</w:t>
                                    </w:r>
                                  </w:p>
                                </w:txbxContent>
                              </wps:txbx>
                              <wps:bodyPr rot="0" vert="horz" wrap="square" lIns="0" tIns="0" rIns="0" bIns="0" anchor="ctr" anchorCtr="0" upright="1">
                                <a:noAutofit/>
                              </wps:bodyPr>
                            </wps:wsp>
                            <wps:wsp>
                              <wps:cNvPr id="17" name="自选图形 350"/>
                              <wps:cNvCnPr/>
                              <wps:spPr bwMode="auto">
                                <a:xfrm>
                                  <a:off x="7022" y="499825"/>
                                  <a:ext cx="0" cy="374"/>
                                </a:xfrm>
                                <a:prstGeom prst="straightConnector1">
                                  <a:avLst/>
                                </a:prstGeom>
                                <a:noFill/>
                                <a:ln w="19050">
                                  <a:solidFill>
                                    <a:srgbClr val="000000"/>
                                  </a:solidFill>
                                  <a:prstDash val="dash"/>
                                  <a:round/>
                                  <a:tailEnd type="triangle" w="med" len="med"/>
                                </a:ln>
                              </wps:spPr>
                              <wps:bodyPr/>
                            </wps:wsp>
                            <wps:wsp>
                              <wps:cNvPr id="10" name="矩形 352"/>
                              <wps:cNvSpPr/>
                              <wps:spPr bwMode="auto">
                                <a:xfrm>
                                  <a:off x="5956" y="500185"/>
                                  <a:ext cx="2165" cy="523"/>
                                </a:xfrm>
                                <a:prstGeom prst="rect">
                                  <a:avLst/>
                                </a:prstGeom>
                                <a:solidFill>
                                  <a:srgbClr val="FFFFFF"/>
                                </a:solidFill>
                                <a:ln>
                                  <a:noFill/>
                                </a:ln>
                              </wps:spPr>
                              <wps:txbx>
                                <w:txbxContent>
                                  <w:p>
                                    <w:pPr>
                                      <w:jc w:val="center"/>
                                      <w:rPr>
                                        <w:b/>
                                        <w:sz w:val="18"/>
                                        <w:szCs w:val="16"/>
                                      </w:rPr>
                                    </w:pPr>
                                    <w:r>
                                      <w:rPr>
                                        <w:rFonts w:hint="eastAsia"/>
                                        <w:b/>
                                        <w:sz w:val="18"/>
                                        <w:szCs w:val="16"/>
                                        <w:lang w:val="en-US" w:eastAsia="zh-CN"/>
                                      </w:rPr>
                                      <w:t>废气、</w:t>
                                    </w:r>
                                    <w:r>
                                      <w:rPr>
                                        <w:rFonts w:hint="eastAsia"/>
                                        <w:b/>
                                        <w:sz w:val="18"/>
                                        <w:szCs w:val="16"/>
                                      </w:rPr>
                                      <w:t>噪声、</w:t>
                                    </w:r>
                                    <w:r>
                                      <w:rPr>
                                        <w:b/>
                                        <w:sz w:val="18"/>
                                        <w:szCs w:val="16"/>
                                      </w:rPr>
                                      <w:t>废水</w:t>
                                    </w:r>
                                    <w:r>
                                      <w:rPr>
                                        <w:rFonts w:hint="eastAsia"/>
                                        <w:b/>
                                        <w:sz w:val="18"/>
                                        <w:szCs w:val="16"/>
                                      </w:rPr>
                                      <w:t>、工频</w:t>
                                    </w:r>
                                    <w:r>
                                      <w:rPr>
                                        <w:b/>
                                        <w:sz w:val="18"/>
                                        <w:szCs w:val="16"/>
                                      </w:rPr>
                                      <w:t>电场</w:t>
                                    </w:r>
                                    <w:r>
                                      <w:rPr>
                                        <w:rFonts w:hint="eastAsia"/>
                                        <w:b/>
                                        <w:sz w:val="18"/>
                                        <w:szCs w:val="16"/>
                                      </w:rPr>
                                      <w:t>、</w:t>
                                    </w:r>
                                    <w:r>
                                      <w:rPr>
                                        <w:b/>
                                        <w:sz w:val="18"/>
                                        <w:szCs w:val="16"/>
                                      </w:rPr>
                                      <w:t>工频磁场</w:t>
                                    </w:r>
                                    <w:r>
                                      <w:rPr>
                                        <w:rFonts w:hint="eastAsia"/>
                                        <w:b/>
                                        <w:sz w:val="18"/>
                                        <w:szCs w:val="16"/>
                                      </w:rPr>
                                      <w:t>、固体</w:t>
                                    </w:r>
                                    <w:r>
                                      <w:rPr>
                                        <w:b/>
                                        <w:sz w:val="18"/>
                                        <w:szCs w:val="16"/>
                                      </w:rPr>
                                      <w:t>废物</w:t>
                                    </w:r>
                                  </w:p>
                                </w:txbxContent>
                              </wps:txbx>
                              <wps:bodyPr rot="0" vert="horz" wrap="square" lIns="0" tIns="0" rIns="0" bIns="0" anchor="t" anchorCtr="0" upright="1">
                                <a:noAutofit/>
                              </wps:bodyPr>
                            </wps:wsp>
                            <wps:wsp>
                              <wps:cNvPr id="21" name="矩形 346"/>
                              <wps:cNvSpPr/>
                              <wps:spPr bwMode="auto">
                                <a:xfrm>
                                  <a:off x="4235" y="499206"/>
                                  <a:ext cx="1032" cy="601"/>
                                </a:xfrm>
                                <a:prstGeom prst="rect">
                                  <a:avLst/>
                                </a:prstGeom>
                                <a:solidFill>
                                  <a:srgbClr val="FFFFFF"/>
                                </a:solidFill>
                                <a:ln>
                                  <a:solidFill>
                                    <a:schemeClr val="tx1"/>
                                  </a:solidFill>
                                  <a:prstDash val="solid"/>
                                </a:ln>
                              </wps:spPr>
                              <wps:txbx>
                                <w:txbxContent>
                                  <w:p>
                                    <w:pPr>
                                      <w:jc w:val="center"/>
                                      <w:rPr>
                                        <w:rFonts w:hint="eastAsia" w:eastAsia="宋体"/>
                                        <w:b/>
                                        <w:sz w:val="22"/>
                                        <w:lang w:eastAsia="zh-CN"/>
                                      </w:rPr>
                                    </w:pPr>
                                    <w:r>
                                      <w:rPr>
                                        <w:rFonts w:hint="eastAsia"/>
                                        <w:bCs/>
                                        <w:sz w:val="22"/>
                                        <w:lang w:val="en-US" w:eastAsia="zh-CN"/>
                                      </w:rPr>
                                      <w:t>风电场</w:t>
                                    </w:r>
                                  </w:p>
                                </w:txbxContent>
                              </wps:txbx>
                              <wps:bodyPr rot="0" vert="horz" wrap="square" lIns="0" tIns="0" rIns="0" bIns="0" anchor="ctr" anchorCtr="0" upright="1">
                                <a:noAutofit/>
                              </wps:bodyPr>
                            </wps:wsp>
                            <wps:wsp>
                              <wps:cNvPr id="33" name="矩形 33"/>
                              <wps:cNvSpPr/>
                              <wps:spPr>
                                <a:xfrm>
                                  <a:off x="8378" y="499118"/>
                                  <a:ext cx="1524" cy="777"/>
                                </a:xfrm>
                                <a:prstGeom prst="rect">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送出线路</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直接箭头连接符 34"/>
                              <wps:cNvCnPr>
                                <a:stCxn id="13" idx="3"/>
                                <a:endCxn id="33" idx="1"/>
                              </wps:cNvCnPr>
                              <wps:spPr>
                                <a:xfrm>
                                  <a:off x="7883" y="499507"/>
                                  <a:ext cx="495" cy="0"/>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s:wsp>
                              <wps:cNvPr id="35" name="直接箭头连接符 35"/>
                              <wps:cNvCnPr>
                                <a:stCxn id="21" idx="3"/>
                              </wps:cNvCnPr>
                              <wps:spPr>
                                <a:xfrm>
                                  <a:off x="5267" y="499507"/>
                                  <a:ext cx="803" cy="16"/>
                                </a:xfrm>
                                <a:prstGeom prst="straightConnector1">
                                  <a:avLst/>
                                </a:prstGeom>
                                <a:ln>
                                  <a:solidFill>
                                    <a:schemeClr val="tx1"/>
                                  </a:solidFill>
                                  <a:headEnd type="none" w="med" len="med"/>
                                  <a:tailEnd type="triangle" w="med" len="med"/>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69.3pt;margin-top:4.25pt;height:106.7pt;width:283.35pt;z-index:251662336;mso-width-relative:page;mso-height-relative:page;" coordorigin="4235,498598" coordsize="5667,2134" o:gfxdata="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">
                      <o:lock v:ext="edit" aspectratio="f"/>
                      <v:rect id="_x0000_s1026" o:spid="_x0000_s1026" o:spt="1" style="position:absolute;left:5886;top:498598;height:2134;width:2254;" filled="f" stroked="t" coordsize="21600,21600" o:gfxdata="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24+07gAAADbAAAA&#10;DwAAAAAAAAABACAAAAAiAAAAZHJzL2Rvd25yZXYueG1sUEsBAhQAFAAAAAgAh07iQDMvBZ47AAAA&#10;OQAAABAAAAAAAAAAAQAgAAAABwEAAGRycy9zaGFwZXhtbC54bWxQSwUGAAAAAAYABgBbAQAAsQMA&#10;AAAA&#10;">
                        <v:fill on="f" focussize="0,0"/>
                        <v:stroke weight="0.5pt" color="#000000 [3213]" miterlimit="8" joinstyle="miter" dashstyle="dash"/>
                        <v:imagedata o:title=""/>
                        <o:lock v:ext="edit" aspectratio="f"/>
                        <v:textbox>
                          <w:txbxContent>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w:t>
                              </w:r>
                            </w:p>
                          </w:txbxContent>
                        </v:textbox>
                      </v:rect>
                      <v:rect id="矩形 346" o:spid="_x0000_s1026" o:spt="1" style="position:absolute;left:6098;top:499211;height:590;width:1785;v-text-anchor:middle;" fillcolor="#FFFFFF" filled="t" stroked="t" coordsize="21600,21600" o:gfxdata="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i7IeugAAANsA&#10;AAAPAAAAAAAAAAEAIAAAACIAAABkcnMvZG93bnJldi54bWxQSwECFAAUAAAACACHTuJAMy8FnjsA&#10;AAA5AAAAEAAAAAAAAAABACAAAAAJAQAAZHJzL3NoYXBleG1sLnhtbFBLBQYAAAAABgAGAFsBAACz&#10;AwAAAAA=&#10;">
                        <v:fill on="t" focussize="0,0"/>
                        <v:stroke color="#000000 [3213]" joinstyle="round"/>
                        <v:imagedata o:title=""/>
                        <o:lock v:ext="edit" aspectratio="f"/>
                        <v:textbox inset="0mm,0mm,0mm,0mm">
                          <w:txbxContent>
                            <w:p>
                              <w:pPr>
                                <w:jc w:val="center"/>
                                <w:rPr>
                                  <w:b/>
                                  <w:sz w:val="22"/>
                                </w:rPr>
                              </w:pPr>
                              <w:r>
                                <w:rPr>
                                  <w:rFonts w:hint="default" w:ascii="Times New Roman" w:hAnsi="Times New Roman" w:cs="Times New Roman"/>
                                  <w:bCs/>
                                  <w:sz w:val="22"/>
                                </w:rPr>
                                <w:t>220kV</w:t>
                              </w:r>
                              <w:r>
                                <w:rPr>
                                  <w:rFonts w:hint="eastAsia"/>
                                  <w:bCs/>
                                  <w:sz w:val="22"/>
                                </w:rPr>
                                <w:t>升压站</w:t>
                              </w:r>
                            </w:p>
                          </w:txbxContent>
                        </v:textbox>
                      </v:rect>
                      <v:shape id="自选图形 350" o:spid="_x0000_s1026" o:spt="32" type="#_x0000_t32" style="position:absolute;left:7022;top:499825;height:374;width:0;" filled="f" stroked="t" coordsize="21600,21600" o:gfxdata="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RewCLsAAADb&#10;AAAADwAAAAAAAAABACAAAAAiAAAAZHJzL2Rvd25yZXYueG1sUEsBAhQAFAAAAAgAh07iQDMvBZ47&#10;AAAAOQAAABAAAAAAAAAAAQAgAAAACgEAAGRycy9zaGFwZXhtbC54bWxQSwUGAAAAAAYABgBbAQAA&#10;tAMAAAAA&#10;">
                        <v:fill on="f" focussize="0,0"/>
                        <v:stroke weight="1.5pt" color="#000000" joinstyle="round" dashstyle="dash" endarrow="block"/>
                        <v:imagedata o:title=""/>
                        <o:lock v:ext="edit" aspectratio="f"/>
                      </v:shape>
                      <v:rect id="矩形 352" o:spid="_x0000_s1026" o:spt="1" style="position:absolute;left:5956;top:500185;height:523;width:2165;" fillcolor="#FFFFFF" filled="t" stroked="f" coordsize="21600,21600" o:gfxdata="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SFe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center"/>
                                <w:rPr>
                                  <w:b/>
                                  <w:sz w:val="18"/>
                                  <w:szCs w:val="16"/>
                                </w:rPr>
                              </w:pPr>
                              <w:r>
                                <w:rPr>
                                  <w:rFonts w:hint="eastAsia"/>
                                  <w:b/>
                                  <w:sz w:val="18"/>
                                  <w:szCs w:val="16"/>
                                  <w:lang w:val="en-US" w:eastAsia="zh-CN"/>
                                </w:rPr>
                                <w:t>废气、</w:t>
                              </w:r>
                              <w:r>
                                <w:rPr>
                                  <w:rFonts w:hint="eastAsia"/>
                                  <w:b/>
                                  <w:sz w:val="18"/>
                                  <w:szCs w:val="16"/>
                                </w:rPr>
                                <w:t>噪声、</w:t>
                              </w:r>
                              <w:r>
                                <w:rPr>
                                  <w:b/>
                                  <w:sz w:val="18"/>
                                  <w:szCs w:val="16"/>
                                </w:rPr>
                                <w:t>废水</w:t>
                              </w:r>
                              <w:r>
                                <w:rPr>
                                  <w:rFonts w:hint="eastAsia"/>
                                  <w:b/>
                                  <w:sz w:val="18"/>
                                  <w:szCs w:val="16"/>
                                </w:rPr>
                                <w:t>、工频</w:t>
                              </w:r>
                              <w:r>
                                <w:rPr>
                                  <w:b/>
                                  <w:sz w:val="18"/>
                                  <w:szCs w:val="16"/>
                                </w:rPr>
                                <w:t>电场</w:t>
                              </w:r>
                              <w:r>
                                <w:rPr>
                                  <w:rFonts w:hint="eastAsia"/>
                                  <w:b/>
                                  <w:sz w:val="18"/>
                                  <w:szCs w:val="16"/>
                                </w:rPr>
                                <w:t>、</w:t>
                              </w:r>
                              <w:r>
                                <w:rPr>
                                  <w:b/>
                                  <w:sz w:val="18"/>
                                  <w:szCs w:val="16"/>
                                </w:rPr>
                                <w:t>工频磁场</w:t>
                              </w:r>
                              <w:r>
                                <w:rPr>
                                  <w:rFonts w:hint="eastAsia"/>
                                  <w:b/>
                                  <w:sz w:val="18"/>
                                  <w:szCs w:val="16"/>
                                </w:rPr>
                                <w:t>、固体</w:t>
                              </w:r>
                              <w:r>
                                <w:rPr>
                                  <w:b/>
                                  <w:sz w:val="18"/>
                                  <w:szCs w:val="16"/>
                                </w:rPr>
                                <w:t>废物</w:t>
                              </w:r>
                            </w:p>
                          </w:txbxContent>
                        </v:textbox>
                      </v:rect>
                      <v:rect id="矩形 346" o:spid="_x0000_s1026" o:spt="1" style="position:absolute;left:4235;top:499206;height:601;width:1032;v-text-anchor:middle;" fillcolor="#FFFFFF" filled="t" stroked="t" coordsize="21600,21600" o:gfxdata="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lDT7sAAADb&#10;AAAADwAAAAAAAAABACAAAAAiAAAAZHJzL2Rvd25yZXYueG1sUEsBAhQAFAAAAAgAh07iQDMvBZ47&#10;AAAAOQAAABAAAAAAAAAAAQAgAAAACgEAAGRycy9zaGFwZXhtbC54bWxQSwUGAAAAAAYABgBbAQAA&#10;tAMAAAAA&#10;">
                        <v:fill on="t" focussize="0,0"/>
                        <v:stroke color="#000000 [3213]" joinstyle="round"/>
                        <v:imagedata o:title=""/>
                        <o:lock v:ext="edit" aspectratio="f"/>
                        <v:textbox inset="0mm,0mm,0mm,0mm">
                          <w:txbxContent>
                            <w:p>
                              <w:pPr>
                                <w:jc w:val="center"/>
                                <w:rPr>
                                  <w:rFonts w:hint="eastAsia" w:eastAsia="宋体"/>
                                  <w:b/>
                                  <w:sz w:val="22"/>
                                  <w:lang w:eastAsia="zh-CN"/>
                                </w:rPr>
                              </w:pPr>
                              <w:r>
                                <w:rPr>
                                  <w:rFonts w:hint="eastAsia"/>
                                  <w:bCs/>
                                  <w:sz w:val="22"/>
                                  <w:lang w:val="en-US" w:eastAsia="zh-CN"/>
                                </w:rPr>
                                <w:t>风电场</w:t>
                              </w:r>
                            </w:p>
                          </w:txbxContent>
                        </v:textbox>
                      </v:rect>
                      <v:rect id="_x0000_s1026" o:spid="_x0000_s1026" o:spt="1" style="position:absolute;left:8378;top:499118;height:777;width:1524;v-text-anchor:middle;" fillcolor="#FFFFFF [3212]" filled="t" stroked="t" coordsize="21600,21600" o:gfxdata="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HuoC8AAAA&#10;2wAAAA8AAAAAAAAAAQAgAAAAIgAAAGRycy9kb3ducmV2LnhtbFBLAQIUABQAAAAIAIdO4kAzLwWe&#10;OwAAADkAAAAQAAAAAAAAAAEAIAAAAAsBAABkcnMvc2hhcGV4bWwueG1sUEsFBgAAAAAGAAYAWwEA&#10;ALUDAAAAAA==&#10;">
                        <v:fill on="t" focussize="0,0"/>
                        <v:stroke weight="0.5pt" color="#000000 [3213]" miterlimit="8" joinstyle="miter"/>
                        <v:imagedata o:title=""/>
                        <o:lock v:ext="edit" aspectratio="f"/>
                        <v:textbox>
                          <w:txbxContent>
                            <w:p>
                              <w:pPr>
                                <w:jc w:val="center"/>
                                <w:rPr>
                                  <w:rFonts w:hint="default" w:eastAsia="宋体"/>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送出线路</w:t>
                              </w:r>
                            </w:p>
                          </w:txbxContent>
                        </v:textbox>
                      </v:rect>
                      <v:shape id="_x0000_s1026" o:spid="_x0000_s1026" o:spt="32" type="#_x0000_t32" style="position:absolute;left:7883;top:499507;height:0;width:495;" filled="f" stroked="t" coordsize="21600,21600" o:gfxdata="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14Tr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shape id="_x0000_s1026" o:spid="_x0000_s1026" o:spt="32" type="#_x0000_t32" style="position:absolute;left:5267;top:499507;height:16;width:803;" filled="f" stroked="t" coordsize="21600,21600" o:gfxdata="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Hd1b4A&#10;AADbAAAADwAAAAAAAAABACAAAAAiAAAAZHJzL2Rvd25yZXYueG1sUEsBAhQAFAAAAAgAh07iQDMv&#10;BZ47AAAAOQAAABAAAAAAAAAAAQAgAAAADQEAAGRycy9zaGFwZXhtbC54bWxQSwUGAAAAAAYABgBb&#10;AQAAtwMAAAAA&#10;">
                        <v:fill on="f" focussize="0,0"/>
                        <v:stroke weight="1pt" color="#000000 [3213]" miterlimit="8" joinstyle="miter" endarrow="block"/>
                        <v:imagedata o:title=""/>
                        <o:lock v:ext="edit" aspectratio="f"/>
                      </v:shape>
                    </v:group>
                  </w:pict>
                </mc:Fallback>
              </mc:AlternateConten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p>
          <w:p>
            <w:pPr>
              <w:snapToGrid w:val="0"/>
              <w:spacing w:line="360" w:lineRule="auto"/>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 xml:space="preserve">        </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p>
          <w:p>
            <w:pPr>
              <w:spacing w:line="360" w:lineRule="auto"/>
              <w:jc w:val="center"/>
              <w:rPr>
                <w:rFonts w:ascii="Times New Roman"/>
                <w:b/>
                <w:bCs/>
                <w:color w:val="000000" w:themeColor="text1"/>
                <w:sz w:val="24"/>
                <w:szCs w:val="24"/>
                <w:highlight w:val="none"/>
                <w14:textFill>
                  <w14:solidFill>
                    <w14:schemeClr w14:val="tx1"/>
                  </w14:solidFill>
                </w14:textFill>
              </w:rPr>
            </w:pPr>
          </w:p>
          <w:p>
            <w:pPr>
              <w:spacing w:line="360" w:lineRule="auto"/>
              <w:jc w:val="center"/>
              <w:rPr>
                <w:rFonts w:ascii="Times New Roman"/>
                <w:b/>
                <w:bCs/>
                <w:color w:val="000000" w:themeColor="text1"/>
                <w:sz w:val="24"/>
                <w:szCs w:val="24"/>
                <w:highlight w:val="none"/>
                <w14:textFill>
                  <w14:solidFill>
                    <w14:schemeClr w14:val="tx1"/>
                  </w14:solidFill>
                </w14:textFill>
              </w:rPr>
            </w:pPr>
          </w:p>
          <w:p>
            <w:pPr>
              <w:spacing w:line="360" w:lineRule="auto"/>
              <w:jc w:val="center"/>
              <w:rPr>
                <w:rFonts w:hint="default" w:ascii="Times New Roman" w:eastAsia="宋体"/>
                <w:b/>
                <w:bCs/>
                <w:color w:val="000000" w:themeColor="text1"/>
                <w:sz w:val="24"/>
                <w:szCs w:val="24"/>
                <w:highlight w:val="none"/>
                <w:lang w:val="en-US" w:eastAsia="zh-CN"/>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图2-</w:t>
            </w:r>
            <w:r>
              <w:rPr>
                <w:rFonts w:hint="eastAsia" w:ascii="Times New Roman"/>
                <w:b/>
                <w:bCs/>
                <w:color w:val="000000" w:themeColor="text1"/>
                <w:sz w:val="24"/>
                <w:szCs w:val="24"/>
                <w:highlight w:val="none"/>
                <w:lang w:val="en-US" w:eastAsia="zh-CN"/>
                <w14:textFill>
                  <w14:solidFill>
                    <w14:schemeClr w14:val="tx1"/>
                  </w14:solidFill>
                </w14:textFill>
              </w:rPr>
              <w:t>2</w:t>
            </w:r>
            <w:r>
              <w:rPr>
                <w:rFonts w:ascii="Times New Roman"/>
                <w:b/>
                <w:bCs/>
                <w:color w:val="000000" w:themeColor="text1"/>
                <w:sz w:val="24"/>
                <w:szCs w:val="24"/>
                <w:highlight w:val="none"/>
                <w14:textFill>
                  <w14:solidFill>
                    <w14:schemeClr w14:val="tx1"/>
                  </w14:solidFill>
                </w14:textFill>
              </w:rPr>
              <w:t xml:space="preserve">  工艺流程与排污</w:t>
            </w:r>
            <w:r>
              <w:rPr>
                <w:rFonts w:hint="eastAsia" w:ascii="Times New Roman"/>
                <w:b/>
                <w:bCs/>
                <w:color w:val="000000" w:themeColor="text1"/>
                <w:sz w:val="24"/>
                <w:szCs w:val="24"/>
                <w:highlight w:val="none"/>
                <w:lang w:val="en-US" w:eastAsia="zh-CN"/>
                <w14:textFill>
                  <w14:solidFill>
                    <w14:schemeClr w14:val="tx1"/>
                  </w14:solidFill>
                </w14:textFill>
              </w:rPr>
              <w:t>节点图</w:t>
            </w:r>
          </w:p>
          <w:p>
            <w:pPr>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2、产污节点</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(1)施工期</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工程施工期的主要环境影响因素有：施工噪声、施工废气、施工废水、施工固体废物、生态影响等。</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1)噪声：设备安装过程中产生一定的机械噪声。</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站建设过程中运输车辆的交通噪声，建筑物基础挖掘、浇注、管沟挖掘等装卸机、挖掘机等工程机械产生的机械噪声。</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2)废气：建筑材料堆存、地基挖掘、管沟填挖土方、土方转运等产生的扬尘，车辆运输进出工地产生的二次扬尘</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施工机械和施工车辆尾气。</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3)废水：车辆冲洗废水、基础养护废水、施工人员产生的生活</w:t>
            </w:r>
            <w:r>
              <w:rPr>
                <w:rFonts w:hint="eastAsia" w:ascii="Times New Roman"/>
                <w:color w:val="000000" w:themeColor="text1"/>
                <w:sz w:val="24"/>
                <w:szCs w:val="24"/>
                <w:highlight w:val="none"/>
                <w14:textFill>
                  <w14:solidFill>
                    <w14:schemeClr w14:val="tx1"/>
                  </w14:solidFill>
                </w14:textFill>
              </w:rPr>
              <w:t>污</w:t>
            </w:r>
            <w:r>
              <w:rPr>
                <w:rFonts w:ascii="Times New Roman"/>
                <w:color w:val="000000" w:themeColor="text1"/>
                <w:sz w:val="24"/>
                <w:szCs w:val="24"/>
                <w:highlight w:val="none"/>
                <w14:textFill>
                  <w14:solidFill>
                    <w14:schemeClr w14:val="tx1"/>
                  </w14:solidFill>
                </w14:textFill>
              </w:rPr>
              <w:t>水。</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4)固体废弃物：主要为</w:t>
            </w:r>
            <w:r>
              <w:rPr>
                <w:rFonts w:hint="eastAsia" w:ascii="Times New Roman"/>
                <w:color w:val="000000" w:themeColor="text1"/>
                <w:sz w:val="24"/>
                <w:szCs w:val="24"/>
                <w:highlight w:val="none"/>
                <w14:textFill>
                  <w14:solidFill>
                    <w14:schemeClr w14:val="tx1"/>
                  </w14:solidFill>
                </w14:textFill>
              </w:rPr>
              <w:t>施工废弃物</w:t>
            </w:r>
            <w:r>
              <w:rPr>
                <w:rFonts w:ascii="Times New Roman"/>
                <w:color w:val="000000" w:themeColor="text1"/>
                <w:sz w:val="24"/>
                <w:szCs w:val="24"/>
                <w:highlight w:val="none"/>
                <w14:textFill>
                  <w14:solidFill>
                    <w14:schemeClr w14:val="tx1"/>
                  </w14:solidFill>
                </w14:textFill>
              </w:rPr>
              <w:t>和施工人员的生活垃圾。</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5)生态：</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站土方开挖及施工</w:t>
            </w:r>
            <w:r>
              <w:rPr>
                <w:rFonts w:hint="eastAsia" w:ascii="Times New Roman"/>
                <w:color w:val="000000" w:themeColor="text1"/>
                <w:sz w:val="24"/>
                <w:szCs w:val="24"/>
                <w:highlight w:val="none"/>
                <w14:textFill>
                  <w14:solidFill>
                    <w14:schemeClr w14:val="tx1"/>
                  </w14:solidFill>
                </w14:textFill>
              </w:rPr>
              <w:t>过程中</w:t>
            </w:r>
            <w:r>
              <w:rPr>
                <w:rFonts w:ascii="Times New Roman"/>
                <w:color w:val="000000" w:themeColor="text1"/>
                <w:sz w:val="24"/>
                <w:szCs w:val="24"/>
                <w:highlight w:val="none"/>
                <w14:textFill>
                  <w14:solidFill>
                    <w14:schemeClr w14:val="tx1"/>
                  </w14:solidFill>
                </w14:textFill>
              </w:rPr>
              <w:t>施工</w:t>
            </w:r>
            <w:r>
              <w:rPr>
                <w:rFonts w:hint="eastAsia" w:ascii="Times New Roman"/>
                <w:color w:val="000000" w:themeColor="text1"/>
                <w:sz w:val="24"/>
                <w:szCs w:val="24"/>
                <w:highlight w:val="none"/>
                <w14:textFill>
                  <w14:solidFill>
                    <w14:schemeClr w14:val="tx1"/>
                  </w14:solidFill>
                </w14:textFill>
              </w:rPr>
              <w:t>营地</w:t>
            </w:r>
            <w:r>
              <w:rPr>
                <w:rFonts w:ascii="Times New Roman"/>
                <w:color w:val="000000" w:themeColor="text1"/>
                <w:sz w:val="24"/>
                <w:szCs w:val="24"/>
                <w:highlight w:val="none"/>
                <w14:textFill>
                  <w14:solidFill>
                    <w14:schemeClr w14:val="tx1"/>
                  </w14:solidFill>
                </w14:textFill>
              </w:rPr>
              <w:t>等临时占地对植被的破坏等。</w:t>
            </w:r>
          </w:p>
          <w:p>
            <w:pPr>
              <w:pStyle w:val="25"/>
              <w:snapToGrid w:val="0"/>
              <w:spacing w:line="360" w:lineRule="auto"/>
              <w:ind w:left="0" w:leftChars="0"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w:t>
            </w:r>
            <w:r>
              <w:rPr>
                <w:rFonts w:hint="eastAsia" w:ascii="Times New Roman"/>
                <w:color w:val="000000" w:themeColor="text1"/>
                <w:sz w:val="24"/>
                <w:szCs w:val="24"/>
                <w:highlight w:val="none"/>
                <w:lang w:eastAsia="zh-CN"/>
                <w14:textFill>
                  <w14:solidFill>
                    <w14:schemeClr w14:val="tx1"/>
                  </w14:solidFill>
                </w14:textFill>
              </w:rPr>
              <w:t>运营期</w:t>
            </w:r>
          </w:p>
          <w:p>
            <w:pPr>
              <w:pStyle w:val="25"/>
              <w:snapToGrid w:val="0"/>
              <w:spacing w:line="360" w:lineRule="auto"/>
              <w:ind w:left="0" w:leftChars="0" w:firstLine="480" w:firstLineChars="200"/>
              <w:rPr>
                <w:rFonts w:hint="eastAsia" w:ascii="Times New Roman"/>
                <w:color w:val="000000" w:themeColor="text1"/>
                <w:sz w:val="24"/>
                <w:szCs w:val="24"/>
                <w:highlight w:val="none"/>
                <w:lang w:val="en-US"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w:t>
            </w:r>
            <w:r>
              <w:rPr>
                <w:rFonts w:hint="eastAsia" w:ascii="Times New Roman"/>
                <w:color w:val="000000" w:themeColor="text1"/>
                <w:sz w:val="24"/>
                <w:szCs w:val="24"/>
                <w:highlight w:val="none"/>
                <w:lang w:val="en-US" w:eastAsia="zh-CN"/>
                <w14:textFill>
                  <w14:solidFill>
                    <w14:schemeClr w14:val="tx1"/>
                  </w14:solidFill>
                </w14:textFill>
              </w:rPr>
              <w:t>废气：升压站食堂使用过程中产生的极少量油烟；</w:t>
            </w:r>
          </w:p>
          <w:p>
            <w:pPr>
              <w:pStyle w:val="25"/>
              <w:snapToGrid w:val="0"/>
              <w:spacing w:line="360" w:lineRule="auto"/>
              <w:ind w:left="0" w:leftChars="0"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2)废水：</w:t>
            </w:r>
            <w:r>
              <w:rPr>
                <w:rFonts w:hint="eastAsia" w:ascii="Times New Roman"/>
                <w:color w:val="000000" w:themeColor="text1"/>
                <w:sz w:val="24"/>
                <w:szCs w:val="24"/>
                <w:highlight w:val="none"/>
                <w14:textFill>
                  <w14:solidFill>
                    <w14:schemeClr w14:val="tx1"/>
                  </w14:solidFill>
                </w14:textFill>
              </w:rPr>
              <w:t>办公</w:t>
            </w:r>
            <w:r>
              <w:rPr>
                <w:rFonts w:ascii="Times New Roman"/>
                <w:color w:val="000000" w:themeColor="text1"/>
                <w:sz w:val="24"/>
                <w:szCs w:val="24"/>
                <w:highlight w:val="none"/>
                <w14:textFill>
                  <w14:solidFill>
                    <w14:schemeClr w14:val="tx1"/>
                  </w14:solidFill>
                </w14:textFill>
              </w:rPr>
              <w:t>人员产生的生活污水</w:t>
            </w:r>
            <w:r>
              <w:rPr>
                <w:rFonts w:hint="eastAsia" w:ascii="Times New Roman"/>
                <w:color w:val="000000" w:themeColor="text1"/>
                <w:sz w:val="24"/>
                <w:szCs w:val="24"/>
                <w:highlight w:val="none"/>
                <w:lang w:eastAsia="zh-CN"/>
                <w14:textFill>
                  <w14:solidFill>
                    <w14:schemeClr w14:val="tx1"/>
                  </w14:solidFill>
                </w14:textFill>
              </w:rPr>
              <w:t>；</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3)噪声：</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站主变压器</w:t>
            </w:r>
            <w:r>
              <w:rPr>
                <w:rFonts w:hint="eastAsia" w:ascii="Times New Roman"/>
                <w:color w:val="000000" w:themeColor="text1"/>
                <w:sz w:val="24"/>
                <w:szCs w:val="24"/>
                <w:highlight w:val="none"/>
                <w14:textFill>
                  <w14:solidFill>
                    <w14:schemeClr w14:val="tx1"/>
                  </w14:solidFill>
                </w14:textFill>
              </w:rPr>
              <w:t>等电器设备产生的噪声</w:t>
            </w:r>
            <w:r>
              <w:rPr>
                <w:rFonts w:ascii="Times New Roman"/>
                <w:color w:val="000000" w:themeColor="text1"/>
                <w:sz w:val="24"/>
                <w:szCs w:val="24"/>
                <w:highlight w:val="none"/>
                <w14:textFill>
                  <w14:solidFill>
                    <w14:schemeClr w14:val="tx1"/>
                  </w14:solidFill>
                </w14:textFill>
              </w:rPr>
              <w:t>；</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4</w:t>
            </w:r>
            <w:r>
              <w:rPr>
                <w:rFonts w:ascii="Times New Roman"/>
                <w:color w:val="000000" w:themeColor="text1"/>
                <w:sz w:val="24"/>
                <w:szCs w:val="24"/>
                <w:highlight w:val="none"/>
                <w14:textFill>
                  <w14:solidFill>
                    <w14:schemeClr w14:val="tx1"/>
                  </w14:solidFill>
                </w14:textFill>
              </w:rPr>
              <w:t>)固体废物：</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站产生的废蓄电池，变压器事故油，</w:t>
            </w:r>
            <w:r>
              <w:rPr>
                <w:rFonts w:hint="eastAsia" w:ascii="Times New Roman"/>
                <w:color w:val="000000" w:themeColor="text1"/>
                <w:sz w:val="24"/>
                <w:szCs w:val="24"/>
                <w:highlight w:val="none"/>
                <w14:textFill>
                  <w14:solidFill>
                    <w14:schemeClr w14:val="tx1"/>
                  </w14:solidFill>
                </w14:textFill>
              </w:rPr>
              <w:t>风电场检修产生的废机油、废润滑油</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变压器检修、维护产生的废变压器油，废油桶</w:t>
            </w:r>
            <w:r>
              <w:rPr>
                <w:rFonts w:hint="eastAsia" w:ascii="Times New Roman"/>
                <w:color w:val="000000" w:themeColor="text1"/>
                <w:sz w:val="24"/>
                <w:szCs w:val="24"/>
                <w:highlight w:val="none"/>
                <w14:textFill>
                  <w14:solidFill>
                    <w14:schemeClr w14:val="tx1"/>
                  </w14:solidFill>
                </w14:textFill>
              </w:rPr>
              <w:t>，办公</w:t>
            </w:r>
            <w:r>
              <w:rPr>
                <w:rFonts w:ascii="Times New Roman"/>
                <w:color w:val="000000" w:themeColor="text1"/>
                <w:sz w:val="24"/>
                <w:szCs w:val="24"/>
                <w:highlight w:val="none"/>
                <w14:textFill>
                  <w14:solidFill>
                    <w14:schemeClr w14:val="tx1"/>
                  </w14:solidFill>
                </w14:textFill>
              </w:rPr>
              <w:t>人员产生的生活垃圾；</w:t>
            </w:r>
          </w:p>
          <w:p>
            <w:pPr>
              <w:pStyle w:val="25"/>
              <w:snapToGrid w:val="0"/>
              <w:spacing w:line="360" w:lineRule="auto"/>
              <w:ind w:left="0" w:leftChars="0"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5</w:t>
            </w:r>
            <w:r>
              <w:rPr>
                <w:rFonts w:ascii="Times New Roman"/>
                <w:color w:val="000000" w:themeColor="text1"/>
                <w:sz w:val="24"/>
                <w:szCs w:val="24"/>
                <w:highlight w:val="none"/>
                <w14:textFill>
                  <w14:solidFill>
                    <w14:schemeClr w14:val="tx1"/>
                  </w14:solidFill>
                </w14:textFill>
              </w:rPr>
              <w:t>)电磁环境：</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站运行过程中产生的工频电场、工频磁场。</w:t>
            </w:r>
          </w:p>
          <w:p>
            <w:pPr>
              <w:jc w:val="center"/>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表2-</w:t>
            </w:r>
            <w:r>
              <w:rPr>
                <w:rFonts w:hint="eastAsia" w:ascii="Times New Roman"/>
                <w:b/>
                <w:bCs/>
                <w:color w:val="000000" w:themeColor="text1"/>
                <w:sz w:val="24"/>
                <w:szCs w:val="24"/>
                <w:highlight w:val="none"/>
                <w:lang w:val="en-US" w:eastAsia="zh-CN"/>
                <w14:textFill>
                  <w14:solidFill>
                    <w14:schemeClr w14:val="tx1"/>
                  </w14:solidFill>
                </w14:textFill>
              </w:rPr>
              <w:t>5</w:t>
            </w:r>
            <w:r>
              <w:rPr>
                <w:rFonts w:hint="eastAsia" w:ascii="Times New Roman"/>
                <w:b/>
                <w:bCs/>
                <w:color w:val="000000" w:themeColor="text1"/>
                <w:sz w:val="24"/>
                <w:szCs w:val="24"/>
                <w:highlight w:val="none"/>
                <w14:textFill>
                  <w14:solidFill>
                    <w14:schemeClr w14:val="tx1"/>
                  </w14:solidFill>
                </w14:textFill>
              </w:rPr>
              <w:t xml:space="preserve">  产污节点及治理措施一览表</w:t>
            </w:r>
          </w:p>
          <w:tbl>
            <w:tblPr>
              <w:tblStyle w:val="5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6"/>
              <w:gridCol w:w="812"/>
              <w:gridCol w:w="1511"/>
              <w:gridCol w:w="1702"/>
              <w:gridCol w:w="2534"/>
              <w:gridCol w:w="7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 w:type="pct"/>
                  <w:gridSpan w:val="2"/>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类别</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污染源名称</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主要污染物</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治理措施</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排放特征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施工期</w:t>
                  </w:r>
                </w:p>
              </w:tc>
              <w:tc>
                <w:tcPr>
                  <w:tcW w:w="513"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噪声</w:t>
                  </w:r>
                </w:p>
              </w:tc>
              <w:tc>
                <w:tcPr>
                  <w:tcW w:w="955" w:type="pct"/>
                  <w:vAlign w:val="center"/>
                </w:tcPr>
                <w:p>
                  <w:pPr>
                    <w:pStyle w:val="50"/>
                    <w:spacing w:line="240" w:lineRule="auto"/>
                    <w:ind w:left="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交通</w:t>
                  </w:r>
                  <w:r>
                    <w:rPr>
                      <w:rFonts w:ascii="Times New Roman"/>
                      <w:color w:val="000000" w:themeColor="text1"/>
                      <w:sz w:val="21"/>
                      <w:szCs w:val="21"/>
                      <w:highlight w:val="none"/>
                      <w14:textFill>
                        <w14:solidFill>
                          <w14:schemeClr w14:val="tx1"/>
                        </w14:solidFill>
                      </w14:textFill>
                    </w:rPr>
                    <w:t>噪声</w:t>
                  </w:r>
                </w:p>
              </w:tc>
              <w:tc>
                <w:tcPr>
                  <w:tcW w:w="1076" w:type="pct"/>
                  <w:vMerge w:val="restart"/>
                  <w:vAlign w:val="center"/>
                </w:tcPr>
                <w:p>
                  <w:pPr>
                    <w:pStyle w:val="50"/>
                    <w:spacing w:line="240" w:lineRule="auto"/>
                    <w:ind w:left="0" w:left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噪声</w:t>
                  </w:r>
                </w:p>
              </w:tc>
              <w:tc>
                <w:tcPr>
                  <w:tcW w:w="1602" w:type="pct"/>
                  <w:vAlign w:val="center"/>
                </w:tcPr>
                <w:p>
                  <w:pPr>
                    <w:pStyle w:val="50"/>
                    <w:spacing w:line="240" w:lineRule="auto"/>
                    <w:ind w:left="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减速慢行</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left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施工噪声</w:t>
                  </w:r>
                </w:p>
              </w:tc>
              <w:tc>
                <w:tcPr>
                  <w:tcW w:w="1076" w:type="pct"/>
                  <w:vMerge w:val="continue"/>
                  <w:vAlign w:val="center"/>
                </w:tcPr>
                <w:p>
                  <w:pPr>
                    <w:pStyle w:val="50"/>
                    <w:spacing w:line="240" w:lineRule="auto"/>
                    <w:ind w:left="0" w:left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602" w:type="pct"/>
                  <w:vAlign w:val="center"/>
                </w:tcPr>
                <w:p>
                  <w:pPr>
                    <w:pStyle w:val="50"/>
                    <w:spacing w:line="240" w:lineRule="auto"/>
                    <w:ind w:left="0" w:left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采用低噪声设备</w:t>
                  </w:r>
                </w:p>
              </w:tc>
              <w:tc>
                <w:tcPr>
                  <w:tcW w:w="488" w:type="pct"/>
                  <w:vAlign w:val="center"/>
                </w:tcPr>
                <w:p>
                  <w:pPr>
                    <w:pStyle w:val="50"/>
                    <w:spacing w:line="240" w:lineRule="auto"/>
                    <w:ind w:left="0" w:leftChars="0"/>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废气</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施工扬尘</w:t>
                  </w:r>
                </w:p>
              </w:tc>
              <w:tc>
                <w:tcPr>
                  <w:tcW w:w="1076"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颗粒物</w:t>
                  </w:r>
                </w:p>
              </w:tc>
              <w:tc>
                <w:tcPr>
                  <w:tcW w:w="1602"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设置施工围挡，施工材料进行覆盖，场区附近道路的扬尘进行洒水和清扫；施工时选用达标设备，选用达标车辆</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车辆扬尘</w:t>
                  </w:r>
                </w:p>
              </w:tc>
              <w:tc>
                <w:tcPr>
                  <w:tcW w:w="1076"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1602"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施工机械和车辆尾气</w:t>
                  </w:r>
                </w:p>
              </w:tc>
              <w:tc>
                <w:tcPr>
                  <w:tcW w:w="1076" w:type="pct"/>
                  <w:vAlign w:val="center"/>
                </w:tcPr>
                <w:p>
                  <w:pPr>
                    <w:pStyle w:val="50"/>
                    <w:spacing w:line="240" w:lineRule="auto"/>
                    <w:ind w:left="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一氧化碳、二氧化硫</w:t>
                  </w:r>
                  <w:r>
                    <w:rPr>
                      <w:rFonts w:hint="eastAsia" w:ascii="Times New Roman"/>
                      <w:color w:val="000000" w:themeColor="text1"/>
                      <w:sz w:val="21"/>
                      <w:szCs w:val="21"/>
                      <w:highlight w:val="none"/>
                      <w:lang w:eastAsia="zh-CN"/>
                      <w14:textFill>
                        <w14:solidFill>
                          <w14:schemeClr w14:val="tx1"/>
                        </w14:solidFill>
                      </w14:textFill>
                    </w:rPr>
                    <w:t>、</w:t>
                  </w:r>
                  <w:r>
                    <w:rPr>
                      <w:rFonts w:hint="eastAsia" w:ascii="Times New Roman"/>
                      <w:color w:val="000000" w:themeColor="text1"/>
                      <w:sz w:val="21"/>
                      <w:szCs w:val="21"/>
                      <w:highlight w:val="none"/>
                      <w:lang w:val="en-US" w:eastAsia="zh-CN"/>
                      <w14:textFill>
                        <w14:solidFill>
                          <w14:schemeClr w14:val="tx1"/>
                        </w14:solidFill>
                      </w14:textFill>
                    </w:rPr>
                    <w:t>氮氧化物</w:t>
                  </w:r>
                </w:p>
              </w:tc>
              <w:tc>
                <w:tcPr>
                  <w:tcW w:w="1602"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废水</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车辆冲洗废水</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SS</w:t>
                  </w:r>
                </w:p>
              </w:tc>
              <w:tc>
                <w:tcPr>
                  <w:tcW w:w="1602"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经沉淀池处理后用于施工场地抑尘</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基础养护废水</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SS</w:t>
                  </w:r>
                </w:p>
              </w:tc>
              <w:tc>
                <w:tcPr>
                  <w:tcW w:w="1602"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施工人员生活用水</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CO</w:t>
                  </w:r>
                  <w:r>
                    <w:rPr>
                      <w:rFonts w:hint="eastAsia" w:ascii="Times New Roman"/>
                      <w:color w:val="000000" w:themeColor="text1"/>
                      <w:sz w:val="21"/>
                      <w:szCs w:val="21"/>
                      <w:highlight w:val="none"/>
                      <w14:textFill>
                        <w14:solidFill>
                          <w14:schemeClr w14:val="tx1"/>
                        </w14:solidFill>
                      </w14:textFill>
                    </w:rPr>
                    <w:t>D</w:t>
                  </w:r>
                  <w:r>
                    <w:rPr>
                      <w:rFonts w:ascii="Times New Roman"/>
                      <w:color w:val="000000" w:themeColor="text1"/>
                      <w:sz w:val="21"/>
                      <w:szCs w:val="21"/>
                      <w:highlight w:val="none"/>
                      <w14:textFill>
                        <w14:solidFill>
                          <w14:schemeClr w14:val="tx1"/>
                        </w14:solidFill>
                      </w14:textFill>
                    </w:rPr>
                    <w:t>、BOD</w:t>
                  </w:r>
                  <w:r>
                    <w:rPr>
                      <w:rFonts w:ascii="Times New Roman"/>
                      <w:color w:val="000000" w:themeColor="text1"/>
                      <w:sz w:val="21"/>
                      <w:szCs w:val="21"/>
                      <w:highlight w:val="none"/>
                      <w:vertAlign w:val="subscript"/>
                      <w14:textFill>
                        <w14:solidFill>
                          <w14:schemeClr w14:val="tx1"/>
                        </w14:solidFill>
                      </w14:textFill>
                    </w:rPr>
                    <w:t>5</w:t>
                  </w:r>
                  <w:r>
                    <w:rPr>
                      <w:rFonts w:ascii="Times New Roman"/>
                      <w:color w:val="000000" w:themeColor="text1"/>
                      <w:sz w:val="21"/>
                      <w:szCs w:val="21"/>
                      <w:highlight w:val="none"/>
                      <w14:textFill>
                        <w14:solidFill>
                          <w14:schemeClr w14:val="tx1"/>
                        </w14:solidFill>
                      </w14:textFill>
                    </w:rPr>
                    <w:t>、SS</w:t>
                  </w:r>
                  <w:r>
                    <w:rPr>
                      <w:rFonts w:hint="eastAsia" w:ascii="Times New Roman"/>
                      <w:color w:val="000000" w:themeColor="text1"/>
                      <w:sz w:val="21"/>
                      <w:szCs w:val="21"/>
                      <w:highlight w:val="none"/>
                      <w14:textFill>
                        <w14:solidFill>
                          <w14:schemeClr w14:val="tx1"/>
                        </w14:solidFill>
                      </w14:textFill>
                    </w:rPr>
                    <w:t>、氨氮</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设置防渗旱厕，盥洗水泼洒抑尘</w:t>
                  </w:r>
                  <w:r>
                    <w:rPr>
                      <w:rFonts w:hint="eastAsia" w:ascii="Times New Roman"/>
                      <w:color w:val="000000" w:themeColor="text1"/>
                      <w:sz w:val="21"/>
                      <w:szCs w:val="21"/>
                      <w:highlight w:val="none"/>
                      <w14:textFill>
                        <w14:solidFill>
                          <w14:schemeClr w14:val="tx1"/>
                        </w14:solidFill>
                      </w14:textFill>
                    </w:rPr>
                    <w:t>，</w:t>
                  </w:r>
                  <w:r>
                    <w:rPr>
                      <w:rFonts w:ascii="Times New Roman"/>
                      <w:color w:val="000000" w:themeColor="text1"/>
                      <w:sz w:val="21"/>
                      <w:szCs w:val="21"/>
                      <w:highlight w:val="none"/>
                      <w14:textFill>
                        <w14:solidFill>
                          <w14:schemeClr w14:val="tx1"/>
                        </w14:solidFill>
                      </w14:textFill>
                    </w:rPr>
                    <w:t>定期清掏作为农肥</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固废</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施工人员生活垃圾</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施工人员生活垃圾</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设置垃圾桶收集后</w:t>
                  </w:r>
                  <w:r>
                    <w:rPr>
                      <w:rFonts w:hint="eastAsia" w:ascii="Times New Roman"/>
                      <w:color w:val="000000" w:themeColor="text1"/>
                      <w:sz w:val="21"/>
                      <w:szCs w:val="21"/>
                      <w:highlight w:val="none"/>
                      <w14:textFill>
                        <w14:solidFill>
                          <w14:schemeClr w14:val="tx1"/>
                        </w14:solidFill>
                      </w14:textFill>
                    </w:rPr>
                    <w:t>交由当地环卫部门处理</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施工废弃物</w:t>
                  </w:r>
                </w:p>
              </w:tc>
              <w:tc>
                <w:tcPr>
                  <w:tcW w:w="1076" w:type="pct"/>
                  <w:vAlign w:val="center"/>
                </w:tcPr>
                <w:p>
                  <w:pPr>
                    <w:pStyle w:val="50"/>
                    <w:spacing w:line="240" w:lineRule="auto"/>
                    <w:ind w:left="0"/>
                    <w:jc w:val="center"/>
                    <w:rPr>
                      <w:rFonts w:ascii="Times New Roman"/>
                      <w:color w:val="000000" w:themeColor="text1"/>
                      <w:sz w:val="21"/>
                      <w:szCs w:val="21"/>
                      <w:highlight w:val="none"/>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施工废弃物</w:t>
                  </w:r>
                </w:p>
              </w:tc>
              <w:tc>
                <w:tcPr>
                  <w:tcW w:w="1602" w:type="pct"/>
                  <w:vAlign w:val="center"/>
                </w:tcPr>
                <w:p>
                  <w:pPr>
                    <w:pStyle w:val="50"/>
                    <w:spacing w:line="240" w:lineRule="auto"/>
                    <w:ind w:left="0"/>
                    <w:jc w:val="center"/>
                    <w:rPr>
                      <w:rFonts w:ascii="Times New Roman"/>
                      <w:color w:val="000000" w:themeColor="text1"/>
                      <w:sz w:val="21"/>
                      <w:szCs w:val="21"/>
                      <w:highlight w:val="none"/>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统一收集，土石方开挖主要用于升压站建设过程中回填</w:t>
                  </w:r>
                  <w:r>
                    <w:rPr>
                      <w:rFonts w:hint="eastAsia" w:ascii="Times New Roman"/>
                      <w:color w:val="000000" w:themeColor="text1"/>
                      <w:sz w:val="21"/>
                      <w:szCs w:val="21"/>
                      <w:highlight w:val="none"/>
                      <w:lang w:eastAsia="zh-CN"/>
                      <w14:textFill>
                        <w14:solidFill>
                          <w14:schemeClr w14:val="tx1"/>
                        </w14:solidFill>
                      </w14:textFill>
                    </w:rPr>
                    <w:t>，</w:t>
                  </w:r>
                  <w:r>
                    <w:rPr>
                      <w:rFonts w:hint="eastAsia" w:ascii="Times New Roman"/>
                      <w:color w:val="000000" w:themeColor="text1"/>
                      <w:sz w:val="21"/>
                      <w:szCs w:val="21"/>
                      <w:highlight w:val="none"/>
                      <w:lang w:val="en-US" w:eastAsia="zh-CN"/>
                      <w14:textFill>
                        <w14:solidFill>
                          <w14:schemeClr w14:val="tx1"/>
                        </w14:solidFill>
                      </w14:textFill>
                    </w:rPr>
                    <w:t>余方用于风电场区场地平整及道路建设使用，无弃方</w:t>
                  </w:r>
                  <w:r>
                    <w:rPr>
                      <w:rFonts w:ascii="Times New Roman"/>
                      <w:color w:val="000000" w:themeColor="text1"/>
                      <w:sz w:val="21"/>
                      <w:szCs w:val="21"/>
                      <w:highlight w:val="none"/>
                      <w14:textFill>
                        <w14:solidFill>
                          <w14:schemeClr w14:val="tx1"/>
                        </w14:solidFill>
                      </w14:textFill>
                    </w:rPr>
                    <w:t>。</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64"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运营期</w:t>
                  </w:r>
                </w:p>
              </w:tc>
              <w:tc>
                <w:tcPr>
                  <w:tcW w:w="513"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电磁环境</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变电站</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工频电场、工频磁场</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加强对变电站设备的运行维护</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Align w:val="center"/>
                </w:tcPr>
                <w:p>
                  <w:pPr>
                    <w:pStyle w:val="50"/>
                    <w:spacing w:line="240" w:lineRule="auto"/>
                    <w:ind w:left="0"/>
                    <w:jc w:val="center"/>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废气</w:t>
                  </w:r>
                </w:p>
              </w:tc>
              <w:tc>
                <w:tcPr>
                  <w:tcW w:w="955" w:type="pct"/>
                  <w:vAlign w:val="center"/>
                </w:tcPr>
                <w:p>
                  <w:pPr>
                    <w:pStyle w:val="50"/>
                    <w:spacing w:line="240" w:lineRule="auto"/>
                    <w:ind w:left="0"/>
                    <w:jc w:val="center"/>
                    <w:rPr>
                      <w:rFonts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食堂</w:t>
                  </w:r>
                </w:p>
              </w:tc>
              <w:tc>
                <w:tcPr>
                  <w:tcW w:w="1076" w:type="pct"/>
                  <w:vAlign w:val="center"/>
                </w:tcPr>
                <w:p>
                  <w:pPr>
                    <w:pStyle w:val="50"/>
                    <w:spacing w:line="240" w:lineRule="auto"/>
                    <w:ind w:left="0"/>
                    <w:jc w:val="center"/>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饮食油烟</w:t>
                  </w:r>
                </w:p>
              </w:tc>
              <w:tc>
                <w:tcPr>
                  <w:tcW w:w="1602" w:type="pct"/>
                  <w:vAlign w:val="center"/>
                </w:tcPr>
                <w:p>
                  <w:pPr>
                    <w:pStyle w:val="50"/>
                    <w:spacing w:line="240" w:lineRule="auto"/>
                    <w:ind w:left="0"/>
                    <w:jc w:val="center"/>
                    <w:rPr>
                      <w:rFonts w:ascii="Times New Roman"/>
                      <w:color w:val="000000" w:themeColor="text1"/>
                      <w:sz w:val="21"/>
                      <w:szCs w:val="21"/>
                      <w:highlight w:val="none"/>
                      <w:lang w:val="en-US" w:eastAsia="zh-CN"/>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食堂加装油烟净化器引至综合楼顶高空排放</w:t>
                  </w:r>
                </w:p>
              </w:tc>
              <w:tc>
                <w:tcPr>
                  <w:tcW w:w="488" w:type="pct"/>
                  <w:vAlign w:val="center"/>
                </w:tcPr>
                <w:p>
                  <w:pPr>
                    <w:pStyle w:val="50"/>
                    <w:spacing w:line="240" w:lineRule="auto"/>
                    <w:ind w:left="0"/>
                    <w:jc w:val="center"/>
                    <w:rPr>
                      <w:rFonts w:hint="eastAsia" w:ascii="Times New Roman"/>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噪声</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电气设备</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噪声</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采用低噪声设备</w:t>
                  </w:r>
                  <w:r>
                    <w:rPr>
                      <w:rFonts w:hint="eastAsia" w:ascii="Times New Roman"/>
                      <w:color w:val="000000" w:themeColor="text1"/>
                      <w:sz w:val="21"/>
                      <w:szCs w:val="21"/>
                      <w:highlight w:val="none"/>
                      <w14:textFill>
                        <w14:solidFill>
                          <w14:schemeClr w14:val="tx1"/>
                        </w14:solidFill>
                      </w14:textFill>
                    </w:rPr>
                    <w:t>，</w:t>
                  </w:r>
                  <w:r>
                    <w:rPr>
                      <w:rFonts w:ascii="Times New Roman"/>
                      <w:color w:val="000000" w:themeColor="text1"/>
                      <w:sz w:val="21"/>
                      <w:szCs w:val="21"/>
                      <w:highlight w:val="none"/>
                      <w14:textFill>
                        <w14:solidFill>
                          <w14:schemeClr w14:val="tx1"/>
                        </w14:solidFill>
                      </w14:textFill>
                    </w:rPr>
                    <w:t>加强运行维护管理</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连续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废水</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办公</w:t>
                  </w:r>
                  <w:r>
                    <w:rPr>
                      <w:rFonts w:ascii="Times New Roman"/>
                      <w:color w:val="000000" w:themeColor="text1"/>
                      <w:sz w:val="21"/>
                      <w:szCs w:val="21"/>
                      <w:highlight w:val="none"/>
                      <w14:textFill>
                        <w14:solidFill>
                          <w14:schemeClr w14:val="tx1"/>
                        </w14:solidFill>
                      </w14:textFill>
                    </w:rPr>
                    <w:t>人员生活污水</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CO</w:t>
                  </w:r>
                  <w:r>
                    <w:rPr>
                      <w:rFonts w:hint="eastAsia" w:ascii="Times New Roman"/>
                      <w:color w:val="000000" w:themeColor="text1"/>
                      <w:sz w:val="21"/>
                      <w:szCs w:val="21"/>
                      <w:highlight w:val="none"/>
                      <w14:textFill>
                        <w14:solidFill>
                          <w14:schemeClr w14:val="tx1"/>
                        </w14:solidFill>
                      </w14:textFill>
                    </w:rPr>
                    <w:t>D</w:t>
                  </w:r>
                  <w:r>
                    <w:rPr>
                      <w:rFonts w:ascii="Times New Roman"/>
                      <w:color w:val="000000" w:themeColor="text1"/>
                      <w:sz w:val="21"/>
                      <w:szCs w:val="21"/>
                      <w:highlight w:val="none"/>
                      <w14:textFill>
                        <w14:solidFill>
                          <w14:schemeClr w14:val="tx1"/>
                        </w14:solidFill>
                      </w14:textFill>
                    </w:rPr>
                    <w:t>、BOD</w:t>
                  </w:r>
                  <w:r>
                    <w:rPr>
                      <w:rFonts w:ascii="Times New Roman"/>
                      <w:color w:val="000000" w:themeColor="text1"/>
                      <w:sz w:val="21"/>
                      <w:szCs w:val="21"/>
                      <w:highlight w:val="none"/>
                      <w:vertAlign w:val="subscript"/>
                      <w14:textFill>
                        <w14:solidFill>
                          <w14:schemeClr w14:val="tx1"/>
                        </w14:solidFill>
                      </w14:textFill>
                    </w:rPr>
                    <w:t>5</w:t>
                  </w:r>
                  <w:r>
                    <w:rPr>
                      <w:rFonts w:ascii="Times New Roman"/>
                      <w:color w:val="000000" w:themeColor="text1"/>
                      <w:sz w:val="21"/>
                      <w:szCs w:val="21"/>
                      <w:highlight w:val="none"/>
                      <w14:textFill>
                        <w14:solidFill>
                          <w14:schemeClr w14:val="tx1"/>
                        </w14:solidFill>
                      </w14:textFill>
                    </w:rPr>
                    <w:t>、SS</w:t>
                  </w:r>
                  <w:r>
                    <w:rPr>
                      <w:rFonts w:hint="eastAsia" w:ascii="Times New Roman"/>
                      <w:color w:val="000000" w:themeColor="text1"/>
                      <w:sz w:val="21"/>
                      <w:szCs w:val="21"/>
                      <w:highlight w:val="none"/>
                      <w14:textFill>
                        <w14:solidFill>
                          <w14:schemeClr w14:val="tx1"/>
                        </w14:solidFill>
                      </w14:textFill>
                    </w:rPr>
                    <w:t>、氨氮</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食堂废水经隔油池处理，与</w:t>
                  </w:r>
                  <w:r>
                    <w:rPr>
                      <w:rFonts w:hint="eastAsia" w:ascii="Times New Roman"/>
                      <w:color w:val="000000" w:themeColor="text1"/>
                      <w:sz w:val="21"/>
                      <w:szCs w:val="21"/>
                      <w:highlight w:val="none"/>
                      <w:lang w:val="en-US" w:eastAsia="zh-CN"/>
                      <w14:textFill>
                        <w14:solidFill>
                          <w14:schemeClr w14:val="tx1"/>
                        </w14:solidFill>
                      </w14:textFill>
                    </w:rPr>
                    <w:t>盥洗水</w:t>
                  </w:r>
                  <w:r>
                    <w:rPr>
                      <w:rFonts w:hint="eastAsia" w:ascii="Times New Roman"/>
                      <w:color w:val="000000" w:themeColor="text1"/>
                      <w:sz w:val="21"/>
                      <w:szCs w:val="21"/>
                      <w:highlight w:val="none"/>
                      <w14:textFill>
                        <w14:solidFill>
                          <w14:schemeClr w14:val="tx1"/>
                        </w14:solidFill>
                      </w14:textFill>
                    </w:rPr>
                    <w:t>经一体化污水处理装置处理达标后送到清水池，再通过回用水泵回用于绿化，不外排。</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restar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固废</w:t>
                  </w: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办公</w:t>
                  </w:r>
                  <w:r>
                    <w:rPr>
                      <w:rFonts w:ascii="Times New Roman"/>
                      <w:color w:val="000000" w:themeColor="text1"/>
                      <w:sz w:val="21"/>
                      <w:szCs w:val="21"/>
                      <w:highlight w:val="none"/>
                      <w14:textFill>
                        <w14:solidFill>
                          <w14:schemeClr w14:val="tx1"/>
                        </w14:solidFill>
                      </w14:textFill>
                    </w:rPr>
                    <w:t>人员生活垃圾</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生活垃圾</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统一收集，交由环卫部门处置</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升压站</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废蓄电池</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暂存于危废暂存间内，定期</w:t>
                  </w:r>
                  <w:r>
                    <w:rPr>
                      <w:rFonts w:ascii="Times New Roman"/>
                      <w:color w:val="000000" w:themeColor="text1"/>
                      <w:sz w:val="21"/>
                      <w:szCs w:val="21"/>
                      <w:highlight w:val="none"/>
                      <w14:textFill>
                        <w14:solidFill>
                          <w14:schemeClr w14:val="tx1"/>
                        </w14:solidFill>
                      </w14:textFill>
                    </w:rPr>
                    <w:t>委托有资质单位处置</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变压器发生事故</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变压器油</w:t>
                  </w:r>
                </w:p>
              </w:tc>
              <w:tc>
                <w:tcPr>
                  <w:tcW w:w="1602"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暂存于事故油池内，及时</w:t>
                  </w:r>
                  <w:r>
                    <w:rPr>
                      <w:rFonts w:ascii="Times New Roman"/>
                      <w:color w:val="000000" w:themeColor="text1"/>
                      <w:sz w:val="21"/>
                      <w:szCs w:val="21"/>
                      <w:highlight w:val="none"/>
                      <w14:textFill>
                        <w14:solidFill>
                          <w14:schemeClr w14:val="tx1"/>
                        </w14:solidFill>
                      </w14:textFill>
                    </w:rPr>
                    <w:t>委托有资质单位处置</w:t>
                  </w:r>
                </w:p>
              </w:tc>
              <w:tc>
                <w:tcPr>
                  <w:tcW w:w="488"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hint="eastAsia" w:ascii="Times New Roman"/>
                      <w:color w:val="000000" w:themeColor="text1"/>
                      <w:sz w:val="21"/>
                      <w:szCs w:val="21"/>
                      <w:highlight w:val="none"/>
                      <w14:textFill>
                        <w14:solidFill>
                          <w14:schemeClr w14:val="tx1"/>
                        </w14:solidFill>
                      </w14:textFill>
                    </w:rPr>
                    <w:t>风电场检修</w:t>
                  </w:r>
                </w:p>
              </w:tc>
              <w:tc>
                <w:tcPr>
                  <w:tcW w:w="1076" w:type="pct"/>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r>
                    <w:rPr>
                      <w:rFonts w:ascii="Times New Roman"/>
                      <w:color w:val="000000" w:themeColor="text1"/>
                      <w:sz w:val="21"/>
                      <w:szCs w:val="21"/>
                      <w:highlight w:val="none"/>
                      <w14:textFill>
                        <w14:solidFill>
                          <w14:schemeClr w14:val="tx1"/>
                        </w14:solidFill>
                      </w14:textFill>
                    </w:rPr>
                    <w:t>废机油、润滑油</w:t>
                  </w:r>
                </w:p>
              </w:tc>
              <w:tc>
                <w:tcPr>
                  <w:tcW w:w="1602" w:type="pct"/>
                  <w:vMerge w:val="restart"/>
                  <w:vAlign w:val="center"/>
                </w:tcPr>
                <w:p>
                  <w:pPr>
                    <w:pStyle w:val="50"/>
                    <w:spacing w:line="240" w:lineRule="auto"/>
                    <w:ind w:left="0"/>
                    <w:jc w:val="center"/>
                    <w:rPr>
                      <w:rFonts w:hint="eastAsia" w:ascii="Times New Roman" w:hAnsi="Times New Roman"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14:textFill>
                        <w14:solidFill>
                          <w14:schemeClr w14:val="tx1"/>
                        </w14:solidFill>
                      </w14:textFill>
                    </w:rPr>
                    <w:t>暂存于危废暂存间，定期交由有资质的单位处置</w:t>
                  </w:r>
                </w:p>
              </w:tc>
              <w:tc>
                <w:tcPr>
                  <w:tcW w:w="488" w:type="pct"/>
                  <w:vAlign w:val="center"/>
                </w:tcPr>
                <w:p>
                  <w:pPr>
                    <w:pStyle w:val="50"/>
                    <w:spacing w:line="240" w:lineRule="auto"/>
                    <w:ind w:left="0"/>
                    <w:jc w:val="center"/>
                    <w:rPr>
                      <w:rFonts w:ascii="Times New Roman" w:hAnsi="Times New Roman" w:cs="Times New Roman"/>
                      <w:color w:val="000000" w:themeColor="text1"/>
                      <w:sz w:val="21"/>
                      <w:szCs w:val="21"/>
                      <w:highlight w:val="none"/>
                      <w:lang w:val="en-US" w:eastAsia="zh-CN"/>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变压器维护、检修</w:t>
                  </w:r>
                </w:p>
              </w:tc>
              <w:tc>
                <w:tcPr>
                  <w:tcW w:w="1076" w:type="pct"/>
                  <w:vAlign w:val="center"/>
                </w:tcPr>
                <w:p>
                  <w:pPr>
                    <w:pStyle w:val="50"/>
                    <w:spacing w:line="240" w:lineRule="auto"/>
                    <w:ind w:left="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废变压器油</w:t>
                  </w:r>
                </w:p>
              </w:tc>
              <w:tc>
                <w:tcPr>
                  <w:tcW w:w="1602" w:type="pct"/>
                  <w:vMerge w:val="continue"/>
                  <w:vAlign w:val="center"/>
                </w:tcPr>
                <w:p>
                  <w:pPr>
                    <w:pStyle w:val="50"/>
                    <w:spacing w:line="240" w:lineRule="auto"/>
                    <w:ind w:left="0"/>
                    <w:jc w:val="center"/>
                    <w:rPr>
                      <w:rFonts w:ascii="Times New Roman" w:hAnsi="Times New Roman" w:cs="Times New Roman"/>
                      <w:color w:val="000000" w:themeColor="text1"/>
                      <w:sz w:val="21"/>
                      <w:szCs w:val="21"/>
                      <w:highlight w:val="none"/>
                      <w14:textFill>
                        <w14:solidFill>
                          <w14:schemeClr w14:val="tx1"/>
                        </w14:solidFill>
                      </w14:textFill>
                    </w:rPr>
                  </w:pPr>
                </w:p>
              </w:tc>
              <w:tc>
                <w:tcPr>
                  <w:tcW w:w="488" w:type="pct"/>
                  <w:vAlign w:val="center"/>
                </w:tcPr>
                <w:p>
                  <w:pPr>
                    <w:pStyle w:val="50"/>
                    <w:spacing w:line="240" w:lineRule="auto"/>
                    <w:ind w:left="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间断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4"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513" w:type="pct"/>
                  <w:vMerge w:val="continue"/>
                  <w:vAlign w:val="center"/>
                </w:tcPr>
                <w:p>
                  <w:pPr>
                    <w:pStyle w:val="50"/>
                    <w:spacing w:line="240" w:lineRule="auto"/>
                    <w:ind w:left="0"/>
                    <w:jc w:val="center"/>
                    <w:rPr>
                      <w:rFonts w:ascii="Times New Roman"/>
                      <w:color w:val="000000" w:themeColor="text1"/>
                      <w:sz w:val="21"/>
                      <w:szCs w:val="21"/>
                      <w:highlight w:val="none"/>
                      <w14:textFill>
                        <w14:solidFill>
                          <w14:schemeClr w14:val="tx1"/>
                        </w14:solidFill>
                      </w14:textFill>
                    </w:rPr>
                  </w:pPr>
                </w:p>
              </w:tc>
              <w:tc>
                <w:tcPr>
                  <w:tcW w:w="955" w:type="pct"/>
                  <w:vAlign w:val="center"/>
                </w:tcPr>
                <w:p>
                  <w:pPr>
                    <w:pStyle w:val="50"/>
                    <w:spacing w:line="240" w:lineRule="auto"/>
                    <w:ind w:left="0"/>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w:t>
                  </w:r>
                </w:p>
              </w:tc>
              <w:tc>
                <w:tcPr>
                  <w:tcW w:w="1076" w:type="pct"/>
                  <w:vAlign w:val="center"/>
                </w:tcPr>
                <w:p>
                  <w:pPr>
                    <w:pStyle w:val="50"/>
                    <w:spacing w:line="240" w:lineRule="auto"/>
                    <w:ind w:left="0"/>
                    <w:jc w:val="center"/>
                    <w:rPr>
                      <w:rFonts w:hint="eastAsia" w:ascii="Times New Roman" w:eastAsia="宋体"/>
                      <w:color w:val="000000" w:themeColor="text1"/>
                      <w:sz w:val="21"/>
                      <w:szCs w:val="21"/>
                      <w:highlight w:val="none"/>
                      <w:lang w:val="en-US" w:eastAsia="zh-CN"/>
                      <w14:textFill>
                        <w14:solidFill>
                          <w14:schemeClr w14:val="tx1"/>
                        </w14:solidFill>
                      </w14:textFill>
                    </w:rPr>
                  </w:pPr>
                  <w:r>
                    <w:rPr>
                      <w:rFonts w:hint="eastAsia" w:ascii="Times New Roman"/>
                      <w:color w:val="000000" w:themeColor="text1"/>
                      <w:sz w:val="21"/>
                      <w:szCs w:val="21"/>
                      <w:highlight w:val="none"/>
                      <w:lang w:val="en-US" w:eastAsia="zh-CN"/>
                      <w14:textFill>
                        <w14:solidFill>
                          <w14:schemeClr w14:val="tx1"/>
                        </w14:solidFill>
                      </w14:textFill>
                    </w:rPr>
                    <w:t>废油桶</w:t>
                  </w:r>
                </w:p>
              </w:tc>
              <w:tc>
                <w:tcPr>
                  <w:tcW w:w="1602" w:type="pct"/>
                  <w:vMerge w:val="continue"/>
                  <w:vAlign w:val="center"/>
                </w:tcPr>
                <w:p>
                  <w:pPr>
                    <w:pStyle w:val="50"/>
                    <w:spacing w:line="240" w:lineRule="auto"/>
                    <w:ind w:left="0"/>
                    <w:jc w:val="center"/>
                    <w:rPr>
                      <w:rFonts w:ascii="Times New Roman" w:hAnsi="Times New Roman" w:cs="Times New Roman"/>
                      <w:color w:val="000000" w:themeColor="text1"/>
                      <w:sz w:val="21"/>
                      <w:szCs w:val="21"/>
                      <w:highlight w:val="none"/>
                      <w14:textFill>
                        <w14:solidFill>
                          <w14:schemeClr w14:val="tx1"/>
                        </w14:solidFill>
                      </w14:textFill>
                    </w:rPr>
                  </w:pPr>
                </w:p>
              </w:tc>
              <w:tc>
                <w:tcPr>
                  <w:tcW w:w="488" w:type="pct"/>
                  <w:vAlign w:val="center"/>
                </w:tcPr>
                <w:p>
                  <w:pPr>
                    <w:pStyle w:val="50"/>
                    <w:spacing w:line="240" w:lineRule="auto"/>
                    <w:ind w:left="0"/>
                    <w:jc w:val="center"/>
                    <w:rPr>
                      <w:rFonts w:ascii="Times New Roman" w:hAnsi="Times New Roman" w:cs="Times New Roman"/>
                      <w:color w:val="000000" w:themeColor="text1"/>
                      <w:sz w:val="21"/>
                      <w:szCs w:val="21"/>
                      <w:highlight w:val="none"/>
                      <w14:textFill>
                        <w14:solidFill>
                          <w14:schemeClr w14:val="tx1"/>
                        </w14:solidFill>
                      </w14:textFill>
                    </w:rPr>
                  </w:pPr>
                  <w:r>
                    <w:rPr>
                      <w:rFonts w:ascii="Times New Roman" w:hAnsi="Times New Roman" w:cs="Times New Roman"/>
                      <w:color w:val="000000" w:themeColor="text1"/>
                      <w:sz w:val="21"/>
                      <w:szCs w:val="21"/>
                      <w:highlight w:val="none"/>
                      <w14:textFill>
                        <w14:solidFill>
                          <w14:schemeClr w14:val="tx1"/>
                        </w14:solidFill>
                      </w14:textFill>
                    </w:rPr>
                    <w:t>间断</w:t>
                  </w:r>
                </w:p>
              </w:tc>
            </w:tr>
          </w:tbl>
          <w:p>
            <w:pPr>
              <w:rPr>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7" w:hRule="atLeast"/>
          <w:jc w:val="center"/>
        </w:trPr>
        <w:tc>
          <w:tcPr>
            <w:tcW w:w="758" w:type="dxa"/>
            <w:vAlign w:val="center"/>
          </w:tcPr>
          <w:p>
            <w:pPr>
              <w:pStyle w:val="50"/>
              <w:spacing w:line="240" w:lineRule="auto"/>
              <w:ind w:left="0"/>
              <w:jc w:val="center"/>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原有环境污染问题</w:t>
            </w:r>
          </w:p>
        </w:tc>
        <w:tc>
          <w:tcPr>
            <w:tcW w:w="8129" w:type="dxa"/>
            <w:vAlign w:val="center"/>
          </w:tcPr>
          <w:p>
            <w:pPr>
              <w:pStyle w:val="50"/>
              <w:spacing w:line="240" w:lineRule="auto"/>
              <w:ind w:left="0"/>
              <w:jc w:val="center"/>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本项目为新建项目，不存在与本项目有关的</w:t>
            </w:r>
            <w:r>
              <w:rPr>
                <w:rFonts w:hint="eastAsia" w:ascii="Times New Roman"/>
                <w:color w:val="000000" w:themeColor="text1"/>
                <w:sz w:val="24"/>
                <w:szCs w:val="24"/>
                <w:highlight w:val="none"/>
                <w:lang w:val="en-US" w:eastAsia="zh-CN"/>
                <w14:textFill>
                  <w14:solidFill>
                    <w14:schemeClr w14:val="tx1"/>
                  </w14:solidFill>
                </w14:textFill>
              </w:rPr>
              <w:t>原有环境</w:t>
            </w:r>
            <w:r>
              <w:rPr>
                <w:rFonts w:hint="eastAsia" w:ascii="Times New Roman"/>
                <w:color w:val="000000" w:themeColor="text1"/>
                <w:sz w:val="24"/>
                <w:szCs w:val="24"/>
                <w:highlight w:val="none"/>
                <w14:textFill>
                  <w14:solidFill>
                    <w14:schemeClr w14:val="tx1"/>
                  </w14:solidFill>
                </w14:textFill>
              </w:rPr>
              <w:t>污染情况。</w:t>
            </w:r>
          </w:p>
        </w:tc>
      </w:tr>
    </w:tbl>
    <w:p>
      <w:pPr>
        <w:pStyle w:val="46"/>
        <w:spacing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12" w:name="_Toc31800"/>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bookmarkEnd w:id="12"/>
    </w:p>
    <w:tbl>
      <w:tblPr>
        <w:tblStyle w:val="53"/>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92"/>
        <w:gridCol w:w="816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92" w:type="pct"/>
            <w:vAlign w:val="center"/>
          </w:tcPr>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区域</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环境</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质量</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现状</w:t>
            </w:r>
          </w:p>
        </w:tc>
        <w:tc>
          <w:tcPr>
            <w:tcW w:w="4507" w:type="pct"/>
          </w:tcPr>
          <w:p>
            <w:pPr>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(1)</w:t>
            </w:r>
            <w:r>
              <w:rPr>
                <w:rFonts w:hint="default" w:ascii="Times New Roman" w:hAnsi="Times New Roman" w:cs="Times New Roman"/>
                <w:b/>
                <w:bCs/>
                <w:color w:val="000000" w:themeColor="text1"/>
                <w:sz w:val="24"/>
                <w:szCs w:val="24"/>
                <w:highlight w:val="none"/>
                <w14:textFill>
                  <w14:solidFill>
                    <w14:schemeClr w14:val="tx1"/>
                  </w14:solidFill>
                </w14:textFill>
              </w:rPr>
              <w:t>环境空气质量现状</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项目选址位于</w:t>
            </w:r>
            <w:r>
              <w:rPr>
                <w:rFonts w:hint="eastAsia" w:ascii="Times New Roman" w:cs="Times New Roman"/>
                <w:color w:val="000000" w:themeColor="text1"/>
                <w:sz w:val="24"/>
                <w:szCs w:val="24"/>
                <w:highlight w:val="none"/>
                <w:lang w:eastAsia="zh-CN"/>
                <w14:textFill>
                  <w14:solidFill>
                    <w14:schemeClr w14:val="tx1"/>
                  </w14:solidFill>
                </w14:textFill>
              </w:rPr>
              <w:t>围场满族蒙古族自治县</w:t>
            </w:r>
            <w:r>
              <w:rPr>
                <w:rFonts w:hint="default" w:ascii="Times New Roman" w:hAnsi="Times New Roman" w:cs="Times New Roman"/>
                <w:color w:val="000000" w:themeColor="text1"/>
                <w:sz w:val="24"/>
                <w:szCs w:val="24"/>
                <w:highlight w:val="none"/>
                <w14:textFill>
                  <w14:solidFill>
                    <w14:schemeClr w14:val="tx1"/>
                  </w14:solidFill>
                </w14:textFill>
              </w:rPr>
              <w:t>，引用《2022年承德市环境质量公报》(2023年5月，承德市生态环境局)中</w:t>
            </w:r>
            <w:r>
              <w:rPr>
                <w:rFonts w:hint="eastAsia" w:ascii="Times New Roman" w:cs="Times New Roman"/>
                <w:color w:val="000000" w:themeColor="text1"/>
                <w:sz w:val="24"/>
                <w:szCs w:val="24"/>
                <w:highlight w:val="none"/>
                <w:lang w:eastAsia="zh-CN"/>
                <w14:textFill>
                  <w14:solidFill>
                    <w14:schemeClr w14:val="tx1"/>
                  </w14:solidFill>
                </w14:textFill>
              </w:rPr>
              <w:t>围场满族蒙古族自治县</w:t>
            </w:r>
            <w:r>
              <w:rPr>
                <w:rFonts w:hint="default" w:ascii="Times New Roman" w:hAnsi="Times New Roman" w:cs="Times New Roman"/>
                <w:color w:val="000000" w:themeColor="text1"/>
                <w:sz w:val="24"/>
                <w:szCs w:val="24"/>
                <w:highlight w:val="none"/>
                <w14:textFill>
                  <w14:solidFill>
                    <w14:schemeClr w14:val="tx1"/>
                  </w14:solidFill>
                </w14:textFill>
              </w:rPr>
              <w:t>环境空气质量数据。见表3-1。</w:t>
            </w:r>
          </w:p>
          <w:p>
            <w:pPr>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 xml:space="preserve">表3-1  </w:t>
            </w:r>
            <w:r>
              <w:rPr>
                <w:rFonts w:hint="eastAsia" w:ascii="Times New Roman" w:cs="Times New Roman"/>
                <w:b/>
                <w:bCs/>
                <w:color w:val="000000" w:themeColor="text1"/>
                <w:sz w:val="24"/>
                <w:szCs w:val="24"/>
                <w:highlight w:val="none"/>
                <w:lang w:eastAsia="zh-CN"/>
                <w14:textFill>
                  <w14:solidFill>
                    <w14:schemeClr w14:val="tx1"/>
                  </w14:solidFill>
                </w14:textFill>
              </w:rPr>
              <w:t>围场满族蒙古族自治县</w:t>
            </w:r>
            <w:r>
              <w:rPr>
                <w:rFonts w:hint="default" w:ascii="Times New Roman" w:hAnsi="Times New Roman" w:cs="Times New Roman"/>
                <w:b/>
                <w:bCs/>
                <w:color w:val="000000" w:themeColor="text1"/>
                <w:sz w:val="24"/>
                <w:szCs w:val="24"/>
                <w:highlight w:val="none"/>
                <w14:textFill>
                  <w14:solidFill>
                    <w14:schemeClr w14:val="tx1"/>
                  </w14:solidFill>
                </w14:textFill>
              </w:rPr>
              <w:t>环境空气质量统计</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17"/>
              <w:gridCol w:w="2343"/>
              <w:gridCol w:w="1158"/>
              <w:gridCol w:w="1142"/>
              <w:gridCol w:w="1010"/>
              <w:gridCol w:w="1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污染物</w:t>
                  </w:r>
                </w:p>
              </w:tc>
              <w:tc>
                <w:tcPr>
                  <w:tcW w:w="1473"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年评价指标</w:t>
                  </w:r>
                </w:p>
              </w:tc>
              <w:tc>
                <w:tcPr>
                  <w:tcW w:w="728"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年均浓度</w:t>
                  </w:r>
                </w:p>
              </w:tc>
              <w:tc>
                <w:tcPr>
                  <w:tcW w:w="718"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标准值</w:t>
                  </w:r>
                </w:p>
              </w:tc>
              <w:tc>
                <w:tcPr>
                  <w:tcW w:w="635"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占标率</w:t>
                  </w:r>
                </w:p>
              </w:tc>
              <w:tc>
                <w:tcPr>
                  <w:tcW w:w="678" w:type="pct"/>
                  <w:vAlign w:val="center"/>
                </w:tcPr>
                <w:p>
                  <w:pPr>
                    <w:autoSpaceDE w:val="0"/>
                    <w:autoSpaceDN w:val="0"/>
                    <w:jc w:val="center"/>
                    <w:rPr>
                      <w:rFonts w:hint="default" w:ascii="Times New Roman" w:hAnsi="Times New Roman" w:cs="Times New Roman"/>
                      <w:b/>
                      <w:bCs/>
                      <w:color w:val="000000" w:themeColor="text1"/>
                      <w:highlight w:val="none"/>
                      <w14:textFill>
                        <w14:solidFill>
                          <w14:schemeClr w14:val="tx1"/>
                        </w14:solidFill>
                      </w14:textFill>
                    </w:rPr>
                  </w:pPr>
                  <w:r>
                    <w:rPr>
                      <w:rFonts w:hint="default" w:ascii="Times New Roman" w:hAnsi="Times New Roman" w:cs="Times New Roman"/>
                      <w:b/>
                      <w:bCs/>
                      <w:color w:val="000000" w:themeColor="text1"/>
                      <w:highlight w:val="none"/>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10</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年平均质量浓度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cs="Times New Roman"/>
                      <w:color w:val="000000" w:themeColor="text1"/>
                      <w:highlight w:val="none"/>
                      <w:lang w:val="en-US" w:eastAsia="zh-CN"/>
                      <w14:textFill>
                        <w14:solidFill>
                          <w14:schemeClr w14:val="tx1"/>
                        </w14:solidFill>
                      </w14:textFill>
                    </w:rPr>
                    <w:t>2</w:t>
                  </w:r>
                  <w:r>
                    <w:rPr>
                      <w:rFonts w:hint="default" w:ascii="Times New Roman" w:hAnsi="Times New Roman" w:cs="Times New Roman"/>
                      <w:color w:val="000000" w:themeColor="text1"/>
                      <w:highlight w:val="none"/>
                      <w14:textFill>
                        <w14:solidFill>
                          <w14:schemeClr w14:val="tx1"/>
                        </w14:solidFill>
                      </w14:textFill>
                    </w:rPr>
                    <w:t>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w:t>
                  </w:r>
                  <w:r>
                    <w:rPr>
                      <w:rFonts w:hint="eastAsia" w:ascii="Times New Roman" w:cs="Times New Roman"/>
                      <w:color w:val="000000" w:themeColor="text1"/>
                      <w:highlight w:val="none"/>
                      <w:lang w:val="en-US" w:eastAsia="zh-CN"/>
                      <w14:textFill>
                        <w14:solidFill>
                          <w14:schemeClr w14:val="tx1"/>
                        </w14:solidFill>
                      </w14:textFill>
                    </w:rPr>
                    <w:t>0.00</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PM</w:t>
                  </w:r>
                  <w:r>
                    <w:rPr>
                      <w:rFonts w:hint="default" w:ascii="Times New Roman" w:hAnsi="Times New Roman" w:cs="Times New Roman"/>
                      <w:color w:val="000000" w:themeColor="text1"/>
                      <w:highlight w:val="none"/>
                      <w:vertAlign w:val="subscript"/>
                      <w:lang w:val="en-US" w:eastAsia="zh-CN"/>
                      <w14:textFill>
                        <w14:solidFill>
                          <w14:schemeClr w14:val="tx1"/>
                        </w14:solidFill>
                      </w14:textFill>
                    </w:rPr>
                    <w:t>2.5</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年平均质量浓度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18</w:t>
                  </w:r>
                  <w:r>
                    <w:rPr>
                      <w:rFonts w:hint="default" w:ascii="Times New Roman" w:hAnsi="Times New Roman" w:cs="Times New Roman"/>
                      <w:color w:val="000000" w:themeColor="text1"/>
                      <w:highlight w:val="none"/>
                      <w14:textFill>
                        <w14:solidFill>
                          <w14:schemeClr w14:val="tx1"/>
                        </w14:solidFill>
                      </w14:textFill>
                    </w:rPr>
                    <w:t>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35μg/m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5</w:t>
                  </w:r>
                  <w:r>
                    <w:rPr>
                      <w:rFonts w:hint="eastAsia" w:ascii="Times New Roman" w:cs="Times New Roman"/>
                      <w:color w:val="000000" w:themeColor="text1"/>
                      <w:highlight w:val="none"/>
                      <w:lang w:val="en-US" w:eastAsia="zh-CN"/>
                      <w14:textFill>
                        <w14:solidFill>
                          <w14:schemeClr w14:val="tx1"/>
                        </w14:solidFill>
                      </w14:textFill>
                    </w:rPr>
                    <w:t>1.43</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SO</w:t>
                  </w:r>
                  <w:r>
                    <w:rPr>
                      <w:rFonts w:hint="default" w:ascii="Times New Roman" w:hAnsi="Times New Roman" w:cs="Times New Roman"/>
                      <w:color w:val="000000" w:themeColor="text1"/>
                      <w:highlight w:val="none"/>
                      <w:vertAlign w:val="subscript"/>
                      <w14:textFill>
                        <w14:solidFill>
                          <w14:schemeClr w14:val="tx1"/>
                        </w14:solidFill>
                      </w14:textFill>
                    </w:rPr>
                    <w:t>2</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年平均质量浓度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9</w:t>
                  </w:r>
                  <w:r>
                    <w:rPr>
                      <w:rFonts w:hint="default" w:ascii="Times New Roman" w:hAnsi="Times New Roman" w:cs="Times New Roman"/>
                      <w:color w:val="000000" w:themeColor="text1"/>
                      <w:highlight w:val="none"/>
                      <w14:textFill>
                        <w14:solidFill>
                          <w14:schemeClr w14:val="tx1"/>
                        </w14:solidFill>
                      </w14:textFill>
                    </w:rPr>
                    <w:t>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60μg/m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15.00</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NO</w:t>
                  </w:r>
                  <w:r>
                    <w:rPr>
                      <w:rFonts w:hint="default" w:ascii="Times New Roman" w:hAnsi="Times New Roman" w:cs="Times New Roman"/>
                      <w:color w:val="000000" w:themeColor="text1"/>
                      <w:highlight w:val="none"/>
                      <w:vertAlign w:val="subscript"/>
                      <w14:textFill>
                        <w14:solidFill>
                          <w14:schemeClr w14:val="tx1"/>
                        </w14:solidFill>
                      </w14:textFill>
                    </w:rPr>
                    <w:t>2</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年平均质量浓度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ascii="Times New Roman" w:cs="Times New Roman"/>
                      <w:color w:val="000000" w:themeColor="text1"/>
                      <w:highlight w:val="none"/>
                      <w:lang w:val="en-US" w:eastAsia="zh-CN"/>
                      <w14:textFill>
                        <w14:solidFill>
                          <w14:schemeClr w14:val="tx1"/>
                        </w14:solidFill>
                      </w14:textFill>
                    </w:rPr>
                    <w:t>7</w:t>
                  </w:r>
                  <w:r>
                    <w:rPr>
                      <w:rFonts w:hint="default" w:ascii="Times New Roman" w:hAnsi="Times New Roman" w:cs="Times New Roman"/>
                      <w:color w:val="000000" w:themeColor="text1"/>
                      <w:highlight w:val="none"/>
                      <w14:textFill>
                        <w14:solidFill>
                          <w14:schemeClr w14:val="tx1"/>
                        </w14:solidFill>
                      </w14:textFill>
                    </w:rPr>
                    <w:t>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40μg/m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r>
                    <w:rPr>
                      <w:rFonts w:hint="eastAsia" w:ascii="Times New Roman" w:cs="Times New Roman"/>
                      <w:color w:val="000000" w:themeColor="text1"/>
                      <w:highlight w:val="none"/>
                      <w:lang w:val="en-US" w:eastAsia="zh-CN"/>
                      <w14:textFill>
                        <w14:solidFill>
                          <w14:schemeClr w14:val="tx1"/>
                        </w14:solidFill>
                      </w14:textFill>
                    </w:rPr>
                    <w:t>2.50</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CO</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24小时平均第95百分位数质量浓度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0.8</w:t>
                  </w:r>
                  <w:r>
                    <w:rPr>
                      <w:rFonts w:hint="default" w:ascii="Times New Roman" w:hAnsi="Times New Roman" w:cs="Times New Roman"/>
                      <w:color w:val="000000" w:themeColor="text1"/>
                      <w:highlight w:val="none"/>
                      <w14:textFill>
                        <w14:solidFill>
                          <w14:schemeClr w14:val="tx1"/>
                        </w14:solidFill>
                      </w14:textFill>
                    </w:rPr>
                    <w:t>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4mg/m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20.00</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765"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O</w:t>
                  </w:r>
                  <w:r>
                    <w:rPr>
                      <w:rFonts w:hint="default" w:ascii="Times New Roman" w:hAnsi="Times New Roman" w:cs="Times New Roman"/>
                      <w:color w:val="000000" w:themeColor="text1"/>
                      <w:highlight w:val="none"/>
                      <w:vertAlign w:val="subscript"/>
                      <w14:textFill>
                        <w14:solidFill>
                          <w14:schemeClr w14:val="tx1"/>
                        </w14:solidFill>
                      </w14:textFill>
                    </w:rPr>
                    <w:t>3</w:t>
                  </w:r>
                </w:p>
              </w:tc>
              <w:tc>
                <w:tcPr>
                  <w:tcW w:w="1473" w:type="pct"/>
                  <w:vAlign w:val="center"/>
                </w:tcPr>
                <w:p>
                  <w:pPr>
                    <w:autoSpaceDE w:val="0"/>
                    <w:autoSpaceDN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日最大8小时平均第90百分位数质量浓度</w:t>
                  </w:r>
                </w:p>
              </w:tc>
              <w:tc>
                <w:tcPr>
                  <w:tcW w:w="72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r>
                    <w:rPr>
                      <w:rFonts w:hint="eastAsia" w:ascii="Times New Roman" w:cs="Times New Roman"/>
                      <w:color w:val="000000" w:themeColor="text1"/>
                      <w:highlight w:val="none"/>
                      <w:lang w:val="en-US" w:eastAsia="zh-CN"/>
                      <w14:textFill>
                        <w14:solidFill>
                          <w14:schemeClr w14:val="tx1"/>
                        </w14:solidFill>
                      </w14:textFill>
                    </w:rPr>
                    <w:t>31</w:t>
                  </w:r>
                  <w:r>
                    <w:rPr>
                      <w:rFonts w:hint="default" w:ascii="Times New Roman" w:hAnsi="Times New Roman" w:cs="Times New Roman"/>
                      <w:color w:val="000000" w:themeColor="text1"/>
                      <w:highlight w:val="none"/>
                      <w14:textFill>
                        <w14:solidFill>
                          <w14:schemeClr w14:val="tx1"/>
                        </w14:solidFill>
                      </w14:textFill>
                    </w:rPr>
                    <w:t>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718"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160μg/m</w:t>
                  </w:r>
                  <w:r>
                    <w:rPr>
                      <w:rFonts w:hint="default" w:ascii="Times New Roman" w:hAnsi="Times New Roman" w:cs="Times New Roman"/>
                      <w:color w:val="000000" w:themeColor="text1"/>
                      <w:highlight w:val="none"/>
                      <w:vertAlign w:val="superscript"/>
                      <w14:textFill>
                        <w14:solidFill>
                          <w14:schemeClr w14:val="tx1"/>
                        </w14:solidFill>
                      </w14:textFill>
                    </w:rPr>
                    <w:t>3</w:t>
                  </w:r>
                </w:p>
              </w:tc>
              <w:tc>
                <w:tcPr>
                  <w:tcW w:w="635" w:type="pct"/>
                  <w:vAlign w:val="center"/>
                </w:tcPr>
                <w:p>
                  <w:pPr>
                    <w:snapToGrid w:val="0"/>
                    <w:spacing w:line="36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color w:val="000000" w:themeColor="text1"/>
                      <w:highlight w:val="none"/>
                      <w:lang w:val="en-US" w:eastAsia="zh-CN"/>
                      <w14:textFill>
                        <w14:solidFill>
                          <w14:schemeClr w14:val="tx1"/>
                        </w14:solidFill>
                      </w14:textFill>
                    </w:rPr>
                    <w:t>81.88</w:t>
                  </w:r>
                  <w:r>
                    <w:rPr>
                      <w:rFonts w:hint="default" w:ascii="Times New Roman" w:hAnsi="Times New Roman" w:cs="Times New Roman"/>
                      <w:color w:val="000000" w:themeColor="text1"/>
                      <w:highlight w:val="none"/>
                      <w14:textFill>
                        <w14:solidFill>
                          <w14:schemeClr w14:val="tx1"/>
                        </w14:solidFill>
                      </w14:textFill>
                    </w:rPr>
                    <w:t>%</w:t>
                  </w:r>
                </w:p>
              </w:tc>
              <w:tc>
                <w:tcPr>
                  <w:tcW w:w="678"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达标</w:t>
                  </w:r>
                </w:p>
              </w:tc>
            </w:tr>
          </w:tbl>
          <w:p>
            <w:pPr>
              <w:pStyle w:val="19"/>
              <w:spacing w:before="0" w:after="0" w:line="360" w:lineRule="auto"/>
              <w:ind w:right="0" w:firstLine="472" w:firstLineChars="200"/>
              <w:rPr>
                <w:rFonts w:hint="default" w:ascii="Times New Roman" w:hAnsi="Times New Roman" w:cs="Times New Roman"/>
                <w:color w:val="000000" w:themeColor="text1"/>
                <w:spacing w:val="3"/>
                <w:sz w:val="24"/>
                <w:szCs w:val="24"/>
                <w:highlight w:val="none"/>
                <w14:textFill>
                  <w14:solidFill>
                    <w14:schemeClr w14:val="tx1"/>
                  </w14:solidFill>
                </w14:textFill>
              </w:rPr>
            </w:pPr>
            <w:r>
              <w:rPr>
                <w:rFonts w:hint="eastAsia" w:cs="Times New Roman"/>
                <w:color w:val="000000" w:themeColor="text1"/>
                <w:spacing w:val="-2"/>
                <w:position w:val="2"/>
                <w:sz w:val="24"/>
                <w:szCs w:val="24"/>
                <w:highlight w:val="none"/>
                <w:lang w:eastAsia="zh-CN"/>
                <w14:textFill>
                  <w14:solidFill>
                    <w14:schemeClr w14:val="tx1"/>
                  </w14:solidFill>
                </w14:textFill>
              </w:rPr>
              <w:t>围场满族蒙古族自治县</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NO</w:t>
            </w:r>
            <w:r>
              <w:rPr>
                <w:rFonts w:hint="default" w:ascii="Times New Roman" w:hAnsi="Times New Roman" w:cs="Times New Roman"/>
                <w:color w:val="000000" w:themeColor="text1"/>
                <w:spacing w:val="-2"/>
                <w:position w:val="2"/>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、PM</w:t>
            </w:r>
            <w:r>
              <w:rPr>
                <w:rFonts w:hint="default" w:ascii="Times New Roman" w:hAnsi="Times New Roman" w:cs="Times New Roman"/>
                <w:color w:val="000000" w:themeColor="text1"/>
                <w:spacing w:val="-2"/>
                <w:position w:val="2"/>
                <w:sz w:val="24"/>
                <w:szCs w:val="24"/>
                <w:highlight w:val="none"/>
                <w:vertAlign w:val="subscript"/>
                <w14:textFill>
                  <w14:solidFill>
                    <w14:schemeClr w14:val="tx1"/>
                  </w14:solidFill>
                </w14:textFill>
              </w:rPr>
              <w:t>10</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、PM</w:t>
            </w:r>
            <w:r>
              <w:rPr>
                <w:rFonts w:hint="default" w:ascii="Times New Roman" w:hAnsi="Times New Roman" w:cs="Times New Roman"/>
                <w:color w:val="000000" w:themeColor="text1"/>
                <w:spacing w:val="-2"/>
                <w:position w:val="2"/>
                <w:sz w:val="24"/>
                <w:szCs w:val="24"/>
                <w:highlight w:val="none"/>
                <w:vertAlign w:val="subscript"/>
                <w14:textFill>
                  <w14:solidFill>
                    <w14:schemeClr w14:val="tx1"/>
                  </w14:solidFill>
                </w14:textFill>
              </w:rPr>
              <w:t>2.5</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、SO</w:t>
            </w:r>
            <w:r>
              <w:rPr>
                <w:rFonts w:hint="default" w:ascii="Times New Roman" w:hAnsi="Times New Roman" w:cs="Times New Roman"/>
                <w:color w:val="000000" w:themeColor="text1"/>
                <w:spacing w:val="-2"/>
                <w:position w:val="2"/>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年均浓度、CO24小时平均浓度、O</w:t>
            </w:r>
            <w:r>
              <w:rPr>
                <w:rFonts w:hint="default" w:ascii="Times New Roman" w:hAnsi="Times New Roman" w:cs="Times New Roman"/>
                <w:color w:val="000000" w:themeColor="text1"/>
                <w:spacing w:val="-2"/>
                <w:position w:val="2"/>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lang w:bidi="ar"/>
                <w14:textFill>
                  <w14:solidFill>
                    <w14:schemeClr w14:val="tx1"/>
                  </w14:solidFill>
                </w14:textFill>
              </w:rPr>
              <w:t>日最大8小时平均浓度均满足《环境空气质量标准》(GB3095-2012)二级标准及其修改单要求</w:t>
            </w:r>
            <w:r>
              <w:rPr>
                <w:rFonts w:hint="default" w:ascii="Times New Roman" w:hAnsi="Times New Roman" w:cs="Times New Roman"/>
                <w:color w:val="000000" w:themeColor="text1"/>
                <w:spacing w:val="-2"/>
                <w:position w:val="2"/>
                <w:sz w:val="24"/>
                <w:szCs w:val="24"/>
                <w:highlight w:val="none"/>
                <w14:textFill>
                  <w14:solidFill>
                    <w14:schemeClr w14:val="tx1"/>
                  </w14:solidFill>
                </w14:textFill>
              </w:rPr>
              <w:t>，因此区域环境空气属于达标区域。</w:t>
            </w:r>
          </w:p>
          <w:p>
            <w:pPr>
              <w:pStyle w:val="19"/>
              <w:spacing w:before="0" w:after="0" w:line="360" w:lineRule="auto"/>
              <w:ind w:right="0" w:firstLine="482" w:firstLineChars="200"/>
              <w:rPr>
                <w:rFonts w:hint="default" w:ascii="Times New Roman" w:hAnsi="Times New Roman" w:cs="Times New Roman"/>
                <w:b/>
                <w:bCs/>
                <w:color w:val="000000" w:themeColor="text1"/>
                <w:sz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(2)地表水环境质量现状评价</w:t>
            </w:r>
          </w:p>
          <w:p>
            <w:pPr>
              <w:pStyle w:val="19"/>
              <w:spacing w:before="0" w:after="0" w:line="360" w:lineRule="auto"/>
              <w:ind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项目区域内流经河流主要是</w:t>
            </w:r>
            <w:r>
              <w:rPr>
                <w:rFonts w:hint="eastAsia" w:ascii="Times New Roman"/>
                <w:color w:val="000000" w:themeColor="text1"/>
                <w:sz w:val="24"/>
                <w:szCs w:val="24"/>
                <w:highlight w:val="none"/>
                <w14:textFill>
                  <w14:solidFill>
                    <w14:schemeClr w14:val="tx1"/>
                  </w14:solidFill>
                </w14:textFill>
              </w:rPr>
              <w:t>湖泗汰河（伊逊河支流）</w:t>
            </w:r>
            <w:r>
              <w:rPr>
                <w:rFonts w:ascii="Times New Roman"/>
                <w:color w:val="000000" w:themeColor="text1"/>
                <w:sz w:val="24"/>
                <w:szCs w:val="24"/>
                <w:highlight w:val="none"/>
                <w14:textFill>
                  <w14:solidFill>
                    <w14:schemeClr w14:val="tx1"/>
                  </w14:solidFill>
                </w14:textFill>
              </w:rPr>
              <w:t>，根据《202</w:t>
            </w: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年承德市生态环境状况公报》（202</w:t>
            </w:r>
            <w:r>
              <w:rPr>
                <w:rFonts w:hint="eastAsia" w:ascii="Times New Roman"/>
                <w:color w:val="000000" w:themeColor="text1"/>
                <w:sz w:val="24"/>
                <w:szCs w:val="24"/>
                <w:highlight w:val="none"/>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年</w:t>
            </w:r>
            <w:r>
              <w:rPr>
                <w:rFonts w:hint="eastAsia" w:ascii="Times New Roman"/>
                <w:color w:val="000000" w:themeColor="text1"/>
                <w:sz w:val="24"/>
                <w:szCs w:val="24"/>
                <w:highlight w:val="none"/>
                <w14:textFill>
                  <w14:solidFill>
                    <w14:schemeClr w14:val="tx1"/>
                  </w14:solidFill>
                </w14:textFill>
              </w:rPr>
              <w:t>5</w:t>
            </w:r>
            <w:r>
              <w:rPr>
                <w:rFonts w:ascii="Times New Roman"/>
                <w:color w:val="000000" w:themeColor="text1"/>
                <w:sz w:val="24"/>
                <w:szCs w:val="24"/>
                <w:highlight w:val="none"/>
                <w14:textFill>
                  <w14:solidFill>
                    <w14:schemeClr w14:val="tx1"/>
                  </w14:solidFill>
                </w14:textFill>
              </w:rPr>
              <w:t>月，承德市生态环境局）中水环境部分，</w:t>
            </w:r>
            <w:r>
              <w:rPr>
                <w:rFonts w:hint="eastAsia" w:ascii="Times New Roman"/>
                <w:color w:val="000000" w:themeColor="text1"/>
                <w:sz w:val="24"/>
                <w:szCs w:val="24"/>
                <w:highlight w:val="none"/>
                <w14:textFill>
                  <w14:solidFill>
                    <w14:schemeClr w14:val="tx1"/>
                  </w14:solidFill>
                </w14:textFill>
              </w:rPr>
              <w:t>伊逊河共布设地表水常规监测断面2个。2022年，唐三营、李台断面水质类别均为</w:t>
            </w:r>
            <w:r>
              <w:rPr>
                <w:rFonts w:ascii="Times New Roman"/>
                <w:color w:val="000000" w:themeColor="text1"/>
                <w:sz w:val="24"/>
                <w:szCs w:val="24"/>
                <w:highlight w:val="none"/>
                <w14:textFill>
                  <w14:solidFill>
                    <w14:schemeClr w14:val="tx1"/>
                  </w14:solidFill>
                </w14:textFill>
              </w:rPr>
              <w:t>Ⅱ</w:t>
            </w:r>
            <w:r>
              <w:rPr>
                <w:rFonts w:hint="eastAsia" w:ascii="Times New Roman"/>
                <w:color w:val="000000" w:themeColor="text1"/>
                <w:sz w:val="24"/>
                <w:szCs w:val="24"/>
                <w:highlight w:val="none"/>
                <w14:textFill>
                  <w14:solidFill>
                    <w14:schemeClr w14:val="tx1"/>
                  </w14:solidFill>
                </w14:textFill>
              </w:rPr>
              <w:t>类。伊逊河流域总体水质状况为优，与2021年相比水环境质量有明显改善。</w:t>
            </w:r>
            <w:r>
              <w:rPr>
                <w:rFonts w:ascii="Times New Roman"/>
                <w:color w:val="000000" w:themeColor="text1"/>
                <w:sz w:val="24"/>
                <w:szCs w:val="24"/>
                <w:highlight w:val="none"/>
                <w14:textFill>
                  <w14:solidFill>
                    <w14:schemeClr w14:val="tx1"/>
                  </w14:solidFill>
                </w14:textFill>
              </w:rPr>
              <w:t>项目所在的区域及可能影响的范围内均无饮用水源保护区和集中式饮用水水源地，根据质量公报数据，地表水环境能够满足《地表水环境质量标准》（GB3838-2002）中Ⅱ类标准要求</w:t>
            </w:r>
            <w:r>
              <w:rPr>
                <w:rFonts w:hint="default" w:ascii="Times New Roman" w:hAnsi="Times New Roman" w:cs="Times New Roman"/>
                <w:color w:val="000000" w:themeColor="text1"/>
                <w:sz w:val="24"/>
                <w:szCs w:val="24"/>
                <w:highlight w:val="none"/>
                <w14:textFill>
                  <w14:solidFill>
                    <w14:schemeClr w14:val="tx1"/>
                  </w14:solidFill>
                </w14:textFill>
              </w:rPr>
              <w:t>。</w:t>
            </w:r>
          </w:p>
          <w:p>
            <w:pPr>
              <w:pStyle w:val="19"/>
              <w:spacing w:before="0" w:after="0" w:line="360" w:lineRule="auto"/>
              <w:ind w:right="0" w:firstLine="482" w:firstLineChars="200"/>
              <w:rPr>
                <w:rFonts w:hint="default" w:ascii="Times New Roman" w:hAnsi="Times New Roman" w:cs="Times New Roman"/>
                <w:b/>
                <w:bCs/>
                <w:color w:val="000000" w:themeColor="text1"/>
                <w:spacing w:val="3"/>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(3)地下水环境与土壤环境</w:t>
            </w:r>
          </w:p>
          <w:p>
            <w:pPr>
              <w:pStyle w:val="19"/>
              <w:spacing w:before="0" w:after="0" w:line="360" w:lineRule="auto"/>
              <w:ind w:right="0" w:firstLine="480" w:firstLineChars="20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项目不存在土壤、地下水环境污染途径，不进行地下水、土壤现状调查。</w:t>
            </w:r>
          </w:p>
          <w:p>
            <w:pPr>
              <w:pStyle w:val="19"/>
              <w:spacing w:before="0" w:after="0" w:line="360" w:lineRule="auto"/>
              <w:ind w:right="0" w:firstLine="482" w:firstLineChars="200"/>
              <w:jc w:val="both"/>
              <w:rPr>
                <w:rFonts w:hint="default" w:ascii="Times New Roman" w:hAnsi="Times New Roman" w:cs="Times New Roman"/>
                <w:b/>
                <w:bCs/>
                <w:color w:val="000000" w:themeColor="text1"/>
                <w:spacing w:val="3"/>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(4)</w:t>
            </w:r>
            <w:r>
              <w:rPr>
                <w:rFonts w:hint="default" w:ascii="Times New Roman" w:hAnsi="Times New Roman" w:cs="Times New Roman"/>
                <w:b/>
                <w:bCs/>
                <w:color w:val="000000" w:themeColor="text1"/>
                <w:spacing w:val="3"/>
                <w:sz w:val="24"/>
                <w:szCs w:val="24"/>
                <w:highlight w:val="none"/>
                <w14:textFill>
                  <w14:solidFill>
                    <w14:schemeClr w14:val="tx1"/>
                  </w14:solidFill>
                </w14:textFill>
              </w:rPr>
              <w:t>生态环境质量现状</w:t>
            </w:r>
          </w:p>
          <w:p>
            <w:pPr>
              <w:pStyle w:val="46"/>
              <w:snapToGrid w:val="0"/>
              <w:spacing w:before="0" w:beforeAutospacing="0" w:after="0" w:afterAutospacing="0" w:line="360" w:lineRule="auto"/>
              <w:ind w:firstLine="492" w:firstLineChars="200"/>
              <w:jc w:val="both"/>
              <w:rPr>
                <w:rFonts w:hint="eastAsia" w:ascii="Times New Roman" w:hAnsi="Times New Roman" w:eastAsia="宋体" w:cs="Times New Roman"/>
                <w:color w:val="000000" w:themeColor="text1"/>
                <w:spacing w:val="3"/>
                <w:szCs w:val="24"/>
                <w:highlight w:val="none"/>
                <w:lang w:eastAsia="zh-CN"/>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①</w:t>
            </w: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生态功能区划</w:t>
            </w:r>
          </w:p>
          <w:p>
            <w:pPr>
              <w:pStyle w:val="46"/>
              <w:snapToGrid w:val="0"/>
              <w:spacing w:before="0" w:beforeAutospacing="0" w:after="0" w:afterAutospacing="0" w:line="360" w:lineRule="auto"/>
              <w:ind w:firstLine="480"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根据承德市</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城市</w:t>
            </w:r>
            <w:r>
              <w:rPr>
                <w:rFonts w:hint="default" w:ascii="Times New Roman" w:hAnsi="Times New Roman" w:cs="Times New Roman"/>
                <w:color w:val="000000" w:themeColor="text1"/>
                <w:sz w:val="24"/>
                <w:szCs w:val="24"/>
                <w:highlight w:val="none"/>
                <w14:textFill>
                  <w14:solidFill>
                    <w14:schemeClr w14:val="tx1"/>
                  </w14:solidFill>
                </w14:textFill>
              </w:rPr>
              <w:t>总体规划</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中生态功能区划</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项目所在区域</w:t>
            </w:r>
            <w:r>
              <w:rPr>
                <w:rFonts w:hint="default" w:ascii="Times New Roman" w:hAnsi="Times New Roman" w:cs="Times New Roman"/>
                <w:color w:val="000000" w:themeColor="text1"/>
                <w:sz w:val="24"/>
                <w:szCs w:val="24"/>
                <w:highlight w:val="none"/>
                <w14:textFill>
                  <w14:solidFill>
                    <w14:schemeClr w14:val="tx1"/>
                  </w14:solidFill>
                </w14:textFill>
              </w:rPr>
              <w:t>属于“冀北及燕山山地生态区II</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冀北山地森林生态亚区II-1</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围场中部水源涵养、水资源保护与沙漠化防治功能区II-1-2”，</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②土地利用现状</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本项目区域多为山地地貌，项目在工程选址、地质选址选线等综合考虑下，已避让生态保护红线、自然保护区等敏感区域。项目评价范围内主要包括林地、天然牧草地、其他草地等。其土地利用具体现状情况见生态影响分析章节。</w:t>
            </w:r>
          </w:p>
          <w:p>
            <w:pPr>
              <w:pStyle w:val="46"/>
              <w:snapToGrid w:val="0"/>
              <w:spacing w:before="0" w:beforeAutospacing="0" w:after="0" w:afterAutospacing="0" w:line="360" w:lineRule="auto"/>
              <w:ind w:firstLine="492" w:firstLineChars="200"/>
              <w:jc w:val="both"/>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③地形地貌</w:t>
            </w:r>
          </w:p>
          <w:p>
            <w:pPr>
              <w:pStyle w:val="46"/>
              <w:snapToGrid w:val="0"/>
              <w:spacing w:before="0" w:beforeAutospacing="0" w:after="0" w:afterAutospacing="0" w:line="360" w:lineRule="auto"/>
              <w:ind w:firstLine="492" w:firstLineChars="200"/>
              <w:jc w:val="both"/>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pP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项目所在区域地处冀北山地燕山山脉北段，地形以低山为主，燕山山地因构造作用和侵蚀堆积作用，形成众多小型山间盆地和宽谷，呈串珠状势东西高中间低。</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④</w:t>
            </w:r>
            <w:r>
              <w:rPr>
                <w:rFonts w:hint="default" w:ascii="Times New Roman" w:hAnsi="Times New Roman" w:cs="Times New Roman"/>
                <w:color w:val="000000" w:themeColor="text1"/>
                <w:spacing w:val="3"/>
                <w:szCs w:val="24"/>
                <w:highlight w:val="none"/>
                <w14:textFill>
                  <w14:solidFill>
                    <w14:schemeClr w14:val="tx1"/>
                  </w14:solidFill>
                </w14:textFill>
              </w:rPr>
              <w:t>植被类型现状</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项目所在区域在《中国植被》的区划是属于泛北极植物区(1)，中国—日本森林植物亚区(1E)，华北地区(1En)，华北平原地区、山地亚区(1E11(6))。根据现状调查，区域植被覆盖率一般。项目所在区域森林具有温带森林生态系统的典型性。项目所在区域分布有乔木、灌木、草本植物等植物类型，植物物种主要有刺槐等。</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⑤</w:t>
            </w:r>
            <w:r>
              <w:rPr>
                <w:rFonts w:hint="default" w:ascii="Times New Roman" w:hAnsi="Times New Roman" w:cs="Times New Roman"/>
                <w:color w:val="000000" w:themeColor="text1"/>
                <w:spacing w:val="3"/>
                <w:szCs w:val="24"/>
                <w:highlight w:val="none"/>
                <w14:textFill>
                  <w14:solidFill>
                    <w14:schemeClr w14:val="tx1"/>
                  </w14:solidFill>
                </w14:textFill>
              </w:rPr>
              <w:t>动物资源</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项目区域内存在的野生动物主要以鸟类动物为主，如：麻雀等。项目占地及周边范围内无濒危野生动植物分布</w:t>
            </w:r>
          </w:p>
          <w:p>
            <w:pPr>
              <w:pStyle w:val="46"/>
              <w:snapToGrid w:val="0"/>
              <w:spacing w:before="0" w:beforeAutospacing="0" w:after="0" w:afterAutospacing="0" w:line="360" w:lineRule="auto"/>
              <w:ind w:firstLine="492" w:firstLineChars="200"/>
              <w:jc w:val="both"/>
              <w:rPr>
                <w:rFonts w:hint="default" w:ascii="Times New Roman" w:hAnsi="Times New Roman" w:cs="Times New Roman"/>
                <w:color w:val="000000" w:themeColor="text1"/>
                <w:spacing w:val="3"/>
                <w:szCs w:val="24"/>
                <w:highlight w:val="none"/>
                <w14:textFill>
                  <w14:solidFill>
                    <w14:schemeClr w14:val="tx1"/>
                  </w14:solidFill>
                </w14:textFill>
              </w:rPr>
            </w:pPr>
            <w:r>
              <w:rPr>
                <w:rFonts w:hint="eastAsia" w:ascii="Times New Roman" w:hAnsi="Times New Roman" w:cs="Times New Roman"/>
                <w:color w:val="000000" w:themeColor="text1"/>
                <w:spacing w:val="3"/>
                <w:szCs w:val="24"/>
                <w:highlight w:val="none"/>
                <w:lang w:val="en-US" w:eastAsia="zh-CN"/>
                <w14:textFill>
                  <w14:solidFill>
                    <w14:schemeClr w14:val="tx1"/>
                  </w14:solidFill>
                </w14:textFill>
              </w:rPr>
              <w:t>⑥</w:t>
            </w:r>
            <w:r>
              <w:rPr>
                <w:rFonts w:hint="default" w:ascii="Times New Roman" w:hAnsi="Times New Roman" w:cs="Times New Roman"/>
                <w:color w:val="000000" w:themeColor="text1"/>
                <w:spacing w:val="3"/>
                <w:szCs w:val="24"/>
                <w:highlight w:val="none"/>
                <w14:textFill>
                  <w14:solidFill>
                    <w14:schemeClr w14:val="tx1"/>
                  </w14:solidFill>
                </w14:textFill>
              </w:rPr>
              <w:t>项目与区域生态敏感区位置关系</w:t>
            </w:r>
          </w:p>
          <w:p>
            <w:pPr>
              <w:pStyle w:val="46"/>
              <w:snapToGrid w:val="0"/>
              <w:spacing w:before="0" w:beforeAutospacing="0" w:after="0" w:afterAutospacing="0" w:line="360" w:lineRule="auto"/>
              <w:ind w:firstLine="492" w:firstLineChars="200"/>
              <w:jc w:val="both"/>
              <w:rPr>
                <w:rFonts w:hint="eastAsia" w:ascii="Times New Roman" w:hAnsi="Times New Roman" w:eastAsia="宋体" w:cs="Times New Roman"/>
                <w:color w:val="000000" w:themeColor="text1"/>
                <w:spacing w:val="3"/>
                <w:szCs w:val="24"/>
                <w:highlight w:val="none"/>
                <w:lang w:eastAsia="zh-CN"/>
                <w14:textFill>
                  <w14:solidFill>
                    <w14:schemeClr w14:val="tx1"/>
                  </w14:solidFill>
                </w14:textFill>
              </w:rPr>
            </w:pPr>
            <w:r>
              <w:rPr>
                <w:rFonts w:hint="default" w:ascii="Times New Roman" w:hAnsi="Times New Roman" w:cs="Times New Roman"/>
                <w:color w:val="000000" w:themeColor="text1"/>
                <w:spacing w:val="3"/>
                <w:szCs w:val="24"/>
                <w:highlight w:val="none"/>
                <w14:textFill>
                  <w14:solidFill>
                    <w14:schemeClr w14:val="tx1"/>
                  </w14:solidFill>
                </w14:textFill>
              </w:rPr>
              <w:t>本项目升压站选址不占用风景名胜区、自然保护区、沙漠公园和森林公园、公益林等环境敏感区域</w:t>
            </w:r>
            <w:r>
              <w:rPr>
                <w:rFonts w:hint="eastAsia" w:ascii="Times New Roman" w:hAnsi="Times New Roman" w:cs="Times New Roman"/>
                <w:color w:val="000000" w:themeColor="text1"/>
                <w:spacing w:val="3"/>
                <w:szCs w:val="24"/>
                <w:highlight w:val="none"/>
                <w:lang w:eastAsia="zh-CN"/>
                <w14:textFill>
                  <w14:solidFill>
                    <w14:schemeClr w14:val="tx1"/>
                  </w14:solidFill>
                </w14:textFill>
              </w:rPr>
              <w:t>。</w:t>
            </w:r>
          </w:p>
          <w:p>
            <w:pPr>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(5)</w:t>
            </w:r>
            <w:r>
              <w:rPr>
                <w:rFonts w:hint="default" w:ascii="Times New Roman" w:hAnsi="Times New Roman" w:cs="Times New Roman"/>
                <w:b/>
                <w:bCs/>
                <w:color w:val="000000" w:themeColor="text1"/>
                <w:sz w:val="24"/>
                <w:szCs w:val="24"/>
                <w:highlight w:val="none"/>
                <w14:textFill>
                  <w14:solidFill>
                    <w14:schemeClr w14:val="tx1"/>
                  </w14:solidFill>
                </w14:textFill>
              </w:rPr>
              <w:t>电磁环境质量现状</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bookmarkStart w:id="13" w:name="_Hlk82812032"/>
            <w:r>
              <w:rPr>
                <w:rFonts w:hint="default" w:ascii="Times New Roman" w:hAnsi="Times New Roman" w:cs="Times New Roman"/>
                <w:color w:val="000000" w:themeColor="text1"/>
                <w:sz w:val="24"/>
                <w:szCs w:val="24"/>
                <w:highlight w:val="none"/>
                <w14:textFill>
                  <w14:solidFill>
                    <w14:schemeClr w14:val="tx1"/>
                  </w14:solidFill>
                </w14:textFill>
              </w:rPr>
              <w:t>为了解项目选址周边敏感点电磁环境质量现状，委托</w:t>
            </w:r>
            <w:bookmarkEnd w:id="13"/>
            <w:r>
              <w:rPr>
                <w:rFonts w:hint="default" w:ascii="Times New Roman" w:hAnsi="Times New Roman" w:cs="Times New Roman"/>
                <w:color w:val="000000" w:themeColor="text1"/>
                <w:sz w:val="24"/>
                <w:szCs w:val="24"/>
                <w:highlight w:val="none"/>
                <w14:textFill>
                  <w14:solidFill>
                    <w14:schemeClr w14:val="tx1"/>
                  </w14:solidFill>
                </w14:textFill>
              </w:rPr>
              <w:t>承德市东岭环境监测有限公司对本项目电磁环境现状进行了监测，监测报告编号为：DLHJ字（2024）第083号。监测布点示意图详见附图4，监测报告详见附件。</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1)监测因子</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工频电场：工频电场强度；</w:t>
            </w:r>
          </w:p>
          <w:p>
            <w:pPr>
              <w:pStyle w:val="25"/>
              <w:spacing w:line="360" w:lineRule="auto"/>
              <w:ind w:left="0" w:leftChars="0" w:firstLine="480" w:firstLineChars="200"/>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工频磁场：工频磁感应强度。</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2)监测仪器</w:t>
            </w:r>
          </w:p>
          <w:p>
            <w:pPr>
              <w:jc w:val="center"/>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表3-2  电磁环境监测</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仪器</w:t>
            </w:r>
          </w:p>
          <w:tbl>
            <w:tblPr>
              <w:tblStyle w:val="54"/>
              <w:tblW w:w="779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5"/>
              <w:gridCol w:w="1093"/>
              <w:gridCol w:w="1028"/>
              <w:gridCol w:w="1753"/>
              <w:gridCol w:w="1735"/>
              <w:gridCol w:w="18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序号</w:t>
                  </w:r>
                </w:p>
              </w:tc>
              <w:tc>
                <w:tcPr>
                  <w:tcW w:w="1093"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仪器名称、编号</w:t>
                  </w:r>
                </w:p>
              </w:tc>
              <w:tc>
                <w:tcPr>
                  <w:tcW w:w="1028"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仪器</w:t>
                  </w:r>
                </w:p>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型号</w:t>
                  </w:r>
                </w:p>
              </w:tc>
              <w:tc>
                <w:tcPr>
                  <w:tcW w:w="1753"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测量范围或量程</w:t>
                  </w:r>
                </w:p>
              </w:tc>
              <w:tc>
                <w:tcPr>
                  <w:tcW w:w="1735"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检定/校准</w:t>
                  </w:r>
                </w:p>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有效期</w:t>
                  </w:r>
                </w:p>
              </w:tc>
              <w:tc>
                <w:tcPr>
                  <w:tcW w:w="1843" w:type="dxa"/>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检定/校准机构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345"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1</w:t>
                  </w:r>
                </w:p>
              </w:tc>
              <w:tc>
                <w:tcPr>
                  <w:tcW w:w="1093"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工频探头DLYQ-09</w:t>
                  </w:r>
                </w:p>
              </w:tc>
              <w:tc>
                <w:tcPr>
                  <w:tcW w:w="1028"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LF-01/</w:t>
                  </w:r>
                </w:p>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SEM-600</w:t>
                  </w:r>
                </w:p>
              </w:tc>
              <w:tc>
                <w:tcPr>
                  <w:tcW w:w="1753"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0.5V/m～100kV/m  10nT～3mT</w:t>
                  </w:r>
                </w:p>
              </w:tc>
              <w:tc>
                <w:tcPr>
                  <w:tcW w:w="1735"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2023年10月31日-2024年10月30日</w:t>
                  </w:r>
                </w:p>
              </w:tc>
              <w:tc>
                <w:tcPr>
                  <w:tcW w:w="1843"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中国计量科学研究院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45"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2</w:t>
                  </w:r>
                </w:p>
              </w:tc>
              <w:tc>
                <w:tcPr>
                  <w:tcW w:w="109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温湿度表DLYQ-41</w:t>
                  </w:r>
                </w:p>
              </w:tc>
              <w:tc>
                <w:tcPr>
                  <w:tcW w:w="1028"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WHM5型</w:t>
                  </w:r>
                </w:p>
              </w:tc>
              <w:tc>
                <w:tcPr>
                  <w:tcW w:w="175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 xml:space="preserve">-20℃～+40℃ </w:t>
                  </w:r>
                </w:p>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（0～100%）RH</w:t>
                  </w:r>
                </w:p>
              </w:tc>
              <w:tc>
                <w:tcPr>
                  <w:tcW w:w="1735"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2024年01月08日-2025年01月07日</w:t>
                  </w:r>
                </w:p>
              </w:tc>
              <w:tc>
                <w:tcPr>
                  <w:tcW w:w="184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w:t>
                  </w:r>
                </w:p>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检测研究院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5" w:type="dxa"/>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3</w:t>
                  </w:r>
                </w:p>
              </w:tc>
              <w:tc>
                <w:tcPr>
                  <w:tcW w:w="109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风速计DLYQ-34</w:t>
                  </w:r>
                </w:p>
              </w:tc>
              <w:tc>
                <w:tcPr>
                  <w:tcW w:w="1028"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ZRQF-F30J</w:t>
                  </w:r>
                </w:p>
              </w:tc>
              <w:tc>
                <w:tcPr>
                  <w:tcW w:w="175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0.05～30.0m/s</w:t>
                  </w:r>
                </w:p>
              </w:tc>
              <w:tc>
                <w:tcPr>
                  <w:tcW w:w="1735"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2024年01月10日-2025年01月09日</w:t>
                  </w:r>
                </w:p>
              </w:tc>
              <w:tc>
                <w:tcPr>
                  <w:tcW w:w="1843" w:type="dxa"/>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w:t>
                  </w:r>
                </w:p>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检测研究院</w:t>
                  </w:r>
                </w:p>
              </w:tc>
            </w:tr>
          </w:tbl>
          <w:p>
            <w:pPr>
              <w:spacing w:line="360" w:lineRule="auto"/>
              <w:ind w:firstLine="50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pacing w:val="5"/>
                <w:sz w:val="24"/>
                <w:szCs w:val="24"/>
                <w:highlight w:val="none"/>
                <w14:textFill>
                  <w14:solidFill>
                    <w14:schemeClr w14:val="tx1"/>
                  </w14:solidFill>
                </w14:textFill>
              </w:rPr>
              <w:t>所用仪器均经国家计量部门校准合格，并处于校准证书有效期内，仪器的频率性能覆盖监测对象的频率范围。</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3)监测方法</w:t>
            </w:r>
          </w:p>
          <w:p>
            <w:pPr>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工频电场、工频磁场按《交流输变电工程电磁环境监测方法(试行)》(HJ 681-2013)进行。</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4)监测条件</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监测日202</w:t>
            </w:r>
            <w:r>
              <w:rPr>
                <w:rFonts w:hint="eastAsia" w:asci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asci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eastAsia" w:asci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日环境条件如下：</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无雨无雪，昼间：环境温度8～9℃；相对湿度：37-37%；风速为2.4-2.6m/s；</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无雨无雪，夜间：环境温度2～1℃；相对湿度：41-42%；风速为1.9-1.7m/s。</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5)监测布点原则</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根据《环境影响评价技术导则 输变电》6.3.2站址的布点方法以围墙四周均匀布点为主，如新建站址附近无其他电磁设施，可在站址中心布点监测。</w:t>
            </w:r>
            <w:r>
              <w:rPr>
                <w:rFonts w:hint="eastAsia" w:ascii="Times New Roman" w:cs="Times New Roman"/>
                <w:color w:val="000000" w:themeColor="text1"/>
                <w:sz w:val="24"/>
                <w:szCs w:val="24"/>
                <w:highlight w:val="none"/>
                <w:lang w:val="en-US" w:eastAsia="zh-CN"/>
                <w14:textFill>
                  <w14:solidFill>
                    <w14:schemeClr w14:val="tx1"/>
                  </w14:solidFill>
                </w14:textFill>
              </w:rPr>
              <w:t>本项目为新建项目，</w:t>
            </w:r>
            <w:r>
              <w:rPr>
                <w:rFonts w:hint="default" w:ascii="Times New Roman" w:hAnsi="Times New Roman" w:cs="Times New Roman"/>
                <w:color w:val="000000" w:themeColor="text1"/>
                <w:sz w:val="24"/>
                <w:szCs w:val="24"/>
                <w:highlight w:val="none"/>
                <w14:textFill>
                  <w14:solidFill>
                    <w14:schemeClr w14:val="tx1"/>
                  </w14:solidFill>
                </w14:textFill>
              </w:rPr>
              <w:t>站址附近无其他电磁设施，因此，本次评价在升压站厂址中心坐标处设置1个监测点位。</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)监测点位及结果</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本项目对升压站站址中心（1#）进行布点监测。项目监测布点及监测结果见表3-</w:t>
            </w:r>
            <w:r>
              <w:rPr>
                <w:rFonts w:hint="eastAsia" w:asci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w:t>
            </w:r>
          </w:p>
          <w:p>
            <w:pPr>
              <w:jc w:val="center"/>
              <w:rPr>
                <w:rFonts w:hint="default" w:ascii="Times New Roman" w:hAnsi="Times New Roman" w:cs="Times New Roman"/>
                <w:b/>
                <w:bCs/>
                <w:color w:val="000000" w:themeColor="text1"/>
                <w:sz w:val="24"/>
                <w:szCs w:val="24"/>
                <w:highlight w:val="none"/>
                <w14:textFill>
                  <w14:solidFill>
                    <w14:schemeClr w14:val="tx1"/>
                  </w14:solidFill>
                </w14:textFill>
              </w:rPr>
            </w:pPr>
          </w:p>
          <w:p>
            <w:pPr>
              <w:jc w:val="center"/>
              <w:rPr>
                <w:rFonts w:hint="default" w:ascii="Times New Roman" w:hAnsi="Times New Roman" w:cs="Times New Roman"/>
                <w:b/>
                <w:bCs/>
                <w:color w:val="000000" w:themeColor="text1"/>
                <w:sz w:val="24"/>
                <w:szCs w:val="24"/>
                <w:highlight w:val="none"/>
                <w14:textFill>
                  <w14:solidFill>
                    <w14:schemeClr w14:val="tx1"/>
                  </w14:solidFill>
                </w14:textFill>
              </w:rPr>
            </w:pPr>
          </w:p>
          <w:p>
            <w:pPr>
              <w:jc w:val="center"/>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eastAsia" w:asci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电磁环境监测点位及监测结果</w:t>
            </w:r>
          </w:p>
          <w:tbl>
            <w:tblPr>
              <w:tblStyle w:val="53"/>
              <w:tblW w:w="498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913"/>
              <w:gridCol w:w="794"/>
              <w:gridCol w:w="1095"/>
              <w:gridCol w:w="694"/>
              <w:gridCol w:w="736"/>
              <w:gridCol w:w="940"/>
              <w:gridCol w:w="10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53"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204"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点位名称</w:t>
                  </w:r>
                </w:p>
              </w:tc>
              <w:tc>
                <w:tcPr>
                  <w:tcW w:w="500"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点位说明</w:t>
                  </w:r>
                </w:p>
              </w:tc>
              <w:tc>
                <w:tcPr>
                  <w:tcW w:w="689"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类别</w:t>
                  </w:r>
                </w:p>
              </w:tc>
              <w:tc>
                <w:tcPr>
                  <w:tcW w:w="437"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方位</w:t>
                  </w:r>
                </w:p>
              </w:tc>
              <w:tc>
                <w:tcPr>
                  <w:tcW w:w="463" w:type="pct"/>
                  <w:vAlign w:val="center"/>
                </w:tcPr>
                <w:p>
                  <w:pPr>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距离(m)</w:t>
                  </w:r>
                </w:p>
              </w:tc>
              <w:tc>
                <w:tcPr>
                  <w:tcW w:w="592"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工频电场强度(V/m)</w:t>
                  </w:r>
                </w:p>
              </w:tc>
              <w:tc>
                <w:tcPr>
                  <w:tcW w:w="657"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工频磁感应强度(μT)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53"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204" w:type="pct"/>
                  <w:vAlign w:val="center"/>
                </w:tcPr>
                <w:p>
                  <w:pPr>
                    <w:jc w:val="center"/>
                    <w:rPr>
                      <w:rFonts w:hint="eastAsia" w:ascii="Times New Roman" w:hAnsi="Times New Roman" w:eastAsia="宋体" w:cs="Times New Roman"/>
                      <w:color w:val="000000" w:themeColor="text1"/>
                      <w:szCs w:val="22"/>
                      <w:highlight w:val="none"/>
                      <w:lang w:eastAsia="zh-CN" w:bidi="ar"/>
                      <w14:textFill>
                        <w14:solidFill>
                          <w14:schemeClr w14:val="tx1"/>
                        </w14:solidFill>
                      </w14:textFill>
                    </w:rPr>
                  </w:pPr>
                  <w:r>
                    <w:rPr>
                      <w:rFonts w:hint="eastAsia" w:ascii="Times New Roman" w:cs="Times New Roman"/>
                      <w:color w:val="000000" w:themeColor="text1"/>
                      <w:szCs w:val="22"/>
                      <w:highlight w:val="none"/>
                      <w:lang w:val="en-US" w:eastAsia="zh-CN" w:bidi="ar"/>
                      <w14:textFill>
                        <w14:solidFill>
                          <w14:schemeClr w14:val="tx1"/>
                        </w14:solidFill>
                      </w14:textFill>
                    </w:rPr>
                    <w:t>拟建</w:t>
                  </w:r>
                  <w:r>
                    <w:rPr>
                      <w:rFonts w:hint="default" w:ascii="Times New Roman" w:hAnsi="Times New Roman" w:cs="Times New Roman"/>
                      <w:color w:val="000000" w:themeColor="text1"/>
                      <w:szCs w:val="22"/>
                      <w:highlight w:val="none"/>
                      <w:lang w:bidi="ar"/>
                      <w14:textFill>
                        <w14:solidFill>
                          <w14:schemeClr w14:val="tx1"/>
                        </w14:solidFill>
                      </w14:textFill>
                    </w:rPr>
                    <w:t>站址中心</w:t>
                  </w:r>
                  <w:r>
                    <w:rPr>
                      <w:rFonts w:hint="eastAsia" w:ascii="Times New Roman" w:cs="Times New Roman"/>
                      <w:color w:val="000000" w:themeColor="text1"/>
                      <w:szCs w:val="22"/>
                      <w:highlight w:val="none"/>
                      <w:lang w:eastAsia="zh-CN" w:bidi="ar"/>
                      <w14:textFill>
                        <w14:solidFill>
                          <w14:schemeClr w14:val="tx1"/>
                        </w14:solidFill>
                      </w14:textFill>
                    </w:rPr>
                    <w:t>（</w:t>
                  </w:r>
                  <w:r>
                    <w:rPr>
                      <w:rFonts w:hint="eastAsia" w:ascii="Times New Roman" w:cs="Times New Roman"/>
                      <w:color w:val="000000" w:themeColor="text1"/>
                      <w:szCs w:val="22"/>
                      <w:highlight w:val="none"/>
                      <w:lang w:val="en-US" w:eastAsia="zh-CN" w:bidi="ar"/>
                      <w14:textFill>
                        <w14:solidFill>
                          <w14:schemeClr w14:val="tx1"/>
                        </w14:solidFill>
                      </w14:textFill>
                    </w:rPr>
                    <w:t>1#</w:t>
                  </w:r>
                  <w:r>
                    <w:rPr>
                      <w:rFonts w:hint="eastAsia" w:ascii="Times New Roman" w:cs="Times New Roman"/>
                      <w:color w:val="000000" w:themeColor="text1"/>
                      <w:szCs w:val="22"/>
                      <w:highlight w:val="none"/>
                      <w:lang w:eastAsia="zh-CN" w:bidi="ar"/>
                      <w14:textFill>
                        <w14:solidFill>
                          <w14:schemeClr w14:val="tx1"/>
                        </w14:solidFill>
                      </w14:textFill>
                    </w:rPr>
                    <w:t>）</w:t>
                  </w:r>
                </w:p>
              </w:tc>
              <w:tc>
                <w:tcPr>
                  <w:tcW w:w="500" w:type="pct"/>
                  <w:vAlign w:val="center"/>
                </w:tcPr>
                <w:p>
                  <w:pPr>
                    <w:jc w:val="center"/>
                    <w:rPr>
                      <w:rFonts w:hint="default" w:ascii="Times New Roman" w:hAnsi="Times New Roman" w:cs="Times New Roman"/>
                      <w:color w:val="000000" w:themeColor="text1"/>
                      <w:highlight w:val="none"/>
                      <w:lang w:bidi="ar"/>
                      <w14:textFill>
                        <w14:solidFill>
                          <w14:schemeClr w14:val="tx1"/>
                        </w14:solidFill>
                      </w14:textFill>
                    </w:rPr>
                  </w:pPr>
                  <w:r>
                    <w:rPr>
                      <w:rFonts w:hint="default" w:ascii="Times New Roman" w:hAnsi="Times New Roman" w:cs="Times New Roman"/>
                      <w:color w:val="000000" w:themeColor="text1"/>
                      <w:highlight w:val="none"/>
                      <w:lang w:bidi="ar"/>
                      <w14:textFill>
                        <w14:solidFill>
                          <w14:schemeClr w14:val="tx1"/>
                        </w14:solidFill>
                      </w14:textFill>
                    </w:rPr>
                    <w:t>/</w:t>
                  </w:r>
                </w:p>
              </w:tc>
              <w:tc>
                <w:tcPr>
                  <w:tcW w:w="689"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升压站</w:t>
                  </w:r>
                </w:p>
              </w:tc>
              <w:tc>
                <w:tcPr>
                  <w:tcW w:w="437" w:type="pct"/>
                  <w:vAlign w:val="center"/>
                </w:tcPr>
                <w:p>
                  <w:pPr>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w:t>
                  </w:r>
                </w:p>
              </w:tc>
              <w:tc>
                <w:tcPr>
                  <w:tcW w:w="463" w:type="pct"/>
                  <w:vAlign w:val="center"/>
                </w:tcPr>
                <w:p>
                  <w:pPr>
                    <w:snapToGrid w:val="0"/>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c>
                <w:tcPr>
                  <w:tcW w:w="592" w:type="pct"/>
                  <w:vAlign w:val="center"/>
                </w:tcPr>
                <w:p>
                  <w:pPr>
                    <w:snapToGrid w:val="0"/>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cs="Times New Roman"/>
                      <w:color w:val="000000" w:themeColor="text1"/>
                      <w:szCs w:val="22"/>
                      <w:highlight w:val="none"/>
                      <w:lang w:val="en-US" w:eastAsia="zh-CN" w:bidi="ar"/>
                      <w14:textFill>
                        <w14:solidFill>
                          <w14:schemeClr w14:val="tx1"/>
                        </w14:solidFill>
                      </w14:textFill>
                    </w:rPr>
                    <w:t>1.64</w:t>
                  </w:r>
                </w:p>
              </w:tc>
              <w:tc>
                <w:tcPr>
                  <w:tcW w:w="657" w:type="pct"/>
                  <w:vAlign w:val="center"/>
                </w:tcPr>
                <w:p>
                  <w:pPr>
                    <w:snapToGrid w:val="0"/>
                    <w:jc w:val="center"/>
                    <w:rPr>
                      <w:rFonts w:hint="eastAsia" w:ascii="Times New Roman" w:hAnsi="Times New Roman" w:eastAsia="宋体" w:cs="Times New Roman"/>
                      <w:color w:val="000000" w:themeColor="text1"/>
                      <w:szCs w:val="22"/>
                      <w:highlight w:val="none"/>
                      <w:lang w:eastAsia="zh-CN" w:bidi="ar"/>
                      <w14:textFill>
                        <w14:solidFill>
                          <w14:schemeClr w14:val="tx1"/>
                        </w14:solidFill>
                      </w14:textFill>
                    </w:rPr>
                  </w:pPr>
                  <w:r>
                    <w:rPr>
                      <w:rFonts w:hint="default" w:ascii="Times New Roman" w:hAnsi="Times New Roman" w:cs="Times New Roman"/>
                      <w:color w:val="000000" w:themeColor="text1"/>
                      <w:szCs w:val="22"/>
                      <w:highlight w:val="none"/>
                      <w:lang w:bidi="ar"/>
                      <w14:textFill>
                        <w14:solidFill>
                          <w14:schemeClr w14:val="tx1"/>
                        </w14:solidFill>
                      </w14:textFill>
                    </w:rPr>
                    <w:t>0.01</w:t>
                  </w:r>
                  <w:r>
                    <w:rPr>
                      <w:rFonts w:hint="eastAsia" w:ascii="Times New Roman" w:cs="Times New Roman"/>
                      <w:color w:val="000000" w:themeColor="text1"/>
                      <w:szCs w:val="22"/>
                      <w:highlight w:val="none"/>
                      <w:lang w:val="en-US" w:eastAsia="zh-CN" w:bidi="ar"/>
                      <w14:textFill>
                        <w14:solidFill>
                          <w14:schemeClr w14:val="tx1"/>
                        </w14:solidFill>
                      </w14:textFill>
                    </w:rPr>
                    <w:t>6</w:t>
                  </w:r>
                </w:p>
              </w:tc>
            </w:tr>
          </w:tbl>
          <w:p>
            <w:pPr>
              <w:spacing w:line="360" w:lineRule="auto"/>
              <w:ind w:firstLine="480"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根据表3-</w:t>
            </w:r>
            <w:r>
              <w:rPr>
                <w:rFonts w:hint="eastAsia" w:ascii="Times New Roman"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监测结果分析，</w:t>
            </w:r>
            <w:bookmarkStart w:id="14" w:name="_Hlk82812178"/>
            <w:r>
              <w:rPr>
                <w:rFonts w:hint="default" w:ascii="Times New Roman" w:hAnsi="Times New Roman" w:cs="Times New Roman"/>
                <w:color w:val="000000" w:themeColor="text1"/>
                <w:sz w:val="24"/>
                <w:szCs w:val="24"/>
                <w:highlight w:val="none"/>
                <w14:textFill>
                  <w14:solidFill>
                    <w14:schemeClr w14:val="tx1"/>
                  </w14:solidFill>
                </w14:textFill>
              </w:rPr>
              <w:t>拟建站址处工频</w:t>
            </w:r>
            <w:r>
              <w:rPr>
                <w:rFonts w:hint="default" w:ascii="Times New Roman" w:hAnsi="Times New Roman" w:cs="Times New Roman"/>
                <w:bCs/>
                <w:color w:val="000000" w:themeColor="text1"/>
                <w:sz w:val="24"/>
                <w:szCs w:val="24"/>
                <w:highlight w:val="none"/>
                <w14:textFill>
                  <w14:solidFill>
                    <w14:schemeClr w14:val="tx1"/>
                  </w14:solidFill>
                </w14:textFill>
              </w:rPr>
              <w:t>电场强度为</w:t>
            </w:r>
            <w:r>
              <w:rPr>
                <w:rFonts w:hint="eastAsia" w:ascii="Times New Roman" w:cs="Times New Roman"/>
                <w:bCs/>
                <w:color w:val="000000" w:themeColor="text1"/>
                <w:sz w:val="24"/>
                <w:szCs w:val="24"/>
                <w:highlight w:val="none"/>
                <w:lang w:val="en-US" w:eastAsia="zh-CN"/>
                <w14:textFill>
                  <w14:solidFill>
                    <w14:schemeClr w14:val="tx1"/>
                  </w14:solidFill>
                </w14:textFill>
              </w:rPr>
              <w:t>1.64</w:t>
            </w:r>
            <w:r>
              <w:rPr>
                <w:rFonts w:hint="default" w:ascii="Times New Roman" w:hAnsi="Times New Roman" w:cs="Times New Roman"/>
                <w:bCs/>
                <w:color w:val="000000" w:themeColor="text1"/>
                <w:sz w:val="24"/>
                <w:szCs w:val="24"/>
                <w:highlight w:val="none"/>
                <w14:textFill>
                  <w14:solidFill>
                    <w14:schemeClr w14:val="tx1"/>
                  </w14:solidFill>
                </w14:textFill>
              </w:rPr>
              <w:t>V/m，符合《电磁环境控制限值》(GB 8702-2014)规定的工频电场强度公众曝露4kV/m控制限值要求；工频磁感应强度为0.01</w:t>
            </w:r>
            <w:r>
              <w:rPr>
                <w:rFonts w:hint="eastAsia" w:ascii="Times New Roman" w:cs="Times New Roman"/>
                <w:bCs/>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bCs/>
                <w:color w:val="000000" w:themeColor="text1"/>
                <w:sz w:val="24"/>
                <w:szCs w:val="24"/>
                <w:highlight w:val="none"/>
                <w14:textFill>
                  <w14:solidFill>
                    <w14:schemeClr w14:val="tx1"/>
                  </w14:solidFill>
                </w14:textFill>
              </w:rPr>
              <w:t>μT，符合《电磁环境控制限值》（GB8702-2014）表1中50Hz相应标准，即公众曝露的电场强度控制限值为4kV/m，磁感应强度控制限值为100µT</w:t>
            </w:r>
            <w:bookmarkEnd w:id="14"/>
            <w:r>
              <w:rPr>
                <w:rFonts w:hint="default" w:ascii="Times New Roman" w:hAnsi="Times New Roman" w:cs="Times New Roman"/>
                <w:bCs/>
                <w:color w:val="000000" w:themeColor="text1"/>
                <w:sz w:val="24"/>
                <w:szCs w:val="24"/>
                <w:highlight w:val="none"/>
                <w14:textFill>
                  <w14:solidFill>
                    <w14:schemeClr w14:val="tx1"/>
                  </w14:solidFill>
                </w14:textFill>
              </w:rPr>
              <w:t>。</w:t>
            </w:r>
          </w:p>
          <w:p>
            <w:pPr>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highlight w:val="none"/>
                <w14:textFill>
                  <w14:solidFill>
                    <w14:schemeClr w14:val="tx1"/>
                  </w14:solidFill>
                </w14:textFill>
              </w:rPr>
              <w:t>(6)</w:t>
            </w:r>
            <w:r>
              <w:rPr>
                <w:rFonts w:hint="default" w:ascii="Times New Roman" w:hAnsi="Times New Roman" w:cs="Times New Roman"/>
                <w:b/>
                <w:bCs/>
                <w:color w:val="000000" w:themeColor="text1"/>
                <w:sz w:val="24"/>
                <w:szCs w:val="24"/>
                <w:highlight w:val="none"/>
                <w14:textFill>
                  <w14:solidFill>
                    <w14:schemeClr w14:val="tx1"/>
                  </w14:solidFill>
                </w14:textFill>
              </w:rPr>
              <w:t>声环境质量现状</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为了解项目站址声环境质量现状，委托承德市东岭环境监测有限公司对本项目变电站站址</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四周</w:t>
            </w:r>
            <w:r>
              <w:rPr>
                <w:rFonts w:hint="default" w:ascii="Times New Roman" w:hAnsi="Times New Roman" w:cs="Times New Roman"/>
                <w:color w:val="000000" w:themeColor="text1"/>
                <w:sz w:val="24"/>
                <w:szCs w:val="24"/>
                <w:highlight w:val="none"/>
                <w14:textFill>
                  <w14:solidFill>
                    <w14:schemeClr w14:val="tx1"/>
                  </w14:solidFill>
                </w14:textFill>
              </w:rPr>
              <w:t>声环境现状进行了监测，监测报告编号为：DLHJ字（2024）第083号。</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1)监测因子</w:t>
            </w:r>
          </w:p>
          <w:p>
            <w:pPr>
              <w:pStyle w:val="25"/>
              <w:spacing w:line="360" w:lineRule="auto"/>
              <w:ind w:left="0" w:leftChars="0"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昼间等效声级、夜间等效声级，Leq</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2)监测仪器</w:t>
            </w:r>
          </w:p>
          <w:p>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声</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环境监测</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仪器</w:t>
            </w:r>
          </w:p>
          <w:tbl>
            <w:tblPr>
              <w:tblStyle w:val="5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070"/>
              <w:gridCol w:w="921"/>
              <w:gridCol w:w="1985"/>
              <w:gridCol w:w="1994"/>
              <w:gridCol w:w="15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序号</w:t>
                  </w:r>
                </w:p>
              </w:tc>
              <w:tc>
                <w:tcPr>
                  <w:tcW w:w="673"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仪器名称、编号</w:t>
                  </w:r>
                </w:p>
              </w:tc>
              <w:tc>
                <w:tcPr>
                  <w:tcW w:w="579"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仪器</w:t>
                  </w:r>
                </w:p>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型号</w:t>
                  </w:r>
                </w:p>
              </w:tc>
              <w:tc>
                <w:tcPr>
                  <w:tcW w:w="1249"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测量范围或量程</w:t>
                  </w:r>
                </w:p>
              </w:tc>
              <w:tc>
                <w:tcPr>
                  <w:tcW w:w="1254"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检定/校准</w:t>
                  </w:r>
                </w:p>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有效期</w:t>
                  </w:r>
                </w:p>
              </w:tc>
              <w:tc>
                <w:tcPr>
                  <w:tcW w:w="975" w:type="pct"/>
                  <w:tcBorders>
                    <w:tl2br w:val="nil"/>
                    <w:tr2bl w:val="nil"/>
                  </w:tcBorders>
                  <w:noWrap w:val="0"/>
                  <w:vAlign w:val="center"/>
                </w:tcPr>
                <w:p>
                  <w:pPr>
                    <w:jc w:val="cente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szCs w:val="22"/>
                      <w:highlight w:val="none"/>
                      <w:lang w:val="en-US" w:eastAsia="zh-CN" w:bidi="ar"/>
                      <w14:textFill>
                        <w14:solidFill>
                          <w14:schemeClr w14:val="tx1"/>
                        </w14:solidFill>
                      </w14:textFill>
                    </w:rPr>
                    <w:t>检定/校准机构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1</w:t>
                  </w:r>
                </w:p>
              </w:tc>
              <w:tc>
                <w:tcPr>
                  <w:tcW w:w="673"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多功能声级计DLYQ-46</w:t>
                  </w:r>
                </w:p>
              </w:tc>
              <w:tc>
                <w:tcPr>
                  <w:tcW w:w="57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AWA5688</w:t>
                  </w:r>
                </w:p>
              </w:tc>
              <w:tc>
                <w:tcPr>
                  <w:tcW w:w="124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测量范围:28dBA～133dBA</w:t>
                  </w:r>
                </w:p>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频率范围:20Hz～12.5kHz</w:t>
                  </w:r>
                </w:p>
              </w:tc>
              <w:tc>
                <w:tcPr>
                  <w:tcW w:w="1254"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2023年04月23日-2024年04月22日</w:t>
                  </w:r>
                </w:p>
              </w:tc>
              <w:tc>
                <w:tcPr>
                  <w:tcW w:w="975"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河北省计量监督检测研究院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2</w:t>
                  </w:r>
                </w:p>
              </w:tc>
              <w:tc>
                <w:tcPr>
                  <w:tcW w:w="673"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声校准器DLYQ-06</w:t>
                  </w:r>
                </w:p>
              </w:tc>
              <w:tc>
                <w:tcPr>
                  <w:tcW w:w="57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HS6020</w:t>
                  </w:r>
                </w:p>
              </w:tc>
              <w:tc>
                <w:tcPr>
                  <w:tcW w:w="124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声压级：94dB</w:t>
                  </w:r>
                </w:p>
              </w:tc>
              <w:tc>
                <w:tcPr>
                  <w:tcW w:w="1254"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2024年01月25日-2025年01月24日</w:t>
                  </w:r>
                </w:p>
              </w:tc>
              <w:tc>
                <w:tcPr>
                  <w:tcW w:w="975"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河北省计量监督检测研究院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3</w:t>
                  </w:r>
                </w:p>
              </w:tc>
              <w:tc>
                <w:tcPr>
                  <w:tcW w:w="673"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温湿度表DLYQ-41</w:t>
                  </w:r>
                </w:p>
              </w:tc>
              <w:tc>
                <w:tcPr>
                  <w:tcW w:w="57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WHM5型</w:t>
                  </w:r>
                </w:p>
              </w:tc>
              <w:tc>
                <w:tcPr>
                  <w:tcW w:w="124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 xml:space="preserve">-20℃～+40℃ </w:t>
                  </w:r>
                </w:p>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（0～100%）RH</w:t>
                  </w:r>
                </w:p>
              </w:tc>
              <w:tc>
                <w:tcPr>
                  <w:tcW w:w="1254"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2024年01月08日-2025年01月07日</w:t>
                  </w:r>
                </w:p>
              </w:tc>
              <w:tc>
                <w:tcPr>
                  <w:tcW w:w="975"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河北省计量监督检测研究院</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8" w:type="pct"/>
                  <w:tcBorders>
                    <w:tl2br w:val="nil"/>
                    <w:tr2bl w:val="nil"/>
                  </w:tcBorders>
                  <w:noWrap w:val="0"/>
                  <w:vAlign w:val="center"/>
                </w:tcPr>
                <w:p>
                  <w:pPr>
                    <w:jc w:val="cente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szCs w:val="22"/>
                      <w:highlight w:val="none"/>
                      <w:lang w:val="en-US" w:eastAsia="zh-CN" w:bidi="ar"/>
                      <w14:textFill>
                        <w14:solidFill>
                          <w14:schemeClr w14:val="tx1"/>
                        </w14:solidFill>
                      </w14:textFill>
                    </w:rPr>
                    <w:t>4</w:t>
                  </w:r>
                </w:p>
              </w:tc>
              <w:tc>
                <w:tcPr>
                  <w:tcW w:w="673"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风速计DLYQ-34</w:t>
                  </w:r>
                </w:p>
              </w:tc>
              <w:tc>
                <w:tcPr>
                  <w:tcW w:w="57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ZRQF-F30J</w:t>
                  </w:r>
                </w:p>
              </w:tc>
              <w:tc>
                <w:tcPr>
                  <w:tcW w:w="1249"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0.05～30.0m/s</w:t>
                  </w:r>
                </w:p>
              </w:tc>
              <w:tc>
                <w:tcPr>
                  <w:tcW w:w="1254"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2024年01月10日-2025年01月09日</w:t>
                  </w:r>
                </w:p>
              </w:tc>
              <w:tc>
                <w:tcPr>
                  <w:tcW w:w="975" w:type="pct"/>
                  <w:tcBorders>
                    <w:tl2br w:val="nil"/>
                    <w:tr2bl w:val="nil"/>
                  </w:tcBorders>
                  <w:noWrap w:val="0"/>
                  <w:vAlign w:val="center"/>
                </w:tcPr>
                <w:p>
                  <w:pPr>
                    <w:jc w:val="cente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Cs w:val="22"/>
                      <w:highlight w:val="none"/>
                      <w:lang w:val="en-US" w:eastAsia="zh-CN" w:bidi="ar"/>
                      <w14:textFill>
                        <w14:solidFill>
                          <w14:schemeClr w14:val="tx1"/>
                        </w14:solidFill>
                      </w14:textFill>
                    </w:rPr>
                    <w:t>河北省计量监督检测研究院</w:t>
                  </w:r>
                </w:p>
              </w:tc>
            </w:tr>
          </w:tbl>
          <w:p>
            <w:pPr>
              <w:spacing w:line="360" w:lineRule="auto"/>
              <w:ind w:firstLine="480" w:firstLineChars="200"/>
              <w:jc w:val="both"/>
              <w:rPr>
                <w:rFonts w:hint="default" w:ascii="Times New Roman" w:hAnsi="Times New Roman" w:cs="Times New Roman"/>
                <w:color w:val="000000" w:themeColor="text1"/>
                <w:spacing w:val="5"/>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所用仪器均经国家计量部门检定合格，并处于检定证书有效期内</w:t>
            </w:r>
            <w:r>
              <w:rPr>
                <w:rFonts w:hint="default" w:ascii="Times New Roman" w:hAnsi="Times New Roman" w:cs="Times New Roman"/>
                <w:color w:val="000000" w:themeColor="text1"/>
                <w:spacing w:val="5"/>
                <w:sz w:val="24"/>
                <w:szCs w:val="24"/>
                <w:highlight w:val="none"/>
                <w14:textFill>
                  <w14:solidFill>
                    <w14:schemeClr w14:val="tx1"/>
                  </w14:solidFill>
                </w14:textFill>
              </w:rPr>
              <w:t>，仪器的测量范围覆盖符合监测要求。</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3)监测方法</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按</w:t>
            </w:r>
            <w:r>
              <w:rPr>
                <w:rFonts w:hint="default" w:ascii="Times New Roman" w:hAnsi="Times New Roman" w:cs="Times New Roman"/>
                <w:bCs/>
                <w:color w:val="000000" w:themeColor="text1"/>
                <w:sz w:val="24"/>
                <w:szCs w:val="24"/>
                <w:highlight w:val="none"/>
                <w14:textFill>
                  <w14:solidFill>
                    <w14:schemeClr w14:val="tx1"/>
                  </w14:solidFill>
                </w14:textFill>
              </w:rPr>
              <w:t>《声环境质量标准》(GB 3096-2008)和</w:t>
            </w:r>
            <w:r>
              <w:rPr>
                <w:rFonts w:hint="default" w:ascii="Times New Roman" w:hAnsi="Times New Roman" w:cs="Times New Roman"/>
                <w:color w:val="000000" w:themeColor="text1"/>
                <w:sz w:val="24"/>
                <w:szCs w:val="24"/>
                <w:highlight w:val="none"/>
                <w14:textFill>
                  <w14:solidFill>
                    <w14:schemeClr w14:val="tx1"/>
                  </w14:solidFill>
                </w14:textFill>
              </w:rPr>
              <w:t>《工业企业厂界环境噪声排放标准》(GB 12348-2008)进行。</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4)监测条件</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监测日202</w:t>
            </w:r>
            <w:r>
              <w:rPr>
                <w:rFonts w:hint="eastAsia" w:asci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年</w:t>
            </w:r>
            <w:r>
              <w:rPr>
                <w:rFonts w:hint="eastAsia" w:ascii="Times New Roman"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color w:val="000000" w:themeColor="text1"/>
                <w:sz w:val="24"/>
                <w:szCs w:val="24"/>
                <w:highlight w:val="none"/>
                <w14:textFill>
                  <w14:solidFill>
                    <w14:schemeClr w14:val="tx1"/>
                  </w14:solidFill>
                </w14:textFill>
              </w:rPr>
              <w:t>月</w:t>
            </w:r>
            <w:r>
              <w:rPr>
                <w:rFonts w:hint="eastAsia" w:ascii="Times New Roman"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cs="Times New Roman"/>
                <w:color w:val="000000" w:themeColor="text1"/>
                <w:sz w:val="24"/>
                <w:szCs w:val="24"/>
                <w:highlight w:val="none"/>
                <w14:textFill>
                  <w14:solidFill>
                    <w14:schemeClr w14:val="tx1"/>
                  </w14:solidFill>
                </w14:textFill>
              </w:rPr>
              <w:t>日环境条件如下：</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无雨无雪，昼间：环境温度8～9℃； 相对湿度：37-37%；风速为2.4-2.6m/s；</w:t>
            </w:r>
          </w:p>
          <w:p>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无雨无雪，夜间：环境温度2～1℃； 相对湿度：41-42%；风速为1.9-1.7m/s。</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5)监测点位布设原则</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根据《环境影响评价技术导则 输变电》6.4声环境现状调查和评价的内容、方法、监测布点参照HJ2.4中声环境现状调查和评价工作要求执行。根据HJ2.4中的7.3.1.1，监测布点包括厂界和声环境保护目标，本项目声环境调查范围内没有敏感点，因此，只需在厂界布点监测即可。</w:t>
            </w:r>
          </w:p>
          <w:p>
            <w:pPr>
              <w:adjustRightInd w:val="0"/>
              <w:snapToGrid w:val="0"/>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color w:val="000000" w:themeColor="text1"/>
                <w:sz w:val="24"/>
                <w:szCs w:val="24"/>
                <w:highlight w:val="none"/>
                <w14:textFill>
                  <w14:solidFill>
                    <w14:schemeClr w14:val="tx1"/>
                  </w14:solidFill>
                </w14:textFill>
              </w:rPr>
              <w:t>)监测点位及监测结果</w:t>
            </w:r>
          </w:p>
          <w:p>
            <w:pPr>
              <w:spacing w:line="360" w:lineRule="auto"/>
              <w:ind w:firstLine="480"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具体监测点位及结果见表3-</w:t>
            </w:r>
            <w:r>
              <w:rPr>
                <w:rFonts w:hint="eastAsia" w:ascii="Times New Roman"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表3-</w:t>
            </w:r>
            <w:r>
              <w:rPr>
                <w:rFonts w:hint="eastAsia" w:ascii="Times New Roman" w:cs="Times New Roman"/>
                <w:b/>
                <w:bCs/>
                <w:color w:val="000000" w:themeColor="text1"/>
                <w:sz w:val="24"/>
                <w:szCs w:val="24"/>
                <w:highlight w:val="none"/>
                <w:lang w:val="en-US" w:eastAsia="zh-CN"/>
                <w14:textFill>
                  <w14:solidFill>
                    <w14:schemeClr w14:val="tx1"/>
                  </w14:solidFill>
                </w14:textFill>
              </w:rPr>
              <w:t>5</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现状监测点位噪声监测结果</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5"/>
              <w:gridCol w:w="2850"/>
              <w:gridCol w:w="2176"/>
              <w:gridCol w:w="2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序号</w:t>
                  </w:r>
                </w:p>
              </w:tc>
              <w:tc>
                <w:tcPr>
                  <w:tcW w:w="1792" w:type="pct"/>
                  <w:vAlign w:val="center"/>
                </w:tcPr>
                <w:p>
                  <w:pPr>
                    <w:snapToGrid w:val="0"/>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点位名称</w:t>
                  </w:r>
                </w:p>
              </w:tc>
              <w:tc>
                <w:tcPr>
                  <w:tcW w:w="1368" w:type="pct"/>
                  <w:vAlign w:val="center"/>
                </w:tcPr>
                <w:p>
                  <w:pPr>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昼间(dB(A))</w:t>
                  </w:r>
                </w:p>
              </w:tc>
              <w:tc>
                <w:tcPr>
                  <w:tcW w:w="1376" w:type="pct"/>
                  <w:vAlign w:val="center"/>
                </w:tcPr>
                <w:p>
                  <w:pPr>
                    <w:jc w:val="center"/>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b/>
                      <w:color w:val="000000" w:themeColor="text1"/>
                      <w:highlight w:val="none"/>
                      <w14:textFill>
                        <w14:solidFill>
                          <w14:schemeClr w14:val="tx1"/>
                        </w14:solidFill>
                      </w14:textFill>
                    </w:rP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w:t>
                  </w:r>
                </w:p>
              </w:tc>
              <w:tc>
                <w:tcPr>
                  <w:tcW w:w="179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拟建升压站东侧（2#）</w:t>
                  </w:r>
                </w:p>
              </w:tc>
              <w:tc>
                <w:tcPr>
                  <w:tcW w:w="1368"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44</w:t>
                  </w:r>
                </w:p>
              </w:tc>
              <w:tc>
                <w:tcPr>
                  <w:tcW w:w="1376"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2"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w:t>
                  </w:r>
                </w:p>
              </w:tc>
              <w:tc>
                <w:tcPr>
                  <w:tcW w:w="179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拟建升压站南侧（3#）</w:t>
                  </w:r>
                </w:p>
              </w:tc>
              <w:tc>
                <w:tcPr>
                  <w:tcW w:w="1368" w:type="pct"/>
                  <w:vAlign w:val="center"/>
                </w:tcPr>
                <w:p>
                  <w:pPr>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44</w:t>
                  </w:r>
                </w:p>
              </w:tc>
              <w:tc>
                <w:tcPr>
                  <w:tcW w:w="1376"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w:t>
                  </w:r>
                </w:p>
              </w:tc>
              <w:tc>
                <w:tcPr>
                  <w:tcW w:w="179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拟建升压站西侧（4#）</w:t>
                  </w:r>
                </w:p>
              </w:tc>
              <w:tc>
                <w:tcPr>
                  <w:tcW w:w="1368" w:type="pct"/>
                  <w:vAlign w:val="center"/>
                </w:tcPr>
                <w:p>
                  <w:pPr>
                    <w:jc w:val="center"/>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w:t>
                  </w:r>
                </w:p>
              </w:tc>
              <w:tc>
                <w:tcPr>
                  <w:tcW w:w="1376"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2" w:type="pct"/>
                  <w:vAlign w:val="center"/>
                </w:tcPr>
                <w:p>
                  <w:pPr>
                    <w:jc w:val="center"/>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w:t>
                  </w:r>
                </w:p>
              </w:tc>
              <w:tc>
                <w:tcPr>
                  <w:tcW w:w="1792"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拟建升压站北侧（5#）</w:t>
                  </w:r>
                </w:p>
              </w:tc>
              <w:tc>
                <w:tcPr>
                  <w:tcW w:w="1368"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43</w:t>
                  </w:r>
                </w:p>
              </w:tc>
              <w:tc>
                <w:tcPr>
                  <w:tcW w:w="1376" w:type="pct"/>
                  <w:vAlign w:val="center"/>
                </w:tcPr>
                <w:p>
                  <w:pPr>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39</w:t>
                  </w:r>
                </w:p>
              </w:tc>
            </w:tr>
          </w:tbl>
          <w:p>
            <w:pPr>
              <w:tabs>
                <w:tab w:val="left" w:pos="622"/>
              </w:tabs>
              <w:spacing w:line="360" w:lineRule="auto"/>
              <w:ind w:firstLine="480" w:firstLineChars="200"/>
              <w:jc w:val="both"/>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根据表3-3监测结果分</w:t>
            </w:r>
            <w:r>
              <w:rPr>
                <w:rFonts w:hint="default" w:ascii="Times New Roman" w:hAnsi="Times New Roman" w:cs="Times New Roman"/>
                <w:bCs/>
                <w:color w:val="000000" w:themeColor="text1"/>
                <w:sz w:val="24"/>
                <w:szCs w:val="24"/>
                <w:highlight w:val="none"/>
                <w14:textFill>
                  <w14:solidFill>
                    <w14:schemeClr w14:val="tx1"/>
                  </w14:solidFill>
                </w14:textFill>
              </w:rPr>
              <w:t>析，本项目</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站区</w:t>
            </w:r>
            <w:r>
              <w:rPr>
                <w:rFonts w:hint="default" w:ascii="Times New Roman" w:hAnsi="Times New Roman" w:cs="Times New Roman"/>
                <w:bCs/>
                <w:color w:val="000000" w:themeColor="text1"/>
                <w:sz w:val="24"/>
                <w:szCs w:val="24"/>
                <w:highlight w:val="none"/>
                <w14:textFill>
                  <w14:solidFill>
                    <w14:schemeClr w14:val="tx1"/>
                  </w14:solidFill>
                </w14:textFill>
              </w:rPr>
              <w:t>边界各监测点昼间噪声监测值为4</w:t>
            </w:r>
            <w:r>
              <w:rPr>
                <w:rFonts w:hint="eastAsia" w:ascii="Times New Roman"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Cs/>
                <w:color w:val="000000" w:themeColor="text1"/>
                <w:sz w:val="24"/>
                <w:szCs w:val="24"/>
                <w:highlight w:val="none"/>
                <w14:textFill>
                  <w14:solidFill>
                    <w14:schemeClr w14:val="tx1"/>
                  </w14:solidFill>
                </w14:textFill>
              </w:rPr>
              <w:t>～4</w:t>
            </w:r>
            <w:r>
              <w:rPr>
                <w:rFonts w:hint="eastAsia" w:ascii="Times New Roman" w:cs="Times New Roman"/>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Cs/>
                <w:color w:val="000000" w:themeColor="text1"/>
                <w:sz w:val="24"/>
                <w:szCs w:val="24"/>
                <w:highlight w:val="none"/>
                <w14:textFill>
                  <w14:solidFill>
                    <w14:schemeClr w14:val="tx1"/>
                  </w14:solidFill>
                </w14:textFill>
              </w:rPr>
              <w:t>dB(A)，夜间噪声监测值为</w:t>
            </w:r>
            <w:r>
              <w:rPr>
                <w:rFonts w:hint="eastAsia" w:ascii="Times New Roman" w:cs="Times New Roman"/>
                <w:bCs/>
                <w:color w:val="000000" w:themeColor="text1"/>
                <w:sz w:val="24"/>
                <w:szCs w:val="24"/>
                <w:highlight w:val="none"/>
                <w:lang w:val="en-US" w:eastAsia="zh-CN"/>
                <w14:textFill>
                  <w14:solidFill>
                    <w14:schemeClr w14:val="tx1"/>
                  </w14:solidFill>
                </w14:textFill>
              </w:rPr>
              <w:t>39</w:t>
            </w:r>
            <w:r>
              <w:rPr>
                <w:rFonts w:hint="default" w:ascii="Times New Roman" w:hAnsi="Times New Roman" w:cs="Times New Roman"/>
                <w:bCs/>
                <w:color w:val="000000" w:themeColor="text1"/>
                <w:sz w:val="24"/>
                <w:szCs w:val="24"/>
                <w:highlight w:val="none"/>
                <w14:textFill>
                  <w14:solidFill>
                    <w14:schemeClr w14:val="tx1"/>
                  </w14:solidFill>
                </w14:textFill>
              </w:rPr>
              <w:t>dB(A)，各监测点噪声值均符合《声环境质量标准》(GB 3096-2008)</w:t>
            </w:r>
            <w:r>
              <w:rPr>
                <w:rFonts w:hint="eastAsia" w:asci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类标准要求</w:t>
            </w:r>
            <w:r>
              <w:rPr>
                <w:rFonts w:hint="default" w:ascii="Times New Roman" w:hAnsi="Times New Roman" w:cs="Times New Roman"/>
                <w:bCs/>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492" w:type="pct"/>
            <w:vAlign w:val="center"/>
          </w:tcPr>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环境</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保护</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目标</w:t>
            </w:r>
          </w:p>
        </w:tc>
        <w:tc>
          <w:tcPr>
            <w:tcW w:w="4507" w:type="pct"/>
          </w:tcPr>
          <w:p>
            <w:pPr>
              <w:spacing w:line="360" w:lineRule="auto"/>
              <w:ind w:firstLine="482" w:firstLineChars="200"/>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bidi="ar"/>
                <w14:textFill>
                  <w14:solidFill>
                    <w14:schemeClr w14:val="tx1"/>
                  </w14:solidFill>
                </w14:textFill>
              </w:rPr>
              <w:t>1、</w:t>
            </w:r>
            <w:r>
              <w:rPr>
                <w:rFonts w:hint="eastAsia"/>
                <w:b/>
                <w:bCs/>
                <w:color w:val="000000" w:themeColor="text1"/>
                <w:sz w:val="24"/>
                <w:szCs w:val="24"/>
                <w:highlight w:val="none"/>
                <w:lang w:val="en-US" w:eastAsia="zh-CN" w:bidi="ar"/>
                <w14:textFill>
                  <w14:solidFill>
                    <w14:schemeClr w14:val="tx1"/>
                  </w14:solidFill>
                </w14:textFill>
              </w:rPr>
              <w:t>调查</w:t>
            </w:r>
            <w:r>
              <w:rPr>
                <w:rFonts w:hint="eastAsia"/>
                <w:b/>
                <w:bCs/>
                <w:color w:val="000000" w:themeColor="text1"/>
                <w:sz w:val="24"/>
                <w:szCs w:val="24"/>
                <w:highlight w:val="none"/>
                <w:lang w:bidi="ar"/>
                <w14:textFill>
                  <w14:solidFill>
                    <w14:schemeClr w14:val="tx1"/>
                  </w14:solidFill>
                </w14:textFill>
              </w:rPr>
              <w:t>范围</w:t>
            </w:r>
          </w:p>
          <w:p>
            <w:pPr>
              <w:spacing w:line="360" w:lineRule="auto"/>
              <w:ind w:firstLine="480" w:firstLineChars="200"/>
              <w:rPr>
                <w:rFonts w:ascii="Times New Roman"/>
                <w:color w:val="000000" w:themeColor="text1"/>
                <w:kern w:val="0"/>
                <w:sz w:val="24"/>
                <w:szCs w:val="24"/>
                <w:highlight w:val="none"/>
                <w:lang w:bidi="ar"/>
                <w14:textFill>
                  <w14:solidFill>
                    <w14:schemeClr w14:val="tx1"/>
                  </w14:solidFill>
                </w14:textFill>
              </w:rPr>
            </w:pPr>
            <w:r>
              <w:rPr>
                <w:rFonts w:hint="eastAsia" w:ascii="Times New Roman"/>
                <w:color w:val="000000" w:themeColor="text1"/>
                <w:kern w:val="0"/>
                <w:sz w:val="24"/>
                <w:szCs w:val="24"/>
                <w:highlight w:val="none"/>
                <w:lang w:bidi="ar"/>
                <w14:textFill>
                  <w14:solidFill>
                    <w14:schemeClr w14:val="tx1"/>
                  </w14:solidFill>
                </w14:textFill>
              </w:rPr>
              <w:t>本项目设置1座升压站，为交流输变电项目，电压等级为22</w:t>
            </w:r>
            <w:r>
              <w:rPr>
                <w:rFonts w:ascii="Times New Roman"/>
                <w:color w:val="000000" w:themeColor="text1"/>
                <w:kern w:val="0"/>
                <w:sz w:val="24"/>
                <w:szCs w:val="24"/>
                <w:highlight w:val="none"/>
                <w:lang w:bidi="ar"/>
                <w14:textFill>
                  <w14:solidFill>
                    <w14:schemeClr w14:val="tx1"/>
                  </w14:solidFill>
                </w14:textFill>
              </w:rPr>
              <w:t>0kV</w:t>
            </w:r>
            <w:r>
              <w:rPr>
                <w:rFonts w:hint="eastAsia" w:ascii="Times New Roman"/>
                <w:color w:val="000000" w:themeColor="text1"/>
                <w:kern w:val="0"/>
                <w:sz w:val="24"/>
                <w:szCs w:val="24"/>
                <w:highlight w:val="none"/>
                <w:lang w:bidi="ar"/>
                <w14:textFill>
                  <w14:solidFill>
                    <w14:schemeClr w14:val="tx1"/>
                  </w14:solidFill>
                </w14:textFill>
              </w:rPr>
              <w:t>，站址区域不在生态保护红线内，本项目</w:t>
            </w:r>
            <w:r>
              <w:rPr>
                <w:rFonts w:hint="eastAsia" w:ascii="Times New Roman"/>
                <w:color w:val="000000" w:themeColor="text1"/>
                <w:kern w:val="0"/>
                <w:sz w:val="24"/>
                <w:szCs w:val="24"/>
                <w:highlight w:val="none"/>
                <w:lang w:val="en-US" w:eastAsia="zh-CN" w:bidi="ar"/>
                <w14:textFill>
                  <w14:solidFill>
                    <w14:schemeClr w14:val="tx1"/>
                  </w14:solidFill>
                </w14:textFill>
              </w:rPr>
              <w:t>调查</w:t>
            </w:r>
            <w:r>
              <w:rPr>
                <w:rFonts w:hint="eastAsia" w:ascii="Times New Roman"/>
                <w:color w:val="000000" w:themeColor="text1"/>
                <w:kern w:val="0"/>
                <w:sz w:val="24"/>
                <w:szCs w:val="24"/>
                <w:highlight w:val="none"/>
                <w:lang w:bidi="ar"/>
                <w14:textFill>
                  <w14:solidFill>
                    <w14:schemeClr w14:val="tx1"/>
                  </w14:solidFill>
                </w14:textFill>
              </w:rPr>
              <w:t>范围见表3-</w:t>
            </w:r>
            <w:r>
              <w:rPr>
                <w:rFonts w:hint="eastAsia" w:ascii="Times New Roman"/>
                <w:color w:val="000000" w:themeColor="text1"/>
                <w:kern w:val="0"/>
                <w:sz w:val="24"/>
                <w:szCs w:val="24"/>
                <w:highlight w:val="none"/>
                <w:lang w:val="en-US" w:eastAsia="zh-CN" w:bidi="ar"/>
                <w14:textFill>
                  <w14:solidFill>
                    <w14:schemeClr w14:val="tx1"/>
                  </w14:solidFill>
                </w14:textFill>
              </w:rPr>
              <w:t>6</w:t>
            </w:r>
            <w:r>
              <w:rPr>
                <w:rFonts w:hint="eastAsia" w:ascii="Times New Roman"/>
                <w:color w:val="000000" w:themeColor="text1"/>
                <w:kern w:val="0"/>
                <w:sz w:val="24"/>
                <w:szCs w:val="24"/>
                <w:highlight w:val="none"/>
                <w:lang w:bidi="ar"/>
                <w14:textFill>
                  <w14:solidFill>
                    <w14:schemeClr w14:val="tx1"/>
                  </w14:solidFill>
                </w14:textFill>
              </w:rPr>
              <w:t>。</w:t>
            </w:r>
          </w:p>
          <w:p>
            <w:pPr>
              <w:snapToGrid w:val="0"/>
              <w:jc w:val="center"/>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lang w:bidi="ar"/>
                <w14:textFill>
                  <w14:solidFill>
                    <w14:schemeClr w14:val="tx1"/>
                  </w14:solidFill>
                </w14:textFill>
              </w:rPr>
              <w:t>表</w:t>
            </w:r>
            <w:r>
              <w:rPr>
                <w:rFonts w:ascii="Times New Roman"/>
                <w:b/>
                <w:bCs/>
                <w:color w:val="000000" w:themeColor="text1"/>
                <w:sz w:val="24"/>
                <w:szCs w:val="24"/>
                <w:highlight w:val="none"/>
                <w:lang w:bidi="ar"/>
                <w14:textFill>
                  <w14:solidFill>
                    <w14:schemeClr w14:val="tx1"/>
                  </w14:solidFill>
                </w14:textFill>
              </w:rPr>
              <w:t>3-</w:t>
            </w:r>
            <w:r>
              <w:rPr>
                <w:rFonts w:hint="eastAsia" w:ascii="Times New Roman"/>
                <w:b/>
                <w:bCs/>
                <w:color w:val="000000" w:themeColor="text1"/>
                <w:sz w:val="24"/>
                <w:szCs w:val="24"/>
                <w:highlight w:val="none"/>
                <w:lang w:val="en-US" w:eastAsia="zh-CN" w:bidi="ar"/>
                <w14:textFill>
                  <w14:solidFill>
                    <w14:schemeClr w14:val="tx1"/>
                  </w14:solidFill>
                </w14:textFill>
              </w:rPr>
              <w:t>6</w:t>
            </w:r>
            <w:r>
              <w:rPr>
                <w:rFonts w:ascii="Times New Roman"/>
                <w:b/>
                <w:bCs/>
                <w:color w:val="000000" w:themeColor="text1"/>
                <w:sz w:val="24"/>
                <w:szCs w:val="24"/>
                <w:highlight w:val="none"/>
                <w:lang w:bidi="ar"/>
                <w14:textFill>
                  <w14:solidFill>
                    <w14:schemeClr w14:val="tx1"/>
                  </w14:solidFill>
                </w14:textFill>
              </w:rPr>
              <w:t xml:space="preserve">  </w:t>
            </w:r>
            <w:r>
              <w:rPr>
                <w:rFonts w:hint="eastAsia" w:ascii="Times New Roman"/>
                <w:b/>
                <w:bCs/>
                <w:color w:val="000000" w:themeColor="text1"/>
                <w:sz w:val="24"/>
                <w:szCs w:val="24"/>
                <w:highlight w:val="none"/>
                <w:lang w:val="en-US" w:eastAsia="zh-CN" w:bidi="ar"/>
                <w14:textFill>
                  <w14:solidFill>
                    <w14:schemeClr w14:val="tx1"/>
                  </w14:solidFill>
                </w14:textFill>
              </w:rPr>
              <w:t>调查</w:t>
            </w:r>
            <w:r>
              <w:rPr>
                <w:rFonts w:hint="eastAsia" w:ascii="Times New Roman"/>
                <w:b/>
                <w:bCs/>
                <w:color w:val="000000" w:themeColor="text1"/>
                <w:sz w:val="24"/>
                <w:szCs w:val="24"/>
                <w:highlight w:val="none"/>
                <w:lang w:bidi="ar"/>
                <w14:textFill>
                  <w14:solidFill>
                    <w14:schemeClr w14:val="tx1"/>
                  </w14:solidFill>
                </w14:textFill>
              </w:rPr>
              <w:t>范围一览表</w:t>
            </w:r>
          </w:p>
          <w:tbl>
            <w:tblPr>
              <w:tblStyle w:val="54"/>
              <w:tblW w:w="4998" w:type="pct"/>
              <w:tblInd w:w="0" w:type="dxa"/>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382"/>
              <w:gridCol w:w="1500"/>
              <w:gridCol w:w="1639"/>
              <w:gridCol w:w="2682"/>
            </w:tblGrid>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top w:val="single" w:color="auto" w:sz="12" w:space="0"/>
                    <w:left w:val="nil"/>
                    <w:bottom w:val="single" w:color="auto" w:sz="4" w:space="0"/>
                    <w:right w:val="single" w:color="auto" w:sz="4" w:space="0"/>
                  </w:tcBorders>
                  <w:shd w:val="clear" w:color="auto" w:fill="auto"/>
                  <w:vAlign w:val="center"/>
                </w:tcPr>
                <w:p>
                  <w:pPr>
                    <w:jc w:val="center"/>
                    <w:rPr>
                      <w:rFonts w:ascii="Times New Roman"/>
                      <w:b/>
                      <w:bCs/>
                      <w:color w:val="000000" w:themeColor="text1"/>
                      <w:highlight w:val="none"/>
                      <w14:textFill>
                        <w14:solidFill>
                          <w14:schemeClr w14:val="tx1"/>
                        </w14:solidFill>
                      </w14:textFill>
                    </w:rPr>
                  </w:pPr>
                  <w:r>
                    <w:rPr>
                      <w:rFonts w:ascii="Times New Roman"/>
                      <w:b/>
                      <w:bCs/>
                      <w:color w:val="000000" w:themeColor="text1"/>
                      <w:highlight w:val="none"/>
                      <w:lang w:bidi="ar"/>
                      <w14:textFill>
                        <w14:solidFill>
                          <w14:schemeClr w14:val="tx1"/>
                        </w14:solidFill>
                      </w14:textFill>
                    </w:rPr>
                    <w:t>类别</w:t>
                  </w:r>
                </w:p>
              </w:tc>
              <w:tc>
                <w:tcPr>
                  <w:tcW w:w="869" w:type="pc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ascii="Times New Roman"/>
                      <w:b/>
                      <w:bCs/>
                      <w:color w:val="000000" w:themeColor="text1"/>
                      <w:highlight w:val="none"/>
                      <w14:textFill>
                        <w14:solidFill>
                          <w14:schemeClr w14:val="tx1"/>
                        </w14:solidFill>
                      </w14:textFill>
                    </w:rPr>
                  </w:pPr>
                  <w:r>
                    <w:rPr>
                      <w:rFonts w:ascii="Times New Roman"/>
                      <w:b/>
                      <w:bCs/>
                      <w:color w:val="000000" w:themeColor="text1"/>
                      <w:highlight w:val="none"/>
                      <w:lang w:bidi="ar"/>
                      <w14:textFill>
                        <w14:solidFill>
                          <w14:schemeClr w14:val="tx1"/>
                        </w14:solidFill>
                      </w14:textFill>
                    </w:rPr>
                    <w:t>影响因子</w:t>
                  </w:r>
                </w:p>
              </w:tc>
              <w:tc>
                <w:tcPr>
                  <w:tcW w:w="943" w:type="pc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ascii="Times New Roman"/>
                      <w:b/>
                      <w:bCs/>
                      <w:color w:val="000000" w:themeColor="text1"/>
                      <w:highlight w:val="none"/>
                      <w14:textFill>
                        <w14:solidFill>
                          <w14:schemeClr w14:val="tx1"/>
                        </w14:solidFill>
                      </w14:textFill>
                    </w:rPr>
                  </w:pPr>
                  <w:r>
                    <w:rPr>
                      <w:rFonts w:ascii="Times New Roman"/>
                      <w:b/>
                      <w:bCs/>
                      <w:color w:val="000000" w:themeColor="text1"/>
                      <w:highlight w:val="none"/>
                      <w:lang w:bidi="ar"/>
                      <w14:textFill>
                        <w14:solidFill>
                          <w14:schemeClr w14:val="tx1"/>
                        </w14:solidFill>
                      </w14:textFill>
                    </w:rPr>
                    <w:t>评价范围</w:t>
                  </w:r>
                </w:p>
              </w:tc>
              <w:tc>
                <w:tcPr>
                  <w:tcW w:w="1030" w:type="pc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eastAsia="宋体"/>
                      <w:b/>
                      <w:bCs/>
                      <w:color w:val="000000" w:themeColor="text1"/>
                      <w:highlight w:val="none"/>
                      <w:lang w:val="en-US" w:eastAsia="zh-CN" w:bidi="ar"/>
                      <w14:textFill>
                        <w14:solidFill>
                          <w14:schemeClr w14:val="tx1"/>
                        </w14:solidFill>
                      </w14:textFill>
                    </w:rPr>
                  </w:pPr>
                  <w:r>
                    <w:rPr>
                      <w:rFonts w:hint="eastAsia" w:ascii="Times New Roman"/>
                      <w:b/>
                      <w:bCs/>
                      <w:color w:val="000000" w:themeColor="text1"/>
                      <w:highlight w:val="none"/>
                      <w:lang w:val="en-US" w:eastAsia="zh-CN" w:bidi="ar"/>
                      <w14:textFill>
                        <w14:solidFill>
                          <w14:schemeClr w14:val="tx1"/>
                        </w14:solidFill>
                      </w14:textFill>
                    </w:rPr>
                    <w:t>保护目标</w:t>
                  </w:r>
                </w:p>
              </w:tc>
              <w:tc>
                <w:tcPr>
                  <w:tcW w:w="1687" w:type="pct"/>
                  <w:tcBorders>
                    <w:top w:val="single" w:color="auto" w:sz="12" w:space="0"/>
                    <w:left w:val="single" w:color="auto" w:sz="4" w:space="0"/>
                    <w:bottom w:val="single" w:color="auto" w:sz="4" w:space="0"/>
                    <w:right w:val="nil"/>
                  </w:tcBorders>
                  <w:shd w:val="clear" w:color="auto" w:fill="auto"/>
                  <w:vAlign w:val="center"/>
                </w:tcPr>
                <w:p>
                  <w:pPr>
                    <w:jc w:val="center"/>
                    <w:rPr>
                      <w:rFonts w:ascii="Times New Roman"/>
                      <w:b/>
                      <w:bCs/>
                      <w:color w:val="000000" w:themeColor="text1"/>
                      <w:highlight w:val="none"/>
                      <w14:textFill>
                        <w14:solidFill>
                          <w14:schemeClr w14:val="tx1"/>
                        </w14:solidFill>
                      </w14:textFill>
                    </w:rPr>
                  </w:pPr>
                  <w:r>
                    <w:rPr>
                      <w:rFonts w:ascii="Times New Roman"/>
                      <w:b/>
                      <w:bCs/>
                      <w:color w:val="000000" w:themeColor="text1"/>
                      <w:highlight w:val="none"/>
                      <w:lang w:bidi="ar"/>
                      <w14:textFill>
                        <w14:solidFill>
                          <w14:schemeClr w14:val="tx1"/>
                        </w14:solidFill>
                      </w14:textFill>
                    </w:rPr>
                    <w:t>依据</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电磁环境</w:t>
                  </w:r>
                </w:p>
              </w:tc>
              <w:tc>
                <w:tcPr>
                  <w:tcW w:w="8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工频电场/工频磁场</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bidi="ar"/>
                      <w14:textFill>
                        <w14:solidFill>
                          <w14:schemeClr w14:val="tx1"/>
                        </w14:solidFill>
                      </w14:textFill>
                    </w:rPr>
                    <w:t>升压</w:t>
                  </w:r>
                  <w:r>
                    <w:rPr>
                      <w:rFonts w:ascii="Times New Roman"/>
                      <w:color w:val="000000" w:themeColor="text1"/>
                      <w:highlight w:val="none"/>
                      <w:lang w:bidi="ar"/>
                      <w14:textFill>
                        <w14:solidFill>
                          <w14:schemeClr w14:val="tx1"/>
                        </w14:solidFill>
                      </w14:textFill>
                    </w:rPr>
                    <w:t>站</w:t>
                  </w:r>
                  <w:r>
                    <w:rPr>
                      <w:rFonts w:ascii="Times New Roman"/>
                      <w:color w:val="000000" w:themeColor="text1"/>
                      <w:highlight w:val="none"/>
                      <w14:textFill>
                        <w14:solidFill>
                          <w14:schemeClr w14:val="tx1"/>
                        </w14:solidFill>
                      </w14:textFill>
                    </w:rPr>
                    <w:t>站界外</w:t>
                  </w:r>
                  <w:r>
                    <w:rPr>
                      <w:rFonts w:hint="eastAsia" w:ascii="Times New Roman"/>
                      <w:color w:val="000000" w:themeColor="text1"/>
                      <w:highlight w:val="none"/>
                      <w14:textFill>
                        <w14:solidFill>
                          <w14:schemeClr w14:val="tx1"/>
                        </w14:solidFill>
                      </w14:textFill>
                    </w:rPr>
                    <w:t>4</w:t>
                  </w:r>
                  <w:r>
                    <w:rPr>
                      <w:rFonts w:ascii="Times New Roman"/>
                      <w:color w:val="000000" w:themeColor="text1"/>
                      <w:highlight w:val="none"/>
                      <w14:textFill>
                        <w14:solidFill>
                          <w14:schemeClr w14:val="tx1"/>
                        </w14:solidFill>
                      </w14:textFill>
                    </w:rPr>
                    <w:t>0m内区域。</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eastAsia="宋体"/>
                      <w:color w:val="000000" w:themeColor="text1"/>
                      <w:highlight w:val="none"/>
                      <w:lang w:val="en-US" w:eastAsia="zh-CN" w:bidi="ar"/>
                      <w14:textFill>
                        <w14:solidFill>
                          <w14:schemeClr w14:val="tx1"/>
                        </w14:solidFill>
                      </w14:textFill>
                    </w:rPr>
                  </w:pPr>
                  <w:r>
                    <w:rPr>
                      <w:rFonts w:hint="eastAsia" w:ascii="Times New Roman"/>
                      <w:color w:val="000000" w:themeColor="text1"/>
                      <w:highlight w:val="none"/>
                      <w:lang w:val="en-US" w:eastAsia="zh-CN" w:bidi="ar"/>
                      <w14:textFill>
                        <w14:solidFill>
                          <w14:schemeClr w14:val="tx1"/>
                        </w14:solidFill>
                      </w14:textFill>
                    </w:rPr>
                    <w:t>无</w:t>
                  </w:r>
                </w:p>
              </w:tc>
              <w:tc>
                <w:tcPr>
                  <w:tcW w:w="1687" w:type="pct"/>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《环境影响评价技术导则 输变电》(HJ 24-2020)</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top w:val="single" w:color="auto" w:sz="4" w:space="0"/>
                    <w:left w:val="nil"/>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生态环境</w:t>
                  </w:r>
                </w:p>
              </w:tc>
              <w:tc>
                <w:tcPr>
                  <w:tcW w:w="86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生态系统及其生物因子、非生物因子</w:t>
                  </w:r>
                </w:p>
              </w:tc>
              <w:tc>
                <w:tcPr>
                  <w:tcW w:w="94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bidi="ar"/>
                      <w14:textFill>
                        <w14:solidFill>
                          <w14:schemeClr w14:val="tx1"/>
                        </w14:solidFill>
                      </w14:textFill>
                    </w:rPr>
                    <w:t>升压</w:t>
                  </w:r>
                  <w:r>
                    <w:rPr>
                      <w:rFonts w:ascii="Times New Roman"/>
                      <w:color w:val="000000" w:themeColor="text1"/>
                      <w:highlight w:val="none"/>
                      <w:lang w:bidi="ar"/>
                      <w14:textFill>
                        <w14:solidFill>
                          <w14:schemeClr w14:val="tx1"/>
                        </w14:solidFill>
                      </w14:textFill>
                    </w:rPr>
                    <w:t>站站场边界外500m内</w:t>
                  </w:r>
                  <w:r>
                    <w:rPr>
                      <w:rFonts w:hint="eastAsia" w:ascii="Times New Roman"/>
                      <w:color w:val="000000" w:themeColor="text1"/>
                      <w:highlight w:val="none"/>
                      <w:lang w:bidi="ar"/>
                      <w14:textFill>
                        <w14:solidFill>
                          <w14:schemeClr w14:val="tx1"/>
                        </w14:solidFill>
                      </w14:textFill>
                    </w:rPr>
                    <w:t>区域</w:t>
                  </w:r>
                  <w:r>
                    <w:rPr>
                      <w:rFonts w:ascii="Times New Roman"/>
                      <w:color w:val="000000" w:themeColor="text1"/>
                      <w:highlight w:val="none"/>
                      <w:lang w:bidi="ar"/>
                      <w14:textFill>
                        <w14:solidFill>
                          <w14:schemeClr w14:val="tx1"/>
                        </w14:solidFill>
                      </w14:textFill>
                    </w:rPr>
                    <w:t>。</w:t>
                  </w:r>
                </w:p>
              </w:tc>
              <w:tc>
                <w:tcPr>
                  <w:tcW w:w="103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Times New Roman"/>
                      <w:color w:val="000000" w:themeColor="text1"/>
                      <w:highlight w:val="none"/>
                      <w:lang w:bidi="ar"/>
                      <w14:textFill>
                        <w14:solidFill>
                          <w14:schemeClr w14:val="tx1"/>
                        </w14:solidFill>
                      </w14:textFill>
                    </w:rPr>
                  </w:pPr>
                  <w:r>
                    <w:rPr>
                      <w:rFonts w:hint="eastAsia" w:ascii="Times New Roman"/>
                      <w:color w:val="000000" w:themeColor="text1"/>
                      <w:highlight w:val="none"/>
                      <w:lang w:bidi="ar"/>
                      <w14:textFill>
                        <w14:solidFill>
                          <w14:schemeClr w14:val="tx1"/>
                        </w14:solidFill>
                      </w14:textFill>
                    </w:rPr>
                    <w:t>植被、生物多样性</w:t>
                  </w:r>
                  <w:r>
                    <w:rPr>
                      <w:rFonts w:hint="eastAsia" w:ascii="Times New Roman"/>
                      <w:color w:val="000000" w:themeColor="text1"/>
                      <w:highlight w:val="none"/>
                      <w:lang w:eastAsia="zh-CN" w:bidi="ar"/>
                      <w14:textFill>
                        <w14:solidFill>
                          <w14:schemeClr w14:val="tx1"/>
                        </w14:solidFill>
                      </w14:textFill>
                    </w:rPr>
                    <w:t>，</w:t>
                  </w:r>
                  <w:r>
                    <w:rPr>
                      <w:rFonts w:hint="eastAsia" w:ascii="Times New Roman"/>
                      <w:color w:val="000000" w:themeColor="text1"/>
                      <w:highlight w:val="none"/>
                      <w:lang w:bidi="ar"/>
                      <w14:textFill>
                        <w14:solidFill>
                          <w14:schemeClr w14:val="tx1"/>
                        </w14:solidFill>
                      </w14:textFill>
                    </w:rPr>
                    <w:t>区域生态功能不降低</w:t>
                  </w:r>
                </w:p>
              </w:tc>
              <w:tc>
                <w:tcPr>
                  <w:tcW w:w="1687" w:type="pct"/>
                  <w:tcBorders>
                    <w:top w:val="single" w:color="auto" w:sz="4" w:space="0"/>
                    <w:left w:val="single" w:color="auto" w:sz="4" w:space="0"/>
                    <w:bottom w:val="single" w:color="auto" w:sz="4" w:space="0"/>
                    <w:right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《环境影响评价技术导则 输变电》(HJ 24-2020)</w:t>
                  </w:r>
                </w:p>
              </w:tc>
            </w:tr>
            <w:tr>
              <w:tblPrEx>
                <w:tblBorders>
                  <w:top w:val="single" w:color="auto" w:sz="12" w:space="0"/>
                  <w:left w:val="none" w:color="auto" w:sz="4" w:space="0"/>
                  <w:bottom w:val="single" w:color="auto" w:sz="12" w:space="0"/>
                  <w:right w:val="none" w:color="auto" w:sz="4" w:space="0"/>
                  <w:insideH w:val="single" w:color="auto" w:sz="4" w:space="0"/>
                  <w:insideV w:val="single" w:color="auto" w:sz="4" w:space="0"/>
                </w:tblBorders>
                <w:tblCellMar>
                  <w:top w:w="0" w:type="dxa"/>
                  <w:left w:w="108" w:type="dxa"/>
                  <w:bottom w:w="0" w:type="dxa"/>
                  <w:right w:w="108" w:type="dxa"/>
                </w:tblCellMar>
              </w:tblPrEx>
              <w:tc>
                <w:tcPr>
                  <w:tcW w:w="469" w:type="pct"/>
                  <w:tcBorders>
                    <w:top w:val="single" w:color="auto" w:sz="4" w:space="0"/>
                    <w:left w:val="nil"/>
                    <w:bottom w:val="single" w:color="auto" w:sz="12"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声环境</w:t>
                  </w:r>
                </w:p>
              </w:tc>
              <w:tc>
                <w:tcPr>
                  <w:tcW w:w="869" w:type="pct"/>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昼间、夜间等效声级</w:t>
                  </w:r>
                </w:p>
              </w:tc>
              <w:tc>
                <w:tcPr>
                  <w:tcW w:w="943" w:type="pct"/>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bidi="ar"/>
                      <w14:textFill>
                        <w14:solidFill>
                          <w14:schemeClr w14:val="tx1"/>
                        </w14:solidFill>
                      </w14:textFill>
                    </w:rPr>
                    <w:t>升压</w:t>
                  </w:r>
                  <w:r>
                    <w:rPr>
                      <w:rFonts w:ascii="Times New Roman"/>
                      <w:color w:val="000000" w:themeColor="text1"/>
                      <w:highlight w:val="none"/>
                      <w:lang w:bidi="ar"/>
                      <w14:textFill>
                        <w14:solidFill>
                          <w14:schemeClr w14:val="tx1"/>
                        </w14:solidFill>
                      </w14:textFill>
                    </w:rPr>
                    <w:t>站边界外50m</w:t>
                  </w:r>
                  <w:r>
                    <w:rPr>
                      <w:rFonts w:hint="eastAsia" w:ascii="Times New Roman"/>
                      <w:color w:val="000000" w:themeColor="text1"/>
                      <w:highlight w:val="none"/>
                      <w:lang w:bidi="ar"/>
                      <w14:textFill>
                        <w14:solidFill>
                          <w14:schemeClr w14:val="tx1"/>
                        </w14:solidFill>
                      </w14:textFill>
                    </w:rPr>
                    <w:t>内</w:t>
                  </w:r>
                  <w:r>
                    <w:rPr>
                      <w:rFonts w:ascii="Times New Roman"/>
                      <w:color w:val="000000" w:themeColor="text1"/>
                      <w:highlight w:val="none"/>
                      <w:lang w:bidi="ar"/>
                      <w14:textFill>
                        <w14:solidFill>
                          <w14:schemeClr w14:val="tx1"/>
                        </w14:solidFill>
                      </w14:textFill>
                    </w:rPr>
                    <w:t>区域。</w:t>
                  </w:r>
                </w:p>
              </w:tc>
              <w:tc>
                <w:tcPr>
                  <w:tcW w:w="1030" w:type="pct"/>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hint="default" w:ascii="Times New Roman"/>
                      <w:color w:val="000000" w:themeColor="text1"/>
                      <w:highlight w:val="none"/>
                      <w:lang w:val="en-US" w:bidi="ar"/>
                      <w14:textFill>
                        <w14:solidFill>
                          <w14:schemeClr w14:val="tx1"/>
                        </w14:solidFill>
                      </w14:textFill>
                    </w:rPr>
                  </w:pPr>
                  <w:r>
                    <w:rPr>
                      <w:rFonts w:hint="eastAsia" w:ascii="Times New Roman"/>
                      <w:color w:val="000000" w:themeColor="text1"/>
                      <w:highlight w:val="none"/>
                      <w:lang w:val="en-US" w:eastAsia="zh-CN" w:bidi="ar"/>
                      <w14:textFill>
                        <w14:solidFill>
                          <w14:schemeClr w14:val="tx1"/>
                        </w14:solidFill>
                      </w14:textFill>
                    </w:rPr>
                    <w:t>无，距离项目最近的敏感点为东南侧1380m处的北岔村</w:t>
                  </w:r>
                </w:p>
              </w:tc>
              <w:tc>
                <w:tcPr>
                  <w:tcW w:w="1687" w:type="pct"/>
                  <w:tcBorders>
                    <w:top w:val="single" w:color="auto" w:sz="4" w:space="0"/>
                    <w:left w:val="single" w:color="auto" w:sz="4" w:space="0"/>
                    <w:bottom w:val="single" w:color="auto" w:sz="12" w:space="0"/>
                    <w:right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《环境影响评价技术导则 输变电》(HJ 24-2020)及《建设项目环境影响报告表编制技术指南(污染影响类)》(试行)</w:t>
                  </w:r>
                </w:p>
              </w:tc>
            </w:tr>
          </w:tbl>
          <w:p>
            <w:pPr>
              <w:spacing w:line="360" w:lineRule="auto"/>
              <w:ind w:firstLine="482" w:firstLineChars="200"/>
              <w:rPr>
                <w:rFonts w:hint="eastAsia" w:ascii="Times New Roman" w:eastAsia="宋体"/>
                <w:b/>
                <w:color w:val="000000" w:themeColor="text1"/>
                <w:sz w:val="24"/>
                <w:szCs w:val="24"/>
                <w:highlight w:val="none"/>
                <w:lang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466" w:hRule="atLeast"/>
          <w:jc w:val="center"/>
        </w:trPr>
        <w:tc>
          <w:tcPr>
            <w:tcW w:w="492" w:type="pct"/>
            <w:vAlign w:val="center"/>
          </w:tcPr>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bookmarkStart w:id="15" w:name="_Hlk155962688"/>
            <w:r>
              <w:rPr>
                <w:rFonts w:ascii="Times New Roman"/>
                <w:color w:val="000000" w:themeColor="text1"/>
                <w:kern w:val="0"/>
                <w:sz w:val="24"/>
                <w:szCs w:val="24"/>
                <w:highlight w:val="none"/>
                <w14:textFill>
                  <w14:solidFill>
                    <w14:schemeClr w14:val="tx1"/>
                  </w14:solidFill>
                </w14:textFill>
              </w:rPr>
              <w:t>污染物排放控</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制标</w:t>
            </w:r>
          </w:p>
          <w:p>
            <w:pPr>
              <w:adjustRightInd w:val="0"/>
              <w:snapToGrid w:val="0"/>
              <w:spacing w:line="360" w:lineRule="auto"/>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准</w:t>
            </w:r>
            <w:bookmarkEnd w:id="15"/>
          </w:p>
        </w:tc>
        <w:tc>
          <w:tcPr>
            <w:tcW w:w="4507" w:type="pct"/>
          </w:tcPr>
          <w:p>
            <w:pPr>
              <w:spacing w:line="360" w:lineRule="auto"/>
              <w:ind w:firstLine="482" w:firstLineChars="200"/>
              <w:rPr>
                <w:rFonts w:ascii="Times New Roman"/>
                <w:b/>
                <w:color w:val="000000" w:themeColor="text1"/>
                <w:sz w:val="24"/>
                <w:szCs w:val="24"/>
                <w:highlight w:val="none"/>
                <w14:textFill>
                  <w14:solidFill>
                    <w14:schemeClr w14:val="tx1"/>
                  </w14:solidFill>
                </w14:textFill>
              </w:rPr>
            </w:pPr>
            <w:r>
              <w:rPr>
                <w:rFonts w:ascii="Times New Roman"/>
                <w:b/>
                <w:color w:val="000000" w:themeColor="text1"/>
                <w:sz w:val="24"/>
                <w:szCs w:val="24"/>
                <w:highlight w:val="none"/>
                <w14:textFill>
                  <w14:solidFill>
                    <w14:schemeClr w14:val="tx1"/>
                  </w14:solidFill>
                </w14:textFill>
              </w:rPr>
              <w:t>1</w:t>
            </w:r>
            <w:r>
              <w:rPr>
                <w:rFonts w:hint="eastAsia" w:ascii="Times New Roman"/>
                <w:b/>
                <w:color w:val="000000" w:themeColor="text1"/>
                <w:sz w:val="24"/>
                <w:szCs w:val="24"/>
                <w:highlight w:val="none"/>
                <w14:textFill>
                  <w14:solidFill>
                    <w14:schemeClr w14:val="tx1"/>
                  </w14:solidFill>
                </w14:textFill>
              </w:rPr>
              <w:t>、施工期：</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bCs/>
                <w:color w:val="000000" w:themeColor="text1"/>
                <w:sz w:val="24"/>
                <w:szCs w:val="24"/>
                <w:highlight w:val="none"/>
                <w14:textFill>
                  <w14:solidFill>
                    <w14:schemeClr w14:val="tx1"/>
                  </w14:solidFill>
                </w14:textFill>
              </w:rPr>
            </w:pPr>
            <w:r>
              <w:rPr>
                <w:rFonts w:hint="eastAsia" w:ascii="Times New Roman"/>
                <w:bCs/>
                <w:color w:val="000000" w:themeColor="text1"/>
                <w:sz w:val="24"/>
                <w:szCs w:val="24"/>
                <w:highlight w:val="none"/>
                <w14:textFill>
                  <w14:solidFill>
                    <w14:schemeClr w14:val="tx1"/>
                  </w14:solidFill>
                </w14:textFill>
              </w:rPr>
              <w:t>（</w:t>
            </w:r>
            <w:r>
              <w:rPr>
                <w:rFonts w:ascii="Times New Roman"/>
                <w:bCs/>
                <w:color w:val="000000" w:themeColor="text1"/>
                <w:sz w:val="24"/>
                <w:szCs w:val="24"/>
                <w:highlight w:val="none"/>
                <w14:textFill>
                  <w14:solidFill>
                    <w14:schemeClr w14:val="tx1"/>
                  </w14:solidFill>
                </w14:textFill>
              </w:rPr>
              <w:t>1</w:t>
            </w:r>
            <w:r>
              <w:rPr>
                <w:rFonts w:hint="eastAsia" w:ascii="Times New Roman"/>
                <w:bCs/>
                <w:color w:val="000000" w:themeColor="text1"/>
                <w:sz w:val="24"/>
                <w:szCs w:val="24"/>
                <w:highlight w:val="none"/>
                <w14:textFill>
                  <w14:solidFill>
                    <w14:schemeClr w14:val="tx1"/>
                  </w14:solidFill>
                </w14:textFill>
              </w:rPr>
              <w:t>）施工期噪声执行《建筑施工场界环境噪声排放标准》（</w:t>
            </w:r>
            <w:r>
              <w:rPr>
                <w:rFonts w:ascii="Times New Roman"/>
                <w:bCs/>
                <w:color w:val="000000" w:themeColor="text1"/>
                <w:sz w:val="24"/>
                <w:szCs w:val="24"/>
                <w:highlight w:val="none"/>
                <w14:textFill>
                  <w14:solidFill>
                    <w14:schemeClr w14:val="tx1"/>
                  </w14:solidFill>
                </w14:textFill>
              </w:rPr>
              <w:t>GB12523-</w:t>
            </w:r>
            <w:r>
              <w:rPr>
                <w:rFonts w:hint="eastAsia" w:ascii="Times New Roman"/>
                <w:bCs/>
                <w:color w:val="000000" w:themeColor="text1"/>
                <w:sz w:val="24"/>
                <w:szCs w:val="24"/>
                <w:highlight w:val="none"/>
                <w:lang w:val="en-US" w:eastAsia="zh-CN"/>
                <w14:textFill>
                  <w14:solidFill>
                    <w14:schemeClr w14:val="tx1"/>
                  </w14:solidFill>
                </w14:textFill>
              </w:rPr>
              <w:t xml:space="preserve"> </w:t>
            </w:r>
            <w:r>
              <w:rPr>
                <w:rFonts w:ascii="Times New Roman"/>
                <w:bCs/>
                <w:color w:val="000000" w:themeColor="text1"/>
                <w:sz w:val="24"/>
                <w:szCs w:val="24"/>
                <w:highlight w:val="none"/>
                <w14:textFill>
                  <w14:solidFill>
                    <w14:schemeClr w14:val="tx1"/>
                  </w14:solidFill>
                </w14:textFill>
              </w:rPr>
              <w:t>2011</w:t>
            </w:r>
            <w:r>
              <w:rPr>
                <w:rFonts w:hint="eastAsia" w:ascii="Times New Roman"/>
                <w:bCs/>
                <w:color w:val="000000" w:themeColor="text1"/>
                <w:sz w:val="24"/>
                <w:szCs w:val="24"/>
                <w:highlight w:val="none"/>
                <w14:textFill>
                  <w14:solidFill>
                    <w14:schemeClr w14:val="tx1"/>
                  </w14:solidFill>
                </w14:textFill>
              </w:rPr>
              <w:t>）限值要求；</w:t>
            </w:r>
          </w:p>
          <w:p>
            <w:pPr>
              <w:spacing w:line="360" w:lineRule="auto"/>
              <w:ind w:firstLine="480" w:firstLineChars="200"/>
              <w:rPr>
                <w:rFonts w:ascii="Times New Roman"/>
                <w:bCs/>
                <w:color w:val="000000" w:themeColor="text1"/>
                <w:sz w:val="24"/>
                <w:szCs w:val="24"/>
                <w:highlight w:val="none"/>
                <w14:textFill>
                  <w14:solidFill>
                    <w14:schemeClr w14:val="tx1"/>
                  </w14:solidFill>
                </w14:textFill>
              </w:rPr>
            </w:pPr>
            <w:r>
              <w:rPr>
                <w:rFonts w:hint="eastAsia" w:ascii="Times New Roman"/>
                <w:bCs/>
                <w:color w:val="000000" w:themeColor="text1"/>
                <w:sz w:val="24"/>
                <w:szCs w:val="24"/>
                <w:highlight w:val="none"/>
                <w14:textFill>
                  <w14:solidFill>
                    <w14:schemeClr w14:val="tx1"/>
                  </w14:solidFill>
                </w14:textFill>
              </w:rPr>
              <w:t>（</w:t>
            </w:r>
            <w:r>
              <w:rPr>
                <w:rFonts w:ascii="Times New Roman"/>
                <w:bCs/>
                <w:color w:val="000000" w:themeColor="text1"/>
                <w:sz w:val="24"/>
                <w:szCs w:val="24"/>
                <w:highlight w:val="none"/>
                <w14:textFill>
                  <w14:solidFill>
                    <w14:schemeClr w14:val="tx1"/>
                  </w14:solidFill>
                </w14:textFill>
              </w:rPr>
              <w:t>2</w:t>
            </w:r>
            <w:r>
              <w:rPr>
                <w:rFonts w:hint="eastAsia" w:ascii="Times New Roman"/>
                <w:bCs/>
                <w:color w:val="000000" w:themeColor="text1"/>
                <w:sz w:val="24"/>
                <w:szCs w:val="24"/>
                <w:highlight w:val="none"/>
                <w14:textFill>
                  <w14:solidFill>
                    <w14:schemeClr w14:val="tx1"/>
                  </w14:solidFill>
                </w14:textFill>
              </w:rPr>
              <w:t>）施工期扬尘执行《施工场地扬尘排放标准》（</w:t>
            </w:r>
            <w:r>
              <w:rPr>
                <w:rFonts w:ascii="Times New Roman"/>
                <w:bCs/>
                <w:color w:val="000000" w:themeColor="text1"/>
                <w:sz w:val="24"/>
                <w:szCs w:val="24"/>
                <w:highlight w:val="none"/>
                <w14:textFill>
                  <w14:solidFill>
                    <w14:schemeClr w14:val="tx1"/>
                  </w14:solidFill>
                </w14:textFill>
              </w:rPr>
              <w:t>DB13/2934-2019</w:t>
            </w:r>
            <w:r>
              <w:rPr>
                <w:rFonts w:hint="eastAsia" w:ascii="Times New Roman"/>
                <w:bCs/>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bCs/>
                <w:color w:val="000000" w:themeColor="text1"/>
                <w:sz w:val="24"/>
                <w:szCs w:val="24"/>
                <w:highlight w:val="none"/>
                <w14:textFill>
                  <w14:solidFill>
                    <w14:schemeClr w14:val="tx1"/>
                  </w14:solidFill>
                </w14:textFill>
              </w:rPr>
            </w:pPr>
            <w:r>
              <w:rPr>
                <w:rFonts w:hint="eastAsia" w:ascii="Times New Roman"/>
                <w:bCs/>
                <w:color w:val="000000" w:themeColor="text1"/>
                <w:sz w:val="24"/>
                <w:szCs w:val="24"/>
                <w:highlight w:val="none"/>
                <w14:textFill>
                  <w14:solidFill>
                    <w14:schemeClr w14:val="tx1"/>
                  </w14:solidFill>
                </w14:textFill>
              </w:rPr>
              <w:t>（</w:t>
            </w:r>
            <w:r>
              <w:rPr>
                <w:rFonts w:ascii="Times New Roman"/>
                <w:bCs/>
                <w:color w:val="000000" w:themeColor="text1"/>
                <w:sz w:val="24"/>
                <w:szCs w:val="24"/>
                <w:highlight w:val="none"/>
                <w14:textFill>
                  <w14:solidFill>
                    <w14:schemeClr w14:val="tx1"/>
                  </w14:solidFill>
                </w14:textFill>
              </w:rPr>
              <w:t>3</w:t>
            </w:r>
            <w:r>
              <w:rPr>
                <w:rFonts w:hint="eastAsia" w:ascii="Times New Roman"/>
                <w:bCs/>
                <w:color w:val="000000" w:themeColor="text1"/>
                <w:sz w:val="24"/>
                <w:szCs w:val="24"/>
                <w:highlight w:val="none"/>
                <w14:textFill>
                  <w14:solidFill>
                    <w14:schemeClr w14:val="tx1"/>
                  </w14:solidFill>
                </w14:textFill>
              </w:rPr>
              <w:t>）一般固体废物参照执行《一般工业固体废物贮存、处置场污染控制标准》（</w:t>
            </w:r>
            <w:r>
              <w:rPr>
                <w:rFonts w:ascii="Times New Roman"/>
                <w:bCs/>
                <w:color w:val="000000" w:themeColor="text1"/>
                <w:sz w:val="24"/>
                <w:szCs w:val="24"/>
                <w:highlight w:val="none"/>
                <w14:textFill>
                  <w14:solidFill>
                    <w14:schemeClr w14:val="tx1"/>
                  </w14:solidFill>
                </w14:textFill>
              </w:rPr>
              <w:t>GB18599-2020</w:t>
            </w:r>
            <w:r>
              <w:rPr>
                <w:rFonts w:hint="eastAsia" w:ascii="Times New Roman"/>
                <w:bCs/>
                <w:color w:val="000000" w:themeColor="text1"/>
                <w:sz w:val="24"/>
                <w:szCs w:val="24"/>
                <w:highlight w:val="none"/>
                <w14:textFill>
                  <w14:solidFill>
                    <w14:schemeClr w14:val="tx1"/>
                  </w14:solidFill>
                </w14:textFill>
              </w:rPr>
              <w:t>）</w:t>
            </w:r>
            <w:r>
              <w:rPr>
                <w:rFonts w:hint="eastAsia" w:ascii="Times New Roman"/>
                <w:bCs/>
                <w:color w:val="000000" w:themeColor="text1"/>
                <w:sz w:val="24"/>
                <w:szCs w:val="24"/>
                <w:highlight w:val="none"/>
                <w:lang w:eastAsia="zh-CN"/>
                <w14:textFill>
                  <w14:solidFill>
                    <w14:schemeClr w14:val="tx1"/>
                  </w14:solidFill>
                </w14:textFill>
              </w:rPr>
              <w:t>，</w:t>
            </w:r>
            <w:r>
              <w:rPr>
                <w:rFonts w:hint="eastAsia" w:ascii="Times New Roman"/>
                <w:bCs/>
                <w:color w:val="000000" w:themeColor="text1"/>
                <w:sz w:val="24"/>
                <w:szCs w:val="24"/>
                <w:highlight w:val="none"/>
                <w:lang w:val="en-US" w:eastAsia="zh-CN"/>
                <w14:textFill>
                  <w14:solidFill>
                    <w14:schemeClr w14:val="tx1"/>
                  </w14:solidFill>
                </w14:textFill>
              </w:rPr>
              <w:t>危险废物执行</w:t>
            </w:r>
            <w:r>
              <w:rPr>
                <w:rFonts w:ascii="Times New Roman"/>
                <w:color w:val="000000" w:themeColor="text1"/>
                <w:sz w:val="24"/>
                <w:highlight w:val="none"/>
                <w14:textFill>
                  <w14:solidFill>
                    <w14:schemeClr w14:val="tx1"/>
                  </w14:solidFill>
                </w14:textFill>
              </w:rPr>
              <w:t>《危险废物贮存污染控制标准》(GB 18597-20</w:t>
            </w:r>
            <w:r>
              <w:rPr>
                <w:rFonts w:hint="eastAsia" w:ascii="Times New Roman"/>
                <w:color w:val="000000" w:themeColor="text1"/>
                <w:sz w:val="24"/>
                <w:highlight w:val="none"/>
                <w14:textFill>
                  <w14:solidFill>
                    <w14:schemeClr w14:val="tx1"/>
                  </w14:solidFill>
                </w14:textFill>
              </w:rPr>
              <w:t>23</w:t>
            </w:r>
            <w:r>
              <w:rPr>
                <w:rFonts w:ascii="Times New Roman"/>
                <w:color w:val="000000" w:themeColor="text1"/>
                <w:sz w:val="24"/>
                <w:highlight w:val="none"/>
                <w14:textFill>
                  <w14:solidFill>
                    <w14:schemeClr w14:val="tx1"/>
                  </w14:solidFill>
                </w14:textFill>
              </w:rPr>
              <w:t>)有关规定</w:t>
            </w:r>
            <w:r>
              <w:rPr>
                <w:rFonts w:hint="eastAsia" w:ascii="Times New Roman"/>
                <w:bCs/>
                <w:color w:val="000000" w:themeColor="text1"/>
                <w:sz w:val="24"/>
                <w:szCs w:val="24"/>
                <w:highlight w:val="none"/>
                <w14:textFill>
                  <w14:solidFill>
                    <w14:schemeClr w14:val="tx1"/>
                  </w14:solidFill>
                </w14:textFill>
              </w:rPr>
              <w:t>。</w:t>
            </w:r>
          </w:p>
          <w:p>
            <w:pPr>
              <w:spacing w:line="360" w:lineRule="auto"/>
              <w:ind w:firstLine="482" w:firstLineChars="200"/>
              <w:rPr>
                <w:rFonts w:ascii="Times New Roman"/>
                <w:b/>
                <w:color w:val="000000" w:themeColor="text1"/>
                <w:sz w:val="24"/>
                <w:szCs w:val="24"/>
                <w:highlight w:val="none"/>
                <w14:textFill>
                  <w14:solidFill>
                    <w14:schemeClr w14:val="tx1"/>
                  </w14:solidFill>
                </w14:textFill>
              </w:rPr>
            </w:pPr>
            <w:r>
              <w:rPr>
                <w:rFonts w:ascii="Times New Roman"/>
                <w:b/>
                <w:color w:val="000000" w:themeColor="text1"/>
                <w:sz w:val="24"/>
                <w:szCs w:val="24"/>
                <w:highlight w:val="none"/>
                <w14:textFill>
                  <w14:solidFill>
                    <w14:schemeClr w14:val="tx1"/>
                  </w14:solidFill>
                </w14:textFill>
              </w:rPr>
              <w:t>2</w:t>
            </w:r>
            <w:r>
              <w:rPr>
                <w:rFonts w:hint="eastAsia" w:ascii="Times New Roman"/>
                <w:b/>
                <w:color w:val="000000" w:themeColor="text1"/>
                <w:sz w:val="24"/>
                <w:szCs w:val="24"/>
                <w:highlight w:val="none"/>
                <w14:textFill>
                  <w14:solidFill>
                    <w14:schemeClr w14:val="tx1"/>
                  </w14:solidFill>
                </w14:textFill>
              </w:rPr>
              <w:t>、运营期：</w:t>
            </w:r>
          </w:p>
          <w:p>
            <w:pPr>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1</w:t>
            </w:r>
            <w:r>
              <w:rPr>
                <w:rFonts w:hint="eastAsia" w:ascii="Times New Roman"/>
                <w:color w:val="000000" w:themeColor="text1"/>
                <w:sz w:val="24"/>
                <w:highlight w:val="none"/>
                <w:lang w:eastAsia="zh-CN"/>
                <w14:textFill>
                  <w14:solidFill>
                    <w14:schemeClr w14:val="tx1"/>
                  </w14:solidFill>
                </w14:textFill>
              </w:rPr>
              <w:t>）</w:t>
            </w:r>
            <w:r>
              <w:rPr>
                <w:rFonts w:ascii="Times New Roman"/>
                <w:color w:val="000000" w:themeColor="text1"/>
                <w:sz w:val="24"/>
                <w:highlight w:val="none"/>
                <w14:textFill>
                  <w14:solidFill>
                    <w14:schemeClr w14:val="tx1"/>
                  </w14:solidFill>
                </w14:textFill>
              </w:rPr>
              <w:t>工频电磁场</w:t>
            </w:r>
          </w:p>
          <w:p>
            <w:pPr>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工频电场强度、工频磁感应强度</w:t>
            </w:r>
            <w:r>
              <w:rPr>
                <w:rFonts w:ascii="Times New Roman"/>
                <w:color w:val="000000" w:themeColor="text1"/>
                <w:sz w:val="24"/>
                <w:highlight w:val="none"/>
                <w14:textFill>
                  <w14:solidFill>
                    <w14:schemeClr w14:val="tx1"/>
                  </w14:solidFill>
                </w14:textFill>
              </w:rPr>
              <w:t>执行《电磁环境控制限值》（GB8702-2014）表1中50Hz相应标准，即公众曝露的电场强度控制限值为4kV/m，磁感应强度控制限值为100µT</w:t>
            </w:r>
            <w:r>
              <w:rPr>
                <w:rFonts w:hint="eastAsia" w:ascii="Times New Roman"/>
                <w:color w:val="000000" w:themeColor="text1"/>
                <w:sz w:val="24"/>
                <w:highlight w:val="none"/>
                <w14:textFill>
                  <w14:solidFill>
                    <w14:schemeClr w14:val="tx1"/>
                  </w14:solidFill>
                </w14:textFill>
              </w:rPr>
              <w:t>。</w:t>
            </w:r>
          </w:p>
          <w:p>
            <w:pPr>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2</w:t>
            </w:r>
            <w:r>
              <w:rPr>
                <w:rFonts w:hint="eastAsia" w:ascii="Times New Roman"/>
                <w:color w:val="000000" w:themeColor="text1"/>
                <w:sz w:val="24"/>
                <w:highlight w:val="none"/>
                <w:lang w:eastAsia="zh-CN"/>
                <w14:textFill>
                  <w14:solidFill>
                    <w14:schemeClr w14:val="tx1"/>
                  </w14:solidFill>
                </w14:textFill>
              </w:rPr>
              <w:t>）</w:t>
            </w:r>
            <w:r>
              <w:rPr>
                <w:rFonts w:ascii="Times New Roman"/>
                <w:color w:val="000000" w:themeColor="text1"/>
                <w:sz w:val="24"/>
                <w:highlight w:val="none"/>
                <w14:textFill>
                  <w14:solidFill>
                    <w14:schemeClr w14:val="tx1"/>
                  </w14:solidFill>
                </w14:textFill>
              </w:rPr>
              <w:t>噪声</w:t>
            </w:r>
          </w:p>
          <w:p>
            <w:pPr>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厂界</w:t>
            </w:r>
            <w:r>
              <w:rPr>
                <w:rFonts w:ascii="Times New Roman"/>
                <w:color w:val="000000" w:themeColor="text1"/>
                <w:sz w:val="24"/>
                <w:highlight w:val="none"/>
                <w14:textFill>
                  <w14:solidFill>
                    <w14:schemeClr w14:val="tx1"/>
                  </w14:solidFill>
                </w14:textFill>
              </w:rPr>
              <w:t>噪声执行《工业企业厂界环境噪声排放标准》(GB 12348-2008)</w:t>
            </w:r>
            <w:r>
              <w:rPr>
                <w:rFonts w:hint="eastAsia" w:ascii="Times New Roman"/>
                <w:color w:val="000000" w:themeColor="text1"/>
                <w:sz w:val="24"/>
                <w:highlight w:val="none"/>
                <w:lang w:val="en-US" w:eastAsia="zh-CN"/>
                <w14:textFill>
                  <w14:solidFill>
                    <w14:schemeClr w14:val="tx1"/>
                  </w14:solidFill>
                </w14:textFill>
              </w:rPr>
              <w:t>1</w:t>
            </w:r>
            <w:r>
              <w:rPr>
                <w:rFonts w:ascii="Times New Roman"/>
                <w:color w:val="000000" w:themeColor="text1"/>
                <w:sz w:val="24"/>
                <w:highlight w:val="none"/>
                <w14:textFill>
                  <w14:solidFill>
                    <w14:schemeClr w14:val="tx1"/>
                  </w14:solidFill>
                </w14:textFill>
              </w:rPr>
              <w:t>类区标准限值，昼间</w:t>
            </w:r>
            <w:r>
              <w:rPr>
                <w:rFonts w:hint="eastAsia" w:ascii="Times New Roman"/>
                <w:color w:val="000000" w:themeColor="text1"/>
                <w:sz w:val="24"/>
                <w:highlight w:val="none"/>
                <w:lang w:val="en-US" w:eastAsia="zh-CN"/>
                <w14:textFill>
                  <w14:solidFill>
                    <w14:schemeClr w14:val="tx1"/>
                  </w14:solidFill>
                </w14:textFill>
              </w:rPr>
              <w:t>55</w:t>
            </w:r>
            <w:r>
              <w:rPr>
                <w:rFonts w:ascii="Times New Roman"/>
                <w:color w:val="000000" w:themeColor="text1"/>
                <w:sz w:val="24"/>
                <w:highlight w:val="none"/>
                <w14:textFill>
                  <w14:solidFill>
                    <w14:schemeClr w14:val="tx1"/>
                  </w14:solidFill>
                </w14:textFill>
              </w:rPr>
              <w:t>dB(A)，夜间</w:t>
            </w:r>
            <w:r>
              <w:rPr>
                <w:rFonts w:hint="eastAsia" w:ascii="Times New Roman"/>
                <w:color w:val="000000" w:themeColor="text1"/>
                <w:sz w:val="24"/>
                <w:highlight w:val="none"/>
                <w:lang w:val="en-US" w:eastAsia="zh-CN"/>
                <w14:textFill>
                  <w14:solidFill>
                    <w14:schemeClr w14:val="tx1"/>
                  </w14:solidFill>
                </w14:textFill>
              </w:rPr>
              <w:t>45</w:t>
            </w:r>
            <w:r>
              <w:rPr>
                <w:rFonts w:ascii="Times New Roman"/>
                <w:color w:val="000000" w:themeColor="text1"/>
                <w:sz w:val="24"/>
                <w:highlight w:val="none"/>
                <w14:textFill>
                  <w14:solidFill>
                    <w14:schemeClr w14:val="tx1"/>
                  </w14:solidFill>
                </w14:textFill>
              </w:rPr>
              <w:t>B(A)</w:t>
            </w:r>
            <w:r>
              <w:rPr>
                <w:rFonts w:hint="eastAsia" w:ascii="Times New Roman"/>
                <w:color w:val="000000" w:themeColor="text1"/>
                <w:sz w:val="24"/>
                <w:highlight w:val="none"/>
                <w14:textFill>
                  <w14:solidFill>
                    <w14:schemeClr w14:val="tx1"/>
                  </w14:solidFill>
                </w14:textFill>
              </w:rPr>
              <w:t>。</w:t>
            </w:r>
          </w:p>
          <w:p>
            <w:pPr>
              <w:spacing w:line="360" w:lineRule="auto"/>
              <w:ind w:firstLine="480" w:firstLineChars="200"/>
              <w:jc w:val="both"/>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3</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废气：</w:t>
            </w:r>
          </w:p>
          <w:p>
            <w:pPr>
              <w:spacing w:line="360" w:lineRule="auto"/>
              <w:ind w:firstLine="480" w:firstLineChars="200"/>
              <w:jc w:val="both"/>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14:textFill>
                  <w14:solidFill>
                    <w14:schemeClr w14:val="tx1"/>
                  </w14:solidFill>
                </w14:textFill>
              </w:rPr>
              <w:t>本项目设两个灶眼，属于小型规模，升压站饮食油烟</w:t>
            </w:r>
            <w:r>
              <w:rPr>
                <w:rFonts w:hint="eastAsia" w:ascii="Times New Roman" w:cs="Times New Roman"/>
                <w:color w:val="000000" w:themeColor="text1"/>
                <w:sz w:val="24"/>
                <w:highlight w:val="none"/>
                <w:lang w:val="en-US" w:eastAsia="zh-CN"/>
                <w14:textFill>
                  <w14:solidFill>
                    <w14:schemeClr w14:val="tx1"/>
                  </w14:solidFill>
                </w14:textFill>
              </w:rPr>
              <w:t>排放浓度</w:t>
            </w:r>
            <w:r>
              <w:rPr>
                <w:rFonts w:hint="eastAsia" w:ascii="Times New Roman" w:hAnsi="Times New Roman" w:eastAsia="宋体" w:cs="Times New Roman"/>
                <w:color w:val="000000" w:themeColor="text1"/>
                <w:sz w:val="24"/>
                <w:highlight w:val="none"/>
                <w14:textFill>
                  <w14:solidFill>
                    <w14:schemeClr w14:val="tx1"/>
                  </w14:solidFill>
                </w14:textFill>
              </w:rPr>
              <w:t>执行《餐饮业大气污染物排放标准》（DB13/ 5808—2023）要求（小型最高允许排放浓度≤1.5mg/m</w:t>
            </w:r>
            <w:r>
              <w:rPr>
                <w:rFonts w:hint="eastAsia"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cs="Times New Roman"/>
                <w:color w:val="000000" w:themeColor="text1"/>
                <w:sz w:val="24"/>
                <w:highlight w:val="none"/>
                <w:lang w:eastAsia="zh-CN"/>
                <w14:textFill>
                  <w14:solidFill>
                    <w14:schemeClr w14:val="tx1"/>
                  </w14:solidFill>
                </w14:textFill>
              </w:rPr>
              <w:t>，</w:t>
            </w:r>
            <w:r>
              <w:rPr>
                <w:rFonts w:hint="eastAsia" w:ascii="Times New Roman" w:cs="Times New Roman"/>
                <w:color w:val="000000" w:themeColor="text1"/>
                <w:sz w:val="24"/>
                <w:highlight w:val="none"/>
                <w:lang w:val="en-US" w:eastAsia="zh-CN"/>
                <w14:textFill>
                  <w14:solidFill>
                    <w14:schemeClr w14:val="tx1"/>
                  </w14:solidFill>
                </w14:textFill>
              </w:rPr>
              <w:t>油烟净化设施最低去除效率执行《饮食业油烟排放标准(试行)》（GB18483-2001）表2要求（小型净化设施最低去除效率60%）</w:t>
            </w:r>
            <w:r>
              <w:rPr>
                <w:rFonts w:ascii="Times New Roman" w:hAnsi="Times New Roman" w:eastAsia="宋体" w:cs="Times New Roman"/>
                <w:color w:val="000000" w:themeColor="text1"/>
                <w:sz w:val="24"/>
                <w:highlight w:val="none"/>
                <w14:textFill>
                  <w14:solidFill>
                    <w14:schemeClr w14:val="tx1"/>
                  </w14:solidFill>
                </w14:textFill>
              </w:rPr>
              <w:t>。</w:t>
            </w:r>
          </w:p>
          <w:p>
            <w:pPr>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4</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14:textFill>
                  <w14:solidFill>
                    <w14:schemeClr w14:val="tx1"/>
                  </w14:solidFill>
                </w14:textFill>
              </w:rPr>
              <w:t>废水</w:t>
            </w:r>
          </w:p>
          <w:p>
            <w:pPr>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14:textFill>
                  <w14:solidFill>
                    <w14:schemeClr w14:val="tx1"/>
                  </w14:solidFill>
                </w14:textFill>
              </w:rPr>
              <w:t>本项目无生产废水，</w:t>
            </w:r>
            <w:r>
              <w:rPr>
                <w:rFonts w:hint="eastAsia" w:ascii="Times New Roman"/>
                <w:color w:val="000000" w:themeColor="text1"/>
                <w:sz w:val="24"/>
                <w:highlight w:val="none"/>
                <w:lang w:val="en-US" w:eastAsia="zh-CN"/>
                <w14:textFill>
                  <w14:solidFill>
                    <w14:schemeClr w14:val="tx1"/>
                  </w14:solidFill>
                </w14:textFill>
              </w:rPr>
              <w:t>一体化污水处理装置回用水</w:t>
            </w:r>
            <w:r>
              <w:rPr>
                <w:rFonts w:hint="eastAsia" w:ascii="Times New Roman"/>
                <w:bCs/>
                <w:color w:val="000000" w:themeColor="text1"/>
                <w:sz w:val="24"/>
                <w:szCs w:val="24"/>
                <w:highlight w:val="none"/>
                <w14:textFill>
                  <w14:solidFill>
                    <w14:schemeClr w14:val="tx1"/>
                  </w14:solidFill>
                </w14:textFill>
              </w:rPr>
              <w:t>执行《城市污水再生利用 城市杂用水水质》（GB/T18920-2020）中城市绿化、道路清扫、消防、建筑施工标准</w:t>
            </w:r>
            <w:r>
              <w:rPr>
                <w:rFonts w:hint="eastAsia" w:ascii="Times New Roman"/>
                <w:color w:val="000000" w:themeColor="text1"/>
                <w:sz w:val="24"/>
                <w:highlight w:val="none"/>
                <w14:textFill>
                  <w14:solidFill>
                    <w14:schemeClr w14:val="tx1"/>
                  </w14:solidFill>
                </w14:textFill>
              </w:rPr>
              <w:t>。</w:t>
            </w:r>
          </w:p>
          <w:p>
            <w:pPr>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5</w:t>
            </w:r>
            <w:r>
              <w:rPr>
                <w:rFonts w:hint="eastAsia" w:ascii="Times New Roman"/>
                <w:color w:val="000000" w:themeColor="text1"/>
                <w:sz w:val="24"/>
                <w:highlight w:val="none"/>
                <w:lang w:eastAsia="zh-CN"/>
                <w14:textFill>
                  <w14:solidFill>
                    <w14:schemeClr w14:val="tx1"/>
                  </w14:solidFill>
                </w14:textFill>
              </w:rPr>
              <w:t>）</w:t>
            </w:r>
            <w:r>
              <w:rPr>
                <w:rFonts w:ascii="Times New Roman"/>
                <w:color w:val="000000" w:themeColor="text1"/>
                <w:sz w:val="24"/>
                <w:highlight w:val="none"/>
                <w14:textFill>
                  <w14:solidFill>
                    <w14:schemeClr w14:val="tx1"/>
                  </w14:solidFill>
                </w14:textFill>
              </w:rPr>
              <w:t>固体废物</w:t>
            </w:r>
          </w:p>
          <w:p>
            <w:pPr>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一般工业固体废物处置执行《一般工业固体废物贮存和填埋污染控制标准》(GB 18599-2020)，危险废物执行《危险废物贮存污染控制标准》(GB 18597-20</w:t>
            </w:r>
            <w:r>
              <w:rPr>
                <w:rFonts w:hint="eastAsia" w:ascii="Times New Roman"/>
                <w:color w:val="000000" w:themeColor="text1"/>
                <w:sz w:val="24"/>
                <w:highlight w:val="none"/>
                <w14:textFill>
                  <w14:solidFill>
                    <w14:schemeClr w14:val="tx1"/>
                  </w14:solidFill>
                </w14:textFill>
              </w:rPr>
              <w:t>23</w:t>
            </w:r>
            <w:r>
              <w:rPr>
                <w:rFonts w:ascii="Times New Roman"/>
                <w:color w:val="000000" w:themeColor="text1"/>
                <w:sz w:val="24"/>
                <w:highlight w:val="none"/>
                <w14:textFill>
                  <w14:solidFill>
                    <w14:schemeClr w14:val="tx1"/>
                  </w14:solidFill>
                </w14:textFill>
              </w:rPr>
              <w:t>)有关规定。</w:t>
            </w:r>
          </w:p>
          <w:p>
            <w:pPr>
              <w:spacing w:line="360" w:lineRule="auto"/>
              <w:ind w:firstLine="480" w:firstLineChars="200"/>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本次评价采用的评价标准见表3-</w:t>
            </w:r>
            <w:r>
              <w:rPr>
                <w:rFonts w:hint="eastAsia" w:ascii="Times New Roman"/>
                <w:color w:val="000000" w:themeColor="text1"/>
                <w:sz w:val="24"/>
                <w:highlight w:val="none"/>
                <w:lang w:val="en-US" w:eastAsia="zh-CN"/>
                <w14:textFill>
                  <w14:solidFill>
                    <w14:schemeClr w14:val="tx1"/>
                  </w14:solidFill>
                </w14:textFill>
              </w:rPr>
              <w:t>7</w:t>
            </w:r>
            <w:r>
              <w:rPr>
                <w:rFonts w:ascii="Times New Roman"/>
                <w:color w:val="000000" w:themeColor="text1"/>
                <w:sz w:val="24"/>
                <w:highlight w:val="none"/>
                <w14:textFill>
                  <w14:solidFill>
                    <w14:schemeClr w14:val="tx1"/>
                  </w14:solidFill>
                </w14:textFill>
              </w:rPr>
              <w:t>。</w:t>
            </w:r>
          </w:p>
          <w:p>
            <w:pPr>
              <w:snapToGrid w:val="0"/>
              <w:jc w:val="cente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t xml:space="preserve">  采用的评价标准一览表</w:t>
            </w:r>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27"/>
              <w:gridCol w:w="1164"/>
              <w:gridCol w:w="2892"/>
              <w:gridCol w:w="754"/>
              <w:gridCol w:w="2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b/>
                      <w:color w:val="000000" w:themeColor="text1"/>
                      <w:highlight w:val="none"/>
                      <w14:textFill>
                        <w14:solidFill>
                          <w14:schemeClr w14:val="tx1"/>
                        </w14:solidFill>
                      </w14:textFill>
                    </w:rPr>
                    <w:t>阶段</w:t>
                  </w:r>
                </w:p>
              </w:tc>
              <w:tc>
                <w:tcPr>
                  <w:tcW w:w="732"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b/>
                      <w:color w:val="000000" w:themeColor="text1"/>
                      <w:highlight w:val="none"/>
                      <w14:textFill>
                        <w14:solidFill>
                          <w14:schemeClr w14:val="tx1"/>
                        </w14:solidFill>
                      </w14:textFill>
                    </w:rPr>
                    <w:t>污染物名称</w:t>
                  </w:r>
                </w:p>
              </w:tc>
              <w:tc>
                <w:tcPr>
                  <w:tcW w:w="1819"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b/>
                      <w:color w:val="000000" w:themeColor="text1"/>
                      <w:highlight w:val="none"/>
                      <w14:textFill>
                        <w14:solidFill>
                          <w14:schemeClr w14:val="tx1"/>
                        </w14:solidFill>
                      </w14:textFill>
                    </w:rPr>
                    <w:t>标准限值</w:t>
                  </w:r>
                </w:p>
              </w:tc>
              <w:tc>
                <w:tcPr>
                  <w:tcW w:w="2054" w:type="pct"/>
                  <w:gridSpan w:val="2"/>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b/>
                      <w:color w:val="000000" w:themeColor="text1"/>
                      <w:highlight w:val="none"/>
                      <w14:textFill>
                        <w14:solidFill>
                          <w14:schemeClr w14:val="tx1"/>
                        </w14:solidFill>
                      </w14:textFill>
                    </w:rPr>
                    <w:t>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restart"/>
                  <w:tcBorders>
                    <w:tl2br w:val="nil"/>
                    <w:tr2bl w:val="nil"/>
                  </w:tcBorders>
                  <w:vAlign w:val="center"/>
                </w:tcPr>
                <w:p>
                  <w:pPr>
                    <w:jc w:val="center"/>
                    <w:rPr>
                      <w:rFonts w:ascii="Times New Roman"/>
                      <w:bCs/>
                      <w:color w:val="000000" w:themeColor="text1"/>
                      <w:highlight w:val="none"/>
                      <w14:textFill>
                        <w14:solidFill>
                          <w14:schemeClr w14:val="tx1"/>
                        </w14:solidFill>
                      </w14:textFill>
                    </w:rPr>
                  </w:pPr>
                  <w:r>
                    <w:rPr>
                      <w:rFonts w:ascii="Times New Roman"/>
                      <w:bCs/>
                      <w:color w:val="000000" w:themeColor="text1"/>
                      <w:highlight w:val="none"/>
                      <w14:textFill>
                        <w14:solidFill>
                          <w14:schemeClr w14:val="tx1"/>
                        </w14:solidFill>
                      </w14:textFill>
                    </w:rPr>
                    <w:t>施工期</w:t>
                  </w:r>
                </w:p>
              </w:tc>
              <w:tc>
                <w:tcPr>
                  <w:tcW w:w="732"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施工</w:t>
                  </w:r>
                  <w:r>
                    <w:rPr>
                      <w:rFonts w:ascii="Times New Roman"/>
                      <w:color w:val="000000" w:themeColor="text1"/>
                      <w:highlight w:val="none"/>
                      <w14:textFill>
                        <w14:solidFill>
                          <w14:schemeClr w14:val="tx1"/>
                        </w14:solidFill>
                      </w14:textFill>
                    </w:rPr>
                    <w:t>噪声</w:t>
                  </w:r>
                </w:p>
              </w:tc>
              <w:tc>
                <w:tcPr>
                  <w:tcW w:w="1819"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昼间：70dB(A)；夜间：55dB(A)</w:t>
                  </w:r>
                </w:p>
              </w:tc>
              <w:tc>
                <w:tcPr>
                  <w:tcW w:w="2054" w:type="pct"/>
                  <w:gridSpan w:val="2"/>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《建筑施工场界环境噪声排放标准》(GB 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b/>
                      <w:color w:val="000000" w:themeColor="text1"/>
                      <w:highlight w:val="none"/>
                      <w14:textFill>
                        <w14:solidFill>
                          <w14:schemeClr w14:val="tx1"/>
                        </w14:solidFill>
                      </w14:textFill>
                    </w:rPr>
                  </w:pPr>
                </w:p>
              </w:tc>
              <w:tc>
                <w:tcPr>
                  <w:tcW w:w="732" w:type="pct"/>
                  <w:tcBorders>
                    <w:tl2br w:val="nil"/>
                    <w:tr2bl w:val="nil"/>
                  </w:tcBorders>
                  <w:vAlign w:val="center"/>
                </w:tcPr>
                <w:p>
                  <w:pPr>
                    <w:jc w:val="center"/>
                    <w:rPr>
                      <w:rFonts w:ascii="Times New Roman"/>
                      <w:b/>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施工扬尘</w:t>
                  </w:r>
                </w:p>
              </w:tc>
              <w:tc>
                <w:tcPr>
                  <w:tcW w:w="1819" w:type="pct"/>
                  <w:tcBorders>
                    <w:tl2br w:val="nil"/>
                    <w:tr2bl w:val="nil"/>
                  </w:tcBorders>
                  <w:vAlign w:val="center"/>
                </w:tcPr>
                <w:p>
                  <w:pPr>
                    <w:jc w:val="center"/>
                    <w:rPr>
                      <w:rFonts w:ascii="Times New Roman"/>
                      <w:color w:val="000000" w:themeColor="text1"/>
                      <w:highlight w:val="none"/>
                      <w:vertAlign w:val="superscript"/>
                      <w14:textFill>
                        <w14:solidFill>
                          <w14:schemeClr w14:val="tx1"/>
                        </w14:solidFill>
                      </w14:textFill>
                    </w:rPr>
                  </w:pPr>
                  <w:r>
                    <w:rPr>
                      <w:rFonts w:ascii="Times New Roman"/>
                      <w:color w:val="000000" w:themeColor="text1"/>
                      <w:highlight w:val="none"/>
                      <w14:textFill>
                        <w14:solidFill>
                          <w14:schemeClr w14:val="tx1"/>
                        </w14:solidFill>
                      </w14:textFill>
                    </w:rPr>
                    <w:t>80*μg/m</w:t>
                  </w:r>
                  <w:r>
                    <w:rPr>
                      <w:rFonts w:ascii="Times New Roman"/>
                      <w:color w:val="000000" w:themeColor="text1"/>
                      <w:highlight w:val="none"/>
                      <w:vertAlign w:val="superscript"/>
                      <w14:textFill>
                        <w14:solidFill>
                          <w14:schemeClr w14:val="tx1"/>
                        </w14:solidFill>
                      </w14:textFill>
                    </w:rPr>
                    <w:t>3</w:t>
                  </w:r>
                  <w:r>
                    <w:rPr>
                      <w:rFonts w:ascii="Times New Roman"/>
                      <w:color w:val="000000" w:themeColor="text1"/>
                      <w:highlight w:val="none"/>
                      <w14:textFill>
                        <w14:solidFill>
                          <w14:schemeClr w14:val="tx1"/>
                        </w14:solidFill>
                      </w14:textFill>
                    </w:rPr>
                    <w:t>，达标判定依据：≤2次/天。</w:t>
                  </w:r>
                </w:p>
              </w:tc>
              <w:tc>
                <w:tcPr>
                  <w:tcW w:w="2054" w:type="pct"/>
                  <w:gridSpan w:val="2"/>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《施工场地扬尘排放标准》(DB 13/2934-2019)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b/>
                      <w:color w:val="000000" w:themeColor="text1"/>
                      <w:highlight w:val="none"/>
                      <w14:textFill>
                        <w14:solidFill>
                          <w14:schemeClr w14:val="tx1"/>
                        </w14:solidFill>
                      </w14:textFill>
                    </w:rPr>
                  </w:pPr>
                </w:p>
              </w:tc>
              <w:tc>
                <w:tcPr>
                  <w:tcW w:w="732" w:type="pct"/>
                  <w:vMerge w:val="restar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固体废物</w:t>
                  </w:r>
                </w:p>
              </w:tc>
              <w:tc>
                <w:tcPr>
                  <w:tcW w:w="3873" w:type="pct"/>
                  <w:gridSpan w:val="3"/>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一般工业固体废物</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《一般工业固体废物贮存和填埋污染控制标准》(GB 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b/>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3873" w:type="pct"/>
                  <w:gridSpan w:val="3"/>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危险废物</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《危险废物贮存污染控制标准》(GB 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394" w:type="pct"/>
                  <w:vMerge w:val="restart"/>
                  <w:tcBorders>
                    <w:tl2br w:val="nil"/>
                    <w:tr2bl w:val="nil"/>
                  </w:tcBorders>
                  <w:vAlign w:val="center"/>
                </w:tcPr>
                <w:p>
                  <w:pPr>
                    <w:jc w:val="center"/>
                    <w:rPr>
                      <w:rFonts w:hint="eastAsia" w:ascii="Times New Roman" w:eastAsia="宋体"/>
                      <w:color w:val="000000" w:themeColor="text1"/>
                      <w:highlight w:val="none"/>
                      <w:lang w:eastAsia="zh-CN"/>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运营期</w:t>
                  </w:r>
                </w:p>
              </w:tc>
              <w:tc>
                <w:tcPr>
                  <w:tcW w:w="732" w:type="pc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工频电场强度</w:t>
                  </w:r>
                </w:p>
              </w:tc>
              <w:tc>
                <w:tcPr>
                  <w:tcW w:w="1819" w:type="pc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公众暴露的电场</w:t>
                  </w:r>
                  <w:r>
                    <w:rPr>
                      <w:rFonts w:ascii="Times New Roman"/>
                      <w:color w:val="000000" w:themeColor="text1"/>
                      <w:highlight w:val="none"/>
                      <w14:textFill>
                        <w14:solidFill>
                          <w14:schemeClr w14:val="tx1"/>
                        </w14:solidFill>
                      </w14:textFill>
                    </w:rPr>
                    <w:t>4kV/m</w:t>
                  </w:r>
                </w:p>
              </w:tc>
              <w:tc>
                <w:tcPr>
                  <w:tcW w:w="2054" w:type="pct"/>
                  <w:gridSpan w:val="2"/>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《电磁环境控制限值》</w:t>
                  </w:r>
                </w:p>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(GB 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工频磁感应强度</w:t>
                  </w:r>
                </w:p>
              </w:tc>
              <w:tc>
                <w:tcPr>
                  <w:tcW w:w="1819" w:type="pc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100µT</w:t>
                  </w:r>
                </w:p>
              </w:tc>
              <w:tc>
                <w:tcPr>
                  <w:tcW w:w="2054" w:type="pct"/>
                  <w:gridSpan w:val="2"/>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《电磁环境控制限值》</w:t>
                  </w:r>
                </w:p>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(GB 8702-2014)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restart"/>
                  <w:tcBorders>
                    <w:tl2br w:val="nil"/>
                    <w:tr2bl w:val="nil"/>
                  </w:tcBorders>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eastAsia="宋体"/>
                      <w:color w:val="000000" w:themeColor="text1"/>
                      <w:highlight w:val="none"/>
                      <w:lang w:val="en-US" w:eastAsia="zh-CN"/>
                      <w14:textFill>
                        <w14:solidFill>
                          <w14:schemeClr w14:val="tx1"/>
                        </w14:solidFill>
                      </w14:textFill>
                    </w:rPr>
                    <w:t>升压站</w:t>
                  </w:r>
                  <w:r>
                    <w:rPr>
                      <w:rFonts w:hint="eastAsia" w:ascii="Times New Roman"/>
                      <w:color w:val="000000" w:themeColor="text1"/>
                      <w:highlight w:val="none"/>
                      <w:lang w:val="en-US" w:eastAsia="zh-CN"/>
                      <w14:textFill>
                        <w14:solidFill>
                          <w14:schemeClr w14:val="tx1"/>
                        </w14:solidFill>
                      </w14:textFill>
                    </w:rPr>
                    <w:t>食堂</w:t>
                  </w:r>
                  <w:r>
                    <w:rPr>
                      <w:rFonts w:hint="eastAsia" w:ascii="Times New Roman" w:eastAsia="宋体"/>
                      <w:color w:val="000000" w:themeColor="text1"/>
                      <w:highlight w:val="none"/>
                      <w:lang w:val="en-US" w:eastAsia="zh-CN"/>
                      <w14:textFill>
                        <w14:solidFill>
                          <w14:schemeClr w14:val="tx1"/>
                        </w14:solidFill>
                      </w14:textFill>
                    </w:rPr>
                    <w:t>油烟</w:t>
                  </w:r>
                </w:p>
              </w:tc>
              <w:tc>
                <w:tcPr>
                  <w:tcW w:w="1819" w:type="pc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1.5</w:t>
                  </w:r>
                  <w:r>
                    <w:rPr>
                      <w:rFonts w:ascii="Times New Roman"/>
                      <w:bCs/>
                      <w:color w:val="000000" w:themeColor="text1"/>
                      <w:highlight w:val="none"/>
                      <w14:textFill>
                        <w14:solidFill>
                          <w14:schemeClr w14:val="tx1"/>
                        </w14:solidFill>
                      </w14:textFill>
                    </w:rPr>
                    <w:t>mg/m</w:t>
                  </w:r>
                  <w:r>
                    <w:rPr>
                      <w:rFonts w:ascii="Times New Roman"/>
                      <w:bCs/>
                      <w:color w:val="000000" w:themeColor="text1"/>
                      <w:highlight w:val="none"/>
                      <w:vertAlign w:val="superscript"/>
                      <w14:textFill>
                        <w14:solidFill>
                          <w14:schemeClr w14:val="tx1"/>
                        </w14:solidFill>
                      </w14:textFill>
                    </w:rPr>
                    <w:t>3</w:t>
                  </w:r>
                </w:p>
              </w:tc>
              <w:tc>
                <w:tcPr>
                  <w:tcW w:w="2054" w:type="pct"/>
                  <w:gridSpan w:val="2"/>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《餐饮业大气污染物排放标准》（DB13/ 5808—2023）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p>
              </w:tc>
              <w:tc>
                <w:tcPr>
                  <w:tcW w:w="1819" w:type="pct"/>
                  <w:tcBorders>
                    <w:tl2br w:val="nil"/>
                    <w:tr2bl w:val="nil"/>
                  </w:tcBorders>
                  <w:vAlign w:val="center"/>
                </w:tcPr>
                <w:p>
                  <w:pPr>
                    <w:jc w:val="center"/>
                    <w:rPr>
                      <w:rFonts w:ascii="Times New Roman"/>
                      <w:bCs/>
                      <w:color w:val="000000" w:themeColor="text1"/>
                      <w:highlight w:val="none"/>
                      <w14:textFill>
                        <w14:solidFill>
                          <w14:schemeClr w14:val="tx1"/>
                        </w14:solidFill>
                      </w14:textFill>
                    </w:rPr>
                  </w:pPr>
                  <w:r>
                    <w:rPr>
                      <w:rFonts w:hint="eastAsia" w:ascii="Times New Roman"/>
                      <w:bCs/>
                      <w:color w:val="000000" w:themeColor="text1"/>
                      <w:highlight w:val="none"/>
                      <w14:textFill>
                        <w14:solidFill>
                          <w14:schemeClr w14:val="tx1"/>
                        </w14:solidFill>
                      </w14:textFill>
                    </w:rPr>
                    <w:t>小型净化设施最低去除效率60%</w:t>
                  </w:r>
                </w:p>
              </w:tc>
              <w:tc>
                <w:tcPr>
                  <w:tcW w:w="2054" w:type="pct"/>
                  <w:gridSpan w:val="2"/>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《饮食业油烟排放标准(试行)》（GB18483-2001）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tcBorders>
                    <w:tl2br w:val="nil"/>
                    <w:tr2bl w:val="nil"/>
                  </w:tcBorders>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highlight w:val="none"/>
                      <w14:textFill>
                        <w14:solidFill>
                          <w14:schemeClr w14:val="tx1"/>
                        </w14:solidFill>
                      </w14:textFill>
                    </w:rPr>
                    <w:t>噪声</w:t>
                  </w:r>
                </w:p>
              </w:tc>
              <w:tc>
                <w:tcPr>
                  <w:tcW w:w="1819" w:type="pct"/>
                  <w:tcBorders>
                    <w:tl2br w:val="nil"/>
                    <w:tr2bl w:val="nil"/>
                  </w:tcBorders>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highlight w:val="none"/>
                      <w14:textFill>
                        <w14:solidFill>
                          <w14:schemeClr w14:val="tx1"/>
                        </w14:solidFill>
                      </w14:textFill>
                    </w:rPr>
                    <w:t>昼间</w:t>
                  </w:r>
                  <w:r>
                    <w:rPr>
                      <w:rFonts w:hint="eastAsia" w:ascii="Times New Roman"/>
                      <w:color w:val="000000" w:themeColor="text1"/>
                      <w:highlight w:val="none"/>
                      <w:lang w:eastAsia="zh-CN"/>
                      <w14:textFill>
                        <w14:solidFill>
                          <w14:schemeClr w14:val="tx1"/>
                        </w14:solidFill>
                      </w14:textFill>
                    </w:rPr>
                    <w:t>55</w:t>
                  </w:r>
                  <w:r>
                    <w:rPr>
                      <w:rFonts w:ascii="Times New Roman"/>
                      <w:color w:val="000000" w:themeColor="text1"/>
                      <w:highlight w:val="none"/>
                      <w14:textFill>
                        <w14:solidFill>
                          <w14:schemeClr w14:val="tx1"/>
                        </w14:solidFill>
                      </w14:textFill>
                    </w:rPr>
                    <w:t>dB(A) 夜间</w:t>
                  </w:r>
                  <w:r>
                    <w:rPr>
                      <w:rFonts w:hint="eastAsia" w:ascii="Times New Roman"/>
                      <w:color w:val="000000" w:themeColor="text1"/>
                      <w:highlight w:val="none"/>
                      <w:lang w:eastAsia="zh-CN"/>
                      <w14:textFill>
                        <w14:solidFill>
                          <w14:schemeClr w14:val="tx1"/>
                        </w14:solidFill>
                      </w14:textFill>
                    </w:rPr>
                    <w:t>45</w:t>
                  </w:r>
                  <w:r>
                    <w:rPr>
                      <w:rFonts w:ascii="Times New Roman"/>
                      <w:color w:val="000000" w:themeColor="text1"/>
                      <w:highlight w:val="none"/>
                      <w14:textFill>
                        <w14:solidFill>
                          <w14:schemeClr w14:val="tx1"/>
                        </w14:solidFill>
                      </w14:textFill>
                    </w:rPr>
                    <w:t>dB(A)</w:t>
                  </w:r>
                </w:p>
              </w:tc>
              <w:tc>
                <w:tcPr>
                  <w:tcW w:w="2054" w:type="pct"/>
                  <w:gridSpan w:val="2"/>
                  <w:tcBorders>
                    <w:tl2br w:val="nil"/>
                    <w:tr2bl w:val="nil"/>
                  </w:tcBorders>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执行</w:t>
                  </w:r>
                  <w:r>
                    <w:rPr>
                      <w:rFonts w:ascii="Times New Roman"/>
                      <w:color w:val="000000" w:themeColor="text1"/>
                      <w:highlight w:val="none"/>
                      <w14:textFill>
                        <w14:solidFill>
                          <w14:schemeClr w14:val="tx1"/>
                        </w14:solidFill>
                      </w14:textFill>
                    </w:rPr>
                    <w:t>《工业企业厂界环境噪声排放标准》(GB12348-2008)</w:t>
                  </w:r>
                  <w:r>
                    <w:rPr>
                      <w:rFonts w:hint="eastAsia" w:ascii="Times New Roman"/>
                      <w:color w:val="000000" w:themeColor="text1"/>
                      <w:highlight w:val="none"/>
                      <w:lang w:val="en-US" w:eastAsia="zh-CN"/>
                      <w14:textFill>
                        <w14:solidFill>
                          <w14:schemeClr w14:val="tx1"/>
                        </w14:solidFill>
                      </w14:textFill>
                    </w:rPr>
                    <w:t>1</w:t>
                  </w:r>
                  <w:r>
                    <w:rPr>
                      <w:rFonts w:ascii="Times New Roman"/>
                      <w:color w:val="000000" w:themeColor="text1"/>
                      <w:highlight w:val="none"/>
                      <w14:textFill>
                        <w14:solidFill>
                          <w14:schemeClr w14:val="tx1"/>
                        </w14:solidFill>
                      </w14:textFill>
                    </w:rPr>
                    <w:t>类区标准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restar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固体废物</w:t>
                  </w:r>
                </w:p>
              </w:tc>
              <w:tc>
                <w:tcPr>
                  <w:tcW w:w="3873" w:type="pct"/>
                  <w:gridSpan w:val="3"/>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一般工业固体废物</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《一般工业固体废物贮存和填埋污染控制标准》(GB 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3873" w:type="pct"/>
                  <w:gridSpan w:val="3"/>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危险废物</w:t>
                  </w:r>
                  <w:r>
                    <w:rPr>
                      <w:rFonts w:hint="eastAsia" w:ascii="Times New Roman"/>
                      <w:color w:val="000000" w:themeColor="text1"/>
                      <w:highlight w:val="none"/>
                      <w14:textFill>
                        <w14:solidFill>
                          <w14:schemeClr w14:val="tx1"/>
                        </w14:solidFill>
                      </w14:textFill>
                    </w:rPr>
                    <w:t>：</w:t>
                  </w:r>
                  <w:r>
                    <w:rPr>
                      <w:rFonts w:ascii="Times New Roman"/>
                      <w:color w:val="000000" w:themeColor="text1"/>
                      <w:highlight w:val="none"/>
                      <w14:textFill>
                        <w14:solidFill>
                          <w14:schemeClr w14:val="tx1"/>
                        </w14:solidFill>
                      </w14:textFill>
                    </w:rPr>
                    <w:t>《危险废物贮存污染控制标准》(GB 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restart"/>
                  <w:tcBorders>
                    <w:tl2br w:val="nil"/>
                    <w:tr2bl w:val="nil"/>
                  </w:tcBorders>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回用水</w:t>
                  </w:r>
                </w:p>
              </w:tc>
              <w:tc>
                <w:tcPr>
                  <w:tcW w:w="2293" w:type="pct"/>
                  <w:gridSpan w:val="2"/>
                  <w:vMerge w:val="restart"/>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《城市污水再生利用 城市杂用水水质》（GB/T18920-2020）中城市绿化、道路清扫、消防、建筑施工标准</w:t>
                  </w: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pH：6.0~9.0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色度：</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30度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浊度：</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10NTU</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BOD</w:t>
                  </w:r>
                  <w:r>
                    <w:rPr>
                      <w:rFonts w:hint="eastAsia" w:ascii="Times New Roman"/>
                      <w:bCs/>
                      <w:color w:val="000000" w:themeColor="text1"/>
                      <w:highlight w:val="none"/>
                      <w:vertAlign w:val="subscript"/>
                      <w14:textFill>
                        <w14:solidFill>
                          <w14:schemeClr w14:val="tx1"/>
                        </w14:solidFill>
                      </w14:textFill>
                    </w:rPr>
                    <w:t>5</w:t>
                  </w:r>
                  <w:r>
                    <w:rPr>
                      <w:rFonts w:hint="eastAsia" w:ascii="Times New Roman"/>
                      <w:bCs/>
                      <w:color w:val="000000" w:themeColor="text1"/>
                      <w:highlight w:val="none"/>
                      <w14:textFill>
                        <w14:solidFill>
                          <w14:schemeClr w14:val="tx1"/>
                        </w14:solidFill>
                      </w14:textFill>
                    </w:rPr>
                    <w:t>：</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10mg/L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氨氮：</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8mg/L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阴离子表面活性：</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0.5mg/L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溶解性总固体：</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1000（2000）</w:t>
                  </w:r>
                  <w:r>
                    <w:rPr>
                      <w:rFonts w:hint="eastAsia" w:ascii="Times New Roman"/>
                      <w:bCs/>
                      <w:color w:val="000000" w:themeColor="text1"/>
                      <w:highlight w:val="none"/>
                      <w:vertAlign w:val="superscript"/>
                      <w14:textFill>
                        <w14:solidFill>
                          <w14:schemeClr w14:val="tx1"/>
                        </w14:solidFill>
                      </w14:textFill>
                    </w:rPr>
                    <w:t>b</w:t>
                  </w:r>
                  <w:r>
                    <w:rPr>
                      <w:rFonts w:hint="eastAsia" w:ascii="Times New Roman"/>
                      <w:bCs/>
                      <w:color w:val="000000" w:themeColor="text1"/>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hint="eastAsia"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溶解氧：</w:t>
                  </w:r>
                  <w:r>
                    <w:rPr>
                      <w:rFonts w:ascii="Times New Roman"/>
                      <w:bCs/>
                      <w:color w:val="000000" w:themeColor="text1"/>
                      <w:highlight w:val="none"/>
                      <w14:textFill>
                        <w14:solidFill>
                          <w14:schemeClr w14:val="tx1"/>
                        </w14:solidFill>
                      </w14:textFill>
                    </w:rPr>
                    <w:t>≤</w:t>
                  </w:r>
                  <w:r>
                    <w:rPr>
                      <w:rFonts w:hint="eastAsia" w:ascii="Times New Roman"/>
                      <w:bCs/>
                      <w:color w:val="000000" w:themeColor="text1"/>
                      <w:highlight w:val="none"/>
                      <w14:textFill>
                        <w14:solidFill>
                          <w14:schemeClr w14:val="tx1"/>
                        </w14:solidFill>
                      </w14:textFill>
                    </w:rPr>
                    <w:t>2.0mg/L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94" w:type="pct"/>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732" w:type="pct"/>
                  <w:vMerge w:val="continue"/>
                  <w:tcBorders>
                    <w:tl2br w:val="nil"/>
                    <w:tr2bl w:val="nil"/>
                  </w:tcBorders>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2293" w:type="pct"/>
                  <w:gridSpan w:val="2"/>
                  <w:vMerge w:val="continue"/>
                  <w:tcBorders>
                    <w:tl2br w:val="nil"/>
                    <w:tr2bl w:val="nil"/>
                  </w:tcBorders>
                  <w:vAlign w:val="center"/>
                </w:tcPr>
                <w:p>
                  <w:pPr>
                    <w:jc w:val="center"/>
                    <w:rPr>
                      <w:rFonts w:ascii="Times New Roman"/>
                      <w:color w:val="000000" w:themeColor="text1"/>
                      <w:highlight w:val="none"/>
                      <w14:textFill>
                        <w14:solidFill>
                          <w14:schemeClr w14:val="tx1"/>
                        </w14:solidFill>
                      </w14:textFill>
                    </w:rPr>
                  </w:pPr>
                </w:p>
              </w:tc>
              <w:tc>
                <w:tcPr>
                  <w:tcW w:w="1580" w:type="pct"/>
                  <w:tcBorders>
                    <w:tl2br w:val="nil"/>
                    <w:tr2bl w:val="nil"/>
                  </w:tcBorders>
                  <w:vAlign w:val="center"/>
                </w:tcPr>
                <w:p>
                  <w:pPr>
                    <w:spacing w:line="0" w:lineRule="atLeast"/>
                    <w:jc w:val="center"/>
                    <w:rPr>
                      <w:rFonts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bCs/>
                      <w:color w:val="000000" w:themeColor="text1"/>
                      <w:highlight w:val="none"/>
                      <w14:textFill>
                        <w14:solidFill>
                          <w14:schemeClr w14:val="tx1"/>
                        </w14:solidFill>
                      </w14:textFill>
                    </w:rPr>
                    <w:t>大肠埃希氏菌：无</w:t>
                  </w:r>
                  <w:r>
                    <w:rPr>
                      <w:rFonts w:hint="eastAsia" w:ascii="Times New Roman"/>
                      <w:bCs/>
                      <w:color w:val="000000" w:themeColor="text1"/>
                      <w:highlight w:val="none"/>
                      <w:vertAlign w:val="superscript"/>
                      <w14:textFill>
                        <w14:solidFill>
                          <w14:schemeClr w14:val="tx1"/>
                        </w14:solidFill>
                      </w14:textFill>
                    </w:rPr>
                    <w:t>d</w:t>
                  </w:r>
                  <w:r>
                    <w:rPr>
                      <w:rFonts w:hint="eastAsia" w:ascii="Times New Roman"/>
                      <w:bCs/>
                      <w:color w:val="000000" w:themeColor="text1"/>
                      <w:highlight w:val="none"/>
                      <w14:textFill>
                        <w14:solidFill>
                          <w14:schemeClr w14:val="tx1"/>
                        </w14:solidFill>
                      </w14:textFill>
                    </w:rPr>
                    <w:t>MPN/100mL或CFU/100mL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000" w:type="pct"/>
                  <w:gridSpan w:val="5"/>
                  <w:tcBorders>
                    <w:tl2br w:val="nil"/>
                    <w:tr2bl w:val="nil"/>
                  </w:tcBorders>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w:t>
                  </w:r>
                  <w:r>
                    <w:rPr>
                      <w:rFonts w:hint="eastAsia" w:ascii="Times New Roman"/>
                      <w:color w:val="000000" w:themeColor="text1"/>
                      <w:szCs w:val="24"/>
                      <w:highlight w:val="none"/>
                      <w:lang w:bidi="ar"/>
                      <w14:textFill>
                        <w14:solidFill>
                          <w14:schemeClr w14:val="tx1"/>
                        </w14:solidFill>
                      </w14:textFill>
                    </w:rPr>
                    <w:t>指监测点</w:t>
                  </w:r>
                  <w:r>
                    <w:rPr>
                      <w:rFonts w:ascii="Times New Roman"/>
                      <w:color w:val="000000" w:themeColor="text1"/>
                      <w:szCs w:val="24"/>
                      <w:highlight w:val="none"/>
                      <w:lang w:bidi="ar"/>
                      <w14:textFill>
                        <w14:solidFill>
                          <w14:schemeClr w14:val="tx1"/>
                        </w14:solidFill>
                      </w14:textFill>
                    </w:rPr>
                    <w:t>PM</w:t>
                  </w:r>
                  <w:r>
                    <w:rPr>
                      <w:rFonts w:ascii="Times New Roman"/>
                      <w:color w:val="000000" w:themeColor="text1"/>
                      <w:szCs w:val="24"/>
                      <w:highlight w:val="none"/>
                      <w:vertAlign w:val="subscript"/>
                      <w:lang w:bidi="ar"/>
                      <w14:textFill>
                        <w14:solidFill>
                          <w14:schemeClr w14:val="tx1"/>
                        </w14:solidFill>
                      </w14:textFill>
                    </w:rPr>
                    <w:t>10</w:t>
                  </w:r>
                  <w:r>
                    <w:rPr>
                      <w:rFonts w:hint="eastAsia" w:ascii="Times New Roman"/>
                      <w:color w:val="000000" w:themeColor="text1"/>
                      <w:szCs w:val="24"/>
                      <w:highlight w:val="none"/>
                      <w:lang w:bidi="ar"/>
                      <w14:textFill>
                        <w14:solidFill>
                          <w14:schemeClr w14:val="tx1"/>
                        </w14:solidFill>
                      </w14:textFill>
                    </w:rPr>
                    <w:t>小时平均浓度实测值与同时段所属县（市、区）</w:t>
                  </w:r>
                  <w:r>
                    <w:rPr>
                      <w:rFonts w:ascii="Times New Roman"/>
                      <w:color w:val="000000" w:themeColor="text1"/>
                      <w:szCs w:val="24"/>
                      <w:highlight w:val="none"/>
                      <w:lang w:bidi="ar"/>
                      <w14:textFill>
                        <w14:solidFill>
                          <w14:schemeClr w14:val="tx1"/>
                        </w14:solidFill>
                      </w14:textFill>
                    </w:rPr>
                    <w:t>PM</w:t>
                  </w:r>
                  <w:r>
                    <w:rPr>
                      <w:rFonts w:ascii="Times New Roman"/>
                      <w:color w:val="000000" w:themeColor="text1"/>
                      <w:szCs w:val="24"/>
                      <w:highlight w:val="none"/>
                      <w:vertAlign w:val="subscript"/>
                      <w:lang w:bidi="ar"/>
                      <w14:textFill>
                        <w14:solidFill>
                          <w14:schemeClr w14:val="tx1"/>
                        </w14:solidFill>
                      </w14:textFill>
                    </w:rPr>
                    <w:t>10</w:t>
                  </w:r>
                  <w:r>
                    <w:rPr>
                      <w:rFonts w:hint="eastAsia" w:ascii="Times New Roman"/>
                      <w:color w:val="000000" w:themeColor="text1"/>
                      <w:szCs w:val="24"/>
                      <w:highlight w:val="none"/>
                      <w:lang w:bidi="ar"/>
                      <w14:textFill>
                        <w14:solidFill>
                          <w14:schemeClr w14:val="tx1"/>
                        </w14:solidFill>
                      </w14:textFill>
                    </w:rPr>
                    <w:t>小时平均浓度的差值。当县（市、区）</w:t>
                  </w:r>
                  <w:r>
                    <w:rPr>
                      <w:rFonts w:ascii="Times New Roman"/>
                      <w:color w:val="000000" w:themeColor="text1"/>
                      <w:szCs w:val="24"/>
                      <w:highlight w:val="none"/>
                      <w:lang w:bidi="ar"/>
                      <w14:textFill>
                        <w14:solidFill>
                          <w14:schemeClr w14:val="tx1"/>
                        </w14:solidFill>
                      </w14:textFill>
                    </w:rPr>
                    <w:t>PM</w:t>
                  </w:r>
                  <w:r>
                    <w:rPr>
                      <w:rFonts w:ascii="Times New Roman"/>
                      <w:color w:val="000000" w:themeColor="text1"/>
                      <w:szCs w:val="24"/>
                      <w:highlight w:val="none"/>
                      <w:vertAlign w:val="subscript"/>
                      <w:lang w:bidi="ar"/>
                      <w14:textFill>
                        <w14:solidFill>
                          <w14:schemeClr w14:val="tx1"/>
                        </w14:solidFill>
                      </w14:textFill>
                    </w:rPr>
                    <w:t>10</w:t>
                  </w:r>
                  <w:r>
                    <w:rPr>
                      <w:rFonts w:hint="eastAsia" w:ascii="Times New Roman"/>
                      <w:color w:val="000000" w:themeColor="text1"/>
                      <w:szCs w:val="24"/>
                      <w:highlight w:val="none"/>
                      <w:lang w:bidi="ar"/>
                      <w14:textFill>
                        <w14:solidFill>
                          <w14:schemeClr w14:val="tx1"/>
                        </w14:solidFill>
                      </w14:textFill>
                    </w:rPr>
                    <w:t>小时平均浓度值大于</w:t>
                  </w:r>
                  <w:r>
                    <w:rPr>
                      <w:rFonts w:ascii="Times New Roman"/>
                      <w:color w:val="000000" w:themeColor="text1"/>
                      <w:szCs w:val="24"/>
                      <w:highlight w:val="none"/>
                      <w:lang w:bidi="ar"/>
                      <w14:textFill>
                        <w14:solidFill>
                          <w14:schemeClr w14:val="tx1"/>
                        </w14:solidFill>
                      </w14:textFill>
                    </w:rPr>
                    <w:t>150µg/m</w:t>
                  </w:r>
                  <w:r>
                    <w:rPr>
                      <w:rFonts w:ascii="Times New Roman"/>
                      <w:color w:val="000000" w:themeColor="text1"/>
                      <w:szCs w:val="24"/>
                      <w:highlight w:val="none"/>
                      <w:vertAlign w:val="superscript"/>
                      <w:lang w:bidi="ar"/>
                      <w14:textFill>
                        <w14:solidFill>
                          <w14:schemeClr w14:val="tx1"/>
                        </w14:solidFill>
                      </w14:textFill>
                    </w:rPr>
                    <w:t>3</w:t>
                  </w:r>
                  <w:r>
                    <w:rPr>
                      <w:rFonts w:hint="eastAsia" w:ascii="Times New Roman"/>
                      <w:color w:val="000000" w:themeColor="text1"/>
                      <w:szCs w:val="24"/>
                      <w:highlight w:val="none"/>
                      <w:lang w:bidi="ar"/>
                      <w14:textFill>
                        <w14:solidFill>
                          <w14:schemeClr w14:val="tx1"/>
                        </w14:solidFill>
                      </w14:textFill>
                    </w:rPr>
                    <w:t>时，以</w:t>
                  </w:r>
                  <w:r>
                    <w:rPr>
                      <w:rFonts w:ascii="Times New Roman"/>
                      <w:color w:val="000000" w:themeColor="text1"/>
                      <w:szCs w:val="24"/>
                      <w:highlight w:val="none"/>
                      <w:lang w:bidi="ar"/>
                      <w14:textFill>
                        <w14:solidFill>
                          <w14:schemeClr w14:val="tx1"/>
                        </w14:solidFill>
                      </w14:textFill>
                    </w:rPr>
                    <w:t>150µg/m</w:t>
                  </w:r>
                  <w:r>
                    <w:rPr>
                      <w:rFonts w:ascii="Times New Roman"/>
                      <w:color w:val="000000" w:themeColor="text1"/>
                      <w:szCs w:val="24"/>
                      <w:highlight w:val="none"/>
                      <w:vertAlign w:val="superscript"/>
                      <w:lang w:bidi="ar"/>
                      <w14:textFill>
                        <w14:solidFill>
                          <w14:schemeClr w14:val="tx1"/>
                        </w14:solidFill>
                      </w14:textFill>
                    </w:rPr>
                    <w:t>3</w:t>
                  </w:r>
                  <w:r>
                    <w:rPr>
                      <w:rFonts w:hint="eastAsia" w:ascii="Times New Roman"/>
                      <w:color w:val="000000" w:themeColor="text1"/>
                      <w:szCs w:val="24"/>
                      <w:highlight w:val="none"/>
                      <w:lang w:bidi="ar"/>
                      <w14:textFill>
                        <w14:solidFill>
                          <w14:schemeClr w14:val="tx1"/>
                        </w14:solidFill>
                      </w14:textFill>
                    </w:rPr>
                    <w:t>计。</w:t>
                  </w:r>
                </w:p>
              </w:tc>
            </w:tr>
          </w:tbl>
          <w:p>
            <w:pPr>
              <w:snapToGrid w:val="0"/>
              <w:jc w:val="cente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pPr>
          </w:p>
          <w:p>
            <w:pPr>
              <w:snapToGrid w:val="0"/>
              <w:jc w:val="cente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pPr>
          </w:p>
          <w:p>
            <w:pPr>
              <w:snapToGrid w:val="0"/>
              <w:jc w:val="center"/>
              <w:rPr>
                <w:rFonts w:hint="eastAsia" w:ascii="Times New Roman" w:hAnsi="Times New Roman" w:eastAsia="宋体" w:cs="Times New Roman"/>
                <w:b/>
                <w:bCs/>
                <w:color w:val="000000" w:themeColor="text1"/>
                <w:sz w:val="24"/>
                <w:szCs w:val="24"/>
                <w:highlight w:val="none"/>
                <w:lang w:bidi="ar"/>
                <w14:textFill>
                  <w14:solidFill>
                    <w14:schemeClr w14:val="tx1"/>
                  </w14:solidFill>
                </w14:textFill>
              </w:rPr>
            </w:pP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88" w:hRule="atLeast"/>
          <w:jc w:val="center"/>
        </w:trPr>
        <w:tc>
          <w:tcPr>
            <w:tcW w:w="492" w:type="pct"/>
            <w:vAlign w:val="center"/>
          </w:tcPr>
          <w:p>
            <w:pPr>
              <w:adjustRightInd w:val="0"/>
              <w:snapToGrid w:val="0"/>
              <w:jc w:val="center"/>
              <w:rPr>
                <w:rFonts w:ascii="Times New Roman"/>
                <w:color w:val="000000" w:themeColor="text1"/>
                <w:kern w:val="0"/>
                <w:sz w:val="24"/>
                <w:szCs w:val="24"/>
                <w:highlight w:val="none"/>
                <w14:textFill>
                  <w14:solidFill>
                    <w14:schemeClr w14:val="tx1"/>
                  </w14:solidFill>
                </w14:textFill>
              </w:rPr>
            </w:pPr>
            <w:r>
              <w:rPr>
                <w:rFonts w:ascii="Times New Roman"/>
                <w:color w:val="000000" w:themeColor="text1"/>
                <w:kern w:val="0"/>
                <w:sz w:val="24"/>
                <w:szCs w:val="24"/>
                <w:highlight w:val="none"/>
                <w14:textFill>
                  <w14:solidFill>
                    <w14:schemeClr w14:val="tx1"/>
                  </w14:solidFill>
                </w14:textFill>
              </w:rPr>
              <w:t>总量控制指标</w:t>
            </w:r>
          </w:p>
        </w:tc>
        <w:tc>
          <w:tcPr>
            <w:tcW w:w="4507" w:type="pct"/>
            <w:vAlign w:val="center"/>
          </w:tcPr>
          <w:p>
            <w:pPr>
              <w:widowControl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lang w:bidi="ar"/>
                <w14:textFill>
                  <w14:solidFill>
                    <w14:schemeClr w14:val="tx1"/>
                  </w14:solidFill>
                </w14:textFill>
              </w:rPr>
              <w:t>根据国家有关政策的要求，结合建设项目污染物产生和排放特点，确定项目污染物总量控制因子为：COD、氨氮、SO</w:t>
            </w:r>
            <w:r>
              <w:rPr>
                <w:rFonts w:ascii="Times New Roman"/>
                <w:color w:val="000000" w:themeColor="text1"/>
                <w:sz w:val="24"/>
                <w:szCs w:val="24"/>
                <w:highlight w:val="none"/>
                <w:vertAlign w:val="subscript"/>
                <w:lang w:bidi="ar"/>
                <w14:textFill>
                  <w14:solidFill>
                    <w14:schemeClr w14:val="tx1"/>
                  </w14:solidFill>
                </w14:textFill>
              </w:rPr>
              <w:t>2</w:t>
            </w:r>
            <w:r>
              <w:rPr>
                <w:rFonts w:ascii="Times New Roman"/>
                <w:color w:val="000000" w:themeColor="text1"/>
                <w:sz w:val="24"/>
                <w:szCs w:val="24"/>
                <w:highlight w:val="none"/>
                <w:lang w:bidi="ar"/>
                <w14:textFill>
                  <w14:solidFill>
                    <w14:schemeClr w14:val="tx1"/>
                  </w14:solidFill>
                </w14:textFill>
              </w:rPr>
              <w:t>、NO</w:t>
            </w:r>
            <w:r>
              <w:rPr>
                <w:rFonts w:ascii="Times New Roman"/>
                <w:color w:val="000000" w:themeColor="text1"/>
                <w:sz w:val="24"/>
                <w:szCs w:val="24"/>
                <w:highlight w:val="none"/>
                <w:vertAlign w:val="subscript"/>
                <w:lang w:bidi="ar"/>
                <w14:textFill>
                  <w14:solidFill>
                    <w14:schemeClr w14:val="tx1"/>
                  </w14:solidFill>
                </w14:textFill>
              </w:rPr>
              <w:t>X</w:t>
            </w:r>
            <w:r>
              <w:rPr>
                <w:rFonts w:ascii="Times New Roman"/>
                <w:color w:val="000000" w:themeColor="text1"/>
                <w:sz w:val="24"/>
                <w:szCs w:val="24"/>
                <w:highlight w:val="none"/>
                <w:lang w:bidi="ar"/>
                <w14:textFill>
                  <w14:solidFill>
                    <w14:schemeClr w14:val="tx1"/>
                  </w14:solidFill>
                </w14:textFill>
              </w:rPr>
              <w:t>。</w:t>
            </w:r>
          </w:p>
          <w:p>
            <w:pPr>
              <w:spacing w:line="360" w:lineRule="auto"/>
              <w:ind w:firstLine="480" w:firstLineChars="200"/>
              <w:jc w:val="both"/>
              <w:rPr>
                <w:rFonts w:ascii="Times New Roman"/>
                <w:color w:val="000000" w:themeColor="text1"/>
                <w:sz w:val="24"/>
                <w:szCs w:val="24"/>
                <w:highlight w:val="none"/>
                <w:lang w:bidi="ar"/>
                <w14:textFill>
                  <w14:solidFill>
                    <w14:schemeClr w14:val="tx1"/>
                  </w14:solidFill>
                </w14:textFill>
              </w:rPr>
            </w:pPr>
            <w:r>
              <w:rPr>
                <w:rFonts w:ascii="Times New Roman"/>
                <w:color w:val="000000" w:themeColor="text1"/>
                <w:sz w:val="24"/>
                <w:szCs w:val="24"/>
                <w:highlight w:val="none"/>
                <w:lang w:bidi="ar"/>
                <w14:textFill>
                  <w14:solidFill>
                    <w14:schemeClr w14:val="tx1"/>
                  </w14:solidFill>
                </w14:textFill>
              </w:rPr>
              <w:t>根据原河北省环境保护厅《关于进一步改革和优化建设项目主要污染物排放总量核定工作的通知》（冀环总[2014]283号文件），建设项目总量指标按照污染物排放标准核定。</w:t>
            </w:r>
          </w:p>
          <w:p>
            <w:pPr>
              <w:spacing w:line="360" w:lineRule="auto"/>
              <w:ind w:firstLine="480" w:firstLineChars="200"/>
              <w:jc w:val="both"/>
              <w:rPr>
                <w:rFonts w:ascii="Times New Roman"/>
                <w:color w:val="000000" w:themeColor="text1"/>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本项目</w:t>
            </w:r>
            <w:r>
              <w:rPr>
                <w:rFonts w:hint="eastAsia" w:ascii="Times New Roman"/>
                <w:color w:val="000000" w:themeColor="text1"/>
                <w:sz w:val="24"/>
                <w:highlight w:val="none"/>
                <w14:textFill>
                  <w14:solidFill>
                    <w14:schemeClr w14:val="tx1"/>
                  </w14:solidFill>
                </w14:textFill>
              </w:rPr>
              <w:t>无生产废水，食堂废水经隔油池处理，与生活污水经一体化污水处理装置处理达标后送到清水池，再通过回用水泵回用于绿化，不外排。</w:t>
            </w:r>
            <w:r>
              <w:rPr>
                <w:rFonts w:ascii="Times New Roman"/>
                <w:color w:val="000000" w:themeColor="text1"/>
                <w:sz w:val="24"/>
                <w:szCs w:val="24"/>
                <w:highlight w:val="none"/>
                <w:lang w:bidi="ar"/>
                <w14:textFill>
                  <w14:solidFill>
                    <w14:schemeClr w14:val="tx1"/>
                  </w14:solidFill>
                </w14:textFill>
              </w:rPr>
              <w:t>因此</w:t>
            </w:r>
            <w:r>
              <w:rPr>
                <w:rFonts w:hint="eastAsia" w:ascii="Times New Roman"/>
                <w:color w:val="000000" w:themeColor="text1"/>
                <w:sz w:val="24"/>
                <w:szCs w:val="24"/>
                <w:highlight w:val="none"/>
                <w:lang w:bidi="ar"/>
                <w14:textFill>
                  <w14:solidFill>
                    <w14:schemeClr w14:val="tx1"/>
                  </w14:solidFill>
                </w14:textFill>
              </w:rPr>
              <w:t>，</w:t>
            </w:r>
            <w:r>
              <w:rPr>
                <w:rFonts w:ascii="Times New Roman"/>
                <w:color w:val="000000" w:themeColor="text1"/>
                <w:sz w:val="24"/>
                <w:szCs w:val="24"/>
                <w:highlight w:val="none"/>
                <w:lang w:bidi="ar"/>
                <w14:textFill>
                  <w14:solidFill>
                    <w14:schemeClr w14:val="tx1"/>
                  </w14:solidFill>
                </w14:textFill>
              </w:rPr>
              <w:t>COD、氨氮排放量为</w:t>
            </w:r>
            <w:r>
              <w:rPr>
                <w:rFonts w:hint="eastAsia" w:ascii="Times New Roman"/>
                <w:color w:val="000000" w:themeColor="text1"/>
                <w:sz w:val="24"/>
                <w:szCs w:val="24"/>
                <w:highlight w:val="none"/>
                <w:lang w:bidi="ar"/>
                <w14:textFill>
                  <w14:solidFill>
                    <w14:schemeClr w14:val="tx1"/>
                  </w14:solidFill>
                </w14:textFill>
              </w:rPr>
              <w:t>：</w:t>
            </w:r>
            <w:r>
              <w:rPr>
                <w:rFonts w:ascii="Times New Roman"/>
                <w:color w:val="000000" w:themeColor="text1"/>
                <w:sz w:val="24"/>
                <w:szCs w:val="24"/>
                <w:highlight w:val="none"/>
                <w:lang w:bidi="ar"/>
                <w14:textFill>
                  <w14:solidFill>
                    <w14:schemeClr w14:val="tx1"/>
                  </w14:solidFill>
                </w14:textFill>
              </w:rPr>
              <w:t>COD：0t/a、氨氮：0t/a。</w:t>
            </w:r>
          </w:p>
          <w:p>
            <w:pPr>
              <w:spacing w:line="360" w:lineRule="auto"/>
              <w:ind w:firstLine="480" w:firstLineChars="200"/>
              <w:jc w:val="both"/>
              <w:rPr>
                <w:rFonts w:ascii="Times New Roman"/>
                <w:color w:val="000000" w:themeColor="text1"/>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本项目</w:t>
            </w:r>
            <w:r>
              <w:rPr>
                <w:rFonts w:hint="eastAsia" w:ascii="Times New Roman"/>
                <w:color w:val="000000" w:themeColor="text1"/>
                <w:sz w:val="24"/>
                <w:highlight w:val="none"/>
                <w:lang w:eastAsia="zh-CN"/>
                <w14:textFill>
                  <w14:solidFill>
                    <w14:schemeClr w14:val="tx1"/>
                  </w14:solidFill>
                </w14:textFill>
              </w:rPr>
              <w:t>运营期</w:t>
            </w:r>
            <w:r>
              <w:rPr>
                <w:rFonts w:hint="eastAsia" w:ascii="Times New Roman"/>
                <w:color w:val="000000" w:themeColor="text1"/>
                <w:sz w:val="24"/>
                <w:highlight w:val="none"/>
                <w14:textFill>
                  <w14:solidFill>
                    <w14:schemeClr w14:val="tx1"/>
                  </w14:solidFill>
                </w14:textFill>
              </w:rPr>
              <w:t>废气</w:t>
            </w:r>
            <w:r>
              <w:rPr>
                <w:rFonts w:hint="eastAsia" w:ascii="Times New Roman"/>
                <w:color w:val="000000" w:themeColor="text1"/>
                <w:sz w:val="24"/>
                <w:highlight w:val="none"/>
                <w:lang w:val="en-US" w:eastAsia="zh-CN"/>
                <w14:textFill>
                  <w14:solidFill>
                    <w14:schemeClr w14:val="tx1"/>
                  </w14:solidFill>
                </w14:textFill>
              </w:rPr>
              <w:t>为食堂油烟，不涉及</w:t>
            </w:r>
            <w:r>
              <w:rPr>
                <w:rFonts w:ascii="Times New Roman"/>
                <w:color w:val="000000" w:themeColor="text1"/>
                <w:sz w:val="24"/>
                <w:szCs w:val="24"/>
                <w:highlight w:val="none"/>
                <w:lang w:bidi="ar"/>
                <w14:textFill>
                  <w14:solidFill>
                    <w14:schemeClr w14:val="tx1"/>
                  </w14:solidFill>
                </w14:textFill>
              </w:rPr>
              <w:t>SO</w:t>
            </w:r>
            <w:r>
              <w:rPr>
                <w:rFonts w:ascii="Times New Roman"/>
                <w:color w:val="000000" w:themeColor="text1"/>
                <w:sz w:val="24"/>
                <w:szCs w:val="24"/>
                <w:highlight w:val="none"/>
                <w:vertAlign w:val="subscript"/>
                <w:lang w:bidi="ar"/>
                <w14:textFill>
                  <w14:solidFill>
                    <w14:schemeClr w14:val="tx1"/>
                  </w14:solidFill>
                </w14:textFill>
              </w:rPr>
              <w:t>2</w:t>
            </w:r>
            <w:r>
              <w:rPr>
                <w:rFonts w:ascii="Times New Roman"/>
                <w:color w:val="000000" w:themeColor="text1"/>
                <w:sz w:val="24"/>
                <w:szCs w:val="24"/>
                <w:highlight w:val="none"/>
                <w:lang w:bidi="ar"/>
                <w14:textFill>
                  <w14:solidFill>
                    <w14:schemeClr w14:val="tx1"/>
                  </w14:solidFill>
                </w14:textFill>
              </w:rPr>
              <w:t>、NO</w:t>
            </w:r>
            <w:r>
              <w:rPr>
                <w:rFonts w:ascii="Times New Roman"/>
                <w:color w:val="000000" w:themeColor="text1"/>
                <w:sz w:val="24"/>
                <w:szCs w:val="24"/>
                <w:highlight w:val="none"/>
                <w:vertAlign w:val="subscript"/>
                <w:lang w:bidi="ar"/>
                <w14:textFill>
                  <w14:solidFill>
                    <w14:schemeClr w14:val="tx1"/>
                  </w14:solidFill>
                </w14:textFill>
              </w:rPr>
              <w:t>X</w:t>
            </w:r>
            <w:r>
              <w:rPr>
                <w:rFonts w:hint="eastAsia" w:ascii="Times New Roman"/>
                <w:color w:val="000000" w:themeColor="text1"/>
                <w:sz w:val="24"/>
                <w:highlight w:val="none"/>
                <w:lang w:val="en-US" w:eastAsia="zh-CN"/>
                <w14:textFill>
                  <w14:solidFill>
                    <w14:schemeClr w14:val="tx1"/>
                  </w14:solidFill>
                </w14:textFill>
              </w:rPr>
              <w:t>排放</w:t>
            </w:r>
            <w:r>
              <w:rPr>
                <w:rFonts w:hint="eastAsia" w:ascii="Times New Roman"/>
                <w:color w:val="000000" w:themeColor="text1"/>
                <w:sz w:val="24"/>
                <w:highlight w:val="none"/>
                <w14:textFill>
                  <w14:solidFill>
                    <w14:schemeClr w14:val="tx1"/>
                  </w14:solidFill>
                </w14:textFill>
              </w:rPr>
              <w:t>，因此，</w:t>
            </w:r>
            <w:r>
              <w:rPr>
                <w:rFonts w:ascii="Times New Roman"/>
                <w:color w:val="000000" w:themeColor="text1"/>
                <w:sz w:val="24"/>
                <w:szCs w:val="24"/>
                <w:highlight w:val="none"/>
                <w:lang w:bidi="ar"/>
                <w14:textFill>
                  <w14:solidFill>
                    <w14:schemeClr w14:val="tx1"/>
                  </w14:solidFill>
                </w14:textFill>
              </w:rPr>
              <w:t>SO</w:t>
            </w:r>
            <w:r>
              <w:rPr>
                <w:rFonts w:ascii="Times New Roman"/>
                <w:color w:val="000000" w:themeColor="text1"/>
                <w:sz w:val="24"/>
                <w:szCs w:val="24"/>
                <w:highlight w:val="none"/>
                <w:vertAlign w:val="subscript"/>
                <w:lang w:bidi="ar"/>
                <w14:textFill>
                  <w14:solidFill>
                    <w14:schemeClr w14:val="tx1"/>
                  </w14:solidFill>
                </w14:textFill>
              </w:rPr>
              <w:t>2</w:t>
            </w:r>
            <w:r>
              <w:rPr>
                <w:rFonts w:ascii="Times New Roman"/>
                <w:color w:val="000000" w:themeColor="text1"/>
                <w:sz w:val="24"/>
                <w:szCs w:val="24"/>
                <w:highlight w:val="none"/>
                <w:lang w:bidi="ar"/>
                <w14:textFill>
                  <w14:solidFill>
                    <w14:schemeClr w14:val="tx1"/>
                  </w14:solidFill>
                </w14:textFill>
              </w:rPr>
              <w:t>、NO</w:t>
            </w:r>
            <w:r>
              <w:rPr>
                <w:rFonts w:ascii="Times New Roman"/>
                <w:color w:val="000000" w:themeColor="text1"/>
                <w:sz w:val="24"/>
                <w:szCs w:val="24"/>
                <w:highlight w:val="none"/>
                <w:vertAlign w:val="subscript"/>
                <w:lang w:bidi="ar"/>
                <w14:textFill>
                  <w14:solidFill>
                    <w14:schemeClr w14:val="tx1"/>
                  </w14:solidFill>
                </w14:textFill>
              </w:rPr>
              <w:t>X</w:t>
            </w:r>
            <w:r>
              <w:rPr>
                <w:rFonts w:hint="eastAsia" w:ascii="Times New Roman"/>
                <w:color w:val="000000" w:themeColor="text1"/>
                <w:sz w:val="24"/>
                <w:szCs w:val="24"/>
                <w:highlight w:val="none"/>
                <w:lang w:bidi="ar"/>
                <w14:textFill>
                  <w14:solidFill>
                    <w14:schemeClr w14:val="tx1"/>
                  </w14:solidFill>
                </w14:textFill>
              </w:rPr>
              <w:t>排放量为</w:t>
            </w:r>
            <w:r>
              <w:rPr>
                <w:rFonts w:ascii="Times New Roman"/>
                <w:bCs/>
                <w:color w:val="000000" w:themeColor="text1"/>
                <w:sz w:val="24"/>
                <w:szCs w:val="24"/>
                <w:highlight w:val="none"/>
                <w:lang w:bidi="ar"/>
                <w14:textFill>
                  <w14:solidFill>
                    <w14:schemeClr w14:val="tx1"/>
                  </w14:solidFill>
                </w14:textFill>
              </w:rPr>
              <w:t>SO</w:t>
            </w:r>
            <w:r>
              <w:rPr>
                <w:rFonts w:ascii="Times New Roman"/>
                <w:bCs/>
                <w:color w:val="000000" w:themeColor="text1"/>
                <w:sz w:val="24"/>
                <w:szCs w:val="24"/>
                <w:highlight w:val="none"/>
                <w:vertAlign w:val="subscript"/>
                <w:lang w:bidi="ar"/>
                <w14:textFill>
                  <w14:solidFill>
                    <w14:schemeClr w14:val="tx1"/>
                  </w14:solidFill>
                </w14:textFill>
              </w:rPr>
              <w:t>2</w:t>
            </w:r>
            <w:r>
              <w:rPr>
                <w:rFonts w:ascii="Times New Roman"/>
                <w:bCs/>
                <w:color w:val="000000" w:themeColor="text1"/>
                <w:sz w:val="24"/>
                <w:szCs w:val="24"/>
                <w:highlight w:val="none"/>
                <w:lang w:bidi="ar"/>
                <w14:textFill>
                  <w14:solidFill>
                    <w14:schemeClr w14:val="tx1"/>
                  </w14:solidFill>
                </w14:textFill>
              </w:rPr>
              <w:t>：0t/a、NO</w:t>
            </w:r>
            <w:r>
              <w:rPr>
                <w:rFonts w:ascii="Times New Roman"/>
                <w:bCs/>
                <w:color w:val="000000" w:themeColor="text1"/>
                <w:sz w:val="24"/>
                <w:szCs w:val="24"/>
                <w:highlight w:val="none"/>
                <w:vertAlign w:val="subscript"/>
                <w:lang w:bidi="ar"/>
                <w14:textFill>
                  <w14:solidFill>
                    <w14:schemeClr w14:val="tx1"/>
                  </w14:solidFill>
                </w14:textFill>
              </w:rPr>
              <w:t>X</w:t>
            </w:r>
            <w:r>
              <w:rPr>
                <w:rFonts w:ascii="Times New Roman"/>
                <w:bCs/>
                <w:color w:val="000000" w:themeColor="text1"/>
                <w:sz w:val="24"/>
                <w:szCs w:val="24"/>
                <w:highlight w:val="none"/>
                <w:lang w:bidi="ar"/>
                <w14:textFill>
                  <w14:solidFill>
                    <w14:schemeClr w14:val="tx1"/>
                  </w14:solidFill>
                </w14:textFill>
              </w:rPr>
              <w:t>：0t/a</w:t>
            </w:r>
          </w:p>
          <w:p>
            <w:pPr>
              <w:spacing w:line="360" w:lineRule="auto"/>
              <w:ind w:firstLine="480" w:firstLineChars="200"/>
              <w:jc w:val="both"/>
              <w:rPr>
                <w:rFonts w:hint="eastAsia" w:ascii="Times New Roman"/>
                <w:bCs/>
                <w:color w:val="000000" w:themeColor="text1"/>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综上，</w:t>
            </w:r>
            <w:r>
              <w:rPr>
                <w:rFonts w:ascii="Times New Roman"/>
                <w:color w:val="000000" w:themeColor="text1"/>
                <w:sz w:val="24"/>
                <w:szCs w:val="24"/>
                <w:highlight w:val="none"/>
                <w:lang w:bidi="ar"/>
                <w14:textFill>
                  <w14:solidFill>
                    <w14:schemeClr w14:val="tx1"/>
                  </w14:solidFill>
                </w14:textFill>
              </w:rPr>
              <w:t>项目总量控制指标为：</w:t>
            </w:r>
            <w:r>
              <w:rPr>
                <w:rFonts w:ascii="Times New Roman"/>
                <w:bCs/>
                <w:color w:val="000000" w:themeColor="text1"/>
                <w:sz w:val="24"/>
                <w:szCs w:val="24"/>
                <w:highlight w:val="none"/>
                <w:lang w:bidi="ar"/>
                <w14:textFill>
                  <w14:solidFill>
                    <w14:schemeClr w14:val="tx1"/>
                  </w14:solidFill>
                </w14:textFill>
              </w:rPr>
              <w:t>COD：</w:t>
            </w:r>
            <w:r>
              <w:rPr>
                <w:rFonts w:hint="eastAsia" w:ascii="Times New Roman"/>
                <w:bCs/>
                <w:color w:val="000000" w:themeColor="text1"/>
                <w:sz w:val="24"/>
                <w:szCs w:val="24"/>
                <w:highlight w:val="none"/>
                <w:lang w:bidi="ar"/>
                <w14:textFill>
                  <w14:solidFill>
                    <w14:schemeClr w14:val="tx1"/>
                  </w14:solidFill>
                </w14:textFill>
              </w:rPr>
              <w:t>0</w:t>
            </w:r>
            <w:r>
              <w:rPr>
                <w:rFonts w:ascii="Times New Roman"/>
                <w:bCs/>
                <w:color w:val="000000" w:themeColor="text1"/>
                <w:sz w:val="24"/>
                <w:szCs w:val="24"/>
                <w:highlight w:val="none"/>
                <w:lang w:bidi="ar"/>
                <w14:textFill>
                  <w14:solidFill>
                    <w14:schemeClr w14:val="tx1"/>
                  </w14:solidFill>
                </w14:textFill>
              </w:rPr>
              <w:t>t/a、氨氮：0t/a、SO</w:t>
            </w:r>
            <w:r>
              <w:rPr>
                <w:rFonts w:ascii="Times New Roman"/>
                <w:bCs/>
                <w:color w:val="000000" w:themeColor="text1"/>
                <w:sz w:val="24"/>
                <w:szCs w:val="24"/>
                <w:highlight w:val="none"/>
                <w:vertAlign w:val="subscript"/>
                <w:lang w:bidi="ar"/>
                <w14:textFill>
                  <w14:solidFill>
                    <w14:schemeClr w14:val="tx1"/>
                  </w14:solidFill>
                </w14:textFill>
              </w:rPr>
              <w:t>2</w:t>
            </w:r>
            <w:r>
              <w:rPr>
                <w:rFonts w:ascii="Times New Roman"/>
                <w:bCs/>
                <w:color w:val="000000" w:themeColor="text1"/>
                <w:sz w:val="24"/>
                <w:szCs w:val="24"/>
                <w:highlight w:val="none"/>
                <w:lang w:bidi="ar"/>
                <w14:textFill>
                  <w14:solidFill>
                    <w14:schemeClr w14:val="tx1"/>
                  </w14:solidFill>
                </w14:textFill>
              </w:rPr>
              <w:t>：0t/a、NO</w:t>
            </w:r>
            <w:r>
              <w:rPr>
                <w:rFonts w:ascii="Times New Roman"/>
                <w:bCs/>
                <w:color w:val="000000" w:themeColor="text1"/>
                <w:sz w:val="24"/>
                <w:szCs w:val="24"/>
                <w:highlight w:val="none"/>
                <w:vertAlign w:val="subscript"/>
                <w:lang w:bidi="ar"/>
                <w14:textFill>
                  <w14:solidFill>
                    <w14:schemeClr w14:val="tx1"/>
                  </w14:solidFill>
                </w14:textFill>
              </w:rPr>
              <w:t>X</w:t>
            </w:r>
            <w:r>
              <w:rPr>
                <w:rFonts w:ascii="Times New Roman"/>
                <w:bCs/>
                <w:color w:val="000000" w:themeColor="text1"/>
                <w:sz w:val="24"/>
                <w:szCs w:val="24"/>
                <w:highlight w:val="none"/>
                <w:lang w:bidi="ar"/>
                <w14:textFill>
                  <w14:solidFill>
                    <w14:schemeClr w14:val="tx1"/>
                  </w14:solidFill>
                </w14:textFill>
              </w:rPr>
              <w:t>：0t/a</w:t>
            </w:r>
            <w:r>
              <w:rPr>
                <w:rFonts w:hint="eastAsia" w:ascii="Times New Roman"/>
                <w:bCs/>
                <w:color w:val="000000" w:themeColor="text1"/>
                <w:sz w:val="24"/>
                <w:szCs w:val="24"/>
                <w:highlight w:val="none"/>
                <w:lang w:bidi="ar"/>
                <w14:textFill>
                  <w14:solidFill>
                    <w14:schemeClr w14:val="tx1"/>
                  </w14:solidFill>
                </w14:textFill>
              </w:rPr>
              <w:t>。</w:t>
            </w: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rFonts w:hint="eastAsia" w:ascii="Times New Roman"/>
                <w:bCs/>
                <w:color w:val="000000" w:themeColor="text1"/>
                <w:sz w:val="24"/>
                <w:szCs w:val="24"/>
                <w:highlight w:val="none"/>
                <w:lang w:bidi="ar"/>
                <w14:textFill>
                  <w14:solidFill>
                    <w14:schemeClr w14:val="tx1"/>
                  </w14:solidFill>
                </w14:textFill>
              </w:rPr>
            </w:pPr>
          </w:p>
          <w:p>
            <w:pPr>
              <w:rPr>
                <w:rFonts w:hint="eastAsia" w:ascii="Times New Roman"/>
                <w:bCs/>
                <w:color w:val="000000" w:themeColor="text1"/>
                <w:sz w:val="24"/>
                <w:szCs w:val="24"/>
                <w:highlight w:val="none"/>
                <w:lang w:bidi="ar"/>
                <w14:textFill>
                  <w14:solidFill>
                    <w14:schemeClr w14:val="tx1"/>
                  </w14:solidFill>
                </w14:textFill>
              </w:rPr>
            </w:pPr>
          </w:p>
          <w:p>
            <w:pPr>
              <w:pStyle w:val="51"/>
              <w:rPr>
                <w:color w:val="000000" w:themeColor="text1"/>
                <w:highlight w:val="none"/>
                <w14:textFill>
                  <w14:solidFill>
                    <w14:schemeClr w14:val="tx1"/>
                  </w14:solidFill>
                </w14:textFill>
              </w:rPr>
            </w:pPr>
          </w:p>
        </w:tc>
      </w:tr>
    </w:tbl>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6"/>
          <w:szCs w:val="36"/>
          <w:highlight w:val="none"/>
          <w14:textFill>
            <w14:solidFill>
              <w14:schemeClr w14:val="tx1"/>
            </w14:solidFill>
          </w14:textFill>
        </w:rPr>
        <w:br w:type="page"/>
      </w:r>
      <w:bookmarkStart w:id="16" w:name="_Toc7730"/>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bookmarkEnd w:id="16"/>
    </w:p>
    <w:tbl>
      <w:tblPr>
        <w:tblStyle w:val="53"/>
        <w:tblW w:w="93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42"/>
        <w:gridCol w:w="84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2" w:type="dxa"/>
            <w:tcMar>
              <w:left w:w="28" w:type="dxa"/>
              <w:right w:w="28" w:type="dxa"/>
            </w:tcMar>
            <w:vAlign w:val="center"/>
          </w:tcPr>
          <w:p>
            <w:pPr>
              <w:spacing w:line="360" w:lineRule="auto"/>
              <w:jc w:val="center"/>
              <w:rPr>
                <w:rFonts w:ascii="Times New Roman"/>
                <w:bCs/>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施工期环境保护措施</w:t>
            </w:r>
          </w:p>
        </w:tc>
        <w:tc>
          <w:tcPr>
            <w:tcW w:w="8459" w:type="dxa"/>
            <w:vAlign w:val="center"/>
          </w:tcPr>
          <w:p>
            <w:pPr>
              <w:autoSpaceDE w:val="0"/>
              <w:autoSpaceDN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snapToGrid w:val="0"/>
                <w:color w:val="000000" w:themeColor="text1"/>
                <w:sz w:val="24"/>
                <w:szCs w:val="24"/>
                <w:highlight w:val="none"/>
                <w14:textFill>
                  <w14:solidFill>
                    <w14:schemeClr w14:val="tx1"/>
                  </w14:solidFill>
                </w14:textFill>
              </w:rPr>
              <w:t>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w:t>
            </w:r>
            <w:r>
              <w:rPr>
                <w:rFonts w:ascii="Times New Roman"/>
                <w:color w:val="000000" w:themeColor="text1"/>
                <w:sz w:val="24"/>
                <w:szCs w:val="24"/>
                <w:highlight w:val="none"/>
                <w14:textFill>
                  <w14:solidFill>
                    <w14:schemeClr w14:val="tx1"/>
                  </w14:solidFill>
                </w14:textFill>
              </w:rPr>
              <w:t>环境影响报告表中针对升压站建设对周围的水、大气、声、固体废物及生态环境影响已做详尽分析，升压站土建等过程建设已包括在原环评中，因此本报告表针对升压站产生的电磁辐射详细分析，其余升压站产生的水、大气、声及生态环境影响进行引用</w:t>
            </w:r>
            <w:r>
              <w:rPr>
                <w:rFonts w:hint="eastAsia" w:ascii="Times New Roman"/>
                <w:snapToGrid w:val="0"/>
                <w:color w:val="000000" w:themeColor="text1"/>
                <w:sz w:val="24"/>
                <w:szCs w:val="24"/>
                <w:highlight w:val="none"/>
                <w14:textFill>
                  <w14:solidFill>
                    <w14:schemeClr w14:val="tx1"/>
                  </w14:solidFill>
                </w14:textFill>
              </w:rPr>
              <w:t>承德燕能宝石山风电场</w:t>
            </w:r>
            <w:r>
              <w:rPr>
                <w:rFonts w:hint="eastAsia" w:ascii="Times New Roman"/>
                <w:snapToGrid w:val="0"/>
                <w:color w:val="000000" w:themeColor="text1"/>
                <w:sz w:val="24"/>
                <w:szCs w:val="24"/>
                <w:highlight w:val="none"/>
                <w:lang w:val="en-US" w:eastAsia="zh-CN"/>
                <w14:textFill>
                  <w14:solidFill>
                    <w14:schemeClr w14:val="tx1"/>
                  </w14:solidFill>
                </w14:textFill>
              </w:rPr>
              <w:t>项目</w:t>
            </w:r>
            <w:r>
              <w:rPr>
                <w:rFonts w:ascii="Times New Roman"/>
                <w:color w:val="000000" w:themeColor="text1"/>
                <w:sz w:val="24"/>
                <w:szCs w:val="24"/>
                <w:highlight w:val="none"/>
                <w14:textFill>
                  <w14:solidFill>
                    <w14:schemeClr w14:val="tx1"/>
                  </w14:solidFill>
                </w14:textFill>
              </w:rPr>
              <w:t>环境影响报告表环境影响评价结论。</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项目施工期环境影响及污染物控制措施如下：</w:t>
            </w:r>
          </w:p>
          <w:p>
            <w:pPr>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1、大气污染影响分析</w:t>
            </w:r>
          </w:p>
          <w:p>
            <w:pPr>
              <w:adjustRightInd w:val="0"/>
              <w:snapToGrid w:val="0"/>
              <w:spacing w:line="360" w:lineRule="auto"/>
              <w:ind w:firstLine="480" w:firstLineChars="200"/>
              <w:rPr>
                <w:bCs/>
                <w:color w:val="000000" w:themeColor="text1"/>
                <w:sz w:val="24"/>
                <w:szCs w:val="24"/>
                <w:highlight w:val="none"/>
                <w14:textFill>
                  <w14:solidFill>
                    <w14:schemeClr w14:val="tx1"/>
                  </w14:solidFill>
                </w14:textFill>
              </w:rPr>
            </w:pPr>
            <w:r>
              <w:rPr>
                <w:rFonts w:hint="eastAsia" w:ascii="Times New Roman" w:cs="宋体"/>
                <w:bCs/>
                <w:color w:val="000000" w:themeColor="text1"/>
                <w:sz w:val="24"/>
                <w:szCs w:val="24"/>
                <w:highlight w:val="none"/>
                <w:lang w:bidi="ar"/>
                <w14:textFill>
                  <w14:solidFill>
                    <w14:schemeClr w14:val="tx1"/>
                  </w14:solidFill>
                </w14:textFill>
              </w:rPr>
              <w:t>施工阶段，尤其是施工初期，主要有基础开挖、车辆行驶等施工活动和裸露场地风蚀产生扬尘。施工过程中，车辆运输散体材料和废弃物时，必须采用密闭式防尘布进行苫盖，避免沿途漏撒；加强材料转运与使用的管理，合理堆料，加盖苫布，防止物料裸露，文明施工；对进出施工场地的车辆进行冲洗、限制车速，减少或避免产生扬尘；施工现场设置围挡，施工临时中转土方要合理堆放苫盖；定期洒水进行扬尘控制；施工结束后，按“工完料尽场地清”的原则立即进行空地硬化和覆盖，减少裸露地面面积。</w:t>
            </w:r>
          </w:p>
          <w:p>
            <w:pPr>
              <w:adjustRightInd w:val="0"/>
              <w:snapToGrid w:val="0"/>
              <w:spacing w:line="360" w:lineRule="auto"/>
              <w:ind w:firstLine="480" w:firstLineChars="200"/>
              <w:rPr>
                <w:bCs/>
                <w:color w:val="000000" w:themeColor="text1"/>
                <w:sz w:val="24"/>
                <w:szCs w:val="24"/>
                <w:highlight w:val="none"/>
                <w14:textFill>
                  <w14:solidFill>
                    <w14:schemeClr w14:val="tx1"/>
                  </w14:solidFill>
                </w14:textFill>
              </w:rPr>
            </w:pPr>
            <w:r>
              <w:rPr>
                <w:rFonts w:hint="eastAsia" w:ascii="Times New Roman" w:cs="宋体"/>
                <w:bCs/>
                <w:color w:val="000000" w:themeColor="text1"/>
                <w:sz w:val="24"/>
                <w:szCs w:val="24"/>
                <w:highlight w:val="none"/>
                <w:lang w:bidi="ar"/>
                <w14:textFill>
                  <w14:solidFill>
                    <w14:schemeClr w14:val="tx1"/>
                  </w14:solidFill>
                </w14:textFill>
              </w:rPr>
              <w:t>经过严格采取上述一系列措施，施工期扬尘可控制在合理范围内。施工场地下风向</w:t>
            </w:r>
            <w:r>
              <w:rPr>
                <w:rFonts w:ascii="Times New Roman"/>
                <w:bCs/>
                <w:color w:val="000000" w:themeColor="text1"/>
                <w:sz w:val="24"/>
                <w:szCs w:val="24"/>
                <w:highlight w:val="none"/>
                <w:lang w:bidi="ar"/>
                <w14:textFill>
                  <w14:solidFill>
                    <w14:schemeClr w14:val="tx1"/>
                  </w14:solidFill>
                </w14:textFill>
              </w:rPr>
              <w:t>PM</w:t>
            </w:r>
            <w:r>
              <w:rPr>
                <w:rFonts w:ascii="Times New Roman"/>
                <w:bCs/>
                <w:color w:val="000000" w:themeColor="text1"/>
                <w:sz w:val="24"/>
                <w:szCs w:val="24"/>
                <w:highlight w:val="none"/>
                <w:vertAlign w:val="subscript"/>
                <w:lang w:bidi="ar"/>
                <w14:textFill>
                  <w14:solidFill>
                    <w14:schemeClr w14:val="tx1"/>
                  </w14:solidFill>
                </w14:textFill>
              </w:rPr>
              <w:t>10</w:t>
            </w:r>
            <w:r>
              <w:rPr>
                <w:rFonts w:hint="eastAsia" w:ascii="Times New Roman" w:cs="宋体"/>
                <w:bCs/>
                <w:color w:val="000000" w:themeColor="text1"/>
                <w:sz w:val="24"/>
                <w:szCs w:val="24"/>
                <w:highlight w:val="none"/>
                <w:lang w:bidi="ar"/>
                <w14:textFill>
                  <w14:solidFill>
                    <w14:schemeClr w14:val="tx1"/>
                  </w14:solidFill>
                </w14:textFill>
              </w:rPr>
              <w:t>浓度低于《施工场地扬尘排放标准》（</w:t>
            </w:r>
            <w:r>
              <w:rPr>
                <w:rFonts w:ascii="Times New Roman"/>
                <w:bCs/>
                <w:color w:val="000000" w:themeColor="text1"/>
                <w:sz w:val="24"/>
                <w:szCs w:val="24"/>
                <w:highlight w:val="none"/>
                <w:lang w:bidi="ar"/>
                <w14:textFill>
                  <w14:solidFill>
                    <w14:schemeClr w14:val="tx1"/>
                  </w14:solidFill>
                </w14:textFill>
              </w:rPr>
              <w:t>DB 13/2934-2019</w:t>
            </w:r>
            <w:r>
              <w:rPr>
                <w:rFonts w:hint="eastAsia" w:ascii="Times New Roman" w:cs="宋体"/>
                <w:bCs/>
                <w:color w:val="000000" w:themeColor="text1"/>
                <w:sz w:val="24"/>
                <w:szCs w:val="24"/>
                <w:highlight w:val="none"/>
                <w:lang w:bidi="ar"/>
                <w14:textFill>
                  <w14:solidFill>
                    <w14:schemeClr w14:val="tx1"/>
                  </w14:solidFill>
                </w14:textFill>
              </w:rPr>
              <w:t>）表</w:t>
            </w:r>
            <w:r>
              <w:rPr>
                <w:rFonts w:ascii="Times New Roman"/>
                <w:bCs/>
                <w:color w:val="000000" w:themeColor="text1"/>
                <w:sz w:val="24"/>
                <w:szCs w:val="24"/>
                <w:highlight w:val="none"/>
                <w:lang w:bidi="ar"/>
                <w14:textFill>
                  <w14:solidFill>
                    <w14:schemeClr w14:val="tx1"/>
                  </w14:solidFill>
                </w14:textFill>
              </w:rPr>
              <w:t>1</w:t>
            </w:r>
            <w:r>
              <w:rPr>
                <w:rFonts w:hint="eastAsia" w:ascii="Times New Roman" w:cs="宋体"/>
                <w:bCs/>
                <w:color w:val="000000" w:themeColor="text1"/>
                <w:sz w:val="24"/>
                <w:szCs w:val="24"/>
                <w:highlight w:val="none"/>
                <w:lang w:bidi="ar"/>
                <w14:textFill>
                  <w14:solidFill>
                    <w14:schemeClr w14:val="tx1"/>
                  </w14:solidFill>
                </w14:textFill>
              </w:rPr>
              <w:t>扬尘排放浓度限值，即不大于</w:t>
            </w:r>
            <w:r>
              <w:rPr>
                <w:rFonts w:ascii="Times New Roman"/>
                <w:bCs/>
                <w:color w:val="000000" w:themeColor="text1"/>
                <w:sz w:val="24"/>
                <w:szCs w:val="24"/>
                <w:highlight w:val="none"/>
                <w:lang w:bidi="ar"/>
                <w14:textFill>
                  <w14:solidFill>
                    <w14:schemeClr w14:val="tx1"/>
                  </w14:solidFill>
                </w14:textFill>
              </w:rPr>
              <w:t>0.08mg/m</w:t>
            </w:r>
            <w:r>
              <w:rPr>
                <w:rFonts w:ascii="Times New Roman"/>
                <w:bCs/>
                <w:color w:val="000000" w:themeColor="text1"/>
                <w:sz w:val="24"/>
                <w:szCs w:val="24"/>
                <w:highlight w:val="none"/>
                <w:vertAlign w:val="superscript"/>
                <w:lang w:bidi="ar"/>
                <w14:textFill>
                  <w14:solidFill>
                    <w14:schemeClr w14:val="tx1"/>
                  </w14:solidFill>
                </w14:textFill>
              </w:rPr>
              <w:t>3</w:t>
            </w:r>
            <w:r>
              <w:rPr>
                <w:rFonts w:hint="eastAsia" w:ascii="Times New Roman" w:cs="宋体"/>
                <w:bCs/>
                <w:color w:val="000000" w:themeColor="text1"/>
                <w:sz w:val="24"/>
                <w:szCs w:val="24"/>
                <w:highlight w:val="none"/>
                <w:lang w:bidi="ar"/>
                <w14:textFill>
                  <w14:solidFill>
                    <w14:schemeClr w14:val="tx1"/>
                  </w14:solidFill>
                </w14:textFill>
              </w:rPr>
              <w:t>（不包含背景值）。由于施工期较短，采取措施后可有效抑制扬尘的产生，对周围大气环境影响较小。</w:t>
            </w:r>
          </w:p>
          <w:p>
            <w:pPr>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2、</w:t>
            </w:r>
            <w:r>
              <w:rPr>
                <w:rFonts w:ascii="Times New Roman"/>
                <w:b/>
                <w:bCs/>
                <w:color w:val="000000" w:themeColor="text1"/>
                <w:sz w:val="24"/>
                <w:szCs w:val="24"/>
                <w:highlight w:val="none"/>
                <w14:textFill>
                  <w14:solidFill>
                    <w14:schemeClr w14:val="tx1"/>
                  </w14:solidFill>
                </w14:textFill>
              </w:rPr>
              <w:t>水环境影响分析</w:t>
            </w:r>
          </w:p>
          <w:p>
            <w:pPr>
              <w:spacing w:line="360" w:lineRule="auto"/>
              <w:ind w:firstLine="480" w:firstLineChars="200"/>
              <w:rPr>
                <w:rFonts w:hint="eastAsia" w:ascii="Times New Roman"/>
                <w:b/>
                <w:bCs/>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本项目施工期产生的施工设备清洗和水泥养护排水，水量较小，主要污染物为泥沙</w:t>
            </w:r>
            <w:r>
              <w:rPr>
                <w:rFonts w:hint="eastAsia" w:ascii="Times New Roman"/>
                <w:color w:val="000000" w:themeColor="text1"/>
                <w:sz w:val="24"/>
                <w:szCs w:val="24"/>
                <w:highlight w:val="none"/>
                <w:lang w:eastAsia="zh-CN" w:bidi="ar"/>
                <w14:textFill>
                  <w14:solidFill>
                    <w14:schemeClr w14:val="tx1"/>
                  </w14:solidFill>
                </w14:textFill>
              </w:rPr>
              <w:t>，</w:t>
            </w:r>
            <w:r>
              <w:rPr>
                <w:rFonts w:hint="eastAsia" w:ascii="Times New Roman"/>
                <w:color w:val="000000" w:themeColor="text1"/>
                <w:sz w:val="24"/>
                <w:szCs w:val="24"/>
                <w:highlight w:val="none"/>
                <w:lang w:bidi="ar"/>
                <w14:textFill>
                  <w14:solidFill>
                    <w14:schemeClr w14:val="tx1"/>
                  </w14:solidFill>
                </w14:textFill>
              </w:rPr>
              <w:t>对环境影响较小。施工场地设简易沉淀池，将施工废水收集沉淀后，用于场地泼洒降尘。建设期间，</w:t>
            </w:r>
            <w:r>
              <w:rPr>
                <w:rFonts w:hint="eastAsia" w:ascii="Times New Roman"/>
                <w:color w:val="000000" w:themeColor="text1"/>
                <w:sz w:val="24"/>
                <w:szCs w:val="24"/>
                <w:highlight w:val="none"/>
                <w:lang w:val="en-US" w:eastAsia="zh-CN" w:bidi="ar"/>
                <w14:textFill>
                  <w14:solidFill>
                    <w14:schemeClr w14:val="tx1"/>
                  </w14:solidFill>
                </w14:textFill>
              </w:rPr>
              <w:t>升压站</w:t>
            </w:r>
            <w:r>
              <w:rPr>
                <w:rFonts w:hint="eastAsia" w:ascii="Times New Roman"/>
                <w:color w:val="000000" w:themeColor="text1"/>
                <w:sz w:val="24"/>
                <w:szCs w:val="24"/>
                <w:highlight w:val="none"/>
                <w:lang w:bidi="ar"/>
                <w14:textFill>
                  <w14:solidFill>
                    <w14:schemeClr w14:val="tx1"/>
                  </w14:solidFill>
                </w14:textFill>
              </w:rPr>
              <w:t>施工现场施工人数为</w:t>
            </w:r>
            <w:r>
              <w:rPr>
                <w:rFonts w:ascii="Times New Roman"/>
                <w:color w:val="000000" w:themeColor="text1"/>
                <w:sz w:val="24"/>
                <w:szCs w:val="24"/>
                <w:highlight w:val="none"/>
                <w:lang w:bidi="ar"/>
                <w14:textFill>
                  <w14:solidFill>
                    <w14:schemeClr w14:val="tx1"/>
                  </w14:solidFill>
                </w14:textFill>
              </w:rPr>
              <w:t>30</w:t>
            </w:r>
            <w:r>
              <w:rPr>
                <w:rFonts w:hint="eastAsia" w:ascii="Times New Roman"/>
                <w:color w:val="000000" w:themeColor="text1"/>
                <w:sz w:val="24"/>
                <w:szCs w:val="24"/>
                <w:highlight w:val="none"/>
                <w:lang w:bidi="ar"/>
                <w14:textFill>
                  <w14:solidFill>
                    <w14:schemeClr w14:val="tx1"/>
                  </w14:solidFill>
                </w14:textFill>
              </w:rPr>
              <w:t>人，产生的生活污水为职工盥洗废水，水量较小，设置防渗移动厕所，定期清掏用作农肥。本项目工期约</w:t>
            </w:r>
            <w:r>
              <w:rPr>
                <w:rFonts w:hint="eastAsia" w:ascii="Times New Roman"/>
                <w:color w:val="000000" w:themeColor="text1"/>
                <w:sz w:val="24"/>
                <w:szCs w:val="24"/>
                <w:highlight w:val="none"/>
                <w:lang w:val="en-US" w:eastAsia="zh-CN" w:bidi="ar"/>
                <w14:textFill>
                  <w14:solidFill>
                    <w14:schemeClr w14:val="tx1"/>
                  </w14:solidFill>
                </w14:textFill>
              </w:rPr>
              <w:t>10</w:t>
            </w:r>
            <w:r>
              <w:rPr>
                <w:rFonts w:hint="eastAsia" w:ascii="Times New Roman"/>
                <w:color w:val="000000" w:themeColor="text1"/>
                <w:sz w:val="24"/>
                <w:szCs w:val="24"/>
                <w:highlight w:val="none"/>
                <w:lang w:bidi="ar"/>
                <w14:textFill>
                  <w14:solidFill>
                    <w14:schemeClr w14:val="tx1"/>
                  </w14:solidFill>
                </w14:textFill>
              </w:rPr>
              <w:t>个月，在做好上述环保措施的基础上，施工过程中产生的废、污水不会对周围水环境产生不良影响。</w:t>
            </w:r>
          </w:p>
          <w:p>
            <w:pPr>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3、</w:t>
            </w:r>
            <w:r>
              <w:rPr>
                <w:rFonts w:ascii="Times New Roman"/>
                <w:b/>
                <w:bCs/>
                <w:color w:val="000000" w:themeColor="text1"/>
                <w:sz w:val="24"/>
                <w:szCs w:val="24"/>
                <w:highlight w:val="none"/>
                <w14:textFill>
                  <w14:solidFill>
                    <w14:schemeClr w14:val="tx1"/>
                  </w14:solidFill>
                </w14:textFill>
              </w:rPr>
              <w:t>声环境影响分析</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施工期产生噪声的施工项目，主要为基础土方开挖和回填、基础浇筑、机组设备运输安装等。主要产生噪声的施工机械有翻斗机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推土机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装载机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挖掘机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平地机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空压机</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振捣棒</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砼输送泵</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电锯等。这些噪声源的噪声级分别在</w:t>
            </w:r>
            <w:r>
              <w:rPr>
                <w:rFonts w:hint="eastAsia" w:ascii="Times New Roman"/>
                <w:color w:val="000000" w:themeColor="text1"/>
                <w:sz w:val="24"/>
                <w:szCs w:val="24"/>
                <w:highlight w:val="none"/>
                <w14:textFill>
                  <w14:solidFill>
                    <w14:schemeClr w14:val="tx1"/>
                  </w14:solidFill>
                </w14:textFill>
              </w:rPr>
              <w:t>50</w:t>
            </w:r>
            <w:r>
              <w:rPr>
                <w:rFonts w:ascii="Times New Roman"/>
                <w:color w:val="000000" w:themeColor="text1"/>
                <w:sz w:val="24"/>
                <w:szCs w:val="24"/>
                <w:highlight w:val="none"/>
                <w14:textFill>
                  <w14:solidFill>
                    <w14:schemeClr w14:val="tx1"/>
                  </w14:solidFill>
                </w14:textFill>
              </w:rPr>
              <w:t>dB（A）~95dB（A）之间。主要施工机械设备的</w:t>
            </w:r>
            <w:r>
              <w:rPr>
                <w:rFonts w:hint="eastAsia" w:ascii="Times New Roman"/>
                <w:color w:val="000000" w:themeColor="text1"/>
                <w:sz w:val="24"/>
                <w:szCs w:val="24"/>
                <w:highlight w:val="none"/>
                <w14:textFill>
                  <w14:solidFill>
                    <w14:schemeClr w14:val="tx1"/>
                  </w14:solidFill>
                </w14:textFill>
              </w:rPr>
              <w:t>噪声</w:t>
            </w:r>
            <w:r>
              <w:rPr>
                <w:rFonts w:ascii="Times New Roman"/>
                <w:color w:val="000000" w:themeColor="text1"/>
                <w:sz w:val="24"/>
                <w:szCs w:val="24"/>
                <w:highlight w:val="none"/>
                <w14:textFill>
                  <w14:solidFill>
                    <w14:schemeClr w14:val="tx1"/>
                  </w14:solidFill>
                </w14:textFill>
              </w:rPr>
              <w:t>值见表4-1。</w:t>
            </w:r>
          </w:p>
          <w:p>
            <w:pPr>
              <w:pStyle w:val="2"/>
              <w:ind w:firstLine="0"/>
              <w:jc w:val="center"/>
              <w:rPr>
                <w:rFonts w:ascii="Times New Roman"/>
                <w:b/>
                <w:bCs/>
                <w:color w:val="000000" w:themeColor="text1"/>
                <w:sz w:val="24"/>
                <w:szCs w:val="24"/>
                <w:highlight w:val="none"/>
                <w14:textFill>
                  <w14:solidFill>
                    <w14:schemeClr w14:val="tx1"/>
                  </w14:solidFill>
                </w14:textFill>
              </w:rPr>
            </w:pPr>
            <w:r>
              <w:rPr>
                <w:rFonts w:hint="eastAsia" w:ascii="Times New Roman" w:cs="Arial"/>
                <w:b/>
                <w:bCs/>
                <w:color w:val="000000" w:themeColor="text1"/>
                <w:sz w:val="24"/>
                <w:szCs w:val="24"/>
                <w:highlight w:val="none"/>
                <w:lang w:bidi="ar"/>
                <w14:textFill>
                  <w14:solidFill>
                    <w14:schemeClr w14:val="tx1"/>
                  </w14:solidFill>
                </w14:textFill>
              </w:rPr>
              <w:t>表4-1  主要机械设备噪声值及达标距离</w:t>
            </w:r>
          </w:p>
          <w:tbl>
            <w:tblPr>
              <w:tblStyle w:val="5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38"/>
              <w:gridCol w:w="1234"/>
              <w:gridCol w:w="1508"/>
              <w:gridCol w:w="1624"/>
              <w:gridCol w:w="1460"/>
              <w:gridCol w:w="1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690"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施工阶段</w:t>
                  </w: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机械设备</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噪声值dB(A)</w:t>
                  </w:r>
                </w:p>
              </w:tc>
              <w:tc>
                <w:tcPr>
                  <w:tcW w:w="98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距声源距离（m）</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达标距离（m）</w:t>
                  </w:r>
                </w:p>
              </w:tc>
              <w:tc>
                <w:tcPr>
                  <w:tcW w:w="77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4" w:hRule="atLeast"/>
                <w:jc w:val="center"/>
              </w:trPr>
              <w:tc>
                <w:tcPr>
                  <w:tcW w:w="690" w:type="pct"/>
                  <w:vMerge w:val="restar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土石方</w:t>
                  </w: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翻斗机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89</w:t>
                  </w:r>
                </w:p>
              </w:tc>
              <w:tc>
                <w:tcPr>
                  <w:tcW w:w="98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c>
                <w:tcPr>
                  <w:tcW w:w="775" w:type="pct"/>
                  <w:vMerge w:val="restart"/>
                  <w:noWrap w:val="0"/>
                  <w:vAlign w:val="center"/>
                </w:tcPr>
                <w:p>
                  <w:pPr>
                    <w:pStyle w:val="217"/>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昼间：</w:t>
                  </w:r>
                </w:p>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70dB(A)</w:t>
                  </w:r>
                </w:p>
                <w:p>
                  <w:pPr>
                    <w:pStyle w:val="217"/>
                    <w:adjustRightInd/>
                    <w:snapToGrid/>
                    <w:spacing w:line="240" w:lineRule="auto"/>
                    <w:ind w:firstLine="0" w:firstLineChars="0"/>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夜间：</w:t>
                  </w:r>
                </w:p>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7"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推土机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c>
                <w:tcPr>
                  <w:tcW w:w="98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装载机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86</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5"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挖掘机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690" w:type="pct"/>
                  <w:vMerge w:val="restar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基础施工</w:t>
                  </w: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平地机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86</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37</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空压机</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w:t>
                  </w:r>
                  <w:r>
                    <w:rPr>
                      <w:color w:val="000000" w:themeColor="text1"/>
                      <w:sz w:val="21"/>
                      <w:szCs w:val="21"/>
                      <w:highlight w:val="none"/>
                      <w14:textFill>
                        <w14:solidFill>
                          <w14:schemeClr w14:val="tx1"/>
                        </w14:solidFill>
                      </w14:textFill>
                    </w:rPr>
                    <w:t>0</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5" w:hRule="atLeast"/>
                <w:jc w:val="center"/>
              </w:trPr>
              <w:tc>
                <w:tcPr>
                  <w:tcW w:w="690" w:type="pct"/>
                  <w:vMerge w:val="restar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结构施工</w:t>
                  </w: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振捣棒</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91</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64</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6"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砼输送泵</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89</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6" w:hRule="atLeast"/>
                <w:jc w:val="center"/>
              </w:trPr>
              <w:tc>
                <w:tcPr>
                  <w:tcW w:w="690"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c>
                <w:tcPr>
                  <w:tcW w:w="748"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电锯</w:t>
                  </w:r>
                </w:p>
              </w:tc>
              <w:tc>
                <w:tcPr>
                  <w:tcW w:w="914"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w:t>
                  </w:r>
                </w:p>
              </w:tc>
              <w:tc>
                <w:tcPr>
                  <w:tcW w:w="984"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885" w:type="pct"/>
                  <w:noWrap w:val="0"/>
                  <w:vAlign w:val="center"/>
                </w:tcPr>
                <w:p>
                  <w:pPr>
                    <w:pStyle w:val="217"/>
                    <w:adjustRightInd/>
                    <w:snapToGrid/>
                    <w:spacing w:line="240" w:lineRule="auto"/>
                    <w:ind w:firstLine="0" w:firstLineChars="0"/>
                    <w:jc w:val="center"/>
                    <w:rPr>
                      <w:color w:val="000000" w:themeColor="text1"/>
                      <w:kern w:val="0"/>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775" w:type="pct"/>
                  <w:vMerge w:val="continue"/>
                  <w:noWrap w:val="0"/>
                  <w:vAlign w:val="center"/>
                </w:tcPr>
                <w:p>
                  <w:pPr>
                    <w:widowControl/>
                    <w:jc w:val="center"/>
                    <w:rPr>
                      <w:rFonts w:ascii="Times New Roman"/>
                      <w:color w:val="000000" w:themeColor="text1"/>
                      <w:spacing w:val="1"/>
                      <w:kern w:val="0"/>
                      <w:position w:val="-2"/>
                      <w:highlight w:val="none"/>
                      <w:lang w:val="zh-CN"/>
                      <w14:textFill>
                        <w14:solidFill>
                          <w14:schemeClr w14:val="tx1"/>
                        </w14:solidFill>
                      </w14:textFill>
                    </w:rPr>
                  </w:pPr>
                </w:p>
              </w:tc>
            </w:tr>
          </w:tbl>
          <w:p>
            <w:pPr>
              <w:spacing w:line="360" w:lineRule="auto"/>
              <w:ind w:firstLine="480" w:firstLineChars="200"/>
              <w:rPr>
                <w:rFonts w:hint="eastAsia" w:ascii="Times New Roman" w:cs="Arial"/>
                <w:color w:val="000000" w:themeColor="text1"/>
                <w:sz w:val="24"/>
                <w:szCs w:val="24"/>
                <w:highlight w:val="none"/>
                <w:lang w:bidi="ar"/>
                <w14:textFill>
                  <w14:solidFill>
                    <w14:schemeClr w14:val="tx1"/>
                  </w14:solidFill>
                </w14:textFill>
              </w:rPr>
            </w:pPr>
            <w:r>
              <w:rPr>
                <w:rFonts w:hint="eastAsia" w:ascii="Times New Roman" w:cs="Arial"/>
                <w:color w:val="000000" w:themeColor="text1"/>
                <w:sz w:val="24"/>
                <w:szCs w:val="24"/>
                <w:highlight w:val="none"/>
                <w:lang w:bidi="ar"/>
                <w14:textFill>
                  <w14:solidFill>
                    <w14:schemeClr w14:val="tx1"/>
                  </w14:solidFill>
                </w14:textFill>
              </w:rPr>
              <w:t>施工噪声源可近似为点源，根据点声源衰减模式，可计算出各施工机械的施工场地达标边界距离。在环境影响评价中，应根据声源声功率级或参考位置处的声压级、户外声传播衰减，计算预测点的声级，分别按下式计算。</w:t>
            </w:r>
          </w:p>
          <w:p>
            <w:pPr>
              <w:spacing w:line="360" w:lineRule="auto"/>
              <w:jc w:val="center"/>
              <w:rPr>
                <w:color w:val="000000" w:themeColor="text1"/>
                <w:sz w:val="24"/>
                <w:szCs w:val="24"/>
                <w:highlight w:val="none"/>
                <w14:textFill>
                  <w14:solidFill>
                    <w14:schemeClr w14:val="tx1"/>
                  </w14:solidFill>
                </w14:textFill>
              </w:rPr>
            </w:pPr>
            <m:oMathPara>
              <m:oMath>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L</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p</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（r）=</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L</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w</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D</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c</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div</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atm</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gr</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bar</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sSub>
                  <m:sSubP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SubPr>
                  <m:e>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A</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e>
                  <m:sub>
                    <m:r>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misc</m:t>
                    </m:r>
                    <m:ctrl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ctrlPr>
                  </m:sub>
                </m:sSub>
                <m:r>
                  <m:rPr>
                    <m:sty m:val="p"/>
                  </m:rPr>
                  <w:rPr>
                    <w:rFonts w:hint="default" w:ascii="Cambria Math" w:hAnsi="Cambria Math" w:eastAsia="宋体" w:cs="Times New Roman"/>
                    <w:snapToGrid w:val="0"/>
                    <w:color w:val="000000" w:themeColor="text1"/>
                    <w:spacing w:val="-2"/>
                    <w:kern w:val="0"/>
                    <w:szCs w:val="21"/>
                    <w:highlight w:val="none"/>
                    <w14:textFill>
                      <w14:solidFill>
                        <w14:schemeClr w14:val="tx1"/>
                      </w14:solidFill>
                    </w14:textFill>
                  </w:rPr>
                  <m:t>）</m:t>
                </m:r>
              </m:oMath>
            </m:oMathPara>
          </w:p>
          <w:p>
            <w:pPr>
              <w:spacing w:line="360" w:lineRule="auto"/>
              <w:ind w:firstLine="480" w:firstLineChars="2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式中：</w:t>
            </w:r>
            <w:r>
              <w:rPr>
                <w:rFonts w:ascii="Times New Roman"/>
                <w:bCs/>
                <w:snapToGrid w:val="0"/>
                <w:color w:val="000000" w:themeColor="text1"/>
                <w:spacing w:val="-2"/>
                <w:kern w:val="0"/>
                <w:sz w:val="24"/>
                <w:szCs w:val="24"/>
                <w:highlight w:val="none"/>
                <w14:textFill>
                  <w14:solidFill>
                    <w14:schemeClr w14:val="tx1"/>
                  </w14:solidFill>
                </w14:textFill>
              </w:rPr>
              <w:t>L</w:t>
            </w:r>
            <w:r>
              <w:rPr>
                <w:rFonts w:ascii="Times New Roman"/>
                <w:bCs/>
                <w:snapToGrid w:val="0"/>
                <w:color w:val="000000" w:themeColor="text1"/>
                <w:spacing w:val="-2"/>
                <w:kern w:val="0"/>
                <w:sz w:val="24"/>
                <w:szCs w:val="24"/>
                <w:highlight w:val="none"/>
                <w:vertAlign w:val="subscript"/>
                <w14:textFill>
                  <w14:solidFill>
                    <w14:schemeClr w14:val="tx1"/>
                  </w14:solidFill>
                </w14:textFill>
              </w:rPr>
              <w:t>p</w:t>
            </w:r>
            <w:r>
              <w:rPr>
                <w:rFonts w:ascii="Times New Roman"/>
                <w:bCs/>
                <w:snapToGrid w:val="0"/>
                <w:color w:val="000000" w:themeColor="text1"/>
                <w:spacing w:val="-2"/>
                <w:kern w:val="0"/>
                <w:sz w:val="24"/>
                <w:szCs w:val="24"/>
                <w:highlight w:val="none"/>
                <w14:textFill>
                  <w14:solidFill>
                    <w14:schemeClr w14:val="tx1"/>
                  </w14:solidFill>
                </w14:textFill>
              </w:rPr>
              <w:t>（r）—预测点处声压级，dB；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Lw—由点声源产生的声功率级（A计权或倍频带），dB；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Dc—指向性校正，dB；它描述点声源的等效连续声压级与产生声功率级Lw的全向点声源的规定方向的级的偏差程度，dB；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Adiv—几何发散引起的衰减，dB；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Aatm—大气吸引引起的衰减，dB；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Agr—地面效应引起的衰减，dB；</w:t>
            </w:r>
          </w:p>
          <w:p>
            <w:pPr>
              <w:spacing w:line="360" w:lineRule="auto"/>
              <w:ind w:firstLine="1180" w:firstLineChars="500"/>
              <w:textAlignment w:val="baseline"/>
              <w:rPr>
                <w:rFonts w:ascii="Times New Roman"/>
                <w:bCs/>
                <w:snapToGrid w:val="0"/>
                <w:color w:val="000000" w:themeColor="text1"/>
                <w:spacing w:val="-2"/>
                <w:kern w:val="0"/>
                <w:sz w:val="24"/>
                <w:szCs w:val="24"/>
                <w:highlight w:val="none"/>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Abar—声屏障引起的衰减，dB；</w:t>
            </w:r>
          </w:p>
          <w:p>
            <w:pPr>
              <w:spacing w:line="360" w:lineRule="auto"/>
              <w:ind w:firstLine="1180" w:firstLineChars="500"/>
              <w:rPr>
                <w:rFonts w:ascii="Times New Roman" w:cs="Arial"/>
                <w:color w:val="000000" w:themeColor="text1"/>
                <w:sz w:val="24"/>
                <w:szCs w:val="24"/>
                <w:highlight w:val="none"/>
                <w:lang w:bidi="ar"/>
                <w14:textFill>
                  <w14:solidFill>
                    <w14:schemeClr w14:val="tx1"/>
                  </w14:solidFill>
                </w14:textFill>
              </w:rPr>
            </w:pPr>
            <w:r>
              <w:rPr>
                <w:rFonts w:ascii="Times New Roman"/>
                <w:bCs/>
                <w:snapToGrid w:val="0"/>
                <w:color w:val="000000" w:themeColor="text1"/>
                <w:spacing w:val="-2"/>
                <w:kern w:val="0"/>
                <w:sz w:val="24"/>
                <w:szCs w:val="24"/>
                <w:highlight w:val="none"/>
                <w14:textFill>
                  <w14:solidFill>
                    <w14:schemeClr w14:val="tx1"/>
                  </w14:solidFill>
                </w14:textFill>
              </w:rPr>
              <w:t>Amisc—其他多方面效应引起的衰减，dB。</w:t>
            </w:r>
          </w:p>
          <w:p>
            <w:pPr>
              <w:spacing w:line="360" w:lineRule="auto"/>
              <w:ind w:firstLine="480" w:firstLineChars="200"/>
              <w:rPr>
                <w:rFonts w:hint="eastAsia" w:ascii="Times New Roman" w:cs="Arial"/>
                <w:color w:val="000000" w:themeColor="text1"/>
                <w:highlight w:val="none"/>
                <w:lang w:bidi="ar"/>
                <w14:textFill>
                  <w14:solidFill>
                    <w14:schemeClr w14:val="tx1"/>
                  </w14:solidFill>
                </w14:textFill>
              </w:rPr>
            </w:pPr>
            <w:r>
              <w:rPr>
                <w:rFonts w:hint="eastAsia" w:ascii="Times New Roman" w:cs="Arial"/>
                <w:color w:val="000000" w:themeColor="text1"/>
                <w:sz w:val="24"/>
                <w:szCs w:val="24"/>
                <w:highlight w:val="none"/>
                <w:lang w:bidi="ar"/>
                <w14:textFill>
                  <w14:solidFill>
                    <w14:schemeClr w14:val="tx1"/>
                  </w14:solidFill>
                </w14:textFill>
              </w:rPr>
              <w:t>根据点声源衰减模式计算，项目在施工阶段，距本项目100m处可满足《建筑施工场界环境噪声排放标准》(GB12523-2011)的要求，</w:t>
            </w:r>
            <w:r>
              <w:rPr>
                <w:rFonts w:hint="eastAsia" w:ascii="Times New Roman" w:cs="Arial"/>
                <w:color w:val="000000" w:themeColor="text1"/>
                <w:sz w:val="24"/>
                <w:szCs w:val="24"/>
                <w:highlight w:val="none"/>
                <w:lang w:val="en-US" w:eastAsia="zh-CN" w:bidi="ar"/>
                <w14:textFill>
                  <w14:solidFill>
                    <w14:schemeClr w14:val="tx1"/>
                  </w14:solidFill>
                </w14:textFill>
              </w:rPr>
              <w:t>项目200m范围内无敏感村庄</w:t>
            </w:r>
            <w:r>
              <w:rPr>
                <w:rFonts w:hint="eastAsia" w:ascii="Times New Roman" w:cs="Arial"/>
                <w:color w:val="000000" w:themeColor="text1"/>
                <w:sz w:val="24"/>
                <w:szCs w:val="24"/>
                <w:highlight w:val="none"/>
                <w:lang w:bidi="ar"/>
                <w14:textFill>
                  <w14:solidFill>
                    <w14:schemeClr w14:val="tx1"/>
                  </w14:solidFill>
                </w14:textFill>
              </w:rPr>
              <w:t>。</w:t>
            </w:r>
          </w:p>
          <w:p>
            <w:pPr>
              <w:pStyle w:val="2"/>
              <w:spacing w:line="360" w:lineRule="auto"/>
              <w:ind w:firstLine="480" w:firstLineChars="200"/>
              <w:rPr>
                <w:rFonts w:hint="eastAsia" w:ascii="Times New Roman" w:cs="Arial"/>
                <w:color w:val="000000" w:themeColor="text1"/>
                <w:sz w:val="24"/>
                <w:szCs w:val="24"/>
                <w:highlight w:val="none"/>
                <w:lang w:bidi="ar"/>
                <w14:textFill>
                  <w14:solidFill>
                    <w14:schemeClr w14:val="tx1"/>
                  </w14:solidFill>
                </w14:textFill>
              </w:rPr>
            </w:pPr>
            <w:r>
              <w:rPr>
                <w:rFonts w:hint="eastAsia" w:ascii="Times New Roman" w:cs="Arial"/>
                <w:color w:val="000000" w:themeColor="text1"/>
                <w:sz w:val="24"/>
                <w:szCs w:val="24"/>
                <w:highlight w:val="none"/>
                <w:lang w:bidi="ar"/>
                <w14:textFill>
                  <w14:solidFill>
                    <w14:schemeClr w14:val="tx1"/>
                  </w14:solidFill>
                </w14:textFill>
              </w:rPr>
              <w:t>对不同施工阶段和施工机械产生的噪声影响，建设单位应采取切实有效的防噪措施，尽可能的降低施工过程中机械设备和运输车辆产生的噪声对周边环境的影响，具体措施如下：（1）合理安排施工时间、合理规划施工场地；（2）对施工机械采取消声降噪措施；（3）采取低噪声设备；（4）运输车辆在途经声环境居民点时，应尽量保持低速匀速行驶。</w:t>
            </w:r>
          </w:p>
          <w:p>
            <w:pPr>
              <w:pStyle w:val="2"/>
              <w:spacing w:line="360" w:lineRule="auto"/>
              <w:ind w:firstLine="480" w:firstLineChars="200"/>
              <w:rPr>
                <w:rFonts w:hint="eastAsia" w:ascii="Times New Roman" w:cs="Arial"/>
                <w:color w:val="000000" w:themeColor="text1"/>
                <w:sz w:val="24"/>
                <w:szCs w:val="24"/>
                <w:highlight w:val="none"/>
                <w:lang w:bidi="ar"/>
                <w14:textFill>
                  <w14:solidFill>
                    <w14:schemeClr w14:val="tx1"/>
                  </w14:solidFill>
                </w14:textFill>
              </w:rPr>
            </w:pPr>
            <w:r>
              <w:rPr>
                <w:rFonts w:hint="eastAsia" w:ascii="Times New Roman" w:cs="Arial"/>
                <w:color w:val="000000" w:themeColor="text1"/>
                <w:sz w:val="24"/>
                <w:szCs w:val="24"/>
                <w:highlight w:val="none"/>
                <w:lang w:bidi="ar"/>
                <w14:textFill>
                  <w14:solidFill>
                    <w14:schemeClr w14:val="tx1"/>
                  </w14:solidFill>
                </w14:textFill>
              </w:rPr>
              <w:t>采取以上措施后，施工噪声可得到较好地控制。本工程施工期产生的噪声影响是小范围的和暂时的，随着施工期的结束，对环境的影响也将随即消失。</w:t>
            </w:r>
          </w:p>
          <w:p>
            <w:pPr>
              <w:pStyle w:val="2"/>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4、固体废物影响分析</w:t>
            </w:r>
          </w:p>
          <w:p>
            <w:pPr>
              <w:keepNext/>
              <w:keepLines/>
              <w:spacing w:line="360" w:lineRule="auto"/>
              <w:ind w:firstLine="480" w:firstLineChars="200"/>
              <w:outlineLvl w:val="3"/>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施工期固体废物主要为施工垃圾，施工垃圾虽不含有毒有害成分，但粉状废料可随降雨产生地面径流进入工程选址临近的地表水体，使水体中的悬浮物增加，同时也有可能污染土壤和地下水。本项目升压站无弃方</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施工中产生的建筑垃圾运至指定建筑垃圾填埋场处置，并采取挡护、排水等措施进行防护；施工人员生活垃圾集中堆放，委托当地环卫部门清运。</w:t>
            </w:r>
          </w:p>
          <w:p>
            <w:pPr>
              <w:keepNext/>
              <w:keepLines/>
              <w:spacing w:line="360" w:lineRule="auto"/>
              <w:ind w:firstLine="480" w:firstLineChars="200"/>
              <w:outlineLvl w:val="3"/>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经实施以上措施后，施工期产生的固体废物均可得到妥善安置，不会对周围环境产生不利影响。</w:t>
            </w:r>
          </w:p>
          <w:p>
            <w:pPr>
              <w:keepNext/>
              <w:keepLines/>
              <w:spacing w:line="360" w:lineRule="auto"/>
              <w:ind w:firstLine="482" w:firstLineChars="200"/>
              <w:outlineLvl w:val="3"/>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5、生态环境影响分析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施工期生态环境影响主要是植被清除、砍伐以及开挖施工产生的水土流失等。</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（1）评价区域项目占地及扰动土地情况</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本项目总占地面积11600</w:t>
            </w:r>
            <w:r>
              <w:rPr>
                <w:rFonts w:hint="eastAsia" w:ascii="Times New Roman"/>
                <w:color w:val="000000" w:themeColor="text1"/>
                <w:sz w:val="24"/>
                <w:szCs w:val="24"/>
                <w:highlight w:val="none"/>
                <w:lang w:val="en-US" w:eastAsia="zh-CN"/>
                <w14:textFill>
                  <w14:solidFill>
                    <w14:schemeClr w14:val="tx1"/>
                  </w14:solidFill>
                </w14:textFill>
              </w:rPr>
              <w:t>m</w:t>
            </w:r>
            <w:r>
              <w:rPr>
                <w:rFonts w:hint="eastAsia" w:ascii="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color w:val="000000" w:themeColor="text1"/>
                <w:sz w:val="24"/>
                <w:szCs w:val="24"/>
                <w:highlight w:val="none"/>
                <w:vertAlign w:val="baseline"/>
                <w:lang w:val="en-US" w:eastAsia="zh-CN"/>
                <w14:textFill>
                  <w14:solidFill>
                    <w14:schemeClr w14:val="tx1"/>
                  </w14:solidFill>
                </w14:textFill>
              </w:rPr>
              <w:t>，临时施工占地1000</w:t>
            </w:r>
            <w:r>
              <w:rPr>
                <w:rFonts w:hint="eastAsia" w:ascii="Times New Roman"/>
                <w:color w:val="000000" w:themeColor="text1"/>
                <w:sz w:val="24"/>
                <w:szCs w:val="24"/>
                <w:highlight w:val="none"/>
                <w:lang w:val="en-US" w:eastAsia="zh-CN"/>
                <w14:textFill>
                  <w14:solidFill>
                    <w14:schemeClr w14:val="tx1"/>
                  </w14:solidFill>
                </w14:textFill>
              </w:rPr>
              <w:t>m</w:t>
            </w:r>
            <w:r>
              <w:rPr>
                <w:rFonts w:hint="eastAsia" w:ascii="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color w:val="000000" w:themeColor="text1"/>
                <w:sz w:val="24"/>
                <w:szCs w:val="24"/>
                <w:highlight w:val="none"/>
                <w14:textFill>
                  <w14:solidFill>
                    <w14:schemeClr w14:val="tx1"/>
                  </w14:solidFill>
                </w14:textFill>
              </w:rPr>
              <w:t>。项目在工程施工中难免还要扰动周边土，根据此类工程经验，总扰动土地为：永久占地与临时占地之和的2倍计算，因此，项目总扰动土地面积大约为</w:t>
            </w:r>
            <w:r>
              <w:rPr>
                <w:rFonts w:hint="eastAsia" w:ascii="Times New Roman"/>
                <w:color w:val="000000" w:themeColor="text1"/>
                <w:sz w:val="24"/>
                <w:szCs w:val="24"/>
                <w:highlight w:val="none"/>
                <w:lang w:val="en-US" w:eastAsia="zh-CN"/>
                <w14:textFill>
                  <w14:solidFill>
                    <w14:schemeClr w14:val="tx1"/>
                  </w14:solidFill>
                </w14:textFill>
              </w:rPr>
              <w:t>25200m</w:t>
            </w:r>
            <w:r>
              <w:rPr>
                <w:rFonts w:hint="eastAsia" w:ascii="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color w:val="000000" w:themeColor="text1"/>
                <w:sz w:val="24"/>
                <w:szCs w:val="24"/>
                <w:highlight w:val="none"/>
                <w14:textFill>
                  <w14:solidFill>
                    <w14:schemeClr w14:val="tx1"/>
                  </w14:solidFill>
                </w14:textFill>
              </w:rPr>
              <w:t>，以草地为主。</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（2）土方石平衡情况</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本项目220kV升压站总挖方量为3504m</w:t>
            </w:r>
            <w:r>
              <w:rPr>
                <w:rFonts w:hint="eastAsia" w:ascii="Times New Roman"/>
                <w:color w:val="000000" w:themeColor="text1"/>
                <w:sz w:val="24"/>
                <w:szCs w:val="24"/>
                <w:highlight w:val="none"/>
                <w:vertAlign w:val="superscript"/>
                <w14:textFill>
                  <w14:solidFill>
                    <w14:schemeClr w14:val="tx1"/>
                  </w14:solidFill>
                </w14:textFill>
              </w:rPr>
              <w:t>3</w:t>
            </w:r>
            <w:r>
              <w:rPr>
                <w:rFonts w:hint="eastAsia" w:ascii="Times New Roman"/>
                <w:color w:val="000000" w:themeColor="text1"/>
                <w:sz w:val="24"/>
                <w:szCs w:val="24"/>
                <w:highlight w:val="none"/>
                <w14:textFill>
                  <w14:solidFill>
                    <w14:schemeClr w14:val="tx1"/>
                  </w14:solidFill>
                </w14:textFill>
              </w:rPr>
              <w:t>，回填1617.5m</w:t>
            </w:r>
            <w:r>
              <w:rPr>
                <w:rFonts w:hint="eastAsia" w:ascii="Times New Roman"/>
                <w:color w:val="000000" w:themeColor="text1"/>
                <w:sz w:val="24"/>
                <w:szCs w:val="24"/>
                <w:highlight w:val="none"/>
                <w:vertAlign w:val="superscript"/>
                <w14:textFill>
                  <w14:solidFill>
                    <w14:schemeClr w14:val="tx1"/>
                  </w14:solidFill>
                </w14:textFill>
              </w:rPr>
              <w:t>3</w:t>
            </w:r>
            <w:r>
              <w:rPr>
                <w:rFonts w:hint="eastAsia"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余方1886.5</w:t>
            </w:r>
            <w:r>
              <w:rPr>
                <w:rFonts w:hint="eastAsia" w:ascii="Times New Roman"/>
                <w:color w:val="000000" w:themeColor="text1"/>
                <w:sz w:val="24"/>
                <w:szCs w:val="24"/>
                <w:highlight w:val="none"/>
                <w14:textFill>
                  <w14:solidFill>
                    <w14:schemeClr w14:val="tx1"/>
                  </w14:solidFill>
                </w14:textFill>
              </w:rPr>
              <w:t>m</w:t>
            </w:r>
            <w:r>
              <w:rPr>
                <w:rFonts w:hint="eastAsia" w:ascii="Times New Roman"/>
                <w:color w:val="000000" w:themeColor="text1"/>
                <w:sz w:val="24"/>
                <w:szCs w:val="24"/>
                <w:highlight w:val="none"/>
                <w:vertAlign w:val="superscript"/>
                <w14:textFill>
                  <w14:solidFill>
                    <w14:schemeClr w14:val="tx1"/>
                  </w14:solidFill>
                </w14:textFill>
              </w:rPr>
              <w:t>3</w:t>
            </w:r>
            <w:r>
              <w:rPr>
                <w:rFonts w:hint="eastAsia"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用于风电场区场地平整及道路建设使用，</w:t>
            </w:r>
            <w:r>
              <w:rPr>
                <w:rFonts w:hint="eastAsia" w:ascii="Times New Roman"/>
                <w:color w:val="000000" w:themeColor="text1"/>
                <w:sz w:val="24"/>
                <w:szCs w:val="24"/>
                <w:highlight w:val="none"/>
                <w14:textFill>
                  <w14:solidFill>
                    <w14:schemeClr w14:val="tx1"/>
                  </w14:solidFill>
                </w14:textFill>
              </w:rPr>
              <w:t>无弃方。</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（3）土地利用</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①占地破坏类型、方式及程度</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主要为升压站永久占地，将造成地表植被的永久破坏、土地利用性质的永久性改变，生态系统受到一定影响，造成水土流失。由于施工期升压站占地总面积相对较小，而占地区原有自然植被很少，且均为当地常见次生植被，因此，工程建设对植被影响不大，对当地生态系统和生物多样性影响较小。</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②土地利用方式的影响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项目占地土地类型为</w:t>
            </w:r>
            <w:r>
              <w:rPr>
                <w:rFonts w:hint="eastAsia" w:ascii="Times New Roman"/>
                <w:color w:val="000000" w:themeColor="text1"/>
                <w:sz w:val="24"/>
                <w:szCs w:val="24"/>
                <w:highlight w:val="none"/>
                <w:lang w:val="en-US" w:eastAsia="zh-CN"/>
                <w14:textFill>
                  <w14:solidFill>
                    <w14:schemeClr w14:val="tx1"/>
                  </w14:solidFill>
                </w14:textFill>
              </w:rPr>
              <w:t>农用地</w:t>
            </w:r>
            <w:r>
              <w:rPr>
                <w:rFonts w:hint="eastAsia" w:ascii="Times New Roman"/>
                <w:color w:val="000000" w:themeColor="text1"/>
                <w:sz w:val="24"/>
                <w:szCs w:val="24"/>
                <w:highlight w:val="none"/>
                <w14:textFill>
                  <w14:solidFill>
                    <w14:schemeClr w14:val="tx1"/>
                  </w14:solidFill>
                </w14:textFill>
              </w:rPr>
              <w:t>，永久占地将造成植被破坏、土地利用性质的永久性改变，生态系统受到一定影响。项目建设压占土地，主要是使这些土地失去原有的生产功能和生态服务功能，会对局部的土地利用产生一定的影响。但永久占地面积较小，对区域生态系统的影响有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（4）对植物的影响分析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升压站站址地形地貌为</w:t>
            </w:r>
            <w:r>
              <w:rPr>
                <w:rFonts w:hint="eastAsia" w:ascii="Times New Roman"/>
                <w:color w:val="000000" w:themeColor="text1"/>
                <w:sz w:val="24"/>
                <w:szCs w:val="24"/>
                <w:highlight w:val="none"/>
                <w:lang w:val="en-US" w:eastAsia="zh-CN"/>
                <w14:textFill>
                  <w14:solidFill>
                    <w14:schemeClr w14:val="tx1"/>
                  </w14:solidFill>
                </w14:textFill>
              </w:rPr>
              <w:t>低山区</w:t>
            </w:r>
            <w:r>
              <w:rPr>
                <w:rFonts w:hint="eastAsia" w:ascii="Times New Roman"/>
                <w:color w:val="000000" w:themeColor="text1"/>
                <w:sz w:val="24"/>
                <w:szCs w:val="24"/>
                <w:highlight w:val="none"/>
                <w14:textFill>
                  <w14:solidFill>
                    <w14:schemeClr w14:val="tx1"/>
                  </w14:solidFill>
                </w14:textFill>
              </w:rPr>
              <w:t>，站址所在地主要为</w:t>
            </w:r>
            <w:r>
              <w:rPr>
                <w:rFonts w:hint="eastAsia" w:ascii="Times New Roman"/>
                <w:color w:val="000000" w:themeColor="text1"/>
                <w:sz w:val="24"/>
                <w:szCs w:val="24"/>
                <w:highlight w:val="none"/>
                <w:lang w:val="en-US" w:eastAsia="zh-CN"/>
                <w14:textFill>
                  <w14:solidFill>
                    <w14:schemeClr w14:val="tx1"/>
                  </w14:solidFill>
                </w14:textFill>
              </w:rPr>
              <w:t>农用地</w:t>
            </w:r>
            <w:r>
              <w:rPr>
                <w:rFonts w:hint="eastAsia" w:ascii="Times New Roman"/>
                <w:color w:val="000000" w:themeColor="text1"/>
                <w:sz w:val="24"/>
                <w:szCs w:val="24"/>
                <w:highlight w:val="none"/>
                <w14:textFill>
                  <w14:solidFill>
                    <w14:schemeClr w14:val="tx1"/>
                  </w14:solidFill>
                </w14:textFill>
              </w:rPr>
              <w:t>，植被均为当地常见物种</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不涉及国家野生保护植物。升压站为永久占地，升压站站区的建设改变土地原有利用方式，当地有大面积相同类型的植被，升压站的建设不会造成当地生物种类和数量的显著下降。且施工结束后站区内及升压站边坡会进行绿化，可进一步减小对当地植物的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综上，施工期间，将使区域的植被遭到一定程度的破环，造成占地区域内生物量损失，降低植被覆盖率。工程占地区植被组成主要为草本、灌木等植物，没有国家和省级重点保护的野生植物分布，尽管工程占地和施工活动将破环原地表植被，对植被有一定的影响，但涉及的种类较少，不会使整个评价区植物群落的种类组成发生变化，也不会造成某一物种在评价区范围内消失。施工结束后及时进行植被恢复，种植草本植物等。因此，项目施工不会对区域植被造成严重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（5）对动物影响分析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工程对野生动物的影响主要发生在施工期。随着工程的开工，施工机械、施工人员陆续进场，施工占地和施工噪声等将破坏和改变局部原有野生动物的生存、栖息环境，使上述区域的动物被迫暂时迁移到适宜的环境中去栖息和繁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①对一般野生动物资源的影响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工程施工期对评价区内的陆生动物影响主要表现在两个方面：一方面，施工人员活动增加等干扰因素将缩小野生动物的栖息空间，草地开挖使动物食物资源的减少，从而影响部分陆生动物的活动区域、迁移途径、栖息区域、觅食范围等，从而对动物的生存产生一定的负面影响；另一方面表现在施工人员及施工机械的噪声干扰，会引起动物的迁移，使得工程范围内动物种类、数量减少，动物分布发生变化。施工期间，临时征地区域，对两栖动物和爬行动物的活动有一定的影响，鸟类和兽类受到施工噪声的惊吓，也将被迫离开原来的栖息地。</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升压站仅在站区施工，施工噪声等对周边影响范围有限，故工程建设对野生动物影响范围不大且影响时间较短，对动物不会造成大的影响，当施工结束后，它们仍可回到原来的领域。本项目施工场地较小，各工段的施工规模小、施工时间短，对区域野生动物的生境扰动较小，项目占地不会影响其整体的生态功能及动物生境，项目区域未发现有较封闭、集中的野生动物栖息地。因此本项目建设对野生动物的影响较小，同时随着施工的结束和临时占地植被的恢复而缓解。</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②对鸟类的影响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随着施工道路修建，施工机械、施工人员陆续进场，工程的开工后施工占地和施工噪声等将破坏和改变新修道路两侧和施工区原有鸟类的栖息环境，使上述区域的鸟类被避退或迁移到其它适宜的生境中去。</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工程施工期对工程区内的鸟类影响主要表现在三个方面：</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A.道路修建占地，以及施工人员活动增加等干扰因素将缩小鸟类的栖息空间，灌丛砍伐使鸟类活动场所和食物资源的减少，从而影响部分鸟类的活动栖息区域、觅食地等，从而对鸟类的生存产生一定的负面影响。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B.施工噪声（包括施工机械、车辆及施工人员的噪声）干扰，会导致鸟类的避退和迁移，使得工程范围内鸟类种类和数量减少、分布发生变化。</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C.人类活动强度和频度提高，原来一些不易到达的地方（如山岭上部、山脊山顶）可到达性增加，以及施工区排放的废水、废气和废渣造成局部周边环境污染等，都降低了原来的鸟类栖息地质量，使鸟类活动受到影响，可能造成该施工区部分鸟类种群数量下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以上3方面主要影响当地的繁殖鸟类（包括留鸟和夏候鸟），尤以灌木生境的留鸟所受影响更甚。施工期间将会干扰鸟类的正常活动、导致鸟类退避或转移，但不会直接造成物种在该地区的消失。随着施工的结束和植被的恢复，不利影响将逐渐缓解、大部分是可逆的。</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D.对鸟类迁徙的影响。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在阴天和雾天夜间，鸟类在迁徙过程中常表现出较强的趋光性，本项目占地从微观尺度上有少量分散的春、秋季候鸟迁徙路过，因此，如果在鸟类迁徙季节的夜间施工，夜晚施工的照明光源可能对候鸟造成一定的伤害。这种趋光性的影响如能采取措施，严格控制在鸟类迁徙季节的夜间施工时间，则可减缓。</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施工结束后，原来退避的鸟类大部分仍可回到原来的区域，场址内没有大型野生动物出没，不涉及保护动物，动物主要是鼠、兔等常见小型动物，分布广，适应能力强，由于同类生境在附近易于找寻，受施工影响的动物将暂时迁往附近同类生境。因此施工期对野生动物的影响有限。施工期在施工区域设置围栏、警示标志等，并且本项目施工范围有限，不会对地面动物日常迁徙以及鸟类正常活动造成较大影响，随着施工结束，施工期对动物和鸟类的影响相继结束，不会产生明显不利影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（6）生态系统变化分析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项目建设前生态系统以草原生态系统、农田生态系统为主，在工程影响范围内，受工程影响的植被主要为草地，施工期地表植被的损失将对现有生态系统产生一定的影响，但由于损失的面积相对较小，而后期的绿化也将弥补部分损失的生物量，因而，该项目不会影响区域生态系统的稳定性和完整性。评价区域内项目建设前、建设中、建设后影响范围内生态系统组成基本没有变化，各系统占比有微小变化，主要是聚落生态系统稍有增加，由于该行业运营期用工极少，形不成真正意义上的聚落生态系统。可见，项目的建设对当地的生态系统结构影响极小，不会冲击当地的生态系统组成，基本保持原有结构。</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（7）水土流失变化分析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对于本项目而言，水土流失多集中于施工期。由于项目建设、修路、埋设管道等过程中，开挖扰动地表，改变原地貌，破坏地表植被，经受降水和风的影响，直接形成地表剥蚀、扬尘飞沙和侵蚀冲沟，并使地层原有结构被破坏，植被退化，加剧了水土流失。到了生产（运行）期，则往往达到一定的影响量级，进入相对稳定的时期，水土流失较轻。</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根据项目布置及水土流失特点，本项目将采取的主要防治措施如下：施工期，在施工区四周可能造成土壤顺坡流失的地段，布置拦挡措施，采用编织袋装土筑坎；施工结束后进行平整翻松，恢复植被。</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施工临时设施区施工前需先对表层进行集中堆置防护，后用于场地复土。施工区临时堆土场采取编织袋装土防护和苫布覆盖、设置临时排水导流系统。</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施工结束后，按原地貌进行土地整治，施工应减少对工程占地以外土地的扰动。施工结束后，场地按原有土地利用功能进行恢复。</w:t>
            </w:r>
          </w:p>
          <w:p>
            <w:pPr>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8</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防沙治沙影响分析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项目位于土地轻度沙化区，施工过程中应加强对施工人员关于防沙治沙的宣传教育，严格控制占地范围，减少压占植被面积，保护原有沙生植被，施工结束后通过灌草结合的方式恢复地表植被，增加占地范围内绿化面积，减轻风沙危害，提高防风固沙能力；项目无废弃土石方产生，建筑垃圾中的碎石碎砖块清运至项目场区洼地处填埋。项目在严格落实以上防沙治沙措施的基础上，符合《中华人民共和国防沙治沙法》、《河北省人民政府关于进一步加强防沙治沙工作的决定》（冀政〔2007〕87号）及《河北省防沙治沙规划（2021-2030年）》等法律、政策文件的相关要求。</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9</w:t>
            </w:r>
            <w:r>
              <w:rPr>
                <w:rFonts w:hint="eastAsia" w:ascii="Times New Roman"/>
                <w:color w:val="000000" w:themeColor="text1"/>
                <w:sz w:val="24"/>
                <w:szCs w:val="24"/>
                <w:highlight w:val="none"/>
                <w14:textFill>
                  <w14:solidFill>
                    <w14:schemeClr w14:val="tx1"/>
                  </w14:solidFill>
                </w14:textFill>
              </w:rPr>
              <w:t>）生态环境影响保护措施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施工期的生态保护主要表现为水土流失防治，水土防治措施严格履行水土保持方案。</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1）土地占用防护措施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监督施工单位施工过程中，必须按照设计要求，严格控制开挖范围及开挖量，施工时基础开挖多余的土石方不允许就地倾倒，应采取回填方式妥善处置，尽量减少弃方。施工结束后，及时清理施工场地，并及时进行土地整治和恢复，尽可能恢复原地貌及原有土地利用功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②施工结束后施工单位应及时清理施工场地，对施工临时占地部分根据原占地类型进行生态恢复。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③做好表土剥离与临时堆存，施工结束后及时利用剥离表土进行植被恢复。</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2）植被保护措施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①表土保存及原生植被保护利用措施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在项目施工开挖及堆放弃渣前，需注意剥离并妥善保存施工占地区的表土，待工程完工后再用于恢复绿化或复垦。施工过程中应划定施工活动范围，加强监管，严禁踩踏施工区域外地表植被。为保护地表植被，项目施工材料及设备尽量分拆改用小型运输工具运输，以减轻对地表植被的碾压。施工过程中，尽可能不破坏地形、地貌；施工完毕后，尽可能将施工地带地形、地貌恢复至施工前时的地形地貌。加强环境管理，提高施工人员的环保意识。在开挖的工程中，不随意砍伐植物，不准破坏施工场地周围的植被。</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②植被恢复措施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建设单位应委托有资质单位编制生态修复方案，并按照方案开展施工场地植被恢复专项工程建设。植被恢复应以恢复至施工前原貌为远期目标，采用项目区内常见灌、草物种，参照修复区域周边群落结构特征进行植被群落重建。</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植被恢复时，选择本地适生的树、草种，根据工程特点，升压站在施工结束后对建设区植被播撒草籽进行绿化。</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 xml:space="preserve">3）野生动物保护措施 </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通过宣传教育，提高施工人员的保护意识，应在施工现场设置警示或提示牌，警示或提示施工人员在施工过程中发现野生动物出没要自觉保护，严禁施工人员捕猎野生动物。施工期间还应在场地四周设置围挡、警示杆，避免野生动物或鸟类误入施工区造成动物或鸟类的伤亡。</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②施工期间，夜间灯光容易吸引鸟类撞击，施工期尽量控制光源使用量，对光源进行遮蔽，减少对外界的漏光量。</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③鸟类和兽类大多是晨、昏（早晨、黄昏)或夜间外出觅食，正午是鸟类休息时间。为了减少工程施工噪声对野生动物的惊扰，应做好施工方式和时间的计划，晨、昏和正午避免高噪音作业，禁止夜间施工。</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④施工期间加强施工人员的各类卫生管理，避免生活垃圾、生活污水的直接排放，减少污染，最大限度保护动物生境。</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⑤在鸟类迁徙季节高峰期应停止夜间施工，减少对迁徙鸟类可能的伤害。</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4）水土保持措施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升压站建设区施工前进行表土剥离，临时堆土采用装土编织袋挡护、密目网苫盖措施，边坡采用框格草皮护坡防护，填方边坡坡脚设置浆砌石挡土墙，场地周边设置临时排水沟和浆砌石排水沟，排水沟末端设置沉沙池，施工结束后站区覆土绿化。</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（5）景观保护措施</w:t>
            </w:r>
          </w:p>
          <w:p>
            <w:pPr>
              <w:spacing w:line="360" w:lineRule="auto"/>
              <w:ind w:firstLine="480" w:firstLineChars="200"/>
              <w:rPr>
                <w:rFonts w:hint="eastAsia" w:ascii="Times New Roman" w:eastAsia="宋体"/>
                <w:b/>
                <w:bCs/>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在施工期，由于土方的开挖、临时堆存、道路施工、物料运输造成的扬尘和施工人员的生活垃圾等，如果管理不当将会对局部景观造成一定的不良影响。通过采取围挡作业、分段分区施工、及时清运弃方、采取防尘抑尘措施、集中收集施工人员生活垃圾并及时清运处理等措施，可以使施工区域及时恢复原有自然面貌，将施工期造成的景观影响降至最小</w:t>
            </w:r>
            <w:r>
              <w:rPr>
                <w:rFonts w:hint="eastAsia" w:ascii="Times New Roman"/>
                <w:color w:val="000000" w:themeColor="text1"/>
                <w:sz w:val="24"/>
                <w:szCs w:val="24"/>
                <w:highlight w:val="none"/>
                <w:lang w:eastAsia="zh-CN"/>
                <w14:textFill>
                  <w14:solidFill>
                    <w14:schemeClr w14:val="tx1"/>
                  </w14:solidFill>
                </w14:textFill>
              </w:rPr>
              <w:t>。</w:t>
            </w:r>
          </w:p>
          <w:p>
            <w:pPr>
              <w:spacing w:line="360" w:lineRule="auto"/>
              <w:ind w:firstLine="420" w:firstLineChars="200"/>
              <w:rPr>
                <w:rFonts w:ascii="Times New Roman"/>
                <w:color w:val="000000" w:themeColor="text1"/>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842" w:type="dxa"/>
            <w:tcMar>
              <w:left w:w="28" w:type="dxa"/>
              <w:right w:w="28" w:type="dxa"/>
            </w:tcMar>
            <w:vAlign w:val="center"/>
          </w:tcPr>
          <w:p>
            <w:pPr>
              <w:adjustRightInd w:val="0"/>
              <w:snapToGrid w:val="0"/>
              <w:spacing w:line="360" w:lineRule="auto"/>
              <w:jc w:val="center"/>
              <w:rPr>
                <w:rFonts w:ascii="Times New Roman"/>
                <w:color w:val="000000" w:themeColor="text1"/>
                <w:szCs w:val="24"/>
                <w:highlight w:val="none"/>
                <w14:textFill>
                  <w14:solidFill>
                    <w14:schemeClr w14:val="tx1"/>
                  </w14:solidFill>
                </w14:textFill>
              </w:rPr>
            </w:pPr>
            <w:r>
              <w:rPr>
                <w:rFonts w:hint="eastAsia" w:ascii="Times New Roman"/>
                <w:bCs/>
                <w:color w:val="000000" w:themeColor="text1"/>
                <w:sz w:val="24"/>
                <w:szCs w:val="24"/>
                <w:highlight w:val="none"/>
                <w:lang w:eastAsia="zh-CN"/>
                <w14:textFill>
                  <w14:solidFill>
                    <w14:schemeClr w14:val="tx1"/>
                  </w14:solidFill>
                </w14:textFill>
              </w:rPr>
              <w:t>运营期</w:t>
            </w:r>
            <w:r>
              <w:rPr>
                <w:rFonts w:ascii="Times New Roman"/>
                <w:bCs/>
                <w:color w:val="000000" w:themeColor="text1"/>
                <w:sz w:val="24"/>
                <w:szCs w:val="24"/>
                <w:highlight w:val="none"/>
                <w14:textFill>
                  <w14:solidFill>
                    <w14:schemeClr w14:val="tx1"/>
                  </w14:solidFill>
                </w14:textFill>
              </w:rPr>
              <w:t>环境影响和保护措施</w:t>
            </w:r>
          </w:p>
        </w:tc>
        <w:tc>
          <w:tcPr>
            <w:tcW w:w="8459" w:type="dxa"/>
            <w:tcBorders>
              <w:bottom w:val="single" w:color="auto" w:sz="8" w:space="0"/>
            </w:tcBorders>
            <w:vAlign w:val="center"/>
          </w:tcPr>
          <w:p>
            <w:pPr>
              <w:pStyle w:val="84"/>
              <w:spacing w:line="360" w:lineRule="auto"/>
              <w:ind w:firstLine="482"/>
              <w:rPr>
                <w:rFonts w:ascii="Times New Roman"/>
                <w:b/>
                <w:bCs/>
                <w:color w:val="000000" w:themeColor="text1"/>
                <w:sz w:val="24"/>
                <w:szCs w:val="24"/>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1、电磁环境影响预测与分析</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工频电场强度主要取决于升压站电压等级与源的距离，并与环境湿度、植被及地理地形因子等屏蔽条件相关；工频磁感应强度主要取决于电流与源的距离。</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按照《环境影响评价技术导则 输变电》(HJ 24-2020)4.10.2的要求，本项目</w:t>
            </w:r>
            <w:r>
              <w:rPr>
                <w:rFonts w:hint="eastAsia" w:ascii="Times New Roman"/>
                <w:color w:val="000000" w:themeColor="text1"/>
                <w:sz w:val="24"/>
                <w:szCs w:val="24"/>
                <w:highlight w:val="none"/>
                <w14:textFill>
                  <w14:solidFill>
                    <w14:schemeClr w14:val="tx1"/>
                  </w14:solidFill>
                </w14:textFill>
              </w:rPr>
              <w:t>升压</w:t>
            </w:r>
            <w:r>
              <w:rPr>
                <w:rFonts w:ascii="Times New Roman"/>
                <w:color w:val="000000" w:themeColor="text1"/>
                <w:sz w:val="24"/>
                <w:szCs w:val="24"/>
                <w:highlight w:val="none"/>
                <w14:textFill>
                  <w14:solidFill>
                    <w14:schemeClr w14:val="tx1"/>
                  </w14:solidFill>
                </w14:textFill>
              </w:rPr>
              <w:t>站电压等级为</w:t>
            </w:r>
            <w:r>
              <w:rPr>
                <w:rFonts w:hint="eastAsia" w:ascii="Times New Roman"/>
                <w:color w:val="000000" w:themeColor="text1"/>
                <w:sz w:val="24"/>
                <w:szCs w:val="24"/>
                <w:highlight w:val="none"/>
                <w14:textFill>
                  <w14:solidFill>
                    <w14:schemeClr w14:val="tx1"/>
                  </w14:solidFill>
                </w14:textFill>
              </w:rPr>
              <w:t>22</w:t>
            </w:r>
            <w:r>
              <w:rPr>
                <w:rFonts w:ascii="Times New Roman"/>
                <w:color w:val="000000" w:themeColor="text1"/>
                <w:sz w:val="24"/>
                <w:szCs w:val="24"/>
                <w:highlight w:val="none"/>
                <w14:textFill>
                  <w14:solidFill>
                    <w14:schemeClr w14:val="tx1"/>
                  </w14:solidFill>
                </w14:textFill>
              </w:rPr>
              <w:t>0</w:t>
            </w:r>
            <w:r>
              <w:rPr>
                <w:rFonts w:hint="eastAsia" w:ascii="Times New Roman"/>
                <w:color w:val="000000" w:themeColor="text1"/>
                <w:sz w:val="24"/>
                <w:szCs w:val="24"/>
                <w:highlight w:val="none"/>
                <w14:textFill>
                  <w14:solidFill>
                    <w14:schemeClr w14:val="tx1"/>
                  </w14:solidFill>
                </w14:textFill>
              </w:rPr>
              <w:t>/35</w:t>
            </w:r>
            <w:r>
              <w:rPr>
                <w:rFonts w:ascii="Times New Roman"/>
                <w:color w:val="000000" w:themeColor="text1"/>
                <w:sz w:val="24"/>
                <w:szCs w:val="24"/>
                <w:highlight w:val="none"/>
                <w14:textFill>
                  <w14:solidFill>
                    <w14:schemeClr w14:val="tx1"/>
                  </w14:solidFill>
                </w14:textFill>
              </w:rPr>
              <w:t>kV，主变压器户外布置，电磁环境影响评价等级为二级，评价时电磁环境影响预测应采用类比监测的方式，</w:t>
            </w:r>
            <w:r>
              <w:rPr>
                <w:rFonts w:hint="eastAsia" w:ascii="Times New Roman"/>
                <w:color w:val="000000" w:themeColor="text1"/>
                <w:sz w:val="24"/>
                <w:szCs w:val="24"/>
                <w:highlight w:val="none"/>
                <w14:textFill>
                  <w14:solidFill>
                    <w14:schemeClr w14:val="tx1"/>
                  </w14:solidFill>
                </w14:textFill>
              </w:rPr>
              <w:t>类比过程见电磁环境影响预测专题报告，预测结果如下：</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经类比分析可知，升压站评价范围内的工频电场强度和工频磁感应强度分别符合《电磁环境控制限值》</w:t>
            </w:r>
            <w:r>
              <w:rPr>
                <w:rFonts w:ascii="Times New Roman"/>
                <w:color w:val="000000" w:themeColor="text1"/>
                <w:sz w:val="24"/>
                <w:szCs w:val="24"/>
                <w:highlight w:val="none"/>
                <w14:textFill>
                  <w14:solidFill>
                    <w14:schemeClr w14:val="tx1"/>
                  </w14:solidFill>
                </w14:textFill>
              </w:rPr>
              <w:t>(GB 8702-2014)</w:t>
            </w:r>
            <w:r>
              <w:rPr>
                <w:rFonts w:hint="eastAsia" w:ascii="Times New Roman"/>
                <w:color w:val="000000" w:themeColor="text1"/>
                <w:sz w:val="24"/>
                <w:szCs w:val="24"/>
                <w:highlight w:val="none"/>
                <w14:textFill>
                  <w14:solidFill>
                    <w14:schemeClr w14:val="tx1"/>
                  </w14:solidFill>
                </w14:textFill>
              </w:rPr>
              <w:t>规定的工频电场强度</w:t>
            </w:r>
            <w:r>
              <w:rPr>
                <w:rFonts w:ascii="Times New Roman"/>
                <w:color w:val="000000" w:themeColor="text1"/>
                <w:sz w:val="24"/>
                <w:szCs w:val="24"/>
                <w:highlight w:val="none"/>
                <w14:textFill>
                  <w14:solidFill>
                    <w14:schemeClr w14:val="tx1"/>
                  </w14:solidFill>
                </w14:textFill>
              </w:rPr>
              <w:t>4kV/m</w:t>
            </w:r>
            <w:r>
              <w:rPr>
                <w:rFonts w:hint="eastAsia" w:ascii="Times New Roman"/>
                <w:color w:val="000000" w:themeColor="text1"/>
                <w:sz w:val="24"/>
                <w:szCs w:val="24"/>
                <w:highlight w:val="none"/>
                <w14:textFill>
                  <w14:solidFill>
                    <w14:schemeClr w14:val="tx1"/>
                  </w14:solidFill>
                </w14:textFill>
              </w:rPr>
              <w:t>及工频磁感应强度</w:t>
            </w:r>
            <w:r>
              <w:rPr>
                <w:rFonts w:ascii="Times New Roman"/>
                <w:color w:val="000000" w:themeColor="text1"/>
                <w:sz w:val="24"/>
                <w:szCs w:val="24"/>
                <w:highlight w:val="none"/>
                <w14:textFill>
                  <w14:solidFill>
                    <w14:schemeClr w14:val="tx1"/>
                  </w14:solidFill>
                </w14:textFill>
              </w:rPr>
              <w:t>100μT</w:t>
            </w:r>
            <w:r>
              <w:rPr>
                <w:rFonts w:hint="eastAsia" w:ascii="Times New Roman"/>
                <w:color w:val="000000" w:themeColor="text1"/>
                <w:sz w:val="24"/>
                <w:szCs w:val="24"/>
                <w:highlight w:val="none"/>
                <w14:textFill>
                  <w14:solidFill>
                    <w14:schemeClr w14:val="tx1"/>
                  </w14:solidFill>
                </w14:textFill>
              </w:rPr>
              <w:t>的公众曝露控制限值要求。</w:t>
            </w:r>
          </w:p>
          <w:p>
            <w:pPr>
              <w:adjustRightInd w:val="0"/>
              <w:snapToGrid w:val="0"/>
              <w:spacing w:line="360" w:lineRule="auto"/>
              <w:ind w:firstLine="480" w:firstLineChars="200"/>
              <w:rPr>
                <w:rFonts w:ascii="Times New Roman"/>
                <w:color w:val="000000" w:themeColor="text1"/>
                <w:sz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详细内容见电磁环境影响专题评价。</w:t>
            </w:r>
          </w:p>
          <w:p>
            <w:pPr>
              <w:adjustRightInd w:val="0"/>
              <w:snapToGrid w:val="0"/>
              <w:spacing w:line="360" w:lineRule="auto"/>
              <w:ind w:firstLine="482" w:firstLineChars="200"/>
              <w:rPr>
                <w:rFonts w:hint="default" w:ascii="Times New Roman" w:eastAsia="宋体"/>
                <w:b/>
                <w:bCs/>
                <w:color w:val="000000" w:themeColor="text1"/>
                <w:sz w:val="24"/>
                <w:szCs w:val="24"/>
                <w:highlight w:val="none"/>
                <w:lang w:val="en-US" w:eastAsia="zh-CN"/>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2、</w:t>
            </w:r>
            <w:r>
              <w:rPr>
                <w:rFonts w:hint="eastAsia" w:ascii="Times New Roman"/>
                <w:b/>
                <w:bCs/>
                <w:color w:val="000000" w:themeColor="text1"/>
                <w:sz w:val="24"/>
                <w:szCs w:val="24"/>
                <w:highlight w:val="none"/>
                <w:lang w:val="en-US" w:eastAsia="zh-CN"/>
                <w14:textFill>
                  <w14:solidFill>
                    <w14:schemeClr w14:val="tx1"/>
                  </w14:solidFill>
                </w14:textFill>
              </w:rPr>
              <w:t>大气环境影响分析</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升压站运营期大气环境影响分析在“围环评[2023]28号”中已有详细论述，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废气为食堂油烟，本次大气环境影响分析引用</w:t>
            </w:r>
            <w:r>
              <w:rPr>
                <w:rFonts w:hint="eastAsia" w:ascii="Times New Roman" w:hAnsi="Times New Roman" w:eastAsia="宋体" w:cs="Times New Roman"/>
                <w:color w:val="000000" w:themeColor="text1"/>
                <w:sz w:val="24"/>
                <w:szCs w:val="24"/>
                <w:highlight w:val="none"/>
                <w14:textFill>
                  <w14:solidFill>
                    <w14:schemeClr w14:val="tx1"/>
                  </w14:solidFill>
                </w14:textFill>
              </w:rPr>
              <w:t>“围环评[2023]28号”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中结论。油烟产生浓度约为3.5mg/m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，经油烟净化器处理后排放，油烟净化器</w:t>
            </w:r>
            <w:r>
              <w:rPr>
                <w:rFonts w:hint="eastAsia" w:ascii="Times New Roman" w:cs="Times New Roman"/>
                <w:color w:val="000000" w:themeColor="text1"/>
                <w:sz w:val="24"/>
                <w:szCs w:val="24"/>
                <w:highlight w:val="none"/>
                <w:lang w:val="en-US" w:eastAsia="zh-CN"/>
                <w14:textFill>
                  <w14:solidFill>
                    <w14:schemeClr w14:val="tx1"/>
                  </w14:solidFill>
                </w14:textFill>
              </w:rPr>
              <w:t>净化效率为60%，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食堂油烟放浓度为1.4mg/m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，满足《餐饮业大气污染物排放标准》（DB13/ 5808—2023）要求（最高允许排放浓度≤1.5mg/m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，油烟净化设施最低去除效率满足《饮食业油烟排放标准(试行)》（GB18483-2001）表2要求（小型净</w:t>
            </w:r>
            <w:r>
              <w:rPr>
                <w:rFonts w:hint="eastAsia" w:ascii="Times New Roman" w:cs="Times New Roman"/>
                <w:color w:val="000000" w:themeColor="text1"/>
                <w:spacing w:val="-6"/>
                <w:sz w:val="24"/>
                <w:szCs w:val="24"/>
                <w:highlight w:val="none"/>
                <w:lang w:val="en-US" w:eastAsia="zh-CN"/>
                <w14:textFill>
                  <w14:solidFill>
                    <w14:schemeClr w14:val="tx1"/>
                  </w14:solidFill>
                </w14:textFill>
              </w:rPr>
              <w:t>化设施最低去除效率60%）</w:t>
            </w:r>
            <w:r>
              <w:rPr>
                <w:rFonts w:hint="eastAsia" w:ascii="Times New Roman" w:hAnsi="Times New Roman" w:eastAsia="宋体" w:cs="Times New Roman"/>
                <w:color w:val="000000" w:themeColor="text1"/>
                <w:spacing w:val="-6"/>
                <w:sz w:val="24"/>
                <w:szCs w:val="24"/>
                <w:highlight w:val="none"/>
                <w:lang w:val="en-US" w:eastAsia="zh-CN"/>
                <w14:textFill>
                  <w14:solidFill>
                    <w14:schemeClr w14:val="tx1"/>
                  </w14:solidFill>
                </w14:textFill>
              </w:rPr>
              <w:t>，引至综合楼顶高空排放，对周围大气环境影响很小。</w:t>
            </w:r>
          </w:p>
          <w:p>
            <w:pPr>
              <w:adjustRightInd w:val="0"/>
              <w:snapToGrid w:val="0"/>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lang w:val="en-US" w:eastAsia="zh-CN"/>
                <w14:textFill>
                  <w14:solidFill>
                    <w14:schemeClr w14:val="tx1"/>
                  </w14:solidFill>
                </w14:textFill>
              </w:rPr>
              <w:t>3、</w:t>
            </w:r>
            <w:r>
              <w:rPr>
                <w:rFonts w:ascii="Times New Roman"/>
                <w:b/>
                <w:bCs/>
                <w:color w:val="000000" w:themeColor="text1"/>
                <w:sz w:val="24"/>
                <w:szCs w:val="24"/>
                <w:highlight w:val="none"/>
                <w14:textFill>
                  <w14:solidFill>
                    <w14:schemeClr w14:val="tx1"/>
                  </w14:solidFill>
                </w14:textFill>
              </w:rPr>
              <w:t>声环境影响分析</w:t>
            </w:r>
          </w:p>
          <w:p>
            <w:pPr>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1</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声源分析</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升压站运行噪声源主要来自主变压器、SVG设备1个、接地变1个</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水泵房内水泵</w:t>
            </w:r>
            <w:r>
              <w:rPr>
                <w:rFonts w:hint="eastAsia" w:ascii="Times New Roman"/>
                <w:color w:val="000000" w:themeColor="text1"/>
                <w:sz w:val="24"/>
                <w:szCs w:val="24"/>
                <w:highlight w:val="none"/>
                <w14:textFill>
                  <w14:solidFill>
                    <w14:schemeClr w14:val="tx1"/>
                  </w14:solidFill>
                </w14:textFill>
              </w:rPr>
              <w:t>等声源设备，均以中低频为主，噪声源强一般为60～70dB(A)，以站址中心作为原点，主要噪声源及治理措施见下表</w:t>
            </w:r>
            <w:r>
              <w:rPr>
                <w:rFonts w:ascii="Times New Roman"/>
                <w:color w:val="000000" w:themeColor="text1"/>
                <w:sz w:val="24"/>
                <w:szCs w:val="24"/>
                <w:highlight w:val="none"/>
                <w14:textFill>
                  <w14:solidFill>
                    <w14:schemeClr w14:val="tx1"/>
                  </w14:solidFill>
                </w14:textFill>
              </w:rPr>
              <w:t>。</w:t>
            </w:r>
          </w:p>
          <w:p>
            <w:pPr>
              <w:jc w:val="center"/>
              <w:rPr>
                <w:rFonts w:ascii="Times New Roman"/>
                <w:b/>
                <w:snapToGrid w:val="0"/>
                <w:color w:val="000000" w:themeColor="text1"/>
                <w:spacing w:val="-2"/>
                <w:kern w:val="0"/>
                <w:sz w:val="24"/>
                <w:highlight w:val="none"/>
                <w14:textFill>
                  <w14:solidFill>
                    <w14:schemeClr w14:val="tx1"/>
                  </w14:solidFill>
                </w14:textFill>
              </w:rPr>
            </w:pPr>
            <w:r>
              <w:rPr>
                <w:rFonts w:ascii="Times New Roman"/>
                <w:b/>
                <w:snapToGrid w:val="0"/>
                <w:color w:val="000000" w:themeColor="text1"/>
                <w:spacing w:val="-2"/>
                <w:kern w:val="0"/>
                <w:sz w:val="24"/>
                <w:highlight w:val="none"/>
                <w:lang w:bidi="ar"/>
                <w14:textFill>
                  <w14:solidFill>
                    <w14:schemeClr w14:val="tx1"/>
                  </w14:solidFill>
                </w14:textFill>
              </w:rPr>
              <w:t>表4-</w:t>
            </w:r>
            <w:r>
              <w:rPr>
                <w:rFonts w:hint="eastAsia" w:ascii="Times New Roman"/>
                <w:b/>
                <w:snapToGrid w:val="0"/>
                <w:color w:val="000000" w:themeColor="text1"/>
                <w:spacing w:val="-2"/>
                <w:kern w:val="0"/>
                <w:sz w:val="24"/>
                <w:highlight w:val="none"/>
                <w:lang w:val="en-US" w:eastAsia="zh-CN" w:bidi="ar"/>
                <w14:textFill>
                  <w14:solidFill>
                    <w14:schemeClr w14:val="tx1"/>
                  </w14:solidFill>
                </w14:textFill>
              </w:rPr>
              <w:t>2</w:t>
            </w:r>
            <w:r>
              <w:rPr>
                <w:rFonts w:ascii="Times New Roman"/>
                <w:b/>
                <w:color w:val="000000" w:themeColor="text1"/>
                <w:spacing w:val="-2"/>
                <w:kern w:val="0"/>
                <w:sz w:val="24"/>
                <w:highlight w:val="none"/>
                <w:lang w:bidi="ar"/>
                <w14:textFill>
                  <w14:solidFill>
                    <w14:schemeClr w14:val="tx1"/>
                  </w14:solidFill>
                </w14:textFill>
              </w:rPr>
              <w:t xml:space="preserve">  </w:t>
            </w:r>
            <w:r>
              <w:rPr>
                <w:rFonts w:ascii="Times New Roman"/>
                <w:b/>
                <w:snapToGrid w:val="0"/>
                <w:color w:val="000000" w:themeColor="text1"/>
                <w:spacing w:val="-2"/>
                <w:kern w:val="0"/>
                <w:sz w:val="24"/>
                <w:highlight w:val="none"/>
                <w:lang w:bidi="ar"/>
                <w14:textFill>
                  <w14:solidFill>
                    <w14:schemeClr w14:val="tx1"/>
                  </w14:solidFill>
                </w14:textFill>
              </w:rPr>
              <w:t>工业企业噪声源强调查清单（室外声源）</w:t>
            </w:r>
          </w:p>
          <w:tbl>
            <w:tblPr>
              <w:tblStyle w:val="5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02"/>
              <w:gridCol w:w="694"/>
              <w:gridCol w:w="853"/>
              <w:gridCol w:w="849"/>
              <w:gridCol w:w="597"/>
              <w:gridCol w:w="1055"/>
              <w:gridCol w:w="844"/>
              <w:gridCol w:w="6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350"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序号</w:t>
                  </w:r>
                </w:p>
              </w:tc>
              <w:tc>
                <w:tcPr>
                  <w:tcW w:w="1275"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声源名称</w:t>
                  </w:r>
                </w:p>
              </w:tc>
              <w:tc>
                <w:tcPr>
                  <w:tcW w:w="421"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型号</w:t>
                  </w:r>
                </w:p>
              </w:tc>
              <w:tc>
                <w:tcPr>
                  <w:tcW w:w="1394" w:type="pct"/>
                  <w:gridSpan w:val="3"/>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空间相对位置/m</w:t>
                  </w:r>
                </w:p>
              </w:tc>
              <w:tc>
                <w:tcPr>
                  <w:tcW w:w="640"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声功率级/dB（A）</w:t>
                  </w:r>
                </w:p>
              </w:tc>
              <w:tc>
                <w:tcPr>
                  <w:tcW w:w="512"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声源控制措施</w:t>
                  </w:r>
                </w:p>
              </w:tc>
              <w:tc>
                <w:tcPr>
                  <w:tcW w:w="405" w:type="pct"/>
                  <w:vMerge w:val="restar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350" w:type="pct"/>
                  <w:vMerge w:val="continue"/>
                  <w:tcBorders>
                    <w:tl2br w:val="nil"/>
                    <w:tr2bl w:val="nil"/>
                  </w:tcBorders>
                  <w:vAlign w:val="center"/>
                </w:tcPr>
                <w:p>
                  <w:pPr>
                    <w:rPr>
                      <w:rFonts w:ascii="Times New Roman"/>
                      <w:b/>
                      <w:bCs/>
                      <w:color w:val="000000" w:themeColor="text1"/>
                      <w:highlight w:val="none"/>
                      <w14:textFill>
                        <w14:solidFill>
                          <w14:schemeClr w14:val="tx1"/>
                        </w14:solidFill>
                      </w14:textFill>
                    </w:rPr>
                  </w:pPr>
                </w:p>
              </w:tc>
              <w:tc>
                <w:tcPr>
                  <w:tcW w:w="1275" w:type="pct"/>
                  <w:vMerge w:val="continue"/>
                  <w:tcBorders>
                    <w:tl2br w:val="nil"/>
                    <w:tr2bl w:val="nil"/>
                  </w:tcBorders>
                  <w:vAlign w:val="center"/>
                </w:tcPr>
                <w:p>
                  <w:pPr>
                    <w:rPr>
                      <w:rFonts w:ascii="Times New Roman"/>
                      <w:b/>
                      <w:bCs/>
                      <w:color w:val="000000" w:themeColor="text1"/>
                      <w:highlight w:val="none"/>
                      <w14:textFill>
                        <w14:solidFill>
                          <w14:schemeClr w14:val="tx1"/>
                        </w14:solidFill>
                      </w14:textFill>
                    </w:rPr>
                  </w:pPr>
                </w:p>
              </w:tc>
              <w:tc>
                <w:tcPr>
                  <w:tcW w:w="421" w:type="pct"/>
                  <w:vMerge w:val="continue"/>
                  <w:tcBorders>
                    <w:tl2br w:val="nil"/>
                    <w:tr2bl w:val="nil"/>
                  </w:tcBorders>
                  <w:vAlign w:val="center"/>
                </w:tcPr>
                <w:p>
                  <w:pPr>
                    <w:rPr>
                      <w:rFonts w:ascii="Times New Roman"/>
                      <w:b/>
                      <w:bCs/>
                      <w:color w:val="000000" w:themeColor="text1"/>
                      <w:highlight w:val="none"/>
                      <w14:textFill>
                        <w14:solidFill>
                          <w14:schemeClr w14:val="tx1"/>
                        </w14:solidFill>
                      </w14:textFill>
                    </w:rPr>
                  </w:pPr>
                </w:p>
              </w:tc>
              <w:tc>
                <w:tcPr>
                  <w:tcW w:w="517" w:type="pc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X</w:t>
                  </w:r>
                </w:p>
              </w:tc>
              <w:tc>
                <w:tcPr>
                  <w:tcW w:w="515" w:type="pc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Y</w:t>
                  </w:r>
                </w:p>
              </w:tc>
              <w:tc>
                <w:tcPr>
                  <w:tcW w:w="361" w:type="pct"/>
                  <w:tcBorders>
                    <w:tl2br w:val="nil"/>
                    <w:tr2bl w:val="nil"/>
                  </w:tcBorders>
                  <w:vAlign w:val="center"/>
                </w:tcPr>
                <w:p>
                  <w:pPr>
                    <w:jc w:val="center"/>
                    <w:rPr>
                      <w:rFonts w:ascii="Times New Roman"/>
                      <w:b/>
                      <w:bCs/>
                      <w:snapToGrid w:val="0"/>
                      <w:color w:val="000000" w:themeColor="text1"/>
                      <w:spacing w:val="-2"/>
                      <w:kern w:val="0"/>
                      <w:highlight w:val="none"/>
                      <w14:textFill>
                        <w14:solidFill>
                          <w14:schemeClr w14:val="tx1"/>
                        </w14:solidFill>
                      </w14:textFill>
                    </w:rPr>
                  </w:pPr>
                  <w:r>
                    <w:rPr>
                      <w:rFonts w:ascii="Times New Roman"/>
                      <w:b/>
                      <w:bCs/>
                      <w:snapToGrid w:val="0"/>
                      <w:color w:val="000000" w:themeColor="text1"/>
                      <w:spacing w:val="-2"/>
                      <w:kern w:val="0"/>
                      <w:highlight w:val="none"/>
                      <w:lang w:bidi="ar"/>
                      <w14:textFill>
                        <w14:solidFill>
                          <w14:schemeClr w14:val="tx1"/>
                        </w14:solidFill>
                      </w14:textFill>
                    </w:rPr>
                    <w:t>Z</w:t>
                  </w:r>
                </w:p>
              </w:tc>
              <w:tc>
                <w:tcPr>
                  <w:tcW w:w="640" w:type="pct"/>
                  <w:vMerge w:val="continue"/>
                  <w:tcBorders>
                    <w:tl2br w:val="nil"/>
                    <w:tr2bl w:val="nil"/>
                  </w:tcBorders>
                  <w:vAlign w:val="center"/>
                </w:tcPr>
                <w:p>
                  <w:pPr>
                    <w:rPr>
                      <w:rFonts w:ascii="Times New Roman"/>
                      <w:color w:val="000000" w:themeColor="text1"/>
                      <w:highlight w:val="none"/>
                      <w14:textFill>
                        <w14:solidFill>
                          <w14:schemeClr w14:val="tx1"/>
                        </w14:solidFill>
                      </w14:textFill>
                    </w:rPr>
                  </w:pPr>
                </w:p>
              </w:tc>
              <w:tc>
                <w:tcPr>
                  <w:tcW w:w="512" w:type="pct"/>
                  <w:vMerge w:val="continue"/>
                  <w:tcBorders>
                    <w:tl2br w:val="nil"/>
                    <w:tr2bl w:val="nil"/>
                  </w:tcBorders>
                  <w:vAlign w:val="center"/>
                </w:tcPr>
                <w:p>
                  <w:pPr>
                    <w:rPr>
                      <w:rFonts w:ascii="Times New Roman"/>
                      <w:color w:val="000000" w:themeColor="text1"/>
                      <w:highlight w:val="none"/>
                      <w14:textFill>
                        <w14:solidFill>
                          <w14:schemeClr w14:val="tx1"/>
                        </w14:solidFill>
                      </w14:textFill>
                    </w:rPr>
                  </w:pPr>
                </w:p>
              </w:tc>
              <w:tc>
                <w:tcPr>
                  <w:tcW w:w="405" w:type="pct"/>
                  <w:vMerge w:val="continue"/>
                  <w:tcBorders>
                    <w:tl2br w:val="nil"/>
                    <w:tr2bl w:val="nil"/>
                  </w:tcBorders>
                  <w:vAlign w:val="center"/>
                </w:tcPr>
                <w:p>
                  <w:pPr>
                    <w:rPr>
                      <w:rFonts w:ascii="Times New Roman"/>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r>
                    <w:rPr>
                      <w:rFonts w:ascii="Times New Roman"/>
                      <w:snapToGrid w:val="0"/>
                      <w:color w:val="000000" w:themeColor="text1"/>
                      <w:spacing w:val="-2"/>
                      <w:kern w:val="0"/>
                      <w:highlight w:val="none"/>
                      <w:lang w:bidi="ar"/>
                      <w14:textFill>
                        <w14:solidFill>
                          <w14:schemeClr w14:val="tx1"/>
                        </w14:solidFill>
                      </w14:textFill>
                    </w:rPr>
                    <w:t>1</w:t>
                  </w:r>
                </w:p>
              </w:tc>
              <w:tc>
                <w:tcPr>
                  <w:tcW w:w="1275" w:type="pct"/>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r>
                    <w:rPr>
                      <w:rFonts w:ascii="Times New Roman"/>
                      <w:color w:val="000000" w:themeColor="text1"/>
                      <w:highlight w:val="none"/>
                      <w14:textFill>
                        <w14:solidFill>
                          <w14:schemeClr w14:val="tx1"/>
                        </w14:solidFill>
                      </w14:textFill>
                    </w:rPr>
                    <w:t>主变压器</w:t>
                  </w:r>
                </w:p>
              </w:tc>
              <w:tc>
                <w:tcPr>
                  <w:tcW w:w="421" w:type="pct"/>
                  <w:tcBorders>
                    <w:tl2br w:val="nil"/>
                    <w:tr2bl w:val="nil"/>
                  </w:tcBorders>
                  <w:vAlign w:val="center"/>
                </w:tcPr>
                <w:p>
                  <w:pPr>
                    <w:jc w:val="center"/>
                    <w:rPr>
                      <w:rFonts w:hint="default" w:ascii="Times New Roman" w:eastAsia="宋体"/>
                      <w:color w:val="000000" w:themeColor="text1"/>
                      <w:kern w:val="0"/>
                      <w:highlight w:val="none"/>
                      <w:lang w:val="en-US" w:eastAsia="zh-CN" w:bidi="ar"/>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517" w:type="pct"/>
                  <w:tcBorders>
                    <w:tl2br w:val="nil"/>
                    <w:tr2bl w:val="nil"/>
                  </w:tcBorders>
                  <w:vAlign w:val="center"/>
                </w:tcPr>
                <w:p>
                  <w:pPr>
                    <w:jc w:val="center"/>
                    <w:rPr>
                      <w:rFonts w:hint="default"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-39.68</w:t>
                  </w:r>
                </w:p>
              </w:tc>
              <w:tc>
                <w:tcPr>
                  <w:tcW w:w="515" w:type="pct"/>
                  <w:tcBorders>
                    <w:tl2br w:val="nil"/>
                    <w:tr2bl w:val="nil"/>
                  </w:tcBorders>
                  <w:vAlign w:val="center"/>
                </w:tcPr>
                <w:p>
                  <w:pPr>
                    <w:jc w:val="center"/>
                    <w:rPr>
                      <w:rFonts w:hint="default"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-12.65</w:t>
                  </w:r>
                </w:p>
              </w:tc>
              <w:tc>
                <w:tcPr>
                  <w:tcW w:w="361" w:type="pct"/>
                  <w:tcBorders>
                    <w:tl2br w:val="nil"/>
                    <w:tr2bl w:val="nil"/>
                  </w:tcBorders>
                  <w:vAlign w:val="center"/>
                </w:tcPr>
                <w:p>
                  <w:pPr>
                    <w:jc w:val="center"/>
                    <w:rPr>
                      <w:rFonts w:hint="eastAsia" w:ascii="Times New Roman" w:eastAsia="宋体"/>
                      <w:snapToGrid w:val="0"/>
                      <w:color w:val="000000" w:themeColor="text1"/>
                      <w:spacing w:val="-2"/>
                      <w:kern w:val="0"/>
                      <w:highlight w:val="none"/>
                      <w:lang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2</w:t>
                  </w:r>
                </w:p>
              </w:tc>
              <w:tc>
                <w:tcPr>
                  <w:tcW w:w="640" w:type="pct"/>
                  <w:tcBorders>
                    <w:tl2br w:val="nil"/>
                    <w:tr2bl w:val="nil"/>
                  </w:tcBorders>
                  <w:vAlign w:val="center"/>
                </w:tcPr>
                <w:p>
                  <w:pPr>
                    <w:jc w:val="center"/>
                    <w:rPr>
                      <w:rFonts w:hint="default"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70</w:t>
                  </w:r>
                </w:p>
              </w:tc>
              <w:tc>
                <w:tcPr>
                  <w:tcW w:w="512" w:type="pct"/>
                  <w:vMerge w:val="restart"/>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r>
                    <w:rPr>
                      <w:rFonts w:ascii="Times New Roman"/>
                      <w:snapToGrid w:val="0"/>
                      <w:color w:val="000000" w:themeColor="text1"/>
                      <w:spacing w:val="-2"/>
                      <w:kern w:val="0"/>
                      <w:highlight w:val="none"/>
                      <w:lang w:bidi="ar"/>
                      <w14:textFill>
                        <w14:solidFill>
                          <w14:schemeClr w14:val="tx1"/>
                        </w14:solidFill>
                      </w14:textFill>
                    </w:rPr>
                    <w:t>低噪设备</w:t>
                  </w:r>
                  <w:r>
                    <w:rPr>
                      <w:rFonts w:hint="eastAsia" w:ascii="Times New Roman"/>
                      <w:snapToGrid w:val="0"/>
                      <w:color w:val="000000" w:themeColor="text1"/>
                      <w:spacing w:val="-2"/>
                      <w:kern w:val="0"/>
                      <w:highlight w:val="none"/>
                      <w:lang w:bidi="ar"/>
                      <w14:textFill>
                        <w14:solidFill>
                          <w14:schemeClr w14:val="tx1"/>
                        </w14:solidFill>
                      </w14:textFill>
                    </w:rPr>
                    <w:t>，基础减震</w:t>
                  </w:r>
                </w:p>
              </w:tc>
              <w:tc>
                <w:tcPr>
                  <w:tcW w:w="405" w:type="pct"/>
                  <w:vMerge w:val="restart"/>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r>
                    <w:rPr>
                      <w:rFonts w:ascii="Times New Roman"/>
                      <w:snapToGrid w:val="0"/>
                      <w:color w:val="000000" w:themeColor="text1"/>
                      <w:spacing w:val="-2"/>
                      <w:kern w:val="0"/>
                      <w:highlight w:val="none"/>
                      <w14:textFill>
                        <w14:solidFill>
                          <w14:schemeClr w14:val="tx1"/>
                        </w14:solidFill>
                      </w14:textFill>
                    </w:rPr>
                    <w:t>24h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tcBorders>
                    <w:tl2br w:val="nil"/>
                    <w:tr2bl w:val="nil"/>
                  </w:tcBorders>
                  <w:vAlign w:val="center"/>
                </w:tcPr>
                <w:p>
                  <w:pPr>
                    <w:jc w:val="center"/>
                    <w:rPr>
                      <w:rFonts w:hint="eastAsia"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2</w:t>
                  </w:r>
                </w:p>
              </w:tc>
              <w:tc>
                <w:tcPr>
                  <w:tcW w:w="1275" w:type="pct"/>
                  <w:tcBorders>
                    <w:tl2br w:val="nil"/>
                    <w:tr2bl w:val="nil"/>
                  </w:tcBorders>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s="Times New Roman"/>
                      <w:color w:val="000000" w:themeColor="text1"/>
                      <w:sz w:val="21"/>
                      <w:szCs w:val="21"/>
                      <w:highlight w:val="none"/>
                      <w14:textFill>
                        <w14:solidFill>
                          <w14:schemeClr w14:val="tx1"/>
                        </w14:solidFill>
                      </w14:textFill>
                    </w:rPr>
                    <w:t>SVG设备</w:t>
                  </w:r>
                </w:p>
              </w:tc>
              <w:tc>
                <w:tcPr>
                  <w:tcW w:w="421" w:type="pct"/>
                  <w:tcBorders>
                    <w:tl2br w:val="nil"/>
                    <w:tr2bl w:val="nil"/>
                  </w:tcBorders>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517"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-88.41</w:t>
                  </w:r>
                </w:p>
              </w:tc>
              <w:tc>
                <w:tcPr>
                  <w:tcW w:w="515"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-37.01</w:t>
                  </w:r>
                </w:p>
              </w:tc>
              <w:tc>
                <w:tcPr>
                  <w:tcW w:w="361" w:type="pct"/>
                  <w:tcBorders>
                    <w:tl2br w:val="nil"/>
                    <w:tr2bl w:val="nil"/>
                  </w:tcBorders>
                  <w:vAlign w:val="center"/>
                </w:tcPr>
                <w:p>
                  <w:pPr>
                    <w:jc w:val="center"/>
                    <w:rPr>
                      <w:rFonts w:hint="eastAsia"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1</w:t>
                  </w:r>
                </w:p>
              </w:tc>
              <w:tc>
                <w:tcPr>
                  <w:tcW w:w="640"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60</w:t>
                  </w:r>
                </w:p>
              </w:tc>
              <w:tc>
                <w:tcPr>
                  <w:tcW w:w="512" w:type="pct"/>
                  <w:vMerge w:val="continue"/>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p>
              </w:tc>
              <w:tc>
                <w:tcPr>
                  <w:tcW w:w="405" w:type="pct"/>
                  <w:vMerge w:val="continue"/>
                  <w:tcBorders>
                    <w:tl2br w:val="nil"/>
                    <w:tr2bl w:val="nil"/>
                  </w:tcBorders>
                  <w:vAlign w:val="center"/>
                </w:tcPr>
                <w:p>
                  <w:pPr>
                    <w:jc w:val="center"/>
                    <w:rPr>
                      <w:rFonts w:ascii="Times New Roman"/>
                      <w:snapToGrid w:val="0"/>
                      <w:color w:val="000000" w:themeColor="text1"/>
                      <w:spacing w:val="-2"/>
                      <w:kern w:val="0"/>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0" w:type="pct"/>
                  <w:tcBorders>
                    <w:tl2br w:val="nil"/>
                    <w:tr2bl w:val="nil"/>
                  </w:tcBorders>
                  <w:vAlign w:val="center"/>
                </w:tcPr>
                <w:p>
                  <w:pPr>
                    <w:jc w:val="center"/>
                    <w:rPr>
                      <w:rFonts w:hint="eastAsia" w:ascii="Times New Roman" w:hAnsi="Times New Roman" w:eastAsia="宋体" w:cs="Times New Roman"/>
                      <w:snapToGrid w:val="0"/>
                      <w:color w:val="000000" w:themeColor="text1"/>
                      <w:spacing w:val="-2"/>
                      <w:kern w:val="0"/>
                      <w:sz w:val="21"/>
                      <w:szCs w:val="21"/>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3</w:t>
                  </w:r>
                </w:p>
              </w:tc>
              <w:tc>
                <w:tcPr>
                  <w:tcW w:w="1275" w:type="pct"/>
                  <w:tcBorders>
                    <w:tl2br w:val="nil"/>
                    <w:tr2bl w:val="nil"/>
                  </w:tcBorders>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接地变</w:t>
                  </w:r>
                </w:p>
              </w:tc>
              <w:tc>
                <w:tcPr>
                  <w:tcW w:w="421" w:type="pct"/>
                  <w:tcBorders>
                    <w:tl2br w:val="nil"/>
                    <w:tr2bl w:val="nil"/>
                  </w:tcBorders>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517"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-90.03</w:t>
                  </w:r>
                </w:p>
              </w:tc>
              <w:tc>
                <w:tcPr>
                  <w:tcW w:w="515"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57.19</w:t>
                  </w:r>
                </w:p>
              </w:tc>
              <w:tc>
                <w:tcPr>
                  <w:tcW w:w="361" w:type="pct"/>
                  <w:tcBorders>
                    <w:tl2br w:val="nil"/>
                    <w:tr2bl w:val="nil"/>
                  </w:tcBorders>
                  <w:vAlign w:val="center"/>
                </w:tcPr>
                <w:p>
                  <w:pPr>
                    <w:jc w:val="center"/>
                    <w:rPr>
                      <w:rFonts w:hint="eastAsia" w:ascii="Times New Roman" w:eastAsia="宋体"/>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1</w:t>
                  </w:r>
                </w:p>
              </w:tc>
              <w:tc>
                <w:tcPr>
                  <w:tcW w:w="640" w:type="pct"/>
                  <w:tcBorders>
                    <w:tl2br w:val="nil"/>
                    <w:tr2bl w:val="nil"/>
                  </w:tcBorders>
                  <w:vAlign w:val="center"/>
                </w:tcPr>
                <w:p>
                  <w:pPr>
                    <w:jc w:val="center"/>
                    <w:rPr>
                      <w:rFonts w:hint="default" w:ascii="Times New Roman"/>
                      <w:snapToGrid w:val="0"/>
                      <w:color w:val="000000" w:themeColor="text1"/>
                      <w:spacing w:val="-2"/>
                      <w:kern w:val="0"/>
                      <w:highlight w:val="none"/>
                      <w:lang w:val="en-US" w:eastAsia="zh-CN" w:bidi="ar"/>
                      <w14:textFill>
                        <w14:solidFill>
                          <w14:schemeClr w14:val="tx1"/>
                        </w14:solidFill>
                      </w14:textFill>
                    </w:rPr>
                  </w:pPr>
                  <w:r>
                    <w:rPr>
                      <w:rFonts w:hint="eastAsia" w:ascii="Times New Roman"/>
                      <w:snapToGrid w:val="0"/>
                      <w:color w:val="000000" w:themeColor="text1"/>
                      <w:spacing w:val="-2"/>
                      <w:kern w:val="0"/>
                      <w:highlight w:val="none"/>
                      <w:lang w:val="en-US" w:eastAsia="zh-CN" w:bidi="ar"/>
                      <w14:textFill>
                        <w14:solidFill>
                          <w14:schemeClr w14:val="tx1"/>
                        </w14:solidFill>
                      </w14:textFill>
                    </w:rPr>
                    <w:t>60</w:t>
                  </w:r>
                </w:p>
              </w:tc>
              <w:tc>
                <w:tcPr>
                  <w:tcW w:w="512" w:type="pct"/>
                  <w:vMerge w:val="continue"/>
                  <w:tcBorders>
                    <w:tl2br w:val="nil"/>
                    <w:tr2bl w:val="nil"/>
                  </w:tcBorders>
                  <w:vAlign w:val="center"/>
                </w:tcPr>
                <w:p>
                  <w:pPr>
                    <w:jc w:val="center"/>
                    <w:rPr>
                      <w:rFonts w:ascii="Times New Roman"/>
                      <w:snapToGrid w:val="0"/>
                      <w:color w:val="000000" w:themeColor="text1"/>
                      <w:spacing w:val="-2"/>
                      <w:kern w:val="0"/>
                      <w:highlight w:val="none"/>
                      <w:lang w:bidi="ar"/>
                      <w14:textFill>
                        <w14:solidFill>
                          <w14:schemeClr w14:val="tx1"/>
                        </w14:solidFill>
                      </w14:textFill>
                    </w:rPr>
                  </w:pPr>
                </w:p>
              </w:tc>
              <w:tc>
                <w:tcPr>
                  <w:tcW w:w="405" w:type="pct"/>
                  <w:vMerge w:val="continue"/>
                  <w:tcBorders>
                    <w:tl2br w:val="nil"/>
                    <w:tr2bl w:val="nil"/>
                  </w:tcBorders>
                  <w:vAlign w:val="center"/>
                </w:tcPr>
                <w:p>
                  <w:pPr>
                    <w:jc w:val="center"/>
                    <w:rPr>
                      <w:rFonts w:ascii="Times New Roman"/>
                      <w:snapToGrid w:val="0"/>
                      <w:color w:val="000000" w:themeColor="text1"/>
                      <w:spacing w:val="-2"/>
                      <w:kern w:val="0"/>
                      <w:highlight w:val="none"/>
                      <w14:textFill>
                        <w14:solidFill>
                          <w14:schemeClr w14:val="tx1"/>
                        </w14:solidFill>
                      </w14:textFill>
                    </w:rPr>
                  </w:pPr>
                </w:p>
              </w:tc>
            </w:tr>
          </w:tbl>
          <w:p>
            <w:pPr>
              <w:keepNext w:val="0"/>
              <w:keepLines w:val="0"/>
              <w:pageBreakBefore w:val="0"/>
              <w:kinsoku/>
              <w:wordWrap/>
              <w:overflowPunct/>
              <w:topLinePunct w:val="0"/>
              <w:autoSpaceDE/>
              <w:autoSpaceDN/>
              <w:bidi w:val="0"/>
              <w:adjustRightInd/>
              <w:snapToGrid/>
              <w:ind w:firstLine="482" w:firstLineChars="200"/>
              <w:jc w:val="center"/>
              <w:textAlignment w:val="auto"/>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14:textFill>
                  <w14:solidFill>
                    <w14:schemeClr w14:val="tx1"/>
                  </w14:solidFill>
                </w14:textFill>
              </w:rPr>
              <w:t>表</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eastAsia" w:ascii="Times New Roman" w:hAnsi="Times New Roman" w:cs="Times New Roman"/>
                <w:b/>
                <w:bCs/>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cs="Times New Roman"/>
                <w:b/>
                <w:bCs/>
                <w:color w:val="000000" w:themeColor="text1"/>
                <w:sz w:val="24"/>
                <w:szCs w:val="24"/>
                <w:highlight w:val="none"/>
                <w14:textFill>
                  <w14:solidFill>
                    <w14:schemeClr w14:val="tx1"/>
                  </w14:solidFill>
                </w14:textFill>
              </w:rPr>
              <w:t xml:space="preserve"> 噪声</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源调查清单（室内声源）</w:t>
            </w:r>
          </w:p>
          <w:tbl>
            <w:tblPr>
              <w:tblStyle w:val="54"/>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1" w:type="dxa"/>
                <w:bottom w:w="0" w:type="dxa"/>
                <w:right w:w="11" w:type="dxa"/>
              </w:tblCellMar>
            </w:tblPr>
            <w:tblGrid>
              <w:gridCol w:w="242"/>
              <w:gridCol w:w="288"/>
              <w:gridCol w:w="402"/>
              <w:gridCol w:w="259"/>
              <w:gridCol w:w="641"/>
              <w:gridCol w:w="859"/>
              <w:gridCol w:w="423"/>
              <w:gridCol w:w="477"/>
              <w:gridCol w:w="296"/>
              <w:gridCol w:w="736"/>
              <w:gridCol w:w="723"/>
              <w:gridCol w:w="532"/>
              <w:gridCol w:w="791"/>
              <w:gridCol w:w="750"/>
              <w:gridCol w:w="7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195" w:hRule="atLeast"/>
                <w:jc w:val="center"/>
              </w:trPr>
              <w:tc>
                <w:tcPr>
                  <w:tcW w:w="242"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序号</w:t>
                  </w:r>
                </w:p>
              </w:tc>
              <w:tc>
                <w:tcPr>
                  <w:tcW w:w="288"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建筑物名称</w:t>
                  </w:r>
                </w:p>
              </w:tc>
              <w:tc>
                <w:tcPr>
                  <w:tcW w:w="402"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声源名称</w:t>
                  </w:r>
                </w:p>
              </w:tc>
              <w:tc>
                <w:tcPr>
                  <w:tcW w:w="259"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型号</w:t>
                  </w:r>
                </w:p>
              </w:tc>
              <w:tc>
                <w:tcPr>
                  <w:tcW w:w="641"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声源源强</w:t>
                  </w:r>
                </w:p>
              </w:tc>
              <w:tc>
                <w:tcPr>
                  <w:tcW w:w="859"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声源控制措施</w:t>
                  </w:r>
                </w:p>
              </w:tc>
              <w:tc>
                <w:tcPr>
                  <w:tcW w:w="1196" w:type="dxa"/>
                  <w:gridSpan w:val="3"/>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空间相对位置/m</w:t>
                  </w:r>
                </w:p>
              </w:tc>
              <w:tc>
                <w:tcPr>
                  <w:tcW w:w="736" w:type="dxa"/>
                  <w:vMerge w:val="restar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z w:val="21"/>
                      <w:szCs w:val="21"/>
                      <w:highlight w:val="none"/>
                      <w:lang w:val="en-US" w:eastAsia="zh-CN"/>
                      <w14:textFill>
                        <w14:solidFill>
                          <w14:schemeClr w14:val="tx1"/>
                        </w14:solidFill>
                      </w14:textFill>
                    </w:rPr>
                    <w:t>距离室内边界距离/m</w:t>
                  </w:r>
                </w:p>
              </w:tc>
              <w:tc>
                <w:tcPr>
                  <w:tcW w:w="723"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t>室内边界声级/dB（A）</w:t>
                  </w:r>
                </w:p>
              </w:tc>
              <w:tc>
                <w:tcPr>
                  <w:tcW w:w="532"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运行时段</w:t>
                  </w:r>
                </w:p>
              </w:tc>
              <w:tc>
                <w:tcPr>
                  <w:tcW w:w="791" w:type="dxa"/>
                  <w:vMerge w:val="restart"/>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0"/>
                      <w:sz w:val="21"/>
                      <w:szCs w:val="21"/>
                      <w:highlight w:val="none"/>
                      <w:lang w:val="en-US" w:eastAsia="zh-CN" w:bidi="ar-SA"/>
                      <w14:textFill>
                        <w14:solidFill>
                          <w14:schemeClr w14:val="tx1"/>
                        </w14:solidFill>
                      </w14:textFill>
                    </w:rPr>
                    <w:t>建筑物插入损失</w:t>
                  </w: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/dB(A</w:t>
                  </w:r>
                </w:p>
              </w:tc>
              <w:tc>
                <w:tcPr>
                  <w:tcW w:w="1538" w:type="dxa"/>
                  <w:gridSpan w:val="2"/>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242"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288"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402"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259"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6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声功率级</w:t>
                  </w:r>
                </w:p>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/dB(A)</w:t>
                  </w:r>
                </w:p>
              </w:tc>
              <w:tc>
                <w:tcPr>
                  <w:tcW w:w="859"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p>
              </w:tc>
              <w:tc>
                <w:tcPr>
                  <w:tcW w:w="423"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X</w:t>
                  </w:r>
                </w:p>
              </w:tc>
              <w:tc>
                <w:tcPr>
                  <w:tcW w:w="477"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Y</w:t>
                  </w:r>
                </w:p>
              </w:tc>
              <w:tc>
                <w:tcPr>
                  <w:tcW w:w="296"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Z</w:t>
                  </w:r>
                </w:p>
              </w:tc>
              <w:tc>
                <w:tcPr>
                  <w:tcW w:w="736"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723"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532"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791" w:type="dxa"/>
                  <w:vMerge w:val="continue"/>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p>
              </w:tc>
              <w:tc>
                <w:tcPr>
                  <w:tcW w:w="75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声压级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/dB(A)</w:t>
                  </w:r>
                </w:p>
              </w:tc>
              <w:tc>
                <w:tcPr>
                  <w:tcW w:w="78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kern w:val="2"/>
                      <w:sz w:val="21"/>
                      <w:szCs w:val="21"/>
                      <w:highlight w:val="none"/>
                      <w:lang w:val="en-US" w:eastAsia="zh-CN" w:bidi="ar-SA"/>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90" w:hRule="atLeast"/>
                <w:jc w:val="center"/>
              </w:trPr>
              <w:tc>
                <w:tcPr>
                  <w:tcW w:w="242"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1</w:t>
                  </w:r>
                </w:p>
              </w:tc>
              <w:tc>
                <w:tcPr>
                  <w:tcW w:w="288" w:type="dxa"/>
                  <w:tcBorders>
                    <w:tl2br w:val="nil"/>
                    <w:tr2bl w:val="nil"/>
                  </w:tcBorders>
                  <w:noWrap w:val="0"/>
                  <w:vAlign w:val="center"/>
                </w:tcPr>
                <w:p>
                  <w:pPr>
                    <w:pStyle w:val="51"/>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bidi="ar-SA"/>
                      <w14:textFill>
                        <w14:solidFill>
                          <w14:schemeClr w14:val="tx1"/>
                        </w14:solidFill>
                      </w14:textFill>
                    </w:rPr>
                    <w:t>辅助用房</w:t>
                  </w:r>
                </w:p>
              </w:tc>
              <w:tc>
                <w:tcPr>
                  <w:tcW w:w="402" w:type="dxa"/>
                  <w:tcBorders>
                    <w:tl2br w:val="nil"/>
                    <w:tr2bl w:val="nil"/>
                  </w:tcBorders>
                  <w:noWrap w:val="0"/>
                  <w:vAlign w:val="center"/>
                </w:tcPr>
                <w:p>
                  <w:pPr>
                    <w:pStyle w:val="51"/>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cs="Times New Roman"/>
                      <w:color w:val="000000" w:themeColor="text1"/>
                      <w:sz w:val="21"/>
                      <w:szCs w:val="21"/>
                      <w:highlight w:val="none"/>
                      <w:vertAlign w:val="baseline"/>
                      <w:lang w:val="en-US" w:eastAsia="zh-CN" w:bidi="ar-SA"/>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bidi="ar-SA"/>
                      <w14:textFill>
                        <w14:solidFill>
                          <w14:schemeClr w14:val="tx1"/>
                        </w14:solidFill>
                      </w14:textFill>
                    </w:rPr>
                    <w:t>水泵</w:t>
                  </w:r>
                </w:p>
              </w:tc>
              <w:tc>
                <w:tcPr>
                  <w:tcW w:w="259" w:type="dxa"/>
                  <w:tcBorders>
                    <w:tl2br w:val="nil"/>
                    <w:tr2bl w:val="nil"/>
                  </w:tcBorders>
                  <w:noWrap w:val="0"/>
                  <w:vAlign w:val="center"/>
                </w:tcPr>
                <w:p>
                  <w:pPr>
                    <w:pStyle w:val="51"/>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Arial"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eastAsia" w:ascii="Times New Roman" w:hAnsi="Times New Roman" w:eastAsia="Arial" w:cs="Times New Roman"/>
                      <w:snapToGrid w:val="0"/>
                      <w:color w:val="000000" w:themeColor="text1"/>
                      <w:spacing w:val="-2"/>
                      <w:kern w:val="0"/>
                      <w:sz w:val="21"/>
                      <w:szCs w:val="21"/>
                      <w:highlight w:val="none"/>
                      <w:lang w:val="en-US" w:eastAsia="zh-CN" w:bidi="ar-SA"/>
                      <w14:textFill>
                        <w14:solidFill>
                          <w14:schemeClr w14:val="tx1"/>
                        </w14:solidFill>
                      </w14:textFill>
                    </w:rPr>
                    <w:t>/</w:t>
                  </w:r>
                </w:p>
              </w:tc>
              <w:tc>
                <w:tcPr>
                  <w:tcW w:w="641" w:type="dxa"/>
                  <w:tcBorders>
                    <w:tl2br w:val="nil"/>
                    <w:tr2bl w:val="nil"/>
                  </w:tcBorders>
                  <w:noWrap w:val="0"/>
                  <w:vAlign w:val="center"/>
                </w:tcPr>
                <w:p>
                  <w:pPr>
                    <w:pStyle w:val="51"/>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Arial"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Arial" w:cs="Times New Roman"/>
                      <w:snapToGrid w:val="0"/>
                      <w:color w:val="000000" w:themeColor="text1"/>
                      <w:spacing w:val="-2"/>
                      <w:kern w:val="0"/>
                      <w:sz w:val="21"/>
                      <w:szCs w:val="21"/>
                      <w:highlight w:val="none"/>
                      <w:lang w:val="en-US" w:eastAsia="zh-CN" w:bidi="ar-SA"/>
                      <w14:textFill>
                        <w14:solidFill>
                          <w14:schemeClr w14:val="tx1"/>
                        </w14:solidFill>
                      </w14:textFill>
                    </w:rPr>
                    <w:t>80</w:t>
                  </w:r>
                </w:p>
              </w:tc>
              <w:tc>
                <w:tcPr>
                  <w:tcW w:w="859" w:type="dxa"/>
                  <w:tcBorders>
                    <w:tl2br w:val="nil"/>
                    <w:tr2bl w:val="nil"/>
                  </w:tcBorders>
                  <w:noWrap w:val="0"/>
                  <w:vAlign w:val="center"/>
                </w:tcPr>
                <w:p>
                  <w:pPr>
                    <w:pStyle w:val="51"/>
                    <w:keepNext w:val="0"/>
                    <w:keepLines w:val="0"/>
                    <w:pageBreakBefore w:val="0"/>
                    <w:widowControl w:val="0"/>
                    <w:numPr>
                      <w:ilvl w:val="0"/>
                      <w:numId w:val="0"/>
                    </w:numPr>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Arial"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选取低噪声设备，</w:t>
                  </w:r>
                  <w:r>
                    <w:rPr>
                      <w:rFonts w:hint="eastAsia" w:cs="Times New Roman"/>
                      <w:snapToGrid w:val="0"/>
                      <w:color w:val="000000" w:themeColor="text1"/>
                      <w:spacing w:val="-2"/>
                      <w:sz w:val="21"/>
                      <w:szCs w:val="21"/>
                      <w:highlight w:val="none"/>
                      <w:lang w:val="en-US" w:eastAsia="zh-CN" w:bidi="ar-SA"/>
                      <w14:textFill>
                        <w14:solidFill>
                          <w14:schemeClr w14:val="tx1"/>
                        </w14:solidFill>
                      </w14:textFill>
                    </w:rPr>
                    <w:t>厂房隔声</w:t>
                  </w: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基础减振等</w:t>
                  </w:r>
                </w:p>
              </w:tc>
              <w:tc>
                <w:tcPr>
                  <w:tcW w:w="423" w:type="dxa"/>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2"/>
                      <w:kern w:val="0"/>
                      <w:sz w:val="21"/>
                      <w:szCs w:val="21"/>
                      <w:highlight w:val="none"/>
                      <w:lang w:val="en-US" w:eastAsia="zh-CN" w:bidi="ar-SA"/>
                      <w14:textFill>
                        <w14:solidFill>
                          <w14:schemeClr w14:val="tx1"/>
                        </w14:solidFill>
                      </w14:textFill>
                    </w:rPr>
                    <w:t>51.58</w:t>
                  </w:r>
                </w:p>
              </w:tc>
              <w:tc>
                <w:tcPr>
                  <w:tcW w:w="477" w:type="dxa"/>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2"/>
                      <w:kern w:val="0"/>
                      <w:sz w:val="21"/>
                      <w:szCs w:val="21"/>
                      <w:highlight w:val="none"/>
                      <w:lang w:val="en-US" w:eastAsia="zh-CN" w:bidi="ar-SA"/>
                      <w14:textFill>
                        <w14:solidFill>
                          <w14:schemeClr w14:val="tx1"/>
                        </w14:solidFill>
                      </w14:textFill>
                    </w:rPr>
                    <w:t>93.64</w:t>
                  </w:r>
                </w:p>
              </w:tc>
              <w:tc>
                <w:tcPr>
                  <w:tcW w:w="296" w:type="dxa"/>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t>1</w:t>
                  </w:r>
                </w:p>
              </w:tc>
              <w:tc>
                <w:tcPr>
                  <w:tcW w:w="736" w:type="dxa"/>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2"/>
                      <w:sz w:val="21"/>
                      <w:szCs w:val="21"/>
                      <w:highlight w:val="none"/>
                      <w:lang w:val="en-US" w:eastAsia="zh-CN" w:bidi="ar-SA"/>
                      <w14:textFill>
                        <w14:solidFill>
                          <w14:schemeClr w14:val="tx1"/>
                        </w14:solidFill>
                      </w14:textFill>
                    </w:rPr>
                    <w:t>3</w:t>
                  </w:r>
                  <w: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t>.</w:t>
                  </w:r>
                  <w:r>
                    <w:rPr>
                      <w:rFonts w:hint="eastAsia" w:cs="Times New Roman"/>
                      <w:snapToGrid w:val="0"/>
                      <w:color w:val="000000" w:themeColor="text1"/>
                      <w:spacing w:val="-2"/>
                      <w:sz w:val="21"/>
                      <w:szCs w:val="21"/>
                      <w:highlight w:val="none"/>
                      <w:lang w:val="en-US" w:eastAsia="zh-CN" w:bidi="ar-SA"/>
                      <w14:textFill>
                        <w14:solidFill>
                          <w14:schemeClr w14:val="tx1"/>
                        </w14:solidFill>
                      </w14:textFill>
                    </w:rPr>
                    <w:t>03</w:t>
                  </w:r>
                </w:p>
              </w:tc>
              <w:tc>
                <w:tcPr>
                  <w:tcW w:w="723"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2"/>
                      <w:sz w:val="21"/>
                      <w:szCs w:val="21"/>
                      <w:highlight w:val="none"/>
                      <w:lang w:val="en-US" w:eastAsia="zh-CN" w:bidi="ar-SA"/>
                      <w14:textFill>
                        <w14:solidFill>
                          <w14:schemeClr w14:val="tx1"/>
                        </w14:solidFill>
                      </w14:textFill>
                    </w:rPr>
                    <w:t>63.29</w:t>
                  </w:r>
                </w:p>
              </w:tc>
              <w:tc>
                <w:tcPr>
                  <w:tcW w:w="532" w:type="dxa"/>
                  <w:tcBorders>
                    <w:tl2br w:val="nil"/>
                    <w:tr2bl w:val="nil"/>
                  </w:tcBorders>
                  <w:noWrap w:val="0"/>
                  <w:vAlign w:val="center"/>
                </w:tcPr>
                <w:p>
                  <w:pPr>
                    <w:pStyle w:val="233"/>
                    <w:spacing w:line="240" w:lineRule="auto"/>
                    <w:ind w:firstLine="0" w:firstLineChars="0"/>
                    <w:jc w:val="center"/>
                    <w:rPr>
                      <w:rFonts w:hint="default" w:ascii="Times New Roman" w:hAnsi="Times New Roman" w:eastAsia="宋体"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t>24h</w:t>
                  </w:r>
                </w:p>
              </w:tc>
              <w:tc>
                <w:tcPr>
                  <w:tcW w:w="791"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t>20</w:t>
                  </w:r>
                </w:p>
              </w:tc>
              <w:tc>
                <w:tcPr>
                  <w:tcW w:w="750"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eastAsia" w:cs="Times New Roman"/>
                      <w:snapToGrid w:val="0"/>
                      <w:color w:val="000000" w:themeColor="text1"/>
                      <w:spacing w:val="-2"/>
                      <w:kern w:val="0"/>
                      <w:sz w:val="21"/>
                      <w:szCs w:val="21"/>
                      <w:highlight w:val="none"/>
                      <w:lang w:val="en-US" w:eastAsia="zh-CN" w:bidi="ar-SA"/>
                      <w14:textFill>
                        <w14:solidFill>
                          <w14:schemeClr w14:val="tx1"/>
                        </w14:solidFill>
                      </w14:textFill>
                    </w:rPr>
                    <w:t>43.29</w:t>
                  </w:r>
                </w:p>
              </w:tc>
              <w:tc>
                <w:tcPr>
                  <w:tcW w:w="788" w:type="dxa"/>
                  <w:tcBorders>
                    <w:tl2br w:val="nil"/>
                    <w:tr2bl w:val="nil"/>
                  </w:tcBorders>
                  <w:noWrap w:val="0"/>
                  <w:vAlign w:val="center"/>
                </w:tcPr>
                <w:p>
                  <w:pPr>
                    <w:pStyle w:val="233"/>
                    <w:spacing w:line="240" w:lineRule="auto"/>
                    <w:ind w:firstLine="0" w:firstLineChars="0"/>
                    <w:jc w:val="cente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pPr>
                  <w:r>
                    <w:rPr>
                      <w:rFonts w:hint="default" w:ascii="Times New Roman" w:hAnsi="Times New Roman" w:cs="Times New Roman"/>
                      <w:snapToGrid w:val="0"/>
                      <w:color w:val="000000" w:themeColor="text1"/>
                      <w:spacing w:val="-2"/>
                      <w:kern w:val="0"/>
                      <w:sz w:val="21"/>
                      <w:szCs w:val="21"/>
                      <w:highlight w:val="none"/>
                      <w:lang w:val="en-US" w:eastAsia="zh-CN" w:bidi="ar-SA"/>
                      <w14:textFill>
                        <w14:solidFill>
                          <w14:schemeClr w14:val="tx1"/>
                        </w14:solidFill>
                      </w14:textFill>
                    </w:rPr>
                    <w:t>1</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2</w:t>
            </w:r>
            <w:r>
              <w:rPr>
                <w:rFonts w:hint="eastAsia" w:ascii="Times New Roman"/>
                <w:color w:val="000000" w:themeColor="text1"/>
                <w:sz w:val="24"/>
                <w:highlight w:val="none"/>
                <w:lang w:eastAsia="zh-CN"/>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预测模式</w:t>
            </w:r>
          </w:p>
          <w:p>
            <w:pPr>
              <w:pStyle w:val="6"/>
              <w:tabs>
                <w:tab w:val="left" w:pos="0"/>
              </w:tabs>
              <w:spacing w:before="0" w:after="0" w:line="360" w:lineRule="auto"/>
              <w:ind w:firstLine="480" w:firstLineChars="200"/>
              <w:rPr>
                <w:rFonts w:hint="eastAsia" w:ascii="Times New Roman" w:eastAsia="宋体"/>
                <w:b w:val="0"/>
                <w:color w:val="000000" w:themeColor="text1"/>
                <w:sz w:val="24"/>
                <w:highlight w:val="none"/>
                <w:lang w:val="en-US" w:eastAsia="zh-CN"/>
                <w14:textFill>
                  <w14:solidFill>
                    <w14:schemeClr w14:val="tx1"/>
                  </w14:solidFill>
                </w14:textFill>
              </w:rPr>
            </w:pPr>
            <w:bookmarkStart w:id="17" w:name="_Toc20856"/>
            <w:r>
              <w:rPr>
                <w:rFonts w:ascii="Times New Roman"/>
                <w:b w:val="0"/>
                <w:color w:val="000000" w:themeColor="text1"/>
                <w:sz w:val="24"/>
                <w:highlight w:val="none"/>
                <w14:textFill>
                  <w14:solidFill>
                    <w14:schemeClr w14:val="tx1"/>
                  </w14:solidFill>
                </w14:textFill>
              </w:rPr>
              <w:t>噪声预测模式采用《环境影响评价技术导则 声环境》（HJ2.4-2021）附录A户外声传播的衰减及附录B中室内声源等效室外声源功率级计算方法进行预测。工业声源有室外和室内两种声源，应分别计算。</w:t>
            </w:r>
            <w:bookmarkEnd w:id="17"/>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18" w:name="_Toc32760"/>
            <w:r>
              <w:rPr>
                <w:rFonts w:ascii="Times New Roman"/>
                <w:b w:val="0"/>
                <w:color w:val="000000" w:themeColor="text1"/>
                <w:sz w:val="24"/>
                <w:highlight w:val="none"/>
                <w14:textFill>
                  <w14:solidFill>
                    <w14:schemeClr w14:val="tx1"/>
                  </w14:solidFill>
                </w14:textFill>
              </w:rPr>
              <w:t>①</w:t>
            </w:r>
            <w:r>
              <w:rPr>
                <w:rFonts w:hint="eastAsia" w:ascii="Times New Roman"/>
                <w:b w:val="0"/>
                <w:color w:val="000000" w:themeColor="text1"/>
                <w:sz w:val="24"/>
                <w:highlight w:val="none"/>
                <w14:textFill>
                  <w14:solidFill>
                    <w14:schemeClr w14:val="tx1"/>
                  </w14:solidFill>
                </w14:textFill>
              </w:rPr>
              <w:t>室外声源在预测点产生的声级计算</w:t>
            </w:r>
            <w:bookmarkEnd w:id="18"/>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19" w:name="_Toc8111"/>
            <w:r>
              <w:rPr>
                <w:rFonts w:ascii="Times New Roman"/>
                <w:b w:val="0"/>
                <w:color w:val="000000" w:themeColor="text1"/>
                <w:sz w:val="24"/>
                <w:highlight w:val="none"/>
                <w14:textFill>
                  <w14:solidFill>
                    <w14:schemeClr w14:val="tx1"/>
                  </w14:solidFill>
                </w14:textFill>
              </w:rPr>
              <w:t>在环境影响评价中，应根据声源声功率级或参考位置处的声压级、户外声传播衰减，计算预测点的声级，按下列公式计算。</w:t>
            </w:r>
            <w:bookmarkEnd w:id="19"/>
          </w:p>
          <w:p>
            <w:pPr>
              <w:pStyle w:val="6"/>
              <w:tabs>
                <w:tab w:val="left" w:pos="0"/>
              </w:tabs>
              <w:spacing w:before="0" w:after="0" w:line="360" w:lineRule="auto"/>
              <w:ind w:firstLine="422" w:firstLineChars="200"/>
              <w:rPr>
                <w:rFonts w:ascii="Times New Roman"/>
                <w:b w:val="0"/>
                <w:color w:val="000000" w:themeColor="text1"/>
                <w:sz w:val="24"/>
                <w:highlight w:val="none"/>
                <w14:textFill>
                  <w14:solidFill>
                    <w14:schemeClr w14:val="tx1"/>
                  </w14:solidFill>
                </w14:textFill>
              </w:rPr>
            </w:pPr>
            <w:bookmarkStart w:id="20" w:name="_Toc29272"/>
            <w:r>
              <w:rPr>
                <w:rFonts w:ascii="Times New Roman"/>
                <w:color w:val="000000" w:themeColor="text1"/>
                <w:sz w:val="21"/>
                <w:highlight w:val="none"/>
                <w14:textFill>
                  <w14:solidFill>
                    <w14:schemeClr w14:val="tx1"/>
                  </w14:solidFill>
                </w14:textFill>
              </w:rPr>
              <w:drawing>
                <wp:inline distT="0" distB="0" distL="114300" distR="114300">
                  <wp:extent cx="3448050" cy="200025"/>
                  <wp:effectExtent l="0" t="0" r="0" b="762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3448050" cy="200025"/>
                          </a:xfrm>
                          <a:prstGeom prst="rect">
                            <a:avLst/>
                          </a:prstGeom>
                          <a:noFill/>
                          <a:ln>
                            <a:noFill/>
                          </a:ln>
                        </pic:spPr>
                      </pic:pic>
                    </a:graphicData>
                  </a:graphic>
                </wp:inline>
              </w:drawing>
            </w:r>
            <w:bookmarkEnd w:id="20"/>
            <w:r>
              <w:rPr>
                <w:rFonts w:ascii="Times New Roman"/>
                <w:b w:val="0"/>
                <w:color w:val="000000" w:themeColor="text1"/>
                <w:sz w:val="24"/>
                <w:highlight w:val="none"/>
                <w14:textFill>
                  <w14:solidFill>
                    <w14:schemeClr w14:val="tx1"/>
                  </w14:solidFill>
                </w14:textFill>
              </w:rPr>
              <w:t xml:space="preserve">          </w:t>
            </w:r>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1" w:name="_Toc2724"/>
            <w:r>
              <w:rPr>
                <w:rFonts w:ascii="Times New Roman"/>
                <w:b w:val="0"/>
                <w:color w:val="000000" w:themeColor="text1"/>
                <w:sz w:val="24"/>
                <w:highlight w:val="none"/>
                <w14:textFill>
                  <w14:solidFill>
                    <w14:schemeClr w14:val="tx1"/>
                  </w14:solidFill>
                </w14:textFill>
              </w:rPr>
              <w:t>式中：L</w:t>
            </w:r>
            <w:r>
              <w:rPr>
                <w:rFonts w:ascii="Times New Roman"/>
                <w:b w:val="0"/>
                <w:color w:val="000000" w:themeColor="text1"/>
                <w:sz w:val="24"/>
                <w:highlight w:val="none"/>
                <w:vertAlign w:val="subscript"/>
                <w14:textFill>
                  <w14:solidFill>
                    <w14:schemeClr w14:val="tx1"/>
                  </w14:solidFill>
                </w14:textFill>
              </w:rPr>
              <w:t>p</w:t>
            </w:r>
            <w:r>
              <w:rPr>
                <w:rFonts w:ascii="Times New Roman"/>
                <w:b w:val="0"/>
                <w:color w:val="000000" w:themeColor="text1"/>
                <w:sz w:val="24"/>
                <w:highlight w:val="none"/>
                <w14:textFill>
                  <w14:solidFill>
                    <w14:schemeClr w14:val="tx1"/>
                  </w14:solidFill>
                </w14:textFill>
              </w:rPr>
              <w:t>（r）—预测点处声压级，dB；</w:t>
            </w:r>
            <w:bookmarkEnd w:id="21"/>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2" w:name="_Toc24539"/>
            <w:r>
              <w:rPr>
                <w:rFonts w:ascii="Times New Roman"/>
                <w:b w:val="0"/>
                <w:color w:val="000000" w:themeColor="text1"/>
                <w:sz w:val="24"/>
                <w:highlight w:val="none"/>
                <w14:textFill>
                  <w14:solidFill>
                    <w14:schemeClr w14:val="tx1"/>
                  </w14:solidFill>
                </w14:textFill>
              </w:rPr>
              <w:t>L</w:t>
            </w:r>
            <w:r>
              <w:rPr>
                <w:rFonts w:ascii="Times New Roman"/>
                <w:b w:val="0"/>
                <w:color w:val="000000" w:themeColor="text1"/>
                <w:sz w:val="24"/>
                <w:highlight w:val="none"/>
                <w:vertAlign w:val="subscript"/>
                <w14:textFill>
                  <w14:solidFill>
                    <w14:schemeClr w14:val="tx1"/>
                  </w14:solidFill>
                </w14:textFill>
              </w:rPr>
              <w:t>w</w:t>
            </w:r>
            <w:r>
              <w:rPr>
                <w:rFonts w:ascii="Times New Roman"/>
                <w:b w:val="0"/>
                <w:color w:val="000000" w:themeColor="text1"/>
                <w:sz w:val="24"/>
                <w:highlight w:val="none"/>
                <w14:textFill>
                  <w14:solidFill>
                    <w14:schemeClr w14:val="tx1"/>
                  </w14:solidFill>
                </w14:textFill>
              </w:rPr>
              <w:t>—由点声源产生的声功率级（A计权或倍频带），dB；</w:t>
            </w:r>
            <w:bookmarkEnd w:id="22"/>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3" w:name="_Toc22803"/>
            <w:r>
              <w:rPr>
                <w:rFonts w:ascii="Times New Roman"/>
                <w:b w:val="0"/>
                <w:color w:val="000000" w:themeColor="text1"/>
                <w:sz w:val="24"/>
                <w:highlight w:val="none"/>
                <w14:textFill>
                  <w14:solidFill>
                    <w14:schemeClr w14:val="tx1"/>
                  </w14:solidFill>
                </w14:textFill>
              </w:rPr>
              <w:t>D</w:t>
            </w:r>
            <w:r>
              <w:rPr>
                <w:rFonts w:ascii="Times New Roman"/>
                <w:b w:val="0"/>
                <w:color w:val="000000" w:themeColor="text1"/>
                <w:sz w:val="24"/>
                <w:highlight w:val="none"/>
                <w:vertAlign w:val="subscript"/>
                <w14:textFill>
                  <w14:solidFill>
                    <w14:schemeClr w14:val="tx1"/>
                  </w14:solidFill>
                </w14:textFill>
              </w:rPr>
              <w:t>c</w:t>
            </w:r>
            <w:r>
              <w:rPr>
                <w:rFonts w:ascii="Times New Roman"/>
                <w:b w:val="0"/>
                <w:color w:val="000000" w:themeColor="text1"/>
                <w:sz w:val="24"/>
                <w:highlight w:val="none"/>
                <w14:textFill>
                  <w14:solidFill>
                    <w14:schemeClr w14:val="tx1"/>
                  </w14:solidFill>
                </w14:textFill>
              </w:rPr>
              <w:t>—指向性校正，dB；它描述点声源的等效连续声压级与产生声功率级L</w:t>
            </w:r>
            <w:r>
              <w:rPr>
                <w:rFonts w:ascii="Times New Roman"/>
                <w:b w:val="0"/>
                <w:color w:val="000000" w:themeColor="text1"/>
                <w:sz w:val="24"/>
                <w:highlight w:val="none"/>
                <w:vertAlign w:val="subscript"/>
                <w14:textFill>
                  <w14:solidFill>
                    <w14:schemeClr w14:val="tx1"/>
                  </w14:solidFill>
                </w14:textFill>
              </w:rPr>
              <w:t>w</w:t>
            </w:r>
            <w:r>
              <w:rPr>
                <w:rFonts w:ascii="Times New Roman"/>
                <w:b w:val="0"/>
                <w:color w:val="000000" w:themeColor="text1"/>
                <w:sz w:val="24"/>
                <w:highlight w:val="none"/>
                <w14:textFill>
                  <w14:solidFill>
                    <w14:schemeClr w14:val="tx1"/>
                  </w14:solidFill>
                </w14:textFill>
              </w:rPr>
              <w:t>的全向点声源的规定方向的级的偏差程度，dB；</w:t>
            </w:r>
            <w:bookmarkEnd w:id="23"/>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4" w:name="_Toc18750"/>
            <w:r>
              <w:rPr>
                <w:rFonts w:ascii="Times New Roman"/>
                <w:b w:val="0"/>
                <w:color w:val="000000" w:themeColor="text1"/>
                <w:sz w:val="24"/>
                <w:highlight w:val="none"/>
                <w14:textFill>
                  <w14:solidFill>
                    <w14:schemeClr w14:val="tx1"/>
                  </w14:solidFill>
                </w14:textFill>
              </w:rPr>
              <w:t>A</w:t>
            </w:r>
            <w:r>
              <w:rPr>
                <w:rFonts w:ascii="Times New Roman"/>
                <w:b w:val="0"/>
                <w:color w:val="000000" w:themeColor="text1"/>
                <w:sz w:val="24"/>
                <w:highlight w:val="none"/>
                <w:vertAlign w:val="subscript"/>
                <w14:textFill>
                  <w14:solidFill>
                    <w14:schemeClr w14:val="tx1"/>
                  </w14:solidFill>
                </w14:textFill>
              </w:rPr>
              <w:t>div</w:t>
            </w:r>
            <w:r>
              <w:rPr>
                <w:rFonts w:ascii="Times New Roman"/>
                <w:b w:val="0"/>
                <w:color w:val="000000" w:themeColor="text1"/>
                <w:sz w:val="24"/>
                <w:highlight w:val="none"/>
                <w14:textFill>
                  <w14:solidFill>
                    <w14:schemeClr w14:val="tx1"/>
                  </w14:solidFill>
                </w14:textFill>
              </w:rPr>
              <w:t>—几何发散引起的衰减，dB；</w:t>
            </w:r>
            <w:bookmarkEnd w:id="24"/>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5" w:name="_Toc20979"/>
            <w:r>
              <w:rPr>
                <w:rFonts w:ascii="Times New Roman"/>
                <w:b w:val="0"/>
                <w:color w:val="000000" w:themeColor="text1"/>
                <w:sz w:val="24"/>
                <w:highlight w:val="none"/>
                <w14:textFill>
                  <w14:solidFill>
                    <w14:schemeClr w14:val="tx1"/>
                  </w14:solidFill>
                </w14:textFill>
              </w:rPr>
              <w:t>A</w:t>
            </w:r>
            <w:r>
              <w:rPr>
                <w:rFonts w:ascii="Times New Roman"/>
                <w:b w:val="0"/>
                <w:color w:val="000000" w:themeColor="text1"/>
                <w:sz w:val="24"/>
                <w:highlight w:val="none"/>
                <w:vertAlign w:val="subscript"/>
                <w14:textFill>
                  <w14:solidFill>
                    <w14:schemeClr w14:val="tx1"/>
                  </w14:solidFill>
                </w14:textFill>
              </w:rPr>
              <w:t>atm</w:t>
            </w:r>
            <w:r>
              <w:rPr>
                <w:rFonts w:ascii="Times New Roman"/>
                <w:b w:val="0"/>
                <w:color w:val="000000" w:themeColor="text1"/>
                <w:sz w:val="24"/>
                <w:highlight w:val="none"/>
                <w14:textFill>
                  <w14:solidFill>
                    <w14:schemeClr w14:val="tx1"/>
                  </w14:solidFill>
                </w14:textFill>
              </w:rPr>
              <w:t>—大气吸引引起的衰减，dB；</w:t>
            </w:r>
            <w:bookmarkEnd w:id="25"/>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6" w:name="_Toc9764"/>
            <w:r>
              <w:rPr>
                <w:rFonts w:ascii="Times New Roman"/>
                <w:b w:val="0"/>
                <w:color w:val="000000" w:themeColor="text1"/>
                <w:sz w:val="24"/>
                <w:highlight w:val="none"/>
                <w14:textFill>
                  <w14:solidFill>
                    <w14:schemeClr w14:val="tx1"/>
                  </w14:solidFill>
                </w14:textFill>
              </w:rPr>
              <w:t>A</w:t>
            </w:r>
            <w:r>
              <w:rPr>
                <w:rFonts w:ascii="Times New Roman"/>
                <w:b w:val="0"/>
                <w:color w:val="000000" w:themeColor="text1"/>
                <w:sz w:val="24"/>
                <w:highlight w:val="none"/>
                <w:vertAlign w:val="subscript"/>
                <w14:textFill>
                  <w14:solidFill>
                    <w14:schemeClr w14:val="tx1"/>
                  </w14:solidFill>
                </w14:textFill>
              </w:rPr>
              <w:t>gr</w:t>
            </w:r>
            <w:r>
              <w:rPr>
                <w:rFonts w:ascii="Times New Roman"/>
                <w:b w:val="0"/>
                <w:color w:val="000000" w:themeColor="text1"/>
                <w:sz w:val="24"/>
                <w:highlight w:val="none"/>
                <w14:textFill>
                  <w14:solidFill>
                    <w14:schemeClr w14:val="tx1"/>
                  </w14:solidFill>
                </w14:textFill>
              </w:rPr>
              <w:t>—地面效应引起的衰减，dB；</w:t>
            </w:r>
            <w:bookmarkEnd w:id="26"/>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7" w:name="_Toc12502"/>
            <w:r>
              <w:rPr>
                <w:rFonts w:ascii="Times New Roman"/>
                <w:b w:val="0"/>
                <w:color w:val="000000" w:themeColor="text1"/>
                <w:sz w:val="24"/>
                <w:highlight w:val="none"/>
                <w14:textFill>
                  <w14:solidFill>
                    <w14:schemeClr w14:val="tx1"/>
                  </w14:solidFill>
                </w14:textFill>
              </w:rPr>
              <w:t>A</w:t>
            </w:r>
            <w:r>
              <w:rPr>
                <w:rFonts w:ascii="Times New Roman"/>
                <w:b w:val="0"/>
                <w:color w:val="000000" w:themeColor="text1"/>
                <w:sz w:val="24"/>
                <w:highlight w:val="none"/>
                <w:vertAlign w:val="subscript"/>
                <w14:textFill>
                  <w14:solidFill>
                    <w14:schemeClr w14:val="tx1"/>
                  </w14:solidFill>
                </w14:textFill>
              </w:rPr>
              <w:t>bar</w:t>
            </w:r>
            <w:r>
              <w:rPr>
                <w:rFonts w:ascii="Times New Roman"/>
                <w:b w:val="0"/>
                <w:color w:val="000000" w:themeColor="text1"/>
                <w:sz w:val="24"/>
                <w:highlight w:val="none"/>
                <w14:textFill>
                  <w14:solidFill>
                    <w14:schemeClr w14:val="tx1"/>
                  </w14:solidFill>
                </w14:textFill>
              </w:rPr>
              <w:t>—声屏障引起的衰减，dB；</w:t>
            </w:r>
            <w:bookmarkEnd w:id="27"/>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8" w:name="_Toc17508"/>
            <w:r>
              <w:rPr>
                <w:rFonts w:ascii="Times New Roman"/>
                <w:b w:val="0"/>
                <w:color w:val="000000" w:themeColor="text1"/>
                <w:sz w:val="24"/>
                <w:highlight w:val="none"/>
                <w14:textFill>
                  <w14:solidFill>
                    <w14:schemeClr w14:val="tx1"/>
                  </w14:solidFill>
                </w14:textFill>
              </w:rPr>
              <w:t>A</w:t>
            </w:r>
            <w:r>
              <w:rPr>
                <w:rFonts w:ascii="Times New Roman"/>
                <w:b w:val="0"/>
                <w:color w:val="000000" w:themeColor="text1"/>
                <w:sz w:val="24"/>
                <w:highlight w:val="none"/>
                <w:vertAlign w:val="subscript"/>
                <w14:textFill>
                  <w14:solidFill>
                    <w14:schemeClr w14:val="tx1"/>
                  </w14:solidFill>
                </w14:textFill>
              </w:rPr>
              <w:t>misc</w:t>
            </w:r>
            <w:r>
              <w:rPr>
                <w:rFonts w:ascii="Times New Roman"/>
                <w:b w:val="0"/>
                <w:color w:val="000000" w:themeColor="text1"/>
                <w:sz w:val="24"/>
                <w:highlight w:val="none"/>
                <w14:textFill>
                  <w14:solidFill>
                    <w14:schemeClr w14:val="tx1"/>
                  </w14:solidFill>
                </w14:textFill>
              </w:rPr>
              <w:t>—其他多方面效应引起的衰减，dB。</w:t>
            </w:r>
            <w:bookmarkEnd w:id="28"/>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outlineLvl w:val="3"/>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②室内声源等效室外声源声功率级计算方法</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drawing>
                <wp:inline distT="0" distB="0" distL="114300" distR="114300">
                  <wp:extent cx="2414270" cy="1109345"/>
                  <wp:effectExtent l="0" t="0" r="5080" b="146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2414270" cy="11093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b/>
                <w:bCs/>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2"/>
                <w:highlight w:val="none"/>
                <w:lang w:val="en-US" w:eastAsia="zh-CN" w:bidi="ar-SA"/>
                <w14:textFill>
                  <w14:solidFill>
                    <w14:schemeClr w14:val="tx1"/>
                  </w14:solidFill>
                </w14:textFill>
              </w:rPr>
              <w:t>图</w:t>
            </w:r>
            <w:r>
              <w:rPr>
                <w:rFonts w:hint="eastAsia" w:ascii="Times New Roman" w:cs="Times New Roman"/>
                <w:b/>
                <w:bCs/>
                <w:color w:val="000000" w:themeColor="text1"/>
                <w:kern w:val="0"/>
                <w:sz w:val="24"/>
                <w:szCs w:val="22"/>
                <w:highlight w:val="none"/>
                <w:lang w:val="en-US" w:eastAsia="zh-CN" w:bidi="ar-SA"/>
                <w14:textFill>
                  <w14:solidFill>
                    <w14:schemeClr w14:val="tx1"/>
                  </w14:solidFill>
                </w14:textFill>
              </w:rPr>
              <w:t>4</w:t>
            </w:r>
            <w:r>
              <w:rPr>
                <w:rFonts w:hint="default" w:ascii="Times New Roman" w:hAnsi="Times New Roman" w:eastAsia="宋体" w:cs="Times New Roman"/>
                <w:b/>
                <w:bCs/>
                <w:color w:val="000000" w:themeColor="text1"/>
                <w:kern w:val="0"/>
                <w:sz w:val="24"/>
                <w:szCs w:val="22"/>
                <w:highlight w:val="none"/>
                <w:lang w:val="en-US" w:eastAsia="zh-CN" w:bidi="ar-SA"/>
                <w14:textFill>
                  <w14:solidFill>
                    <w14:schemeClr w14:val="tx1"/>
                  </w14:solidFill>
                </w14:textFill>
              </w:rPr>
              <w:t>-1  室内声源等效为室外声源图例</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如上图所示，声源位于室内，室内声源可采用等效室外声源声功率级法进行计算。设靠近开口处（或窗户）室内、室外某倍频带的声压级分别为L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和L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p2</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。若声源所在室内声场为近似扩散声场，则室外的倍频带声压级可按公式近似求出：</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247775" cy="23812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1247775" cy="2381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—靠近开口处（或窗户）室内某倍频带的声压级或A升级，dB；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p2</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—靠近开口处（或窗户）室外某倍频带的声压级或A升级，dB；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2"/>
                <w:highlight w:val="none"/>
                <w:vertAlign w:val="baseli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—隔墙（或窗户）倍频带或A声级的隔声量，dB(A)。</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也可按下式计算某一室内声源靠近围护结构处产生的倍频带声压级或A声级；</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752600" cy="428625"/>
                  <wp:effectExtent l="0" t="0" r="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3"/>
                          <a:stretch>
                            <a:fillRect/>
                          </a:stretch>
                        </pic:blipFill>
                        <pic:spPr>
                          <a:xfrm>
                            <a:off x="0" y="0"/>
                            <a:ext cx="1752600" cy="4286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—靠近开口处（或窗户）室内某倍频带的声压级或A升级，dB；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w</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—点声源产生的声功率级（A计权或倍频带），dB；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Q—指向性因数；通常对无指向性声源，当声源放在房间中心时，Q=1；当放在一面墙的中心时，Q=2；当放在两面墙夹角处时，Q=4；当放在三面墙夹角处时，Q=8。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R—房间常数；R=Sα/(1−α)，S为房间内表面面积，m</w:t>
            </w:r>
            <w:r>
              <w:rPr>
                <w:rFonts w:hint="default" w:ascii="Times New Roman" w:hAnsi="Times New Roman" w:eastAsia="宋体" w:cs="Times New Roman"/>
                <w:color w:val="000000" w:themeColor="text1"/>
                <w:kern w:val="0"/>
                <w:sz w:val="24"/>
                <w:szCs w:val="22"/>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；α为平均吸声系数。</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r—声源到靠近围护结构某点处的距离，m。</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然后按公下式计算出所有室内声源在围护结构处产生的i倍频带叠加声压级：</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685925" cy="485775"/>
                  <wp:effectExtent l="0" t="0" r="9525" b="889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4"/>
                          <a:stretch>
                            <a:fillRect/>
                          </a:stretch>
                        </pic:blipFill>
                        <pic:spPr>
                          <a:xfrm>
                            <a:off x="0" y="0"/>
                            <a:ext cx="1685925" cy="4857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P1i</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(T)—靠近围护结构处室内N个声源i倍频带的叠加声压级，dB；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P1ij</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—室内j声源i倍频带的声压级，dB；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N—室内声源总数。</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在室内近似为扩散声场时，按下式计算出靠近室外围护结构处的声压级：</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724025" cy="22860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25"/>
                          <a:stretch>
                            <a:fillRect/>
                          </a:stretch>
                        </pic:blipFill>
                        <pic:spPr>
                          <a:xfrm>
                            <a:off x="0" y="0"/>
                            <a:ext cx="1724025" cy="228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P2i</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(T)—靠近围护结构处室外N个声源i倍频带的叠加声压级，dB；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P1ij</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—室内j声源i倍频带的声压级，dB；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—围护结构i倍频带的隔声量，dB。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然后按下式将室外声源的声压级和透过面积换算成等效的室外声源，计算出中心位置位于透声面积（S）处的等效声源的倍频带声功率级。</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
                <w14:textFill>
                  <w14:solidFill>
                    <w14:schemeClr w14:val="tx1"/>
                  </w14:solidFill>
                </w14:textFill>
              </w:rPr>
              <w:drawing>
                <wp:inline distT="0" distB="0" distL="114300" distR="114300">
                  <wp:extent cx="1295400" cy="228600"/>
                  <wp:effectExtent l="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1295400" cy="2286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w</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—中心位置位于透声面积（S）处的等效声源的倍频带声功率级，dB；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P2</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 —靠近围护结构处室外生源的声压级，dB；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S—透声面积，m</w:t>
            </w:r>
            <w:r>
              <w:rPr>
                <w:rFonts w:hint="default" w:ascii="Times New Roman" w:hAnsi="Times New Roman" w:eastAsia="宋体" w:cs="Times New Roman"/>
                <w:color w:val="000000" w:themeColor="text1"/>
                <w:kern w:val="0"/>
                <w:sz w:val="24"/>
                <w:szCs w:val="22"/>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然后按室外声源预测方法计算预测点处的A声级。</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outlineLvl w:val="3"/>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③工业企业噪声计算：</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drawing>
                <wp:inline distT="0" distB="0" distL="114300" distR="114300">
                  <wp:extent cx="2907030" cy="576580"/>
                  <wp:effectExtent l="0" t="0" r="7620" b="13970"/>
                  <wp:docPr id="15" name="图片 8" descr="1684652933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1684652933105"/>
                          <pic:cNvPicPr>
                            <a:picLocks noChangeAspect="1"/>
                          </pic:cNvPicPr>
                        </pic:nvPicPr>
                        <pic:blipFill>
                          <a:blip r:embed="rId27"/>
                          <a:stretch>
                            <a:fillRect/>
                          </a:stretch>
                        </pic:blipFill>
                        <pic:spPr>
                          <a:xfrm>
                            <a:off x="0" y="0"/>
                            <a:ext cx="2907030" cy="5765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eqg</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—建设项目声源在预测点产生的噪声贡献值，dB；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T—用于计算等效声级的时间，s；</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N—室外声源个数；</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i</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—在T时间内i声源工作时间，s；</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M—等效室外声源个数；</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t</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 xml:space="preserve">j </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—在T时间内j声源工作时间，s。</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outlineLvl w:val="3"/>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④噪声预测值</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left="0" w:leftChars="0" w:firstLine="0" w:firstLineChars="0"/>
              <w:jc w:val="center"/>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drawing>
                <wp:inline distT="0" distB="0" distL="114300" distR="114300">
                  <wp:extent cx="2094230" cy="389255"/>
                  <wp:effectExtent l="0" t="0" r="1270" b="10795"/>
                  <wp:docPr id="16" name="图片 9" descr="168862969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1688629692923"/>
                          <pic:cNvPicPr>
                            <a:picLocks noChangeAspect="1"/>
                          </pic:cNvPicPr>
                        </pic:nvPicPr>
                        <pic:blipFill>
                          <a:blip r:embed="rId28"/>
                          <a:stretch>
                            <a:fillRect/>
                          </a:stretch>
                        </pic:blipFill>
                        <pic:spPr>
                          <a:xfrm>
                            <a:off x="0" y="0"/>
                            <a:ext cx="2094230" cy="3892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式中：</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eq</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—预测点的噪声预测值，dB；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eqg</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—建设项目声源在预测点产生的噪声贡献值，dB；</w:t>
            </w:r>
          </w:p>
          <w:p>
            <w:pPr>
              <w:keepNext w:val="0"/>
              <w:keepLines w:val="0"/>
              <w:pageBreakBefore w:val="0"/>
              <w:widowControl w:val="0"/>
              <w:kinsoku/>
              <w:wordWrap/>
              <w:overflowPunct/>
              <w:topLinePunct w:val="0"/>
              <w:autoSpaceDE w:val="0"/>
              <w:autoSpaceDN w:val="0"/>
              <w:bidi w:val="0"/>
              <w:adjustRightInd w:val="0"/>
              <w:snapToGrid w:val="0"/>
              <w:spacing w:beforeLines="0" w:afterLines="0" w:line="360" w:lineRule="auto"/>
              <w:ind w:firstLine="480" w:firstLineChars="200"/>
              <w:jc w:val="both"/>
              <w:textAlignment w:val="baseline"/>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L</w:t>
            </w:r>
            <w:r>
              <w:rPr>
                <w:rFonts w:hint="default" w:ascii="Times New Roman" w:hAnsi="Times New Roman" w:eastAsia="宋体" w:cs="Times New Roman"/>
                <w:color w:val="000000" w:themeColor="text1"/>
                <w:kern w:val="0"/>
                <w:sz w:val="24"/>
                <w:szCs w:val="22"/>
                <w:highlight w:val="none"/>
                <w:vertAlign w:val="subscript"/>
                <w:lang w:val="en-US" w:eastAsia="zh-CN" w:bidi="ar-SA"/>
                <w14:textFill>
                  <w14:solidFill>
                    <w14:schemeClr w14:val="tx1"/>
                  </w14:solidFill>
                </w14:textFill>
              </w:rPr>
              <w:t>eqb</w:t>
            </w:r>
            <w:r>
              <w:rPr>
                <w:rFonts w:hint="default" w:ascii="Times New Roman" w:hAnsi="Times New Roman" w:eastAsia="宋体" w:cs="Times New Roman"/>
                <w:color w:val="000000" w:themeColor="text1"/>
                <w:kern w:val="0"/>
                <w:sz w:val="24"/>
                <w:szCs w:val="22"/>
                <w:highlight w:val="none"/>
                <w:lang w:val="en-US" w:eastAsia="zh-CN" w:bidi="ar-SA"/>
                <w14:textFill>
                  <w14:solidFill>
                    <w14:schemeClr w14:val="tx1"/>
                  </w14:solidFill>
                </w14:textFill>
              </w:rPr>
              <w:t>—预测点的背景噪声值，dB；</w:t>
            </w:r>
          </w:p>
          <w:p>
            <w:pPr>
              <w:widowControl/>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）预测步骤</w:t>
            </w:r>
          </w:p>
          <w:p>
            <w:pPr>
              <w:widowControl/>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①</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建立一个坐标系，确定各噪声源及</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厂</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界预测点坐标。</w:t>
            </w:r>
          </w:p>
          <w:p>
            <w:pPr>
              <w:widowControl/>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②</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根据已获得的声源参数和声波从声源到预测点的传播条件，计算出各声源单独作用在预测点时产生的</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A</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声级</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L</w:t>
            </w:r>
            <w:r>
              <w:rPr>
                <w:rFonts w:hint="default" w:ascii="Times New Roman" w:hAnsi="Times New Roman" w:cs="Times New Roman"/>
                <w:b w:val="0"/>
                <w:bCs w:val="0"/>
                <w:color w:val="000000" w:themeColor="text1"/>
                <w:sz w:val="24"/>
                <w:szCs w:val="24"/>
                <w:highlight w:val="none"/>
                <w:vertAlign w:val="subscript"/>
                <w:lang w:val="en-US"/>
                <w14:textFill>
                  <w14:solidFill>
                    <w14:schemeClr w14:val="tx1"/>
                  </w14:solidFill>
                </w14:textFill>
              </w:rPr>
              <w:t>i</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pPr>
              <w:widowControl/>
              <w:spacing w:before="0" w:beforeAutospacing="0" w:after="0" w:afterAutospacing="0" w:line="360" w:lineRule="auto"/>
              <w:ind w:left="0" w:right="0" w:firstLine="480" w:firstLineChars="200"/>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③</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将各声源对某预测点产生的</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A</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声级叠加，得到该预测点的声级值</w:t>
            </w:r>
            <w:r>
              <w:rPr>
                <w:rFonts w:hint="default" w:ascii="Times New Roman" w:hAnsi="Times New Roman" w:cs="Times New Roman"/>
                <w:b w:val="0"/>
                <w:bCs w:val="0"/>
                <w:color w:val="000000" w:themeColor="text1"/>
                <w:sz w:val="24"/>
                <w:szCs w:val="24"/>
                <w:highlight w:val="none"/>
                <w:lang w:val="en-US"/>
                <w14:textFill>
                  <w14:solidFill>
                    <w14:schemeClr w14:val="tx1"/>
                  </w14:solidFill>
                </w14:textFill>
              </w:rPr>
              <w:t>L</w:t>
            </w:r>
            <w:r>
              <w:rPr>
                <w:rFonts w:hint="default" w:ascii="Times New Roman" w:hAnsi="Times New Roman" w:cs="Times New Roman"/>
                <w:b w:val="0"/>
                <w:bCs w:val="0"/>
                <w:color w:val="000000" w:themeColor="text1"/>
                <w:sz w:val="24"/>
                <w:szCs w:val="24"/>
                <w:highlight w:val="none"/>
                <w:vertAlign w:val="subscript"/>
                <w:lang w:val="en-US"/>
                <w14:textFill>
                  <w14:solidFill>
                    <w14:schemeClr w14:val="tx1"/>
                  </w14:solidFill>
                </w14:textFill>
              </w:rPr>
              <w:t>i</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w:t>
            </w:r>
          </w:p>
          <w:p>
            <w:pPr>
              <w:pStyle w:val="51"/>
              <w:jc w:val="center"/>
              <w:rPr>
                <w:rFonts w:hint="default" w:ascii="Times New Roman" w:hAnsi="Times New Roman" w:cs="Times New Roman"/>
                <w:color w:val="000000" w:themeColor="text1"/>
                <w:highlight w:val="none"/>
                <w:lang w:val="en-US" w:eastAsia="zh-CN"/>
                <w14:textFill>
                  <w14:solidFill>
                    <w14:schemeClr w14:val="tx1"/>
                  </w14:solidFill>
                </w14:textFill>
              </w:rPr>
            </w:pPr>
            <w:r>
              <w:rPr>
                <w:rFonts w:hint="default" w:ascii="Times New Roman" w:hAnsi="Times New Roman" w:eastAsia="Times New Roman" w:cs="Times New Roman"/>
                <w:color w:val="000000" w:themeColor="text1"/>
                <w:spacing w:val="-2"/>
                <w:szCs w:val="24"/>
                <w:highlight w:val="none"/>
                <w14:textFill>
                  <w14:solidFill>
                    <w14:schemeClr w14:val="tx1"/>
                  </w14:solidFill>
                </w14:textFill>
              </w:rPr>
              <w:drawing>
                <wp:inline distT="0" distB="0" distL="114300" distR="114300">
                  <wp:extent cx="1462405" cy="503555"/>
                  <wp:effectExtent l="0" t="0" r="4445" b="1079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29"/>
                          <a:srcRect r="2803" b="6190"/>
                          <a:stretch>
                            <a:fillRect/>
                          </a:stretch>
                        </pic:blipFill>
                        <pic:spPr>
                          <a:xfrm>
                            <a:off x="0" y="0"/>
                            <a:ext cx="1462405" cy="503555"/>
                          </a:xfrm>
                          <a:prstGeom prst="rect">
                            <a:avLst/>
                          </a:prstGeom>
                          <a:noFill/>
                          <a:ln>
                            <a:noFill/>
                          </a:ln>
                        </pic:spPr>
                      </pic:pic>
                    </a:graphicData>
                  </a:graphic>
                </wp:inline>
              </w:drawing>
            </w:r>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29" w:name="_Toc21115"/>
            <w:r>
              <w:rPr>
                <w:rFonts w:hint="eastAsia" w:ascii="Times New Roman"/>
                <w:b w:val="0"/>
                <w:bCs w:val="0"/>
                <w:color w:val="000000" w:themeColor="text1"/>
                <w:sz w:val="24"/>
                <w:highlight w:val="none"/>
                <w:lang w:eastAsia="zh-CN"/>
                <w14:textFill>
                  <w14:solidFill>
                    <w14:schemeClr w14:val="tx1"/>
                  </w14:solidFill>
                </w14:textFill>
              </w:rPr>
              <w:t>（</w:t>
            </w:r>
            <w:r>
              <w:rPr>
                <w:rFonts w:hint="eastAsia" w:ascii="Times New Roman"/>
                <w:b w:val="0"/>
                <w:bCs w:val="0"/>
                <w:color w:val="000000" w:themeColor="text1"/>
                <w:sz w:val="24"/>
                <w:highlight w:val="none"/>
                <w:lang w:val="en-US" w:eastAsia="zh-CN"/>
                <w14:textFill>
                  <w14:solidFill>
                    <w14:schemeClr w14:val="tx1"/>
                  </w14:solidFill>
                </w14:textFill>
              </w:rPr>
              <w:t>3</w:t>
            </w:r>
            <w:r>
              <w:rPr>
                <w:rFonts w:hint="eastAsia" w:ascii="Times New Roman"/>
                <w:b w:val="0"/>
                <w:bCs w:val="0"/>
                <w:color w:val="000000" w:themeColor="text1"/>
                <w:sz w:val="24"/>
                <w:highlight w:val="none"/>
                <w:lang w:eastAsia="zh-CN"/>
                <w14:textFill>
                  <w14:solidFill>
                    <w14:schemeClr w14:val="tx1"/>
                  </w14:solidFill>
                </w14:textFill>
              </w:rPr>
              <w:t>）</w:t>
            </w:r>
            <w:r>
              <w:rPr>
                <w:rFonts w:ascii="Times New Roman"/>
                <w:b w:val="0"/>
                <w:color w:val="000000" w:themeColor="text1"/>
                <w:sz w:val="24"/>
                <w:highlight w:val="none"/>
                <w14:textFill>
                  <w14:solidFill>
                    <w14:schemeClr w14:val="tx1"/>
                  </w14:solidFill>
                </w14:textFill>
              </w:rPr>
              <w:t>预测步骤</w:t>
            </w:r>
            <w:bookmarkEnd w:id="29"/>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30" w:name="_Toc25317"/>
            <w:r>
              <w:rPr>
                <w:rFonts w:ascii="Times New Roman"/>
                <w:b w:val="0"/>
                <w:color w:val="000000" w:themeColor="text1"/>
                <w:sz w:val="24"/>
                <w:highlight w:val="none"/>
                <w14:textFill>
                  <w14:solidFill>
                    <w14:schemeClr w14:val="tx1"/>
                  </w14:solidFill>
                </w14:textFill>
              </w:rPr>
              <w:t>①建立一个坐标系</w:t>
            </w:r>
            <w:r>
              <w:rPr>
                <w:rFonts w:hint="eastAsia" w:ascii="Times New Roman"/>
                <w:b w:val="0"/>
                <w:color w:val="000000" w:themeColor="text1"/>
                <w:sz w:val="24"/>
                <w:highlight w:val="none"/>
                <w:lang w:eastAsia="zh-CN"/>
                <w14:textFill>
                  <w14:solidFill>
                    <w14:schemeClr w14:val="tx1"/>
                  </w14:solidFill>
                </w14:textFill>
              </w:rPr>
              <w:t>（</w:t>
            </w:r>
            <w:r>
              <w:rPr>
                <w:rFonts w:hint="eastAsia" w:ascii="Times New Roman"/>
                <w:b w:val="0"/>
                <w:color w:val="000000" w:themeColor="text1"/>
                <w:sz w:val="24"/>
                <w:highlight w:val="none"/>
                <w:lang w:val="en-US" w:eastAsia="zh-CN"/>
                <w14:textFill>
                  <w14:solidFill>
                    <w14:schemeClr w14:val="tx1"/>
                  </w14:solidFill>
                </w14:textFill>
              </w:rPr>
              <w:t>以站址中心为原点</w:t>
            </w:r>
            <w:r>
              <w:rPr>
                <w:rFonts w:hint="eastAsia" w:ascii="Times New Roman"/>
                <w:b w:val="0"/>
                <w:color w:val="000000" w:themeColor="text1"/>
                <w:sz w:val="24"/>
                <w:highlight w:val="none"/>
                <w:lang w:eastAsia="zh-CN"/>
                <w14:textFill>
                  <w14:solidFill>
                    <w14:schemeClr w14:val="tx1"/>
                  </w14:solidFill>
                </w14:textFill>
              </w:rPr>
              <w:t>）</w:t>
            </w:r>
            <w:r>
              <w:rPr>
                <w:rFonts w:ascii="Times New Roman"/>
                <w:b w:val="0"/>
                <w:color w:val="000000" w:themeColor="text1"/>
                <w:sz w:val="24"/>
                <w:highlight w:val="none"/>
                <w14:textFill>
                  <w14:solidFill>
                    <w14:schemeClr w14:val="tx1"/>
                  </w14:solidFill>
                </w14:textFill>
              </w:rPr>
              <w:t>，确定各噪声源及</w:t>
            </w:r>
            <w:r>
              <w:rPr>
                <w:rFonts w:hint="eastAsia" w:ascii="Times New Roman"/>
                <w:b w:val="0"/>
                <w:color w:val="000000" w:themeColor="text1"/>
                <w:sz w:val="24"/>
                <w:highlight w:val="none"/>
                <w:lang w:val="en-US" w:eastAsia="zh-CN"/>
                <w14:textFill>
                  <w14:solidFill>
                    <w14:schemeClr w14:val="tx1"/>
                  </w14:solidFill>
                </w14:textFill>
              </w:rPr>
              <w:t>厂界</w:t>
            </w:r>
            <w:r>
              <w:rPr>
                <w:rFonts w:ascii="Times New Roman"/>
                <w:b w:val="0"/>
                <w:color w:val="000000" w:themeColor="text1"/>
                <w:sz w:val="24"/>
                <w:highlight w:val="none"/>
                <w14:textFill>
                  <w14:solidFill>
                    <w14:schemeClr w14:val="tx1"/>
                  </w14:solidFill>
                </w14:textFill>
              </w:rPr>
              <w:t>预测点坐标。</w:t>
            </w:r>
            <w:bookmarkEnd w:id="30"/>
          </w:p>
          <w:p>
            <w:pPr>
              <w:pStyle w:val="6"/>
              <w:tabs>
                <w:tab w:val="left" w:pos="0"/>
              </w:tabs>
              <w:spacing w:before="0" w:after="0" w:line="360" w:lineRule="auto"/>
              <w:ind w:firstLine="480" w:firstLineChars="200"/>
              <w:rPr>
                <w:rFonts w:ascii="Times New Roman"/>
                <w:b w:val="0"/>
                <w:color w:val="000000" w:themeColor="text1"/>
                <w:sz w:val="24"/>
                <w:highlight w:val="none"/>
                <w14:textFill>
                  <w14:solidFill>
                    <w14:schemeClr w14:val="tx1"/>
                  </w14:solidFill>
                </w14:textFill>
              </w:rPr>
            </w:pPr>
            <w:bookmarkStart w:id="31" w:name="_Toc715"/>
            <w:r>
              <w:rPr>
                <w:rFonts w:ascii="Times New Roman"/>
                <w:b w:val="0"/>
                <w:color w:val="000000" w:themeColor="text1"/>
                <w:sz w:val="24"/>
                <w:highlight w:val="none"/>
                <w14:textFill>
                  <w14:solidFill>
                    <w14:schemeClr w14:val="tx1"/>
                  </w14:solidFill>
                </w14:textFill>
              </w:rPr>
              <w:t>②根据已获得的声源参数和声波从声源到预测点的传播条件，计算出各声源单独作用在预测点时产生的A声级Li。</w:t>
            </w:r>
            <w:bookmarkEnd w:id="31"/>
          </w:p>
          <w:p>
            <w:pPr>
              <w:spacing w:line="360" w:lineRule="auto"/>
              <w:ind w:firstLine="429" w:firstLineChars="179"/>
              <w:rPr>
                <w:rFonts w:ascii="Times New Roman"/>
                <w:color w:val="000000" w:themeColor="text1"/>
                <w:sz w:val="24"/>
                <w:highlight w:val="none"/>
                <w14:textFill>
                  <w14:solidFill>
                    <w14:schemeClr w14:val="tx1"/>
                  </w14:solidFill>
                </w14:textFill>
              </w:rPr>
            </w:pPr>
            <w:r>
              <w:rPr>
                <w:rFonts w:ascii="Times New Roman"/>
                <w:color w:val="000000" w:themeColor="text1"/>
                <w:sz w:val="24"/>
                <w:highlight w:val="none"/>
                <w14:textFill>
                  <w14:solidFill>
                    <w14:schemeClr w14:val="tx1"/>
                  </w14:solidFill>
                </w14:textFill>
              </w:rPr>
              <w:t>③将各声源对某预测点产生的A声级叠加，得到该预测点的声级值L1</w:t>
            </w:r>
          </w:p>
          <w:p>
            <w:pPr>
              <w:spacing w:line="360" w:lineRule="auto"/>
              <w:ind w:firstLine="429" w:firstLineChars="179"/>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highlight w:val="none"/>
                <w:lang w:val="en-US" w:eastAsia="zh-CN"/>
                <w14:textFill>
                  <w14:solidFill>
                    <w14:schemeClr w14:val="tx1"/>
                  </w14:solidFill>
                </w14:textFill>
              </w:rPr>
              <w:t>4</w:t>
            </w:r>
            <w:r>
              <w:rPr>
                <w:rFonts w:hint="eastAsia" w:ascii="Times New Roman"/>
                <w:color w:val="000000" w:themeColor="text1"/>
                <w:sz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升压站</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噪声预测计算结果及分析</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按照《环境影响评价技术导则 声环境》(HJ2.4-2021)的要求，根据噪声源到各预测点的距离，先计算声源噪声的各声压级的距离衰减，合成后以确定预测点的噪声贡献值。本项目为新建项目，以贡献值作为评价量。</w:t>
            </w:r>
            <w:r>
              <w:rPr>
                <w:rFonts w:hint="eastAsia" w:ascii="Times New Roman"/>
                <w:color w:val="000000" w:themeColor="text1"/>
                <w:sz w:val="24"/>
                <w:szCs w:val="24"/>
                <w:highlight w:val="none"/>
                <w14:textFill>
                  <w14:solidFill>
                    <w14:schemeClr w14:val="tx1"/>
                  </w14:solidFill>
                </w14:textFill>
              </w:rPr>
              <w:t>各厂界采用线声源预测，并取得线声源的最大值</w:t>
            </w:r>
            <w:r>
              <w:rPr>
                <w:rFonts w:hint="eastAsia" w:ascii="Times New Roman"/>
                <w:color w:val="000000" w:themeColor="text1"/>
                <w:sz w:val="24"/>
                <w:szCs w:val="24"/>
                <w:highlight w:val="none"/>
                <w:lang w:val="en-US" w:eastAsia="zh-CN"/>
                <w14:textFill>
                  <w14:solidFill>
                    <w14:schemeClr w14:val="tx1"/>
                  </w14:solidFill>
                </w14:textFill>
              </w:rPr>
              <w:t>作为</w:t>
            </w:r>
            <w:r>
              <w:rPr>
                <w:rFonts w:ascii="Times New Roman"/>
                <w:color w:val="000000" w:themeColor="text1"/>
                <w:sz w:val="24"/>
                <w:szCs w:val="24"/>
                <w:highlight w:val="none"/>
                <w14:textFill>
                  <w14:solidFill>
                    <w14:schemeClr w14:val="tx1"/>
                  </w14:solidFill>
                </w14:textFill>
              </w:rPr>
              <w:t>贡献值</w:t>
            </w:r>
            <w:r>
              <w:rPr>
                <w:rFonts w:hint="eastAsia" w:ascii="Times New Roman"/>
                <w:color w:val="000000" w:themeColor="text1"/>
                <w:sz w:val="24"/>
                <w:szCs w:val="24"/>
                <w:highlight w:val="none"/>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经模式计算，确定</w:t>
            </w:r>
            <w:r>
              <w:rPr>
                <w:rFonts w:ascii="Times New Roman"/>
                <w:bCs/>
                <w:color w:val="000000" w:themeColor="text1"/>
                <w:sz w:val="24"/>
                <w:szCs w:val="24"/>
                <w:highlight w:val="none"/>
                <w14:textFill>
                  <w14:solidFill>
                    <w14:schemeClr w14:val="tx1"/>
                  </w14:solidFill>
                </w14:textFill>
              </w:rPr>
              <w:t>本项目</w:t>
            </w:r>
            <w:r>
              <w:rPr>
                <w:rFonts w:ascii="Times New Roman"/>
                <w:color w:val="000000" w:themeColor="text1"/>
                <w:sz w:val="24"/>
                <w:szCs w:val="24"/>
                <w:highlight w:val="none"/>
                <w14:textFill>
                  <w14:solidFill>
                    <w14:schemeClr w14:val="tx1"/>
                  </w14:solidFill>
                </w14:textFill>
              </w:rPr>
              <w:t>主变压器投入运行后各预测点的贡献值。</w:t>
            </w:r>
          </w:p>
          <w:p>
            <w:pPr>
              <w:pStyle w:val="6"/>
              <w:tabs>
                <w:tab w:val="left" w:pos="0"/>
              </w:tabs>
              <w:spacing w:before="0" w:after="0" w:line="240" w:lineRule="auto"/>
              <w:jc w:val="center"/>
              <w:rPr>
                <w:rFonts w:ascii="Times New Roman"/>
                <w:color w:val="000000" w:themeColor="text1"/>
                <w:sz w:val="24"/>
                <w:highlight w:val="none"/>
                <w14:textFill>
                  <w14:solidFill>
                    <w14:schemeClr w14:val="tx1"/>
                  </w14:solidFill>
                </w14:textFill>
              </w:rPr>
            </w:pPr>
            <w:bookmarkStart w:id="32" w:name="_Toc27674"/>
            <w:r>
              <w:rPr>
                <w:rFonts w:ascii="Times New Roman"/>
                <w:color w:val="000000" w:themeColor="text1"/>
                <w:sz w:val="24"/>
                <w:highlight w:val="none"/>
                <w14:textFill>
                  <w14:solidFill>
                    <w14:schemeClr w14:val="tx1"/>
                  </w14:solidFill>
                </w14:textFill>
              </w:rPr>
              <w:t>表4-</w:t>
            </w:r>
            <w:r>
              <w:rPr>
                <w:rFonts w:hint="eastAsia" w:ascii="Times New Roman"/>
                <w:color w:val="000000" w:themeColor="text1"/>
                <w:sz w:val="24"/>
                <w:highlight w:val="none"/>
                <w:lang w:val="en-US" w:eastAsia="zh-CN"/>
                <w14:textFill>
                  <w14:solidFill>
                    <w14:schemeClr w14:val="tx1"/>
                  </w14:solidFill>
                </w14:textFill>
              </w:rPr>
              <w:t>4</w:t>
            </w:r>
            <w:r>
              <w:rPr>
                <w:rFonts w:ascii="Times New Roman"/>
                <w:color w:val="000000" w:themeColor="text1"/>
                <w:sz w:val="24"/>
                <w:highlight w:val="none"/>
                <w14:textFill>
                  <w14:solidFill>
                    <w14:schemeClr w14:val="tx1"/>
                  </w14:solidFill>
                </w14:textFill>
              </w:rPr>
              <w:t xml:space="preserve">  </w:t>
            </w:r>
            <w:r>
              <w:rPr>
                <w:rFonts w:hint="eastAsia" w:ascii="Times New Roman"/>
                <w:color w:val="000000" w:themeColor="text1"/>
                <w:sz w:val="24"/>
                <w:highlight w:val="none"/>
                <w14:textFill>
                  <w14:solidFill>
                    <w14:schemeClr w14:val="tx1"/>
                  </w14:solidFill>
                </w14:textFill>
              </w:rPr>
              <w:t>本项目</w:t>
            </w:r>
            <w:r>
              <w:rPr>
                <w:rFonts w:ascii="Times New Roman"/>
                <w:color w:val="000000" w:themeColor="text1"/>
                <w:sz w:val="24"/>
                <w:highlight w:val="none"/>
                <w14:textFill>
                  <w14:solidFill>
                    <w14:schemeClr w14:val="tx1"/>
                  </w14:solidFill>
                </w14:textFill>
              </w:rPr>
              <w:t>噪声预测结果（单位：dB（A））</w:t>
            </w:r>
            <w:bookmarkEnd w:id="32"/>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9"/>
              <w:gridCol w:w="1581"/>
              <w:gridCol w:w="1095"/>
              <w:gridCol w:w="1081"/>
              <w:gridCol w:w="885"/>
              <w:gridCol w:w="856"/>
              <w:gridCol w:w="13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30" w:type="pct"/>
                  <w:vMerge w:val="restart"/>
                  <w:tcBorders>
                    <w:righ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33" w:name="_Toc24533"/>
                  <w:r>
                    <w:rPr>
                      <w:rFonts w:ascii="Times New Roman"/>
                      <w:bCs w:val="0"/>
                      <w:color w:val="000000" w:themeColor="text1"/>
                      <w:sz w:val="21"/>
                      <w:szCs w:val="21"/>
                      <w:highlight w:val="none"/>
                      <w14:textFill>
                        <w14:solidFill>
                          <w14:schemeClr w14:val="tx1"/>
                        </w14:solidFill>
                      </w14:textFill>
                    </w:rPr>
                    <w:t>预测点</w:t>
                  </w:r>
                  <w:bookmarkEnd w:id="33"/>
                </w:p>
              </w:tc>
              <w:tc>
                <w:tcPr>
                  <w:tcW w:w="2279" w:type="pct"/>
                  <w:gridSpan w:val="3"/>
                  <w:tcBorders>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34" w:name="_Toc5535"/>
                  <w:r>
                    <w:rPr>
                      <w:rFonts w:ascii="Times New Roman"/>
                      <w:bCs w:val="0"/>
                      <w:color w:val="000000" w:themeColor="text1"/>
                      <w:sz w:val="21"/>
                      <w:szCs w:val="21"/>
                      <w:highlight w:val="none"/>
                      <w14:textFill>
                        <w14:solidFill>
                          <w14:schemeClr w14:val="tx1"/>
                        </w14:solidFill>
                      </w14:textFill>
                    </w:rPr>
                    <w:t>最大贡献值</w:t>
                  </w:r>
                  <w:bookmarkEnd w:id="34"/>
                </w:p>
              </w:tc>
              <w:tc>
                <w:tcPr>
                  <w:tcW w:w="1056" w:type="pct"/>
                  <w:gridSpan w:val="2"/>
                  <w:tcBorders>
                    <w:lef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35" w:name="_Toc8576"/>
                  <w:r>
                    <w:rPr>
                      <w:rFonts w:ascii="Times New Roman"/>
                      <w:bCs w:val="0"/>
                      <w:color w:val="000000" w:themeColor="text1"/>
                      <w:sz w:val="21"/>
                      <w:szCs w:val="21"/>
                      <w:highlight w:val="none"/>
                      <w14:textFill>
                        <w14:solidFill>
                          <w14:schemeClr w14:val="tx1"/>
                        </w14:solidFill>
                      </w14:textFill>
                    </w:rPr>
                    <w:t>标准值</w:t>
                  </w:r>
                  <w:bookmarkEnd w:id="35"/>
                </w:p>
              </w:tc>
              <w:tc>
                <w:tcPr>
                  <w:tcW w:w="833" w:type="pct"/>
                  <w:vMerge w:val="restart"/>
                  <w:tcBorders>
                    <w:lef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36" w:name="_Toc5515"/>
                  <w:r>
                    <w:rPr>
                      <w:rFonts w:ascii="Times New Roman"/>
                      <w:bCs w:val="0"/>
                      <w:color w:val="000000" w:themeColor="text1"/>
                      <w:sz w:val="21"/>
                      <w:szCs w:val="21"/>
                      <w:highlight w:val="none"/>
                      <w14:textFill>
                        <w14:solidFill>
                          <w14:schemeClr w14:val="tx1"/>
                        </w14:solidFill>
                      </w14:textFill>
                    </w:rPr>
                    <w:t>达标情况</w:t>
                  </w:r>
                  <w:bookmarkEnd w:id="3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30" w:type="pct"/>
                  <w:vMerge w:val="continue"/>
                  <w:tcBorders>
                    <w:bottom w:val="single" w:color="auto" w:sz="4" w:space="0"/>
                    <w:righ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p>
              </w:tc>
              <w:tc>
                <w:tcPr>
                  <w:tcW w:w="959" w:type="pct"/>
                  <w:tcBorders>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eastAsia="宋体"/>
                      <w:bCs w:val="0"/>
                      <w:color w:val="000000" w:themeColor="text1"/>
                      <w:sz w:val="21"/>
                      <w:szCs w:val="21"/>
                      <w:highlight w:val="none"/>
                      <w:lang w:val="en-US" w:eastAsia="zh-CN"/>
                      <w14:textFill>
                        <w14:solidFill>
                          <w14:schemeClr w14:val="tx1"/>
                        </w14:solidFill>
                      </w14:textFill>
                    </w:rPr>
                  </w:pPr>
                  <w:bookmarkStart w:id="37" w:name="_Toc21526"/>
                  <w:r>
                    <w:rPr>
                      <w:rFonts w:hint="eastAsia" w:ascii="Times New Roman"/>
                      <w:bCs w:val="0"/>
                      <w:color w:val="000000" w:themeColor="text1"/>
                      <w:sz w:val="21"/>
                      <w:szCs w:val="21"/>
                      <w:highlight w:val="none"/>
                      <w:lang w:val="en-US" w:eastAsia="zh-CN"/>
                      <w14:textFill>
                        <w14:solidFill>
                          <w14:schemeClr w14:val="tx1"/>
                        </w14:solidFill>
                      </w14:textFill>
                    </w:rPr>
                    <w:t>最大值位置</w:t>
                  </w:r>
                  <w:bookmarkEnd w:id="37"/>
                </w:p>
              </w:tc>
              <w:tc>
                <w:tcPr>
                  <w:tcW w:w="664" w:type="pct"/>
                  <w:tcBorders>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bCs w:val="0"/>
                      <w:color w:val="000000" w:themeColor="text1"/>
                      <w:sz w:val="21"/>
                      <w:szCs w:val="21"/>
                      <w:highlight w:val="none"/>
                      <w14:textFill>
                        <w14:solidFill>
                          <w14:schemeClr w14:val="tx1"/>
                        </w14:solidFill>
                      </w14:textFill>
                    </w:rPr>
                  </w:pPr>
                  <w:bookmarkStart w:id="38" w:name="_Toc25446"/>
                  <w:r>
                    <w:rPr>
                      <w:rFonts w:hint="eastAsia" w:ascii="Times New Roman"/>
                      <w:bCs w:val="0"/>
                      <w:color w:val="000000" w:themeColor="text1"/>
                      <w:sz w:val="21"/>
                      <w:szCs w:val="21"/>
                      <w:highlight w:val="none"/>
                      <w14:textFill>
                        <w14:solidFill>
                          <w14:schemeClr w14:val="tx1"/>
                        </w14:solidFill>
                      </w14:textFill>
                    </w:rPr>
                    <w:t>昼间</w:t>
                  </w:r>
                  <w:bookmarkEnd w:id="38"/>
                </w:p>
              </w:tc>
              <w:tc>
                <w:tcPr>
                  <w:tcW w:w="655" w:type="pct"/>
                  <w:tcBorders>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39" w:name="_Toc17358"/>
                  <w:r>
                    <w:rPr>
                      <w:rFonts w:hint="eastAsia" w:ascii="Times New Roman"/>
                      <w:bCs w:val="0"/>
                      <w:color w:val="000000" w:themeColor="text1"/>
                      <w:sz w:val="21"/>
                      <w:szCs w:val="21"/>
                      <w:highlight w:val="none"/>
                      <w14:textFill>
                        <w14:solidFill>
                          <w14:schemeClr w14:val="tx1"/>
                        </w14:solidFill>
                      </w14:textFill>
                    </w:rPr>
                    <w:t>夜间</w:t>
                  </w:r>
                  <w:bookmarkEnd w:id="39"/>
                </w:p>
              </w:tc>
              <w:tc>
                <w:tcPr>
                  <w:tcW w:w="537" w:type="pct"/>
                  <w:tcBorders>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40" w:name="_Toc27129"/>
                  <w:r>
                    <w:rPr>
                      <w:rFonts w:hint="eastAsia" w:ascii="Times New Roman"/>
                      <w:bCs w:val="0"/>
                      <w:color w:val="000000" w:themeColor="text1"/>
                      <w:sz w:val="21"/>
                      <w:szCs w:val="21"/>
                      <w:highlight w:val="none"/>
                      <w14:textFill>
                        <w14:solidFill>
                          <w14:schemeClr w14:val="tx1"/>
                        </w14:solidFill>
                      </w14:textFill>
                    </w:rPr>
                    <w:t>昼间</w:t>
                  </w:r>
                  <w:bookmarkEnd w:id="40"/>
                </w:p>
              </w:tc>
              <w:tc>
                <w:tcPr>
                  <w:tcW w:w="519" w:type="pct"/>
                  <w:tcBorders>
                    <w:left w:val="single" w:color="auto" w:sz="4" w:space="0"/>
                    <w:bottom w:val="single" w:color="auto" w:sz="4" w:space="0"/>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41" w:name="_Toc2560"/>
                  <w:r>
                    <w:rPr>
                      <w:rFonts w:hint="eastAsia" w:ascii="Times New Roman"/>
                      <w:bCs w:val="0"/>
                      <w:color w:val="000000" w:themeColor="text1"/>
                      <w:sz w:val="21"/>
                      <w:szCs w:val="21"/>
                      <w:highlight w:val="none"/>
                      <w14:textFill>
                        <w14:solidFill>
                          <w14:schemeClr w14:val="tx1"/>
                        </w14:solidFill>
                      </w14:textFill>
                    </w:rPr>
                    <w:t>夜间</w:t>
                  </w:r>
                  <w:bookmarkEnd w:id="41"/>
                </w:p>
              </w:tc>
              <w:tc>
                <w:tcPr>
                  <w:tcW w:w="833" w:type="pct"/>
                  <w:vMerge w:val="continue"/>
                  <w:tcBorders>
                    <w:left w:val="single" w:color="auto" w:sz="4" w:space="0"/>
                    <w:bottom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op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42" w:name="_Toc30785"/>
                  <w:r>
                    <w:rPr>
                      <w:rFonts w:ascii="Times New Roman"/>
                      <w:b w:val="0"/>
                      <w:color w:val="000000" w:themeColor="text1"/>
                      <w:sz w:val="21"/>
                      <w:szCs w:val="21"/>
                      <w:highlight w:val="none"/>
                      <w14:textFill>
                        <w14:solidFill>
                          <w14:schemeClr w14:val="tx1"/>
                        </w14:solidFill>
                      </w14:textFill>
                    </w:rPr>
                    <w:t>东厂界</w:t>
                  </w:r>
                  <w:bookmarkEnd w:id="42"/>
                </w:p>
              </w:tc>
              <w:tc>
                <w:tcPr>
                  <w:tcW w:w="959"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bookmarkStart w:id="43" w:name="_Toc28846"/>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226.65，</w:t>
                  </w:r>
                  <w:bookmarkEnd w:id="43"/>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116.76</w:t>
                  </w:r>
                </w:p>
              </w:tc>
              <w:tc>
                <w:tcPr>
                  <w:tcW w:w="664"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31.59</w:t>
                  </w:r>
                </w:p>
              </w:tc>
              <w:tc>
                <w:tcPr>
                  <w:tcW w:w="655"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31.59</w:t>
                  </w:r>
                </w:p>
              </w:tc>
              <w:tc>
                <w:tcPr>
                  <w:tcW w:w="537"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hAnsi="Times New Roman" w:eastAsia="宋体" w:cs="Times New Roman"/>
                      <w:b/>
                      <w:bCs/>
                      <w:color w:val="000000" w:themeColor="text1"/>
                      <w:kern w:val="2"/>
                      <w:sz w:val="32"/>
                      <w:szCs w:val="32"/>
                      <w:highlight w:val="none"/>
                      <w:lang w:val="en-US" w:eastAsia="zh-CN" w:bidi="ar-SA"/>
                      <w14:textFill>
                        <w14:solidFill>
                          <w14:schemeClr w14:val="tx1"/>
                        </w14:solidFill>
                      </w14:textFill>
                    </w:rPr>
                  </w:pPr>
                  <w:bookmarkStart w:id="44" w:name="_Toc6096"/>
                  <w:r>
                    <w:rPr>
                      <w:rFonts w:hint="eastAsia" w:ascii="Times New Roman"/>
                      <w:b w:val="0"/>
                      <w:color w:val="000000" w:themeColor="text1"/>
                      <w:sz w:val="21"/>
                      <w:szCs w:val="21"/>
                      <w:highlight w:val="none"/>
                      <w:lang w:eastAsia="zh-CN"/>
                      <w14:textFill>
                        <w14:solidFill>
                          <w14:schemeClr w14:val="tx1"/>
                        </w14:solidFill>
                      </w14:textFill>
                    </w:rPr>
                    <w:t>55</w:t>
                  </w:r>
                  <w:bookmarkEnd w:id="44"/>
                </w:p>
              </w:tc>
              <w:tc>
                <w:tcPr>
                  <w:tcW w:w="519"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hint="eastAsia" w:ascii="Times New Roman" w:hAnsi="Times New Roman" w:eastAsia="宋体" w:cs="Times New Roman"/>
                      <w:b/>
                      <w:bCs/>
                      <w:color w:val="000000" w:themeColor="text1"/>
                      <w:kern w:val="2"/>
                      <w:sz w:val="32"/>
                      <w:szCs w:val="32"/>
                      <w:highlight w:val="none"/>
                      <w:lang w:val="en-US" w:eastAsia="zh-CN" w:bidi="ar-SA"/>
                      <w14:textFill>
                        <w14:solidFill>
                          <w14:schemeClr w14:val="tx1"/>
                        </w14:solidFill>
                      </w14:textFill>
                    </w:rPr>
                  </w:pPr>
                  <w:bookmarkStart w:id="45" w:name="_Toc23886"/>
                  <w:r>
                    <w:rPr>
                      <w:rFonts w:hint="eastAsia" w:ascii="Times New Roman"/>
                      <w:b w:val="0"/>
                      <w:color w:val="000000" w:themeColor="text1"/>
                      <w:sz w:val="21"/>
                      <w:szCs w:val="21"/>
                      <w:highlight w:val="none"/>
                      <w:lang w:eastAsia="zh-CN"/>
                      <w14:textFill>
                        <w14:solidFill>
                          <w14:schemeClr w14:val="tx1"/>
                        </w14:solidFill>
                      </w14:textFill>
                    </w:rPr>
                    <w:t>45</w:t>
                  </w:r>
                  <w:bookmarkEnd w:id="45"/>
                </w:p>
              </w:tc>
              <w:tc>
                <w:tcPr>
                  <w:tcW w:w="833"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46" w:name="_Toc20932"/>
                  <w:r>
                    <w:rPr>
                      <w:rFonts w:ascii="Times New Roman"/>
                      <w:b w:val="0"/>
                      <w:color w:val="000000" w:themeColor="text1"/>
                      <w:sz w:val="21"/>
                      <w:szCs w:val="21"/>
                      <w:highlight w:val="none"/>
                      <w14:textFill>
                        <w14:solidFill>
                          <w14:schemeClr w14:val="tx1"/>
                        </w14:solidFill>
                      </w14:textFill>
                    </w:rPr>
                    <w:t>达标</w:t>
                  </w:r>
                  <w:bookmarkEnd w:id="4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op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47" w:name="_Toc11326"/>
                  <w:r>
                    <w:rPr>
                      <w:rFonts w:ascii="Times New Roman"/>
                      <w:b w:val="0"/>
                      <w:color w:val="000000" w:themeColor="text1"/>
                      <w:sz w:val="21"/>
                      <w:szCs w:val="21"/>
                      <w:highlight w:val="none"/>
                      <w14:textFill>
                        <w14:solidFill>
                          <w14:schemeClr w14:val="tx1"/>
                        </w14:solidFill>
                      </w14:textFill>
                    </w:rPr>
                    <w:t>南厂界</w:t>
                  </w:r>
                  <w:bookmarkEnd w:id="47"/>
                </w:p>
              </w:tc>
              <w:tc>
                <w:tcPr>
                  <w:tcW w:w="959"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bookmarkStart w:id="48" w:name="_Toc8497"/>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-51.83，-110.</w:t>
                  </w:r>
                  <w:bookmarkEnd w:id="48"/>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16</w:t>
                  </w:r>
                </w:p>
              </w:tc>
              <w:tc>
                <w:tcPr>
                  <w:tcW w:w="664"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23.27</w:t>
                  </w:r>
                </w:p>
              </w:tc>
              <w:tc>
                <w:tcPr>
                  <w:tcW w:w="655"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23.27</w:t>
                  </w:r>
                </w:p>
              </w:tc>
              <w:tc>
                <w:tcPr>
                  <w:tcW w:w="537"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eastAsia="宋体"/>
                      <w:color w:val="000000" w:themeColor="text1"/>
                      <w:highlight w:val="none"/>
                      <w:lang w:eastAsia="zh-CN"/>
                      <w14:textFill>
                        <w14:solidFill>
                          <w14:schemeClr w14:val="tx1"/>
                        </w14:solidFill>
                      </w14:textFill>
                    </w:rPr>
                  </w:pPr>
                  <w:bookmarkStart w:id="49" w:name="_Toc30930"/>
                  <w:r>
                    <w:rPr>
                      <w:rFonts w:hint="eastAsia" w:ascii="Times New Roman"/>
                      <w:b w:val="0"/>
                      <w:color w:val="000000" w:themeColor="text1"/>
                      <w:sz w:val="21"/>
                      <w:szCs w:val="21"/>
                      <w:highlight w:val="none"/>
                      <w:lang w:eastAsia="zh-CN"/>
                      <w14:textFill>
                        <w14:solidFill>
                          <w14:schemeClr w14:val="tx1"/>
                        </w14:solidFill>
                      </w14:textFill>
                    </w:rPr>
                    <w:t>55</w:t>
                  </w:r>
                  <w:bookmarkEnd w:id="49"/>
                </w:p>
              </w:tc>
              <w:tc>
                <w:tcPr>
                  <w:tcW w:w="519"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hint="eastAsia" w:ascii="Times New Roman" w:eastAsia="宋体"/>
                      <w:color w:val="000000" w:themeColor="text1"/>
                      <w:highlight w:val="none"/>
                      <w:lang w:eastAsia="zh-CN"/>
                      <w14:textFill>
                        <w14:solidFill>
                          <w14:schemeClr w14:val="tx1"/>
                        </w14:solidFill>
                      </w14:textFill>
                    </w:rPr>
                  </w:pPr>
                  <w:bookmarkStart w:id="50" w:name="_Toc2595"/>
                  <w:r>
                    <w:rPr>
                      <w:rFonts w:hint="eastAsia" w:ascii="Times New Roman"/>
                      <w:b w:val="0"/>
                      <w:color w:val="000000" w:themeColor="text1"/>
                      <w:sz w:val="21"/>
                      <w:szCs w:val="21"/>
                      <w:highlight w:val="none"/>
                      <w:lang w:eastAsia="zh-CN"/>
                      <w14:textFill>
                        <w14:solidFill>
                          <w14:schemeClr w14:val="tx1"/>
                        </w14:solidFill>
                      </w14:textFill>
                    </w:rPr>
                    <w:t>45</w:t>
                  </w:r>
                  <w:bookmarkEnd w:id="50"/>
                </w:p>
              </w:tc>
              <w:tc>
                <w:tcPr>
                  <w:tcW w:w="833"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51" w:name="_Toc26051"/>
                  <w:r>
                    <w:rPr>
                      <w:rFonts w:ascii="Times New Roman"/>
                      <w:b w:val="0"/>
                      <w:color w:val="000000" w:themeColor="text1"/>
                      <w:sz w:val="21"/>
                      <w:szCs w:val="21"/>
                      <w:highlight w:val="none"/>
                      <w14:textFill>
                        <w14:solidFill>
                          <w14:schemeClr w14:val="tx1"/>
                        </w14:solidFill>
                      </w14:textFill>
                    </w:rPr>
                    <w:t>达标</w:t>
                  </w:r>
                  <w:bookmarkEnd w:id="51"/>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op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52" w:name="_Toc17046"/>
                  <w:r>
                    <w:rPr>
                      <w:rFonts w:hint="eastAsia" w:ascii="Times New Roman"/>
                      <w:b w:val="0"/>
                      <w:color w:val="000000" w:themeColor="text1"/>
                      <w:sz w:val="21"/>
                      <w:szCs w:val="21"/>
                      <w:highlight w:val="none"/>
                      <w14:textFill>
                        <w14:solidFill>
                          <w14:schemeClr w14:val="tx1"/>
                        </w14:solidFill>
                      </w14:textFill>
                    </w:rPr>
                    <w:t>西</w:t>
                  </w:r>
                  <w:r>
                    <w:rPr>
                      <w:rFonts w:ascii="Times New Roman"/>
                      <w:b w:val="0"/>
                      <w:color w:val="000000" w:themeColor="text1"/>
                      <w:sz w:val="21"/>
                      <w:szCs w:val="21"/>
                      <w:highlight w:val="none"/>
                      <w14:textFill>
                        <w14:solidFill>
                          <w14:schemeClr w14:val="tx1"/>
                        </w14:solidFill>
                      </w14:textFill>
                    </w:rPr>
                    <w:t>厂界</w:t>
                  </w:r>
                  <w:bookmarkEnd w:id="52"/>
                </w:p>
              </w:tc>
              <w:tc>
                <w:tcPr>
                  <w:tcW w:w="959"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bookmarkStart w:id="53" w:name="_Toc16825"/>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-192.77，</w:t>
                  </w:r>
                  <w:bookmarkEnd w:id="53"/>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31.24</w:t>
                  </w:r>
                </w:p>
              </w:tc>
              <w:tc>
                <w:tcPr>
                  <w:tcW w:w="664"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21.06</w:t>
                  </w:r>
                </w:p>
              </w:tc>
              <w:tc>
                <w:tcPr>
                  <w:tcW w:w="655"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21.06</w:t>
                  </w:r>
                </w:p>
              </w:tc>
              <w:tc>
                <w:tcPr>
                  <w:tcW w:w="537" w:type="pct"/>
                  <w:tcBorders>
                    <w:top w:val="single" w:color="auto" w:sz="4" w:space="0"/>
                    <w:left w:val="single" w:color="auto" w:sz="4" w:space="0"/>
                    <w:bottom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eastAsia="宋体"/>
                      <w:b w:val="0"/>
                      <w:color w:val="000000" w:themeColor="text1"/>
                      <w:sz w:val="21"/>
                      <w:szCs w:val="21"/>
                      <w:highlight w:val="none"/>
                      <w:lang w:eastAsia="zh-CN"/>
                      <w14:textFill>
                        <w14:solidFill>
                          <w14:schemeClr w14:val="tx1"/>
                        </w14:solidFill>
                      </w14:textFill>
                    </w:rPr>
                  </w:pPr>
                  <w:bookmarkStart w:id="54" w:name="_Toc15056"/>
                  <w:r>
                    <w:rPr>
                      <w:rFonts w:hint="eastAsia" w:ascii="Times New Roman"/>
                      <w:b w:val="0"/>
                      <w:color w:val="000000" w:themeColor="text1"/>
                      <w:sz w:val="21"/>
                      <w:szCs w:val="21"/>
                      <w:highlight w:val="none"/>
                      <w:lang w:eastAsia="zh-CN"/>
                      <w14:textFill>
                        <w14:solidFill>
                          <w14:schemeClr w14:val="tx1"/>
                        </w14:solidFill>
                      </w14:textFill>
                    </w:rPr>
                    <w:t>55</w:t>
                  </w:r>
                  <w:bookmarkEnd w:id="54"/>
                </w:p>
              </w:tc>
              <w:tc>
                <w:tcPr>
                  <w:tcW w:w="519"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hint="eastAsia" w:ascii="Times New Roman" w:eastAsia="宋体"/>
                      <w:b w:val="0"/>
                      <w:color w:val="000000" w:themeColor="text1"/>
                      <w:sz w:val="21"/>
                      <w:szCs w:val="21"/>
                      <w:highlight w:val="none"/>
                      <w:lang w:eastAsia="zh-CN"/>
                      <w14:textFill>
                        <w14:solidFill>
                          <w14:schemeClr w14:val="tx1"/>
                        </w14:solidFill>
                      </w14:textFill>
                    </w:rPr>
                  </w:pPr>
                  <w:bookmarkStart w:id="55" w:name="_Toc25322"/>
                  <w:r>
                    <w:rPr>
                      <w:rFonts w:hint="eastAsia" w:ascii="Times New Roman"/>
                      <w:b w:val="0"/>
                      <w:color w:val="000000" w:themeColor="text1"/>
                      <w:sz w:val="21"/>
                      <w:szCs w:val="21"/>
                      <w:highlight w:val="none"/>
                      <w:lang w:eastAsia="zh-CN"/>
                      <w14:textFill>
                        <w14:solidFill>
                          <w14:schemeClr w14:val="tx1"/>
                        </w14:solidFill>
                      </w14:textFill>
                    </w:rPr>
                    <w:t>45</w:t>
                  </w:r>
                  <w:bookmarkEnd w:id="55"/>
                </w:p>
              </w:tc>
              <w:tc>
                <w:tcPr>
                  <w:tcW w:w="833" w:type="pct"/>
                  <w:tcBorders>
                    <w:top w:val="single" w:color="auto" w:sz="4" w:space="0"/>
                    <w:left w:val="single" w:color="auto" w:sz="4" w:space="0"/>
                    <w:bottom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56" w:name="_Toc18553"/>
                  <w:r>
                    <w:rPr>
                      <w:rFonts w:ascii="Times New Roman"/>
                      <w:b w:val="0"/>
                      <w:color w:val="000000" w:themeColor="text1"/>
                      <w:sz w:val="21"/>
                      <w:szCs w:val="21"/>
                      <w:highlight w:val="none"/>
                      <w14:textFill>
                        <w14:solidFill>
                          <w14:schemeClr w14:val="tx1"/>
                        </w14:solidFill>
                      </w14:textFill>
                    </w:rPr>
                    <w:t>达标</w:t>
                  </w:r>
                  <w:bookmarkEnd w:id="5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0" w:type="pct"/>
                  <w:tcBorders>
                    <w:top w:val="single" w:color="auto" w:sz="4" w:space="0"/>
                    <w:right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57" w:name="_Toc14182"/>
                  <w:r>
                    <w:rPr>
                      <w:rFonts w:ascii="Times New Roman"/>
                      <w:b w:val="0"/>
                      <w:color w:val="000000" w:themeColor="text1"/>
                      <w:sz w:val="21"/>
                      <w:szCs w:val="21"/>
                      <w:highlight w:val="none"/>
                      <w14:textFill>
                        <w14:solidFill>
                          <w14:schemeClr w14:val="tx1"/>
                        </w14:solidFill>
                      </w14:textFill>
                    </w:rPr>
                    <w:t>北厂界</w:t>
                  </w:r>
                  <w:bookmarkEnd w:id="57"/>
                </w:p>
              </w:tc>
              <w:tc>
                <w:tcPr>
                  <w:tcW w:w="959" w:type="pct"/>
                  <w:tcBorders>
                    <w:top w:val="single" w:color="auto" w:sz="4" w:space="0"/>
                    <w:left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bookmarkStart w:id="58" w:name="_Toc8256"/>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109.32，1</w:t>
                  </w:r>
                  <w:bookmarkEnd w:id="58"/>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19.99</w:t>
                  </w:r>
                </w:p>
              </w:tc>
              <w:tc>
                <w:tcPr>
                  <w:tcW w:w="664" w:type="pct"/>
                  <w:tcBorders>
                    <w:top w:val="single" w:color="auto" w:sz="4" w:space="0"/>
                    <w:left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40.74</w:t>
                  </w:r>
                </w:p>
              </w:tc>
              <w:tc>
                <w:tcPr>
                  <w:tcW w:w="655" w:type="pct"/>
                  <w:tcBorders>
                    <w:top w:val="single" w:color="auto" w:sz="4" w:space="0"/>
                    <w:left w:val="single" w:color="auto" w:sz="4" w:space="0"/>
                    <w:right w:val="single" w:color="auto" w:sz="4" w:space="0"/>
                  </w:tcBorders>
                  <w:vAlign w:val="center"/>
                </w:tcPr>
                <w:p>
                  <w:pPr>
                    <w:pStyle w:val="6"/>
                    <w:tabs>
                      <w:tab w:val="left" w:pos="0"/>
                    </w:tabs>
                    <w:spacing w:before="0" w:after="0" w:line="240" w:lineRule="auto"/>
                    <w:jc w:val="center"/>
                    <w:rPr>
                      <w:rFonts w:hint="default"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eastAsia" w:ascii="Times New Roman" w:cs="Times New Roman"/>
                      <w:b w:val="0"/>
                      <w:bCs/>
                      <w:color w:val="000000" w:themeColor="text1"/>
                      <w:kern w:val="2"/>
                      <w:sz w:val="21"/>
                      <w:szCs w:val="21"/>
                      <w:highlight w:val="none"/>
                      <w:lang w:val="en-US" w:eastAsia="zh-CN" w:bidi="ar-SA"/>
                      <w14:textFill>
                        <w14:solidFill>
                          <w14:schemeClr w14:val="tx1"/>
                        </w14:solidFill>
                      </w14:textFill>
                    </w:rPr>
                    <w:t>40.74</w:t>
                  </w:r>
                </w:p>
              </w:tc>
              <w:tc>
                <w:tcPr>
                  <w:tcW w:w="537" w:type="pct"/>
                  <w:tcBorders>
                    <w:top w:val="single" w:color="auto" w:sz="4" w:space="0"/>
                    <w:left w:val="single" w:color="auto" w:sz="4" w:space="0"/>
                    <w:right w:val="single" w:color="auto" w:sz="4" w:space="0"/>
                  </w:tcBorders>
                  <w:vAlign w:val="center"/>
                </w:tcPr>
                <w:p>
                  <w:pPr>
                    <w:pStyle w:val="6"/>
                    <w:tabs>
                      <w:tab w:val="left" w:pos="0"/>
                    </w:tabs>
                    <w:spacing w:before="0" w:after="0" w:line="240" w:lineRule="auto"/>
                    <w:jc w:val="center"/>
                    <w:rPr>
                      <w:rFonts w:hint="eastAsia" w:ascii="Times New Roman" w:hAnsi="Times New Roman" w:eastAsia="宋体" w:cs="Times New Roman"/>
                      <w:b/>
                      <w:bCs/>
                      <w:color w:val="000000" w:themeColor="text1"/>
                      <w:kern w:val="2"/>
                      <w:sz w:val="32"/>
                      <w:szCs w:val="32"/>
                      <w:highlight w:val="none"/>
                      <w:lang w:val="en-US" w:eastAsia="zh-CN" w:bidi="ar-SA"/>
                      <w14:textFill>
                        <w14:solidFill>
                          <w14:schemeClr w14:val="tx1"/>
                        </w14:solidFill>
                      </w14:textFill>
                    </w:rPr>
                  </w:pPr>
                  <w:bookmarkStart w:id="59" w:name="_Toc28305"/>
                  <w:r>
                    <w:rPr>
                      <w:rFonts w:hint="eastAsia" w:ascii="Times New Roman"/>
                      <w:b w:val="0"/>
                      <w:color w:val="000000" w:themeColor="text1"/>
                      <w:sz w:val="21"/>
                      <w:szCs w:val="21"/>
                      <w:highlight w:val="none"/>
                      <w:lang w:eastAsia="zh-CN"/>
                      <w14:textFill>
                        <w14:solidFill>
                          <w14:schemeClr w14:val="tx1"/>
                        </w14:solidFill>
                      </w14:textFill>
                    </w:rPr>
                    <w:t>55</w:t>
                  </w:r>
                  <w:bookmarkEnd w:id="59"/>
                </w:p>
              </w:tc>
              <w:tc>
                <w:tcPr>
                  <w:tcW w:w="519" w:type="pct"/>
                  <w:tcBorders>
                    <w:top w:val="single" w:color="auto" w:sz="4" w:space="0"/>
                    <w:left w:val="single" w:color="auto" w:sz="4" w:space="0"/>
                  </w:tcBorders>
                  <w:vAlign w:val="center"/>
                </w:tcPr>
                <w:p>
                  <w:pPr>
                    <w:pStyle w:val="6"/>
                    <w:tabs>
                      <w:tab w:val="left" w:pos="0"/>
                    </w:tabs>
                    <w:spacing w:before="0" w:after="0" w:line="240" w:lineRule="auto"/>
                    <w:jc w:val="center"/>
                    <w:rPr>
                      <w:rFonts w:hint="eastAsia" w:ascii="Times New Roman" w:hAnsi="Times New Roman" w:eastAsia="宋体" w:cs="Times New Roman"/>
                      <w:b/>
                      <w:bCs/>
                      <w:color w:val="000000" w:themeColor="text1"/>
                      <w:kern w:val="2"/>
                      <w:sz w:val="32"/>
                      <w:szCs w:val="32"/>
                      <w:highlight w:val="none"/>
                      <w:lang w:val="en-US" w:eastAsia="zh-CN" w:bidi="ar-SA"/>
                      <w14:textFill>
                        <w14:solidFill>
                          <w14:schemeClr w14:val="tx1"/>
                        </w14:solidFill>
                      </w14:textFill>
                    </w:rPr>
                  </w:pPr>
                  <w:bookmarkStart w:id="60" w:name="_Toc9559"/>
                  <w:r>
                    <w:rPr>
                      <w:rFonts w:hint="eastAsia" w:ascii="Times New Roman"/>
                      <w:b w:val="0"/>
                      <w:color w:val="000000" w:themeColor="text1"/>
                      <w:sz w:val="21"/>
                      <w:szCs w:val="21"/>
                      <w:highlight w:val="none"/>
                      <w:lang w:eastAsia="zh-CN"/>
                      <w14:textFill>
                        <w14:solidFill>
                          <w14:schemeClr w14:val="tx1"/>
                        </w14:solidFill>
                      </w14:textFill>
                    </w:rPr>
                    <w:t>45</w:t>
                  </w:r>
                  <w:bookmarkEnd w:id="60"/>
                </w:p>
              </w:tc>
              <w:tc>
                <w:tcPr>
                  <w:tcW w:w="833" w:type="pct"/>
                  <w:tcBorders>
                    <w:top w:val="single" w:color="auto" w:sz="4" w:space="0"/>
                    <w:left w:val="single" w:color="auto" w:sz="4" w:space="0"/>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61" w:name="_Toc22965"/>
                  <w:r>
                    <w:rPr>
                      <w:rFonts w:ascii="Times New Roman"/>
                      <w:b w:val="0"/>
                      <w:color w:val="000000" w:themeColor="text1"/>
                      <w:sz w:val="21"/>
                      <w:szCs w:val="21"/>
                      <w:highlight w:val="none"/>
                      <w14:textFill>
                        <w14:solidFill>
                          <w14:schemeClr w14:val="tx1"/>
                        </w14:solidFill>
                      </w14:textFill>
                    </w:rPr>
                    <w:t>达标</w:t>
                  </w:r>
                  <w:bookmarkEnd w:id="61"/>
                </w:p>
              </w:tc>
            </w:tr>
          </w:tbl>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eastAsia="宋体"/>
                <w:b/>
                <w:bCs/>
                <w:color w:val="000000" w:themeColor="text1"/>
                <w:sz w:val="24"/>
                <w:szCs w:val="24"/>
                <w:highlight w:val="none"/>
                <w:lang w:eastAsia="zh-CN"/>
                <w14:textFill>
                  <w14:solidFill>
                    <w14:schemeClr w14:val="tx1"/>
                  </w14:solidFill>
                </w14:textFill>
              </w:rPr>
            </w:pPr>
            <w:r>
              <w:rPr>
                <w:rFonts w:hint="eastAsia" w:ascii="Times New Roman" w:eastAsia="宋体"/>
                <w:b/>
                <w:bCs/>
                <w:color w:val="000000" w:themeColor="text1"/>
                <w:sz w:val="24"/>
                <w:szCs w:val="24"/>
                <w:highlight w:val="none"/>
                <w:lang w:eastAsia="zh-CN"/>
                <w14:textFill>
                  <w14:solidFill>
                    <w14:schemeClr w14:val="tx1"/>
                  </w14:solidFill>
                </w14:textFill>
              </w:rPr>
              <w:drawing>
                <wp:inline distT="0" distB="0" distL="114300" distR="114300">
                  <wp:extent cx="3751580" cy="3388360"/>
                  <wp:effectExtent l="0" t="0" r="1270" b="2540"/>
                  <wp:docPr id="4" name="图片 4" descr="4a70beb75d3c67748640b4fb8218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a70beb75d3c67748640b4fb8218ed9"/>
                          <pic:cNvPicPr>
                            <a:picLocks noChangeAspect="1"/>
                          </pic:cNvPicPr>
                        </pic:nvPicPr>
                        <pic:blipFill>
                          <a:blip r:embed="rId30"/>
                          <a:stretch>
                            <a:fillRect/>
                          </a:stretch>
                        </pic:blipFill>
                        <pic:spPr>
                          <a:xfrm>
                            <a:off x="0" y="0"/>
                            <a:ext cx="3751580" cy="338836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eastAsia="宋体"/>
                <w:b/>
                <w:bCs/>
                <w:color w:val="000000" w:themeColor="text1"/>
                <w:sz w:val="24"/>
                <w:szCs w:val="24"/>
                <w:highlight w:val="none"/>
                <w:lang w:val="en-US" w:eastAsia="zh-CN"/>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图4-</w:t>
            </w:r>
            <w:r>
              <w:rPr>
                <w:rFonts w:hint="eastAsia" w:ascii="Times New Roman"/>
                <w:b/>
                <w:bCs/>
                <w:color w:val="000000" w:themeColor="text1"/>
                <w:sz w:val="24"/>
                <w:szCs w:val="24"/>
                <w:highlight w:val="none"/>
                <w:lang w:val="en-US" w:eastAsia="zh-CN"/>
                <w14:textFill>
                  <w14:solidFill>
                    <w14:schemeClr w14:val="tx1"/>
                  </w14:solidFill>
                </w14:textFill>
              </w:rPr>
              <w:t>2</w:t>
            </w:r>
            <w:r>
              <w:rPr>
                <w:rFonts w:ascii="Times New Roman"/>
                <w:b/>
                <w:bCs/>
                <w:color w:val="000000" w:themeColor="text1"/>
                <w:sz w:val="24"/>
                <w:szCs w:val="24"/>
                <w:highlight w:val="none"/>
                <w14:textFill>
                  <w14:solidFill>
                    <w14:schemeClr w14:val="tx1"/>
                  </w14:solidFill>
                </w14:textFill>
              </w:rPr>
              <w:t xml:space="preserve">  </w:t>
            </w:r>
            <w:r>
              <w:rPr>
                <w:rFonts w:hint="eastAsia" w:ascii="Times New Roman"/>
                <w:b/>
                <w:bCs/>
                <w:color w:val="000000" w:themeColor="text1"/>
                <w:sz w:val="24"/>
                <w:szCs w:val="24"/>
                <w:highlight w:val="none"/>
                <w14:textFill>
                  <w14:solidFill>
                    <w14:schemeClr w14:val="tx1"/>
                  </w14:solidFill>
                </w14:textFill>
              </w:rPr>
              <w:t>本项目贡献值</w:t>
            </w:r>
            <w:r>
              <w:rPr>
                <w:rFonts w:ascii="Times New Roman"/>
                <w:b/>
                <w:bCs/>
                <w:color w:val="000000" w:themeColor="text1"/>
                <w:sz w:val="24"/>
                <w:szCs w:val="24"/>
                <w:highlight w:val="none"/>
                <w14:textFill>
                  <w14:solidFill>
                    <w14:schemeClr w14:val="tx1"/>
                  </w14:solidFill>
                </w14:textFill>
              </w:rPr>
              <w:t>等声级线</w:t>
            </w:r>
            <w:r>
              <w:rPr>
                <w:rFonts w:hint="eastAsia" w:ascii="Times New Roman"/>
                <w:b/>
                <w:bCs/>
                <w:color w:val="000000" w:themeColor="text1"/>
                <w:sz w:val="24"/>
                <w:szCs w:val="24"/>
                <w:highlight w:val="none"/>
                <w:lang w:val="en-US" w:eastAsia="zh-CN"/>
                <w14:textFill>
                  <w14:solidFill>
                    <w14:schemeClr w14:val="tx1"/>
                  </w14:solidFill>
                </w14:textFill>
              </w:rPr>
              <w:t>图</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由表4-</w:t>
            </w:r>
            <w:r>
              <w:rPr>
                <w:rFonts w:hint="eastAsia" w:ascii="Times New Roman"/>
                <w:color w:val="000000" w:themeColor="text1"/>
                <w:sz w:val="24"/>
                <w:szCs w:val="24"/>
                <w:highlight w:val="none"/>
                <w:lang w:val="en-US" w:eastAsia="zh-CN"/>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可以看出，项目实施后</w:t>
            </w:r>
            <w:r>
              <w:rPr>
                <w:rFonts w:hint="eastAsia" w:ascii="Times New Roman"/>
                <w:color w:val="000000" w:themeColor="text1"/>
                <w:sz w:val="24"/>
                <w:szCs w:val="24"/>
                <w:highlight w:val="none"/>
                <w14:textFill>
                  <w14:solidFill>
                    <w14:schemeClr w14:val="tx1"/>
                  </w14:solidFill>
                </w14:textFill>
              </w:rPr>
              <w:t>各噪声设备对站界的噪声贡献值</w:t>
            </w:r>
            <w:r>
              <w:rPr>
                <w:rFonts w:hint="eastAsia" w:ascii="Times New Roman"/>
                <w:color w:val="000000" w:themeColor="text1"/>
                <w:sz w:val="24"/>
                <w:szCs w:val="24"/>
                <w:highlight w:val="none"/>
                <w:lang w:val="en-US" w:eastAsia="zh-CN"/>
                <w14:textFill>
                  <w14:solidFill>
                    <w14:schemeClr w14:val="tx1"/>
                  </w14:solidFill>
                </w14:textFill>
              </w:rPr>
              <w:t>在21.06</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40.74</w:t>
            </w:r>
            <w:r>
              <w:rPr>
                <w:rFonts w:ascii="Times New Roman"/>
                <w:color w:val="000000" w:themeColor="text1"/>
                <w:sz w:val="24"/>
                <w:szCs w:val="24"/>
                <w:highlight w:val="none"/>
                <w14:textFill>
                  <w14:solidFill>
                    <w14:schemeClr w14:val="tx1"/>
                  </w14:solidFill>
                </w14:textFill>
              </w:rPr>
              <w:t>dB(A)</w:t>
            </w:r>
            <w:r>
              <w:rPr>
                <w:rFonts w:hint="eastAsia" w:ascii="Times New Roman"/>
                <w:color w:val="000000" w:themeColor="text1"/>
                <w:spacing w:val="-6"/>
                <w:sz w:val="24"/>
                <w:szCs w:val="24"/>
                <w:highlight w:val="none"/>
                <w:lang w:val="en-US" w:eastAsia="zh-CN"/>
                <w14:textFill>
                  <w14:solidFill>
                    <w14:schemeClr w14:val="tx1"/>
                  </w14:solidFill>
                </w14:textFill>
              </w:rPr>
              <w:t>间</w:t>
            </w:r>
            <w:r>
              <w:rPr>
                <w:rFonts w:ascii="Times New Roman"/>
                <w:color w:val="000000" w:themeColor="text1"/>
                <w:spacing w:val="-6"/>
                <w:sz w:val="24"/>
                <w:szCs w:val="24"/>
                <w:highlight w:val="none"/>
                <w14:textFill>
                  <w14:solidFill>
                    <w14:schemeClr w14:val="tx1"/>
                  </w14:solidFill>
                </w14:textFill>
              </w:rPr>
              <w:t>，符合《工业企业厂界环境噪声排放标准》(GB12348-2008)</w:t>
            </w:r>
            <w:r>
              <w:rPr>
                <w:rFonts w:hint="eastAsia" w:ascii="Times New Roman"/>
                <w:color w:val="000000" w:themeColor="text1"/>
                <w:spacing w:val="-6"/>
                <w:sz w:val="24"/>
                <w:szCs w:val="24"/>
                <w:highlight w:val="none"/>
                <w:lang w:val="en-US" w:eastAsia="zh-CN"/>
                <w14:textFill>
                  <w14:solidFill>
                    <w14:schemeClr w14:val="tx1"/>
                  </w14:solidFill>
                </w14:textFill>
              </w:rPr>
              <w:t>1</w:t>
            </w:r>
            <w:r>
              <w:rPr>
                <w:rFonts w:ascii="Times New Roman"/>
                <w:color w:val="000000" w:themeColor="text1"/>
                <w:spacing w:val="-6"/>
                <w:sz w:val="24"/>
                <w:szCs w:val="24"/>
                <w:highlight w:val="none"/>
                <w14:textFill>
                  <w14:solidFill>
                    <w14:schemeClr w14:val="tx1"/>
                  </w14:solidFill>
                </w14:textFill>
              </w:rPr>
              <w:t>类标准。</w:t>
            </w:r>
          </w:p>
          <w:p>
            <w:pPr>
              <w:adjustRightInd w:val="0"/>
              <w:snapToGrid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5</w:t>
            </w:r>
            <w:r>
              <w:rPr>
                <w:rFonts w:hint="eastAsia" w:ascii="Times New Roman"/>
                <w:color w:val="000000" w:themeColor="text1"/>
                <w:sz w:val="24"/>
                <w:szCs w:val="24"/>
                <w:highlight w:val="none"/>
                <w14:textFill>
                  <w14:solidFill>
                    <w14:schemeClr w14:val="tx1"/>
                  </w14:solidFill>
                </w14:textFill>
              </w:rPr>
              <w:t>）声环境监测计划</w:t>
            </w:r>
          </w:p>
          <w:p>
            <w:pPr>
              <w:adjustRightInd w:val="0"/>
              <w:snapToGrid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参照《排污单位自行监测技术指南 总则》(HJ819-2017)、《环境影响评价技术导则 输变电》（HJ24-2020）、《输变电建设项目环境保护技术要求》（HJ 1113-2020）中的有关规定要求，</w:t>
            </w:r>
            <w:r>
              <w:rPr>
                <w:rFonts w:hint="eastAsia" w:ascii="Times New Roman"/>
                <w:color w:val="000000" w:themeColor="text1"/>
                <w:sz w:val="24"/>
                <w:szCs w:val="24"/>
                <w:highlight w:val="none"/>
                <w:lang w:val="en-US" w:eastAsia="zh-CN"/>
                <w14:textFill>
                  <w14:solidFill>
                    <w14:schemeClr w14:val="tx1"/>
                  </w14:solidFill>
                </w14:textFill>
              </w:rPr>
              <w:t>项目周围无声环境保护目标，</w:t>
            </w:r>
            <w:r>
              <w:rPr>
                <w:rFonts w:hint="eastAsia" w:ascii="Times New Roman"/>
                <w:color w:val="000000" w:themeColor="text1"/>
                <w:sz w:val="24"/>
                <w:szCs w:val="24"/>
                <w:highlight w:val="none"/>
                <w14:textFill>
                  <w14:solidFill>
                    <w14:schemeClr w14:val="tx1"/>
                  </w14:solidFill>
                </w14:textFill>
              </w:rPr>
              <w:t>针对本项目产排污特点，要求项目竣工时开展变电站全面监测，并且主要声源设备大修前后，应对变电工程厂界排放噪声进行监测。</w:t>
            </w:r>
          </w:p>
          <w:p>
            <w:pPr>
              <w:pStyle w:val="6"/>
              <w:keepNext/>
              <w:keepLines/>
              <w:pageBreakBefore w:val="0"/>
              <w:widowControl/>
              <w:tabs>
                <w:tab w:val="left" w:pos="0"/>
              </w:tabs>
              <w:kinsoku/>
              <w:wordWrap/>
              <w:overflowPunct/>
              <w:topLinePunct w:val="0"/>
              <w:autoSpaceDE/>
              <w:autoSpaceDN/>
              <w:bidi w:val="0"/>
              <w:adjustRightInd/>
              <w:snapToGrid/>
              <w:spacing w:before="0" w:after="0" w:line="240" w:lineRule="auto"/>
              <w:jc w:val="center"/>
              <w:textAlignment w:val="auto"/>
              <w:rPr>
                <w:rFonts w:ascii="Times New Roman"/>
                <w:color w:val="000000" w:themeColor="text1"/>
                <w:sz w:val="24"/>
                <w:highlight w:val="none"/>
                <w14:textFill>
                  <w14:solidFill>
                    <w14:schemeClr w14:val="tx1"/>
                  </w14:solidFill>
                </w14:textFill>
              </w:rPr>
            </w:pPr>
            <w:bookmarkStart w:id="62" w:name="_Toc25980"/>
            <w:r>
              <w:rPr>
                <w:rFonts w:ascii="Times New Roman"/>
                <w:color w:val="000000" w:themeColor="text1"/>
                <w:sz w:val="24"/>
                <w:highlight w:val="none"/>
                <w14:textFill>
                  <w14:solidFill>
                    <w14:schemeClr w14:val="tx1"/>
                  </w14:solidFill>
                </w14:textFill>
              </w:rPr>
              <w:t>表4-</w:t>
            </w:r>
            <w:r>
              <w:rPr>
                <w:rFonts w:hint="eastAsia" w:ascii="Times New Roman"/>
                <w:color w:val="000000" w:themeColor="text1"/>
                <w:sz w:val="24"/>
                <w:highlight w:val="none"/>
                <w:lang w:val="en-US" w:eastAsia="zh-CN"/>
                <w14:textFill>
                  <w14:solidFill>
                    <w14:schemeClr w14:val="tx1"/>
                  </w14:solidFill>
                </w14:textFill>
              </w:rPr>
              <w:t>5</w:t>
            </w:r>
            <w:r>
              <w:rPr>
                <w:rFonts w:ascii="Times New Roman"/>
                <w:color w:val="000000" w:themeColor="text1"/>
                <w:sz w:val="24"/>
                <w:highlight w:val="none"/>
                <w14:textFill>
                  <w14:solidFill>
                    <w14:schemeClr w14:val="tx1"/>
                  </w14:solidFill>
                </w14:textFill>
              </w:rPr>
              <w:t xml:space="preserve">  </w:t>
            </w:r>
            <w:r>
              <w:rPr>
                <w:rFonts w:hint="eastAsia" w:ascii="Times New Roman"/>
                <w:color w:val="000000" w:themeColor="text1"/>
                <w:sz w:val="24"/>
                <w:highlight w:val="none"/>
                <w14:textFill>
                  <w14:solidFill>
                    <w14:schemeClr w14:val="tx1"/>
                  </w14:solidFill>
                </w14:textFill>
              </w:rPr>
              <w:t>本项目</w:t>
            </w:r>
            <w:r>
              <w:rPr>
                <w:rFonts w:ascii="Times New Roman"/>
                <w:color w:val="000000" w:themeColor="text1"/>
                <w:sz w:val="24"/>
                <w:highlight w:val="none"/>
                <w14:textFill>
                  <w14:solidFill>
                    <w14:schemeClr w14:val="tx1"/>
                  </w14:solidFill>
                </w14:textFill>
              </w:rPr>
              <w:t>噪声</w:t>
            </w:r>
            <w:r>
              <w:rPr>
                <w:rFonts w:hint="eastAsia" w:ascii="Times New Roman"/>
                <w:color w:val="000000" w:themeColor="text1"/>
                <w:sz w:val="24"/>
                <w:highlight w:val="none"/>
                <w14:textFill>
                  <w14:solidFill>
                    <w14:schemeClr w14:val="tx1"/>
                  </w14:solidFill>
                </w14:textFill>
              </w:rPr>
              <w:t>监测计划</w:t>
            </w:r>
            <w:bookmarkEnd w:id="62"/>
          </w:p>
          <w:tbl>
            <w:tblPr>
              <w:tblStyle w:val="5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500"/>
              <w:gridCol w:w="3300"/>
              <w:gridCol w:w="27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63" w:name="_Toc28343"/>
                  <w:r>
                    <w:rPr>
                      <w:rFonts w:hint="eastAsia" w:ascii="Times New Roman"/>
                      <w:bCs w:val="0"/>
                      <w:color w:val="000000" w:themeColor="text1"/>
                      <w:sz w:val="21"/>
                      <w:szCs w:val="21"/>
                      <w:highlight w:val="none"/>
                      <w14:textFill>
                        <w14:solidFill>
                          <w14:schemeClr w14:val="tx1"/>
                        </w14:solidFill>
                      </w14:textFill>
                    </w:rPr>
                    <w:t>类别</w:t>
                  </w:r>
                  <w:bookmarkEnd w:id="63"/>
                </w:p>
              </w:tc>
              <w:tc>
                <w:tcPr>
                  <w:tcW w:w="910" w:type="pct"/>
                  <w:tcBorders>
                    <w:tl2br w:val="nil"/>
                    <w:tr2bl w:val="nil"/>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64" w:name="_Toc6085"/>
                  <w:r>
                    <w:rPr>
                      <w:rFonts w:hint="eastAsia" w:ascii="Times New Roman"/>
                      <w:bCs w:val="0"/>
                      <w:color w:val="000000" w:themeColor="text1"/>
                      <w:sz w:val="21"/>
                      <w:szCs w:val="21"/>
                      <w:highlight w:val="none"/>
                      <w14:textFill>
                        <w14:solidFill>
                          <w14:schemeClr w14:val="tx1"/>
                        </w14:solidFill>
                      </w14:textFill>
                    </w:rPr>
                    <w:t>监测点位</w:t>
                  </w:r>
                  <w:bookmarkEnd w:id="64"/>
                </w:p>
              </w:tc>
              <w:tc>
                <w:tcPr>
                  <w:tcW w:w="2002" w:type="pct"/>
                  <w:tcBorders>
                    <w:tl2br w:val="nil"/>
                    <w:tr2bl w:val="nil"/>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65" w:name="_Toc12042"/>
                  <w:r>
                    <w:rPr>
                      <w:rFonts w:hint="eastAsia" w:ascii="Times New Roman"/>
                      <w:bCs w:val="0"/>
                      <w:color w:val="000000" w:themeColor="text1"/>
                      <w:sz w:val="21"/>
                      <w:szCs w:val="21"/>
                      <w:highlight w:val="none"/>
                      <w14:textFill>
                        <w14:solidFill>
                          <w14:schemeClr w14:val="tx1"/>
                        </w14:solidFill>
                      </w14:textFill>
                    </w:rPr>
                    <w:t>监测频次</w:t>
                  </w:r>
                  <w:bookmarkEnd w:id="65"/>
                </w:p>
              </w:tc>
              <w:tc>
                <w:tcPr>
                  <w:tcW w:w="1679" w:type="pct"/>
                  <w:tcBorders>
                    <w:tl2br w:val="nil"/>
                    <w:tr2bl w:val="nil"/>
                  </w:tcBorders>
                  <w:vAlign w:val="center"/>
                </w:tcPr>
                <w:p>
                  <w:pPr>
                    <w:pStyle w:val="6"/>
                    <w:tabs>
                      <w:tab w:val="left" w:pos="0"/>
                    </w:tabs>
                    <w:spacing w:before="0" w:after="0" w:line="240" w:lineRule="auto"/>
                    <w:jc w:val="center"/>
                    <w:rPr>
                      <w:rFonts w:ascii="Times New Roman"/>
                      <w:bCs w:val="0"/>
                      <w:color w:val="000000" w:themeColor="text1"/>
                      <w:sz w:val="21"/>
                      <w:szCs w:val="21"/>
                      <w:highlight w:val="none"/>
                      <w14:textFill>
                        <w14:solidFill>
                          <w14:schemeClr w14:val="tx1"/>
                        </w14:solidFill>
                      </w14:textFill>
                    </w:rPr>
                  </w:pPr>
                  <w:bookmarkStart w:id="66" w:name="_Toc20447"/>
                  <w:r>
                    <w:rPr>
                      <w:rFonts w:hint="eastAsia" w:ascii="Times New Roman"/>
                      <w:bCs w:val="0"/>
                      <w:color w:val="000000" w:themeColor="text1"/>
                      <w:sz w:val="21"/>
                      <w:szCs w:val="21"/>
                      <w:highlight w:val="none"/>
                      <w14:textFill>
                        <w14:solidFill>
                          <w14:schemeClr w14:val="tx1"/>
                        </w14:solidFill>
                      </w14:textFill>
                    </w:rPr>
                    <w:t>执行标准</w:t>
                  </w:r>
                  <w:bookmarkEnd w:id="66"/>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07" w:type="pct"/>
                  <w:tcBorders>
                    <w:tl2br w:val="nil"/>
                    <w:tr2bl w:val="nil"/>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67" w:name="_Toc8100"/>
                  <w:r>
                    <w:rPr>
                      <w:rFonts w:hint="eastAsia" w:ascii="Times New Roman"/>
                      <w:b w:val="0"/>
                      <w:color w:val="000000" w:themeColor="text1"/>
                      <w:sz w:val="21"/>
                      <w:szCs w:val="21"/>
                      <w:highlight w:val="none"/>
                      <w14:textFill>
                        <w14:solidFill>
                          <w14:schemeClr w14:val="tx1"/>
                        </w14:solidFill>
                      </w14:textFill>
                    </w:rPr>
                    <w:t>噪声</w:t>
                  </w:r>
                  <w:bookmarkEnd w:id="67"/>
                </w:p>
              </w:tc>
              <w:tc>
                <w:tcPr>
                  <w:tcW w:w="910" w:type="pct"/>
                  <w:tcBorders>
                    <w:tl2br w:val="nil"/>
                    <w:tr2bl w:val="nil"/>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68" w:name="_Toc9975"/>
                  <w:r>
                    <w:rPr>
                      <w:rFonts w:ascii="Times New Roman"/>
                      <w:b w:val="0"/>
                      <w:color w:val="000000" w:themeColor="text1"/>
                      <w:sz w:val="21"/>
                      <w:szCs w:val="21"/>
                      <w:highlight w:val="none"/>
                      <w14:textFill>
                        <w14:solidFill>
                          <w14:schemeClr w14:val="tx1"/>
                        </w14:solidFill>
                      </w14:textFill>
                    </w:rPr>
                    <w:t>厂界外四周各设1个监测点</w:t>
                  </w:r>
                  <w:bookmarkEnd w:id="68"/>
                </w:p>
              </w:tc>
              <w:tc>
                <w:tcPr>
                  <w:tcW w:w="2002" w:type="pct"/>
                  <w:tcBorders>
                    <w:tl2br w:val="nil"/>
                    <w:tr2bl w:val="nil"/>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r>
                    <w:rPr>
                      <w:rFonts w:hint="eastAsia" w:ascii="Times New Roman"/>
                      <w:b w:val="0"/>
                      <w:color w:val="000000" w:themeColor="text1"/>
                      <w:sz w:val="21"/>
                      <w:szCs w:val="21"/>
                      <w:highlight w:val="none"/>
                      <w14:textFill>
                        <w14:solidFill>
                          <w14:schemeClr w14:val="tx1"/>
                        </w14:solidFill>
                      </w14:textFill>
                    </w:rPr>
                    <w:t>竣工时开展变电站全面监测，并且主要声源设备大修前后，应对变电工程厂界排放噪声进行监测</w:t>
                  </w:r>
                </w:p>
              </w:tc>
              <w:tc>
                <w:tcPr>
                  <w:tcW w:w="1679" w:type="pct"/>
                  <w:tcBorders>
                    <w:tl2br w:val="nil"/>
                    <w:tr2bl w:val="nil"/>
                  </w:tcBorders>
                  <w:vAlign w:val="center"/>
                </w:tcPr>
                <w:p>
                  <w:pPr>
                    <w:pStyle w:val="6"/>
                    <w:tabs>
                      <w:tab w:val="left" w:pos="0"/>
                    </w:tabs>
                    <w:spacing w:before="0" w:after="0" w:line="240" w:lineRule="auto"/>
                    <w:jc w:val="center"/>
                    <w:rPr>
                      <w:rFonts w:ascii="Times New Roman"/>
                      <w:b w:val="0"/>
                      <w:color w:val="000000" w:themeColor="text1"/>
                      <w:sz w:val="21"/>
                      <w:szCs w:val="21"/>
                      <w:highlight w:val="none"/>
                      <w14:textFill>
                        <w14:solidFill>
                          <w14:schemeClr w14:val="tx1"/>
                        </w14:solidFill>
                      </w14:textFill>
                    </w:rPr>
                  </w:pPr>
                  <w:bookmarkStart w:id="69" w:name="_Toc18666"/>
                  <w:r>
                    <w:rPr>
                      <w:rFonts w:hint="eastAsia" w:ascii="Times New Roman"/>
                      <w:b w:val="0"/>
                      <w:color w:val="000000" w:themeColor="text1"/>
                      <w:sz w:val="21"/>
                      <w:szCs w:val="21"/>
                      <w:highlight w:val="none"/>
                      <w14:textFill>
                        <w14:solidFill>
                          <w14:schemeClr w14:val="tx1"/>
                        </w14:solidFill>
                      </w14:textFill>
                    </w:rPr>
                    <w:t>《工业企业厂界环境噪声排放标准》（</w:t>
                  </w:r>
                  <w:r>
                    <w:rPr>
                      <w:rFonts w:ascii="Times New Roman"/>
                      <w:b w:val="0"/>
                      <w:color w:val="000000" w:themeColor="text1"/>
                      <w:sz w:val="21"/>
                      <w:szCs w:val="21"/>
                      <w:highlight w:val="none"/>
                      <w14:textFill>
                        <w14:solidFill>
                          <w14:schemeClr w14:val="tx1"/>
                        </w14:solidFill>
                      </w14:textFill>
                    </w:rPr>
                    <w:t>GB12348-2008</w:t>
                  </w:r>
                  <w:r>
                    <w:rPr>
                      <w:rFonts w:hint="eastAsia" w:ascii="Times New Roman"/>
                      <w:b w:val="0"/>
                      <w:color w:val="000000" w:themeColor="text1"/>
                      <w:sz w:val="21"/>
                      <w:szCs w:val="21"/>
                      <w:highlight w:val="none"/>
                      <w14:textFill>
                        <w14:solidFill>
                          <w14:schemeClr w14:val="tx1"/>
                        </w14:solidFill>
                      </w14:textFill>
                    </w:rPr>
                    <w:t>）中的</w:t>
                  </w:r>
                  <w:r>
                    <w:rPr>
                      <w:rFonts w:hint="eastAsia" w:ascii="Times New Roman"/>
                      <w:b w:val="0"/>
                      <w:color w:val="000000" w:themeColor="text1"/>
                      <w:sz w:val="21"/>
                      <w:szCs w:val="21"/>
                      <w:highlight w:val="none"/>
                      <w:lang w:val="en-US" w:eastAsia="zh-CN"/>
                      <w14:textFill>
                        <w14:solidFill>
                          <w14:schemeClr w14:val="tx1"/>
                        </w14:solidFill>
                      </w14:textFill>
                    </w:rPr>
                    <w:t>1</w:t>
                  </w:r>
                  <w:r>
                    <w:rPr>
                      <w:rFonts w:hint="eastAsia" w:ascii="Times New Roman"/>
                      <w:b w:val="0"/>
                      <w:color w:val="000000" w:themeColor="text1"/>
                      <w:sz w:val="21"/>
                      <w:szCs w:val="21"/>
                      <w:highlight w:val="none"/>
                      <w14:textFill>
                        <w14:solidFill>
                          <w14:schemeClr w14:val="tx1"/>
                        </w14:solidFill>
                      </w14:textFill>
                    </w:rPr>
                    <w:t>类标准</w:t>
                  </w:r>
                  <w:bookmarkEnd w:id="69"/>
                </w:p>
              </w:tc>
            </w:tr>
          </w:tbl>
          <w:p>
            <w:pPr>
              <w:adjustRightInd w:val="0"/>
              <w:snapToGrid w:val="0"/>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lang w:val="en-US" w:eastAsia="zh-CN"/>
                <w14:textFill>
                  <w14:solidFill>
                    <w14:schemeClr w14:val="tx1"/>
                  </w14:solidFill>
                </w14:textFill>
              </w:rPr>
              <w:t>4</w:t>
            </w:r>
            <w:r>
              <w:rPr>
                <w:rFonts w:ascii="Times New Roman"/>
                <w:b/>
                <w:bCs/>
                <w:color w:val="000000" w:themeColor="text1"/>
                <w:sz w:val="24"/>
                <w:szCs w:val="24"/>
                <w:highlight w:val="none"/>
                <w14:textFill>
                  <w14:solidFill>
                    <w14:schemeClr w14:val="tx1"/>
                  </w14:solidFill>
                </w14:textFill>
              </w:rPr>
              <w:t>、水环境影响分析</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w:t>
            </w:r>
            <w:r>
              <w:rPr>
                <w:rFonts w:hint="eastAsia" w:ascii="Times New Roman"/>
                <w:color w:val="000000" w:themeColor="text1"/>
                <w:sz w:val="24"/>
                <w:szCs w:val="24"/>
                <w:highlight w:val="none"/>
                <w:lang w:eastAsia="zh-CN"/>
                <w14:textFill>
                  <w14:solidFill>
                    <w14:schemeClr w14:val="tx1"/>
                  </w14:solidFill>
                </w14:textFill>
              </w:rPr>
              <w:t>运营期</w:t>
            </w:r>
            <w:r>
              <w:rPr>
                <w:rFonts w:hint="eastAsia" w:ascii="Times New Roman"/>
                <w:color w:val="000000" w:themeColor="text1"/>
                <w:sz w:val="24"/>
                <w:szCs w:val="24"/>
                <w:highlight w:val="none"/>
                <w14:textFill>
                  <w14:solidFill>
                    <w14:schemeClr w14:val="tx1"/>
                  </w14:solidFill>
                </w14:textFill>
              </w:rPr>
              <w:t>不产生生产废水，生活污水产生量以用水量的80%计，</w:t>
            </w:r>
            <w:r>
              <w:rPr>
                <w:rFonts w:hint="eastAsia" w:ascii="Times New Roman"/>
                <w:color w:val="000000" w:themeColor="text1"/>
                <w:sz w:val="24"/>
                <w:szCs w:val="24"/>
                <w:highlight w:val="none"/>
                <w:lang w:bidi="ar"/>
                <w14:textFill>
                  <w14:solidFill>
                    <w14:schemeClr w14:val="tx1"/>
                  </w14:solidFill>
                </w14:textFill>
              </w:rPr>
              <w:t>则职工生活污水产生量为</w:t>
            </w:r>
            <w:r>
              <w:rPr>
                <w:rFonts w:ascii="Times New Roman"/>
                <w:color w:val="000000" w:themeColor="text1"/>
                <w:sz w:val="24"/>
                <w:szCs w:val="24"/>
                <w:highlight w:val="none"/>
                <w:lang w:bidi="ar"/>
                <w14:textFill>
                  <w14:solidFill>
                    <w14:schemeClr w14:val="tx1"/>
                  </w14:solidFill>
                </w14:textFill>
              </w:rPr>
              <w:t>0.</w:t>
            </w:r>
            <w:r>
              <w:rPr>
                <w:rFonts w:hint="eastAsia" w:ascii="Times New Roman"/>
                <w:color w:val="000000" w:themeColor="text1"/>
                <w:sz w:val="24"/>
                <w:szCs w:val="24"/>
                <w:highlight w:val="none"/>
                <w:lang w:val="en-US" w:eastAsia="zh-CN" w:bidi="ar"/>
                <w14:textFill>
                  <w14:solidFill>
                    <w14:schemeClr w14:val="tx1"/>
                  </w14:solidFill>
                </w14:textFill>
              </w:rPr>
              <w:t>39</w:t>
            </w:r>
            <w:r>
              <w:rPr>
                <w:rFonts w:ascii="Times New Roman"/>
                <w:color w:val="000000" w:themeColor="text1"/>
                <w:sz w:val="24"/>
                <w:szCs w:val="24"/>
                <w:highlight w:val="none"/>
                <w:lang w:bidi="ar"/>
                <w14:textFill>
                  <w14:solidFill>
                    <w14:schemeClr w14:val="tx1"/>
                  </w14:solidFill>
                </w14:textFill>
              </w:rPr>
              <w:t>m</w:t>
            </w:r>
            <w:r>
              <w:rPr>
                <w:rFonts w:ascii="Times New Roman"/>
                <w:color w:val="000000" w:themeColor="text1"/>
                <w:sz w:val="24"/>
                <w:szCs w:val="24"/>
                <w:highlight w:val="none"/>
                <w:vertAlign w:val="superscript"/>
                <w:lang w:bidi="ar"/>
                <w14:textFill>
                  <w14:solidFill>
                    <w14:schemeClr w14:val="tx1"/>
                  </w14:solidFill>
                </w14:textFill>
              </w:rPr>
              <w:t>3</w:t>
            </w:r>
            <w:r>
              <w:rPr>
                <w:rFonts w:ascii="Times New Roman"/>
                <w:color w:val="000000" w:themeColor="text1"/>
                <w:sz w:val="24"/>
                <w:szCs w:val="24"/>
                <w:highlight w:val="none"/>
                <w:lang w:bidi="ar"/>
                <w14:textFill>
                  <w14:solidFill>
                    <w14:schemeClr w14:val="tx1"/>
                  </w14:solidFill>
                </w14:textFill>
              </w:rPr>
              <w:t>/d</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z w:val="24"/>
                <w:szCs w:val="24"/>
                <w:highlight w:val="none"/>
                <w:lang w:val="en-US" w:eastAsia="zh-CN" w:bidi="ar"/>
                <w14:textFill>
                  <w14:solidFill>
                    <w14:schemeClr w14:val="tx1"/>
                  </w14:solidFill>
                </w14:textFill>
              </w:rPr>
              <w:t>140.8</w:t>
            </w:r>
            <w:r>
              <w:rPr>
                <w:rFonts w:ascii="Times New Roman"/>
                <w:color w:val="000000" w:themeColor="text1"/>
                <w:sz w:val="24"/>
                <w:szCs w:val="24"/>
                <w:highlight w:val="none"/>
                <w:lang w:bidi="ar"/>
                <w14:textFill>
                  <w14:solidFill>
                    <w14:schemeClr w14:val="tx1"/>
                  </w14:solidFill>
                </w14:textFill>
              </w:rPr>
              <w:t>m</w:t>
            </w:r>
            <w:r>
              <w:rPr>
                <w:rFonts w:ascii="Times New Roman"/>
                <w:color w:val="000000" w:themeColor="text1"/>
                <w:sz w:val="24"/>
                <w:szCs w:val="24"/>
                <w:highlight w:val="none"/>
                <w:vertAlign w:val="superscript"/>
                <w:lang w:bidi="ar"/>
                <w14:textFill>
                  <w14:solidFill>
                    <w14:schemeClr w14:val="tx1"/>
                  </w14:solidFill>
                </w14:textFill>
              </w:rPr>
              <w:t>3</w:t>
            </w:r>
            <w:r>
              <w:rPr>
                <w:rFonts w:ascii="Times New Roman"/>
                <w:color w:val="000000" w:themeColor="text1"/>
                <w:sz w:val="24"/>
                <w:szCs w:val="24"/>
                <w:highlight w:val="none"/>
                <w:lang w:bidi="ar"/>
                <w14:textFill>
                  <w14:solidFill>
                    <w14:schemeClr w14:val="tx1"/>
                  </w14:solidFill>
                </w14:textFill>
              </w:rPr>
              <w:t>/a</w:t>
            </w:r>
            <w:r>
              <w:rPr>
                <w:rFonts w:hint="eastAsia" w:ascii="Times New Roman"/>
                <w:color w:val="000000" w:themeColor="text1"/>
                <w:sz w:val="24"/>
                <w:szCs w:val="24"/>
                <w:highlight w:val="none"/>
                <w:lang w:bidi="ar"/>
                <w14:textFill>
                  <w14:solidFill>
                    <w14:schemeClr w14:val="tx1"/>
                  </w14:solidFill>
                </w14:textFill>
              </w:rPr>
              <w:t>）</w:t>
            </w:r>
            <w:r>
              <w:rPr>
                <w:rFonts w:hint="eastAsia" w:ascii="Times New Roman"/>
                <w:color w:val="000000" w:themeColor="text1"/>
                <w:spacing w:val="4"/>
                <w:sz w:val="24"/>
                <w:szCs w:val="24"/>
                <w:highlight w:val="none"/>
                <w14:textFill>
                  <w14:solidFill>
                    <w14:schemeClr w14:val="tx1"/>
                  </w14:solidFill>
                </w14:textFill>
              </w:rPr>
              <w:t>，食堂废水经隔油池处理，与生活污水经一体化污水处理装置处理</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类比同类项目，本项目</w:t>
            </w:r>
            <w:r>
              <w:rPr>
                <w:rFonts w:hint="eastAsia" w:ascii="Times New Roman"/>
                <w:color w:val="000000" w:themeColor="text1"/>
                <w:spacing w:val="4"/>
                <w:sz w:val="24"/>
                <w:szCs w:val="24"/>
                <w:highlight w:val="none"/>
                <w14:textFill>
                  <w14:solidFill>
                    <w14:schemeClr w14:val="tx1"/>
                  </w14:solidFill>
                </w14:textFill>
              </w:rPr>
              <w:t>生活污水水质：COD300mg/L、BOD</w:t>
            </w:r>
            <w:r>
              <w:rPr>
                <w:rFonts w:hint="eastAsia" w:ascii="Times New Roman"/>
                <w:color w:val="000000" w:themeColor="text1"/>
                <w:spacing w:val="4"/>
                <w:sz w:val="24"/>
                <w:szCs w:val="24"/>
                <w:highlight w:val="none"/>
                <w:vertAlign w:val="subscript"/>
                <w14:textFill>
                  <w14:solidFill>
                    <w14:schemeClr w14:val="tx1"/>
                  </w14:solidFill>
                </w14:textFill>
              </w:rPr>
              <w:t>5</w:t>
            </w:r>
            <w:r>
              <w:rPr>
                <w:rFonts w:hint="eastAsia" w:ascii="Times New Roman"/>
                <w:color w:val="000000" w:themeColor="text1"/>
                <w:spacing w:val="4"/>
                <w:sz w:val="24"/>
                <w:szCs w:val="24"/>
                <w:highlight w:val="none"/>
                <w14:textFill>
                  <w14:solidFill>
                    <w14:schemeClr w14:val="tx1"/>
                  </w14:solidFill>
                </w14:textFill>
              </w:rPr>
              <w:t>150mg/L、SS120mg/L、氨氮25mg/L、动植物油30mg/L</w:t>
            </w:r>
            <w:r>
              <w:rPr>
                <w:rFonts w:hint="eastAsia" w:ascii="Times New Roman"/>
                <w:color w:val="000000" w:themeColor="text1"/>
                <w:spacing w:val="4"/>
                <w:sz w:val="24"/>
                <w:szCs w:val="24"/>
                <w:highlight w:val="none"/>
                <w:lang w:eastAsia="zh-CN"/>
                <w14:textFill>
                  <w14:solidFill>
                    <w14:schemeClr w14:val="tx1"/>
                  </w14:solidFill>
                </w14:textFill>
              </w:rPr>
              <w:t>，一体化污水处理装置</w:t>
            </w:r>
            <w:r>
              <w:rPr>
                <w:rFonts w:hint="eastAsia" w:ascii="Times New Roman"/>
                <w:color w:val="000000" w:themeColor="text1"/>
                <w:spacing w:val="4"/>
                <w:sz w:val="24"/>
                <w:szCs w:val="24"/>
                <w:highlight w:val="none"/>
                <w:lang w:val="en-US" w:eastAsia="zh-CN"/>
                <w14:textFill>
                  <w14:solidFill>
                    <w14:schemeClr w14:val="tx1"/>
                  </w14:solidFill>
                </w14:textFill>
              </w:rPr>
              <w:t>COD去除率在80%左右、BOD去除率在95%</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左右，SS去除率在80%左右，氨氮去除率在75</w:t>
            </w:r>
            <w:r>
              <w:rPr>
                <w:rFonts w:hint="eastAsia" w:ascii="Times New Roman"/>
                <w:color w:val="000000" w:themeColor="text1"/>
                <w:spacing w:val="4"/>
                <w:sz w:val="24"/>
                <w:szCs w:val="24"/>
                <w:highlight w:val="none"/>
                <w:lang w:val="en-US" w:eastAsia="zh-CN"/>
                <w14:textFill>
                  <w14:solidFill>
                    <w14:schemeClr w14:val="tx1"/>
                  </w14:solidFill>
                </w14:textFill>
              </w:rPr>
              <w:t>%左右、</w:t>
            </w:r>
            <w:r>
              <w:rPr>
                <w:rFonts w:hint="eastAsia" w:ascii="Times New Roman"/>
                <w:color w:val="000000" w:themeColor="text1"/>
                <w:spacing w:val="4"/>
                <w:sz w:val="24"/>
                <w:szCs w:val="24"/>
                <w:highlight w:val="none"/>
                <w14:textFill>
                  <w14:solidFill>
                    <w14:schemeClr w14:val="tx1"/>
                  </w14:solidFill>
                </w14:textFill>
              </w:rPr>
              <w:t>动植物油</w:t>
            </w:r>
            <w:r>
              <w:rPr>
                <w:rFonts w:hint="eastAsia" w:ascii="Times New Roman"/>
                <w:color w:val="000000" w:themeColor="text1"/>
                <w:spacing w:val="4"/>
                <w:sz w:val="24"/>
                <w:szCs w:val="24"/>
                <w:highlight w:val="none"/>
                <w:lang w:val="en-US" w:eastAsia="zh-CN"/>
                <w14:textFill>
                  <w14:solidFill>
                    <w14:schemeClr w14:val="tx1"/>
                  </w14:solidFill>
                </w14:textFill>
              </w:rPr>
              <w:t>去除率在80%</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左右，经一体化污水处理装置处理后出水浓度为</w:t>
            </w:r>
            <w:r>
              <w:rPr>
                <w:rFonts w:hint="eastAsia" w:ascii="Times New Roman"/>
                <w:color w:val="000000" w:themeColor="text1"/>
                <w:spacing w:val="4"/>
                <w:sz w:val="24"/>
                <w:szCs w:val="24"/>
                <w:highlight w:val="none"/>
                <w14:textFill>
                  <w14:solidFill>
                    <w14:schemeClr w14:val="tx1"/>
                  </w14:solidFill>
                </w14:textFill>
              </w:rPr>
              <w:t>COD</w:t>
            </w:r>
            <w:r>
              <w:rPr>
                <w:rFonts w:hint="eastAsia" w:ascii="Times New Roman"/>
                <w:color w:val="000000" w:themeColor="text1"/>
                <w:spacing w:val="4"/>
                <w:sz w:val="24"/>
                <w:szCs w:val="24"/>
                <w:highlight w:val="none"/>
                <w:lang w:val="en-US" w:eastAsia="zh-CN"/>
                <w14:textFill>
                  <w14:solidFill>
                    <w14:schemeClr w14:val="tx1"/>
                  </w14:solidFill>
                </w14:textFill>
              </w:rPr>
              <w:t>60</w:t>
            </w:r>
            <w:r>
              <w:rPr>
                <w:rFonts w:hint="eastAsia" w:ascii="Times New Roman"/>
                <w:color w:val="000000" w:themeColor="text1"/>
                <w:spacing w:val="4"/>
                <w:sz w:val="24"/>
                <w:szCs w:val="24"/>
                <w:highlight w:val="none"/>
                <w14:textFill>
                  <w14:solidFill>
                    <w14:schemeClr w14:val="tx1"/>
                  </w14:solidFill>
                </w14:textFill>
              </w:rPr>
              <w:t>mg/L、BOD</w:t>
            </w:r>
            <w:r>
              <w:rPr>
                <w:rFonts w:hint="eastAsia" w:ascii="Times New Roman"/>
                <w:color w:val="000000" w:themeColor="text1"/>
                <w:spacing w:val="4"/>
                <w:sz w:val="24"/>
                <w:szCs w:val="24"/>
                <w:highlight w:val="none"/>
                <w:vertAlign w:val="subscript"/>
                <w14:textFill>
                  <w14:solidFill>
                    <w14:schemeClr w14:val="tx1"/>
                  </w14:solidFill>
                </w14:textFill>
              </w:rPr>
              <w:t>5</w:t>
            </w:r>
            <w:r>
              <w:rPr>
                <w:rFonts w:hint="eastAsia" w:ascii="Times New Roman"/>
                <w:color w:val="000000" w:themeColor="text1"/>
                <w:spacing w:val="4"/>
                <w:sz w:val="24"/>
                <w:szCs w:val="24"/>
                <w:highlight w:val="none"/>
                <w:lang w:val="en-US" w:eastAsia="zh-CN"/>
                <w14:textFill>
                  <w14:solidFill>
                    <w14:schemeClr w14:val="tx1"/>
                  </w14:solidFill>
                </w14:textFill>
              </w:rPr>
              <w:t>7.</w:t>
            </w:r>
            <w:r>
              <w:rPr>
                <w:rFonts w:hint="eastAsia" w:ascii="Times New Roman"/>
                <w:color w:val="000000" w:themeColor="text1"/>
                <w:spacing w:val="4"/>
                <w:sz w:val="24"/>
                <w:szCs w:val="24"/>
                <w:highlight w:val="none"/>
                <w14:textFill>
                  <w14:solidFill>
                    <w14:schemeClr w14:val="tx1"/>
                  </w14:solidFill>
                </w14:textFill>
              </w:rPr>
              <w:t>5mg/L、SS</w:t>
            </w:r>
            <w:r>
              <w:rPr>
                <w:rFonts w:hint="eastAsia" w:ascii="Times New Roman"/>
                <w:color w:val="000000" w:themeColor="text1"/>
                <w:spacing w:val="4"/>
                <w:sz w:val="24"/>
                <w:szCs w:val="24"/>
                <w:highlight w:val="none"/>
                <w:lang w:val="en-US" w:eastAsia="zh-CN"/>
                <w14:textFill>
                  <w14:solidFill>
                    <w14:schemeClr w14:val="tx1"/>
                  </w14:solidFill>
                </w14:textFill>
              </w:rPr>
              <w:t>24</w:t>
            </w:r>
            <w:r>
              <w:rPr>
                <w:rFonts w:hint="eastAsia" w:ascii="Times New Roman"/>
                <w:color w:val="000000" w:themeColor="text1"/>
                <w:spacing w:val="4"/>
                <w:sz w:val="24"/>
                <w:szCs w:val="24"/>
                <w:highlight w:val="none"/>
                <w14:textFill>
                  <w14:solidFill>
                    <w14:schemeClr w14:val="tx1"/>
                  </w14:solidFill>
                </w14:textFill>
              </w:rPr>
              <w:t>mg/L、氨氮</w:t>
            </w:r>
            <w:r>
              <w:rPr>
                <w:rFonts w:hint="eastAsia" w:ascii="Times New Roman"/>
                <w:color w:val="000000" w:themeColor="text1"/>
                <w:spacing w:val="4"/>
                <w:sz w:val="24"/>
                <w:szCs w:val="24"/>
                <w:highlight w:val="none"/>
                <w:lang w:val="en-US" w:eastAsia="zh-CN"/>
                <w14:textFill>
                  <w14:solidFill>
                    <w14:schemeClr w14:val="tx1"/>
                  </w14:solidFill>
                </w14:textFill>
              </w:rPr>
              <w:t>6.</w:t>
            </w:r>
            <w:r>
              <w:rPr>
                <w:rFonts w:hint="eastAsia" w:ascii="Times New Roman"/>
                <w:color w:val="000000" w:themeColor="text1"/>
                <w:spacing w:val="4"/>
                <w:sz w:val="24"/>
                <w:szCs w:val="24"/>
                <w:highlight w:val="none"/>
                <w14:textFill>
                  <w14:solidFill>
                    <w14:schemeClr w14:val="tx1"/>
                  </w14:solidFill>
                </w14:textFill>
              </w:rPr>
              <w:t>25mg/L、动植物油</w:t>
            </w:r>
            <w:r>
              <w:rPr>
                <w:rFonts w:hint="eastAsia" w:ascii="Times New Roman"/>
                <w:color w:val="000000" w:themeColor="text1"/>
                <w:spacing w:val="4"/>
                <w:sz w:val="24"/>
                <w:szCs w:val="24"/>
                <w:highlight w:val="none"/>
                <w:lang w:val="en-US" w:eastAsia="zh-CN"/>
                <w14:textFill>
                  <w14:solidFill>
                    <w14:schemeClr w14:val="tx1"/>
                  </w14:solidFill>
                </w14:textFill>
              </w:rPr>
              <w:t>6</w:t>
            </w:r>
            <w:r>
              <w:rPr>
                <w:rFonts w:hint="eastAsia" w:ascii="Times New Roman"/>
                <w:color w:val="000000" w:themeColor="text1"/>
                <w:spacing w:val="4"/>
                <w:sz w:val="24"/>
                <w:szCs w:val="24"/>
                <w:highlight w:val="none"/>
                <w14:textFill>
                  <w14:solidFill>
                    <w14:schemeClr w14:val="tx1"/>
                  </w14:solidFill>
                </w14:textFill>
              </w:rPr>
              <w:t>mg/L</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，水质满足《城市污水再生利</w:t>
            </w:r>
            <w:r>
              <w:rPr>
                <w:rFonts w:hint="eastAsia" w:ascii="Times New Roman"/>
                <w:color w:val="000000" w:themeColor="text1"/>
                <w:spacing w:val="4"/>
                <w:sz w:val="24"/>
                <w:szCs w:val="24"/>
                <w:highlight w:val="none"/>
                <w:lang w:val="en-US" w:eastAsia="zh-CN"/>
                <w14:textFill>
                  <w14:solidFill>
                    <w14:schemeClr w14:val="tx1"/>
                  </w14:solidFill>
                </w14:textFill>
              </w:rPr>
              <w:t>用 城市杂用水水质》（GB/T18920-2020）中城市绿化、道路清扫、消防、建筑施工标准，因此项目采用的废水防治措施可行，</w:t>
            </w:r>
            <w:r>
              <w:rPr>
                <w:rFonts w:hint="eastAsia" w:ascii="Times New Roman" w:hAnsi="Times New Roman" w:eastAsia="宋体" w:cs="Times New Roman"/>
                <w:color w:val="000000" w:themeColor="text1"/>
                <w:spacing w:val="4"/>
                <w:sz w:val="24"/>
                <w:szCs w:val="24"/>
                <w:highlight w:val="none"/>
                <w:lang w:val="en-US" w:eastAsia="zh-CN"/>
                <w14:textFill>
                  <w14:solidFill>
                    <w14:schemeClr w14:val="tx1"/>
                  </w14:solidFill>
                </w14:textFill>
              </w:rPr>
              <w:t>一体化污水处理装置</w:t>
            </w:r>
            <w:r>
              <w:rPr>
                <w:rFonts w:hint="eastAsia" w:ascii="Times New Roman"/>
                <w:color w:val="000000" w:themeColor="text1"/>
                <w:spacing w:val="4"/>
                <w:sz w:val="24"/>
                <w:szCs w:val="24"/>
                <w:highlight w:val="none"/>
                <w:lang w:val="en-US" w:eastAsia="zh-CN"/>
                <w14:textFill>
                  <w14:solidFill>
                    <w14:schemeClr w14:val="tx1"/>
                  </w14:solidFill>
                </w14:textFill>
              </w:rPr>
              <w:t>出水</w:t>
            </w:r>
            <w:r>
              <w:rPr>
                <w:rFonts w:hint="eastAsia" w:ascii="Times New Roman"/>
                <w:color w:val="000000" w:themeColor="text1"/>
                <w:spacing w:val="4"/>
                <w:sz w:val="24"/>
                <w:szCs w:val="24"/>
                <w:highlight w:val="none"/>
                <w14:textFill>
                  <w14:solidFill>
                    <w14:schemeClr w14:val="tx1"/>
                  </w14:solidFill>
                </w14:textFill>
              </w:rPr>
              <w:t>送到清水池，再通过回用水泵回用于绿化，不外排</w:t>
            </w:r>
            <w:r>
              <w:rPr>
                <w:rFonts w:hint="eastAsia" w:ascii="Times New Roman"/>
                <w:color w:val="000000" w:themeColor="text1"/>
                <w:spacing w:val="4"/>
                <w:sz w:val="24"/>
                <w:szCs w:val="24"/>
                <w:highlight w:val="none"/>
                <w:lang w:val="en-US" w:eastAsia="zh-CN"/>
                <w14:textFill>
                  <w14:solidFill>
                    <w14:schemeClr w14:val="tx1"/>
                  </w14:solidFill>
                </w14:textFill>
              </w:rPr>
              <w:t>。项目无废水外排，</w:t>
            </w:r>
            <w:r>
              <w:rPr>
                <w:rFonts w:hint="eastAsia" w:ascii="Times New Roman"/>
                <w:color w:val="000000" w:themeColor="text1"/>
                <w:sz w:val="24"/>
                <w:szCs w:val="24"/>
                <w:highlight w:val="none"/>
                <w14:textFill>
                  <w14:solidFill>
                    <w14:schemeClr w14:val="tx1"/>
                  </w14:solidFill>
                </w14:textFill>
              </w:rPr>
              <w:t>对地表水环境影响很小。</w:t>
            </w:r>
          </w:p>
          <w:p>
            <w:pPr>
              <w:autoSpaceDE w:val="0"/>
              <w:autoSpaceDN w:val="0"/>
              <w:adjustRightInd w:val="0"/>
              <w:spacing w:line="360" w:lineRule="auto"/>
              <w:ind w:firstLine="482" w:firstLineChars="200"/>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lang w:val="en-US" w:eastAsia="zh-CN"/>
                <w14:textFill>
                  <w14:solidFill>
                    <w14:schemeClr w14:val="tx1"/>
                  </w14:solidFill>
                </w14:textFill>
              </w:rPr>
              <w:t>5</w:t>
            </w:r>
            <w:r>
              <w:rPr>
                <w:rFonts w:ascii="Times New Roman"/>
                <w:b/>
                <w:bCs/>
                <w:color w:val="000000" w:themeColor="text1"/>
                <w:sz w:val="24"/>
                <w:szCs w:val="24"/>
                <w:highlight w:val="none"/>
                <w14:textFill>
                  <w14:solidFill>
                    <w14:schemeClr w14:val="tx1"/>
                  </w14:solidFill>
                </w14:textFill>
              </w:rPr>
              <w:t>、生态环境影响分析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自然生态的影响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w:t>
            </w:r>
            <w:r>
              <w:rPr>
                <w:rFonts w:hint="default"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占地主要为</w:t>
            </w:r>
            <w:r>
              <w:rPr>
                <w:rFonts w:hint="eastAsia" w:ascii="Times New Roman" w:hAnsi="Times New Roman" w:cs="Times New Roman"/>
                <w:color w:val="000000" w:themeColor="text1"/>
                <w:kern w:val="2"/>
                <w:sz w:val="24"/>
                <w:szCs w:val="24"/>
                <w:highlight w:val="none"/>
                <w:vertAlign w:val="baseline"/>
                <w:lang w:val="en-US" w:eastAsia="zh-CN" w:bidi="ar-SA"/>
                <w14:textFill>
                  <w14:solidFill>
                    <w14:schemeClr w14:val="tx1"/>
                  </w14:solidFill>
                </w14:textFill>
              </w:rPr>
              <w:t>农用地</w:t>
            </w:r>
            <w:r>
              <w:rPr>
                <w:rFonts w:hint="default" w:ascii="Times New Roman" w:hAnsi="Times New Roman" w:eastAsia="宋体" w:cs="Times New Roman"/>
                <w:color w:val="000000" w:themeColor="text1"/>
                <w:kern w:val="2"/>
                <w:sz w:val="24"/>
                <w:szCs w:val="24"/>
                <w:highlight w:val="none"/>
                <w:vertAlign w:val="baseline"/>
                <w:lang w:val="en-US" w:eastAsia="zh-CN" w:bidi="ar-SA"/>
                <w14:textFill>
                  <w14:solidFill>
                    <w14:schemeClr w14:val="tx1"/>
                  </w14:solidFill>
                </w14:textFill>
              </w:rPr>
              <w:t>，项目建成之后，对于临时施工区域，要及时平整土地，并种植适宜的植物，防止发生新的土壤侵蚀。通过施工期采取的措施之后，施工结束，完成生态恢复后，对周围的生态环境影响较小。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val="0"/>
                <w:color w:val="000000" w:themeColor="text1"/>
                <w:sz w:val="24"/>
                <w:szCs w:val="24"/>
                <w:highlight w:val="none"/>
                <w:lang w:val="en-US" w:eastAsia="zh-CN"/>
                <w14:textFill>
                  <w14:solidFill>
                    <w14:schemeClr w14:val="tx1"/>
                  </w14:solidFill>
                </w14:textFill>
              </w:rPr>
              <w:t>对动植物的影响</w:t>
            </w:r>
          </w:p>
          <w:p>
            <w:pPr>
              <w:keepNext w:val="0"/>
              <w:keepLines w:val="0"/>
              <w:pageBreakBefore w:val="0"/>
              <w:widowControl w:val="0"/>
              <w:suppressLineNumbers w:val="0"/>
              <w:kinsoku/>
              <w:wordWrap/>
              <w:overflowPunct/>
              <w:topLinePunct w:val="0"/>
              <w:bidi w:val="0"/>
              <w:adjustRightInd/>
              <w:snapToGrid/>
              <w:spacing w:beforeAutospacing="0" w:afterAutospacing="0" w:line="360" w:lineRule="auto"/>
              <w:ind w:left="0" w:leftChars="0" w:right="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生态补救措施，运营期地表植被状况逐渐好转，施工结束后，恢复原有的自然生态系统。本项目占地为永久占地，会对站址周围的动植物产生影响，经过生态恢复后，对周围动植物仍存在影响，但对区域整体影响较小。</w:t>
            </w:r>
          </w:p>
          <w:p>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（3）对区域土地利用的影响</w:t>
            </w:r>
          </w:p>
          <w:p>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项目施工期完成后对占地区域进行植被恢复，恢复周边植物环境，恢复土地使用功能。</w:t>
            </w:r>
          </w:p>
          <w:p>
            <w:pPr>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360" w:lineRule="auto"/>
              <w:ind w:left="0" w:leftChars="0" w:right="0" w:firstLine="480" w:firstLineChars="200"/>
              <w:jc w:val="left"/>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（4）水土流失影响</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本项目施工完成后将及时平整土地、恢复植被，将有效地控制项目用地范围内的水土流失，同时随着各类植物的成长，造成的水土流失将逐渐减弱、稳定，达到轻度以下的水平，不会造成过多的水土流失</w:t>
            </w:r>
            <w:r>
              <w:rPr>
                <w:rFonts w:hint="eastAsia" w:ascii="Times New Roman"/>
                <w:color w:val="000000" w:themeColor="text1"/>
                <w:sz w:val="24"/>
                <w:szCs w:val="24"/>
                <w:highlight w:val="none"/>
                <w14:textFill>
                  <w14:solidFill>
                    <w14:schemeClr w14:val="tx1"/>
                  </w14:solidFill>
                </w14:textFill>
              </w:rPr>
              <w:t>。</w:t>
            </w:r>
          </w:p>
          <w:p>
            <w:pPr>
              <w:pStyle w:val="84"/>
              <w:spacing w:line="360" w:lineRule="auto"/>
              <w:ind w:firstLine="482"/>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lang w:val="en-US" w:eastAsia="zh-CN"/>
                <w14:textFill>
                  <w14:solidFill>
                    <w14:schemeClr w14:val="tx1"/>
                  </w14:solidFill>
                </w14:textFill>
              </w:rPr>
              <w:t>6</w:t>
            </w:r>
            <w:r>
              <w:rPr>
                <w:rFonts w:ascii="Times New Roman"/>
                <w:b/>
                <w:bCs/>
                <w:color w:val="000000" w:themeColor="text1"/>
                <w:sz w:val="24"/>
                <w:szCs w:val="24"/>
                <w:highlight w:val="none"/>
                <w14:textFill>
                  <w14:solidFill>
                    <w14:schemeClr w14:val="tx1"/>
                  </w14:solidFill>
                </w14:textFill>
              </w:rPr>
              <w:t>、固体废物影响预测与分析</w:t>
            </w:r>
          </w:p>
          <w:p>
            <w:pPr>
              <w:adjustRightInd w:val="0"/>
              <w:snapToGrid w:val="0"/>
              <w:spacing w:line="360" w:lineRule="auto"/>
              <w:ind w:firstLine="480" w:firstLineChars="200"/>
              <w:rPr>
                <w:rFonts w:ascii="Times New Roman"/>
                <w:color w:val="000000" w:themeColor="text1"/>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（1）固体废物识别</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本项目在</w:t>
            </w:r>
            <w:r>
              <w:rPr>
                <w:rFonts w:hint="eastAsia" w:ascii="Times New Roman"/>
                <w:color w:val="000000" w:themeColor="text1"/>
                <w:sz w:val="24"/>
                <w:szCs w:val="24"/>
                <w:highlight w:val="none"/>
                <w:lang w:eastAsia="zh-CN" w:bidi="ar"/>
                <w14:textFill>
                  <w14:solidFill>
                    <w14:schemeClr w14:val="tx1"/>
                  </w14:solidFill>
                </w14:textFill>
              </w:rPr>
              <w:t>运营期</w:t>
            </w:r>
            <w:r>
              <w:rPr>
                <w:rFonts w:hint="eastAsia" w:ascii="Times New Roman"/>
                <w:color w:val="000000" w:themeColor="text1"/>
                <w:sz w:val="24"/>
                <w:szCs w:val="24"/>
                <w:highlight w:val="none"/>
                <w:lang w:bidi="ar"/>
                <w14:textFill>
                  <w14:solidFill>
                    <w14:schemeClr w14:val="tx1"/>
                  </w14:solidFill>
                </w14:textFill>
              </w:rPr>
              <w:t>间会产生变压器事故油、</w:t>
            </w:r>
            <w:r>
              <w:rPr>
                <w:rFonts w:hint="eastAsia" w:ascii="Times New Roman"/>
                <w:color w:val="000000" w:themeColor="text1"/>
                <w:sz w:val="24"/>
                <w:szCs w:val="24"/>
                <w:highlight w:val="none"/>
                <w:lang w:eastAsia="zh-CN" w:bidi="ar"/>
                <w14:textFill>
                  <w14:solidFill>
                    <w14:schemeClr w14:val="tx1"/>
                  </w14:solidFill>
                </w14:textFill>
              </w:rPr>
              <w:t>废蓄电池、废机油、废润滑油、</w:t>
            </w:r>
            <w:r>
              <w:rPr>
                <w:rFonts w:hint="eastAsia" w:ascii="Times New Roman"/>
                <w:color w:val="000000" w:themeColor="text1"/>
                <w:sz w:val="24"/>
                <w:szCs w:val="24"/>
                <w:highlight w:val="none"/>
                <w:lang w:val="en-US" w:eastAsia="zh-CN" w:bidi="ar"/>
                <w14:textFill>
                  <w14:solidFill>
                    <w14:schemeClr w14:val="tx1"/>
                  </w14:solidFill>
                </w14:textFill>
              </w:rPr>
              <w:t>废变压器油、废油桶</w:t>
            </w:r>
            <w:r>
              <w:rPr>
                <w:rFonts w:hint="eastAsia" w:ascii="Times New Roman"/>
                <w:color w:val="000000" w:themeColor="text1"/>
                <w:sz w:val="24"/>
                <w:szCs w:val="24"/>
                <w:highlight w:val="none"/>
                <w:lang w:bidi="ar"/>
                <w14:textFill>
                  <w14:solidFill>
                    <w14:schemeClr w14:val="tx1"/>
                  </w14:solidFill>
                </w14:textFill>
              </w:rPr>
              <w:t>和生活垃圾。</w:t>
            </w:r>
          </w:p>
          <w:p>
            <w:pPr>
              <w:pStyle w:val="46"/>
              <w:spacing w:before="0" w:beforeAutospacing="0" w:after="0" w:afterAutospacing="0" w:line="360" w:lineRule="auto"/>
              <w:ind w:firstLine="480" w:firstLineChars="200"/>
              <w:jc w:val="both"/>
              <w:rPr>
                <w:rFonts w:hint="default" w:ascii="Times New Roman" w:hAnsi="Times New Roman" w:eastAsia="宋体"/>
                <w:color w:val="000000" w:themeColor="text1"/>
                <w:kern w:val="2"/>
                <w:szCs w:val="24"/>
                <w:highlight w:val="none"/>
                <w:lang w:val="en-US" w:eastAsia="zh-CN" w:bidi="ar"/>
                <w14:textFill>
                  <w14:solidFill>
                    <w14:schemeClr w14:val="tx1"/>
                  </w14:solidFill>
                </w14:textFill>
              </w:rPr>
            </w:pPr>
            <w:r>
              <w:rPr>
                <w:rFonts w:hint="eastAsia" w:ascii="Times New Roman" w:hAnsi="Times New Roman"/>
                <w:color w:val="000000" w:themeColor="text1"/>
                <w:kern w:val="2"/>
                <w:szCs w:val="24"/>
                <w:highlight w:val="none"/>
                <w:lang w:val="en-US" w:eastAsia="zh-CN" w:bidi="ar"/>
                <w14:textFill>
                  <w14:solidFill>
                    <w14:schemeClr w14:val="tx1"/>
                  </w14:solidFill>
                </w14:textFill>
              </w:rPr>
              <w:t>1)危险废物</w:t>
            </w:r>
          </w:p>
          <w:p>
            <w:pPr>
              <w:pStyle w:val="46"/>
              <w:spacing w:before="0" w:beforeAutospacing="0" w:after="0" w:afterAutospacing="0" w:line="360" w:lineRule="auto"/>
              <w:ind w:firstLine="480" w:firstLineChars="200"/>
              <w:jc w:val="both"/>
              <w:rPr>
                <w:rFonts w:ascii="Times New Roman" w:hAnsi="Times New Roman"/>
                <w:color w:val="000000" w:themeColor="text1"/>
                <w:kern w:val="2"/>
                <w:szCs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lang w:bidi="ar"/>
                <w14:textFill>
                  <w14:solidFill>
                    <w14:schemeClr w14:val="tx1"/>
                  </w14:solidFill>
                </w14:textFill>
              </w:rPr>
              <w:t>①废蓄电池</w:t>
            </w:r>
          </w:p>
          <w:p>
            <w:pPr>
              <w:pStyle w:val="46"/>
              <w:spacing w:before="0" w:beforeAutospacing="0" w:after="0" w:afterAutospacing="0" w:line="360" w:lineRule="auto"/>
              <w:ind w:firstLine="480" w:firstLineChars="200"/>
              <w:jc w:val="both"/>
              <w:rPr>
                <w:rFonts w:hint="eastAsia" w:ascii="Times New Roman" w:hAnsi="Times New Roman"/>
                <w:color w:val="000000" w:themeColor="text1"/>
                <w:kern w:val="2"/>
                <w:szCs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lang w:bidi="ar"/>
                <w14:textFill>
                  <w14:solidFill>
                    <w14:schemeClr w14:val="tx1"/>
                  </w14:solidFill>
                </w14:textFill>
              </w:rPr>
              <w:t>升压站生产运行期间在直流供电系统中使用2套不间断铅酸蓄电池电源，共计208块（2V~300Ah），总重量约为5.2吨，铅酸蓄电池的使用寿命为10年左右，使用过程中会产生废铅酸蓄电池，废蓄电池产生量为每10年5.2t，产生的废蓄电池暂存于危废暂存间，定期交由有资质的单位处置。废蓄电池属于《国家危险废物名录（</w:t>
            </w:r>
            <w:r>
              <w:rPr>
                <w:rFonts w:ascii="Times New Roman" w:hAnsi="Times New Roman"/>
                <w:color w:val="000000" w:themeColor="text1"/>
                <w:kern w:val="2"/>
                <w:szCs w:val="24"/>
                <w:highlight w:val="none"/>
                <w:lang w:bidi="ar"/>
                <w14:textFill>
                  <w14:solidFill>
                    <w14:schemeClr w14:val="tx1"/>
                  </w14:solidFill>
                </w14:textFill>
              </w:rPr>
              <w:t>2021</w:t>
            </w:r>
            <w:r>
              <w:rPr>
                <w:rFonts w:hint="eastAsia" w:ascii="Times New Roman" w:hAnsi="Times New Roman"/>
                <w:color w:val="000000" w:themeColor="text1"/>
                <w:kern w:val="2"/>
                <w:szCs w:val="24"/>
                <w:highlight w:val="none"/>
                <w:lang w:bidi="ar"/>
                <w14:textFill>
                  <w14:solidFill>
                    <w14:schemeClr w14:val="tx1"/>
                  </w14:solidFill>
                </w14:textFill>
              </w:rPr>
              <w:t>年版）》中</w:t>
            </w:r>
            <w:r>
              <w:rPr>
                <w:rFonts w:ascii="Times New Roman" w:hAnsi="Times New Roman"/>
                <w:color w:val="000000" w:themeColor="text1"/>
                <w:kern w:val="2"/>
                <w:szCs w:val="24"/>
                <w:highlight w:val="none"/>
                <w:lang w:bidi="ar"/>
                <w14:textFill>
                  <w14:solidFill>
                    <w14:schemeClr w14:val="tx1"/>
                  </w14:solidFill>
                </w14:textFill>
              </w:rPr>
              <w:t>HW</w:t>
            </w:r>
            <w:r>
              <w:rPr>
                <w:rFonts w:hint="eastAsia" w:ascii="Times New Roman" w:hAnsi="Times New Roman"/>
                <w:color w:val="000000" w:themeColor="text1"/>
                <w:kern w:val="2"/>
                <w:szCs w:val="24"/>
                <w:highlight w:val="none"/>
                <w:lang w:val="en-US" w:eastAsia="zh-CN" w:bidi="ar"/>
                <w14:textFill>
                  <w14:solidFill>
                    <w14:schemeClr w14:val="tx1"/>
                  </w14:solidFill>
                </w14:textFill>
              </w:rPr>
              <w:t>3</w:t>
            </w:r>
            <w:r>
              <w:rPr>
                <w:rFonts w:ascii="Times New Roman" w:hAnsi="Times New Roman"/>
                <w:color w:val="000000" w:themeColor="text1"/>
                <w:kern w:val="2"/>
                <w:szCs w:val="24"/>
                <w:highlight w:val="none"/>
                <w:lang w:bidi="ar"/>
                <w14:textFill>
                  <w14:solidFill>
                    <w14:schemeClr w14:val="tx1"/>
                  </w14:solidFill>
                </w14:textFill>
              </w:rPr>
              <w:t>1</w:t>
            </w:r>
            <w:r>
              <w:rPr>
                <w:rFonts w:hint="eastAsia" w:ascii="Times New Roman" w:hAnsi="Times New Roman"/>
                <w:color w:val="000000" w:themeColor="text1"/>
                <w:kern w:val="2"/>
                <w:szCs w:val="24"/>
                <w:highlight w:val="none"/>
                <w:lang w:bidi="ar"/>
                <w14:textFill>
                  <w14:solidFill>
                    <w14:schemeClr w14:val="tx1"/>
                  </w14:solidFill>
                </w14:textFill>
              </w:rPr>
              <w:t>含铅废物</w:t>
            </w:r>
            <w:r>
              <w:rPr>
                <w:rFonts w:ascii="Times New Roman" w:hAnsi="Times New Roman"/>
                <w:color w:val="000000" w:themeColor="text1"/>
                <w:kern w:val="2"/>
                <w:szCs w:val="24"/>
                <w:highlight w:val="none"/>
                <w:lang w:bidi="ar"/>
                <w14:textFill>
                  <w14:solidFill>
                    <w14:schemeClr w14:val="tx1"/>
                  </w14:solidFill>
                </w14:textFill>
              </w:rPr>
              <w:t>900-052-31</w:t>
            </w:r>
            <w:r>
              <w:rPr>
                <w:rFonts w:hint="eastAsia" w:ascii="Times New Roman" w:hAnsi="Times New Roman"/>
                <w:color w:val="000000" w:themeColor="text1"/>
                <w:kern w:val="2"/>
                <w:szCs w:val="24"/>
                <w:highlight w:val="none"/>
                <w:lang w:bidi="ar"/>
                <w14:textFill>
                  <w14:solidFill>
                    <w14:schemeClr w14:val="tx1"/>
                  </w14:solidFill>
                </w14:textFill>
              </w:rPr>
              <w:t>。</w:t>
            </w:r>
          </w:p>
          <w:p>
            <w:pPr>
              <w:pStyle w:val="46"/>
              <w:spacing w:before="0" w:beforeAutospacing="0" w:after="0" w:afterAutospacing="0" w:line="360" w:lineRule="auto"/>
              <w:ind w:firstLine="480" w:firstLineChars="200"/>
              <w:jc w:val="both"/>
              <w:rPr>
                <w:rFonts w:hint="eastAsia" w:ascii="Times New Roman" w:hAnsi="Times New Roman"/>
                <w:color w:val="000000" w:themeColor="text1"/>
                <w:kern w:val="2"/>
                <w:szCs w:val="24"/>
                <w:highlight w:val="none"/>
                <w:lang w:val="en-US" w:eastAsia="zh-CN" w:bidi="ar"/>
                <w14:textFill>
                  <w14:solidFill>
                    <w14:schemeClr w14:val="tx1"/>
                  </w14:solidFill>
                </w14:textFill>
              </w:rPr>
            </w:pPr>
            <w:r>
              <w:rPr>
                <w:rFonts w:hint="eastAsia" w:ascii="Times New Roman" w:hAnsi="Times New Roman"/>
                <w:color w:val="000000" w:themeColor="text1"/>
                <w:kern w:val="2"/>
                <w:szCs w:val="24"/>
                <w:highlight w:val="none"/>
                <w:lang w:val="en-US" w:eastAsia="zh-CN" w:bidi="ar"/>
                <w14:textFill>
                  <w14:solidFill>
                    <w14:schemeClr w14:val="tx1"/>
                  </w14:solidFill>
                </w14:textFill>
              </w:rPr>
              <w:t>项目</w:t>
            </w:r>
            <w:r>
              <w:rPr>
                <w:rFonts w:hint="eastAsia" w:ascii="Times New Roman" w:hAnsi="Times New Roman"/>
                <w:color w:val="000000" w:themeColor="text1"/>
                <w:kern w:val="2"/>
                <w:szCs w:val="24"/>
                <w:highlight w:val="none"/>
                <w:lang w:bidi="ar"/>
                <w14:textFill>
                  <w14:solidFill>
                    <w14:schemeClr w14:val="tx1"/>
                  </w14:solidFill>
                </w14:textFill>
              </w:rPr>
              <w:t>废蓄电池</w:t>
            </w:r>
            <w:r>
              <w:rPr>
                <w:rFonts w:hint="eastAsia" w:ascii="Times New Roman" w:hAnsi="Times New Roman"/>
                <w:color w:val="000000" w:themeColor="text1"/>
                <w:kern w:val="2"/>
                <w:szCs w:val="24"/>
                <w:highlight w:val="none"/>
                <w:lang w:val="en-US" w:eastAsia="zh-CN" w:bidi="ar"/>
                <w14:textFill>
                  <w14:solidFill>
                    <w14:schemeClr w14:val="tx1"/>
                  </w14:solidFill>
                </w14:textFill>
              </w:rPr>
              <w:t>暂存过程需满足《废铅蓄电池处理污染控制技术规范》（HJ519-2020）要求，有防止废铅蓄电池破损和电解质泄漏的措施，硬化地面及有耐腐蚀包装容器，废铅蓄电池应存放于耐腐蚀、具有防渗漏措施的托盘或容器中，在显著位置张贴废铅蓄电池收集提示性信息和警示标志。收集、运输、贮存废铅蓄电池的容器或托盘，应根据废铅蓄电池的特性设计，不易破损、变形，其所用材料能有效地防止渗漏、扩散，并耐酸腐蚀。</w:t>
            </w:r>
          </w:p>
          <w:p>
            <w:pPr>
              <w:pStyle w:val="46"/>
              <w:spacing w:before="0" w:beforeAutospacing="0" w:after="0" w:afterAutospacing="0" w:line="360" w:lineRule="auto"/>
              <w:ind w:firstLine="480" w:firstLineChars="200"/>
              <w:jc w:val="both"/>
              <w:rPr>
                <w:rFonts w:ascii="Times New Roman" w:hAnsi="Times New Roman"/>
                <w:color w:val="000000" w:themeColor="text1"/>
                <w:szCs w:val="24"/>
                <w:highlight w:val="none"/>
                <w14:textFill>
                  <w14:solidFill>
                    <w14:schemeClr w14:val="tx1"/>
                  </w14:solidFill>
                </w14:textFill>
              </w:rPr>
            </w:pPr>
            <w:r>
              <w:rPr>
                <w:rFonts w:hint="eastAsia" w:ascii="Times New Roman" w:hAnsi="Times New Roman"/>
                <w:color w:val="000000" w:themeColor="text1"/>
                <w:kern w:val="2"/>
                <w:szCs w:val="24"/>
                <w:highlight w:val="none"/>
                <w:lang w:bidi="ar"/>
                <w14:textFill>
                  <w14:solidFill>
                    <w14:schemeClr w14:val="tx1"/>
                  </w14:solidFill>
                </w14:textFill>
              </w:rPr>
              <w:t>危废暂存间面积约</w:t>
            </w:r>
            <w:r>
              <w:rPr>
                <w:rFonts w:hint="eastAsia" w:ascii="Times New Roman" w:hAnsi="Times New Roman"/>
                <w:color w:val="000000" w:themeColor="text1"/>
                <w:kern w:val="2"/>
                <w:szCs w:val="24"/>
                <w:highlight w:val="none"/>
                <w:lang w:val="en-US" w:eastAsia="zh-CN" w:bidi="ar"/>
                <w14:textFill>
                  <w14:solidFill>
                    <w14:schemeClr w14:val="tx1"/>
                  </w14:solidFill>
                </w14:textFill>
              </w:rPr>
              <w:t>42</w:t>
            </w:r>
            <w:r>
              <w:rPr>
                <w:rFonts w:ascii="Times New Roman" w:hAnsi="Times New Roman"/>
                <w:color w:val="000000" w:themeColor="text1"/>
                <w:kern w:val="2"/>
                <w:szCs w:val="24"/>
                <w:highlight w:val="none"/>
                <w:lang w:bidi="ar"/>
                <w14:textFill>
                  <w14:solidFill>
                    <w14:schemeClr w14:val="tx1"/>
                  </w14:solidFill>
                </w14:textFill>
              </w:rPr>
              <w:t>m</w:t>
            </w:r>
            <w:r>
              <w:rPr>
                <w:rFonts w:ascii="Times New Roman" w:hAnsi="Times New Roman"/>
                <w:color w:val="000000" w:themeColor="text1"/>
                <w:kern w:val="2"/>
                <w:szCs w:val="24"/>
                <w:highlight w:val="none"/>
                <w:vertAlign w:val="superscript"/>
                <w:lang w:bidi="ar"/>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，贮存量以1.5t/m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计，则该危废间最大可贮存约</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63</w:t>
            </w:r>
            <w:r>
              <w:rPr>
                <w:rFonts w:hint="default" w:ascii="Times New Roman" w:hAnsi="Times New Roman" w:cs="Times New Roman"/>
                <w:color w:val="000000" w:themeColor="text1"/>
                <w:kern w:val="0"/>
                <w:sz w:val="24"/>
                <w:highlight w:val="none"/>
                <w14:textFill>
                  <w14:solidFill>
                    <w14:schemeClr w14:val="tx1"/>
                  </w14:solidFill>
                </w14:textFill>
              </w:rPr>
              <w:t>t废蓄电池</w:t>
            </w:r>
            <w:r>
              <w:rPr>
                <w:rFonts w:hint="eastAsia" w:ascii="Times New Roman" w:hAnsi="Times New Roman" w:cs="Times New Roman"/>
                <w:color w:val="000000" w:themeColor="text1"/>
                <w:kern w:val="0"/>
                <w:sz w:val="24"/>
                <w:highlight w:val="none"/>
                <w:lang w:eastAsia="zh-CN"/>
                <w14:textFill>
                  <w14:solidFill>
                    <w14:schemeClr w14:val="tx1"/>
                  </w14:solidFill>
                </w14:textFill>
              </w:rPr>
              <w:t>，</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可满足废蓄电池贮存</w:t>
            </w:r>
            <w:r>
              <w:rPr>
                <w:rFonts w:hint="eastAsia" w:ascii="Times New Roman" w:hAnsi="Times New Roman" w:cs="Times New Roman"/>
                <w:color w:val="000000" w:themeColor="text1"/>
                <w:kern w:val="2"/>
                <w:szCs w:val="24"/>
                <w:highlight w:val="none"/>
                <w:lang w:eastAsia="zh-CN" w:bidi="ar"/>
                <w14:textFill>
                  <w14:solidFill>
                    <w14:schemeClr w14:val="tx1"/>
                  </w14:solidFill>
                </w14:textFill>
              </w:rPr>
              <w:t>。</w:t>
            </w:r>
            <w:r>
              <w:rPr>
                <w:rFonts w:hint="eastAsia" w:ascii="Times New Roman" w:hAnsi="Times New Roman" w:cs="Times New Roman"/>
                <w:color w:val="000000" w:themeColor="text1"/>
                <w:kern w:val="2"/>
                <w:szCs w:val="24"/>
                <w:highlight w:val="none"/>
                <w:lang w:val="en-US" w:eastAsia="zh-CN" w:bidi="ar"/>
                <w14:textFill>
                  <w14:solidFill>
                    <w14:schemeClr w14:val="tx1"/>
                  </w14:solidFill>
                </w14:textFill>
              </w:rPr>
              <w:t>危废间</w:t>
            </w:r>
            <w:r>
              <w:rPr>
                <w:rFonts w:hint="eastAsia" w:ascii="Times New Roman" w:hAnsi="Times New Roman"/>
                <w:color w:val="000000" w:themeColor="text1"/>
                <w:kern w:val="2"/>
                <w:szCs w:val="24"/>
                <w:highlight w:val="none"/>
                <w:lang w:bidi="ar"/>
                <w14:textFill>
                  <w14:solidFill>
                    <w14:schemeClr w14:val="tx1"/>
                  </w14:solidFill>
                </w14:textFill>
              </w:rPr>
              <w:t>按照《危险废物贮存污染控制标准》</w:t>
            </w:r>
            <w:r>
              <w:rPr>
                <w:rFonts w:ascii="Times New Roman" w:hAnsi="Times New Roman"/>
                <w:color w:val="000000" w:themeColor="text1"/>
                <w:kern w:val="2"/>
                <w:szCs w:val="24"/>
                <w:highlight w:val="none"/>
                <w:lang w:bidi="ar"/>
                <w14:textFill>
                  <w14:solidFill>
                    <w14:schemeClr w14:val="tx1"/>
                  </w14:solidFill>
                </w14:textFill>
              </w:rPr>
              <w:t>(GB18597-20</w:t>
            </w:r>
            <w:r>
              <w:rPr>
                <w:rFonts w:hint="eastAsia" w:ascii="Times New Roman" w:hAnsi="Times New Roman"/>
                <w:color w:val="000000" w:themeColor="text1"/>
                <w:kern w:val="2"/>
                <w:szCs w:val="24"/>
                <w:highlight w:val="none"/>
                <w:lang w:bidi="ar"/>
                <w14:textFill>
                  <w14:solidFill>
                    <w14:schemeClr w14:val="tx1"/>
                  </w14:solidFill>
                </w14:textFill>
              </w:rPr>
              <w:t>23</w:t>
            </w:r>
            <w:r>
              <w:rPr>
                <w:rFonts w:ascii="Times New Roman" w:hAnsi="Times New Roman"/>
                <w:color w:val="000000" w:themeColor="text1"/>
                <w:kern w:val="2"/>
                <w:szCs w:val="24"/>
                <w:highlight w:val="none"/>
                <w:lang w:bidi="ar"/>
                <w14:textFill>
                  <w14:solidFill>
                    <w14:schemeClr w14:val="tx1"/>
                  </w14:solidFill>
                </w14:textFill>
              </w:rPr>
              <w:t>)</w:t>
            </w:r>
            <w:r>
              <w:rPr>
                <w:rFonts w:hint="eastAsia" w:ascii="Times New Roman" w:hAnsi="Times New Roman"/>
                <w:color w:val="000000" w:themeColor="text1"/>
                <w:kern w:val="2"/>
                <w:szCs w:val="24"/>
                <w:highlight w:val="none"/>
                <w:lang w:bidi="ar"/>
                <w14:textFill>
                  <w14:solidFill>
                    <w14:schemeClr w14:val="tx1"/>
                  </w14:solidFill>
                </w14:textFill>
              </w:rPr>
              <w:t>要求设置，贮存设施地面与裙脚应采取表面防渗措施</w:t>
            </w:r>
            <w:r>
              <w:rPr>
                <w:rFonts w:hint="eastAsia" w:ascii="Times New Roman" w:hAnsi="Times New Roman"/>
                <w:color w:val="000000" w:themeColor="text1"/>
                <w:kern w:val="2"/>
                <w:szCs w:val="24"/>
                <w:highlight w:val="none"/>
                <w:lang w:eastAsia="zh-CN" w:bidi="ar"/>
                <w14:textFill>
                  <w14:solidFill>
                    <w14:schemeClr w14:val="tx1"/>
                  </w14:solidFill>
                </w14:textFill>
              </w:rPr>
              <w:t>；</w:t>
            </w:r>
            <w:r>
              <w:rPr>
                <w:rFonts w:hint="eastAsia" w:ascii="Times New Roman" w:hAnsi="Times New Roman"/>
                <w:color w:val="000000" w:themeColor="text1"/>
                <w:kern w:val="2"/>
                <w:szCs w:val="24"/>
                <w:highlight w:val="none"/>
                <w:lang w:bidi="ar"/>
                <w14:textFill>
                  <w14:solidFill>
                    <w14:schemeClr w14:val="tx1"/>
                  </w14:solidFill>
                </w14:textFill>
              </w:rPr>
              <w:t>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color w:val="000000" w:themeColor="text1"/>
                <w:kern w:val="2"/>
                <w:szCs w:val="24"/>
                <w:highlight w:val="none"/>
                <w:vertAlign w:val="superscript"/>
                <w:lang w:bidi="ar"/>
                <w14:textFill>
                  <w14:solidFill>
                    <w14:schemeClr w14:val="tx1"/>
                  </w14:solidFill>
                </w14:textFill>
              </w:rPr>
              <w:t>-</w:t>
            </w:r>
            <w:r>
              <w:rPr>
                <w:rFonts w:hint="eastAsia" w:ascii="Times New Roman" w:hAnsi="Times New Roman"/>
                <w:color w:val="000000" w:themeColor="text1"/>
                <w:kern w:val="2"/>
                <w:szCs w:val="24"/>
                <w:highlight w:val="none"/>
                <w:vertAlign w:val="superscript"/>
                <w:lang w:val="en-US" w:eastAsia="zh-CN" w:bidi="ar"/>
                <w14:textFill>
                  <w14:solidFill>
                    <w14:schemeClr w14:val="tx1"/>
                  </w14:solidFill>
                </w14:textFill>
              </w:rPr>
              <w:t>7</w:t>
            </w:r>
            <w:r>
              <w:rPr>
                <w:rFonts w:hint="eastAsia" w:ascii="Times New Roman" w:hAnsi="Times New Roman"/>
                <w:color w:val="000000" w:themeColor="text1"/>
                <w:kern w:val="2"/>
                <w:szCs w:val="24"/>
                <w:highlight w:val="none"/>
                <w:lang w:bidi="ar"/>
                <w14:textFill>
                  <w14:solidFill>
                    <w14:schemeClr w14:val="tx1"/>
                  </w14:solidFill>
                </w14:textFill>
              </w:rPr>
              <w:t>cm/s)，或至少2mm厚高密度聚乙烯膜等人工防渗材料(渗透系数不大于10</w:t>
            </w:r>
            <w:r>
              <w:rPr>
                <w:rFonts w:hint="eastAsia" w:ascii="Times New Roman" w:hAnsi="Times New Roman"/>
                <w:color w:val="000000" w:themeColor="text1"/>
                <w:kern w:val="2"/>
                <w:szCs w:val="24"/>
                <w:highlight w:val="none"/>
                <w:vertAlign w:val="superscript"/>
                <w:lang w:bidi="ar"/>
                <w14:textFill>
                  <w14:solidFill>
                    <w14:schemeClr w14:val="tx1"/>
                  </w14:solidFill>
                </w14:textFill>
              </w:rPr>
              <w:t>-</w:t>
            </w:r>
            <w:r>
              <w:rPr>
                <w:rFonts w:hint="eastAsia" w:ascii="Times New Roman" w:hAnsi="Times New Roman"/>
                <w:color w:val="000000" w:themeColor="text1"/>
                <w:kern w:val="2"/>
                <w:szCs w:val="24"/>
                <w:highlight w:val="none"/>
                <w:vertAlign w:val="superscript"/>
                <w:lang w:val="en-US" w:eastAsia="zh-CN" w:bidi="ar"/>
                <w14:textFill>
                  <w14:solidFill>
                    <w14:schemeClr w14:val="tx1"/>
                  </w14:solidFill>
                </w14:textFill>
              </w:rPr>
              <w:t>1</w:t>
            </w:r>
            <w:r>
              <w:rPr>
                <w:rFonts w:hint="eastAsia" w:ascii="Times New Roman" w:hAnsi="Times New Roman"/>
                <w:color w:val="000000" w:themeColor="text1"/>
                <w:kern w:val="2"/>
                <w:szCs w:val="24"/>
                <w:highlight w:val="none"/>
                <w:vertAlign w:val="superscript"/>
                <w:lang w:bidi="ar"/>
                <w14:textFill>
                  <w14:solidFill>
                    <w14:schemeClr w14:val="tx1"/>
                  </w14:solidFill>
                </w14:textFill>
              </w:rPr>
              <w:t>0</w:t>
            </w:r>
            <w:r>
              <w:rPr>
                <w:rFonts w:hint="eastAsia" w:ascii="Times New Roman" w:hAnsi="Times New Roman"/>
                <w:color w:val="000000" w:themeColor="text1"/>
                <w:kern w:val="2"/>
                <w:szCs w:val="24"/>
                <w:highlight w:val="none"/>
                <w:lang w:bidi="ar"/>
                <w14:textFill>
                  <w14:solidFill>
                    <w14:schemeClr w14:val="tx1"/>
                  </w14:solidFill>
                </w14:textFill>
              </w:rPr>
              <w:t>cm/s)，或其他防渗性能等效的材料。</w:t>
            </w:r>
          </w:p>
          <w:p>
            <w:pPr>
              <w:pStyle w:val="46"/>
              <w:spacing w:before="0" w:beforeAutospacing="0" w:after="0" w:afterAutospacing="0" w:line="360" w:lineRule="auto"/>
              <w:ind w:firstLine="480" w:firstLineChars="200"/>
              <w:jc w:val="both"/>
              <w:rPr>
                <w:rFonts w:ascii="Times New Roman" w:hAnsi="Times New Roman"/>
                <w:color w:val="000000" w:themeColor="text1"/>
                <w:kern w:val="2"/>
                <w:szCs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lang w:bidi="ar"/>
                <w14:textFill>
                  <w14:solidFill>
                    <w14:schemeClr w14:val="tx1"/>
                  </w14:solidFill>
                </w14:textFill>
              </w:rPr>
              <w:t>②变压器事故油</w:t>
            </w:r>
          </w:p>
          <w:p>
            <w:pPr>
              <w:pStyle w:val="46"/>
              <w:spacing w:before="0" w:beforeAutospacing="0" w:after="0" w:afterAutospacing="0" w:line="360" w:lineRule="auto"/>
              <w:ind w:firstLine="480" w:firstLineChars="200"/>
              <w:jc w:val="both"/>
              <w:rPr>
                <w:rFonts w:ascii="Times New Roman" w:hAnsi="Times New Roman"/>
                <w:color w:val="000000" w:themeColor="text1"/>
                <w:kern w:val="2"/>
                <w:szCs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lang w:bidi="ar"/>
                <w14:textFill>
                  <w14:solidFill>
                    <w14:schemeClr w14:val="tx1"/>
                  </w14:solidFill>
                </w14:textFill>
              </w:rPr>
              <w:t>变压器事故状态下会产生变压器事故油，属于《国家危险废物名录（</w:t>
            </w:r>
            <w:r>
              <w:rPr>
                <w:rFonts w:ascii="Times New Roman" w:hAnsi="Times New Roman"/>
                <w:color w:val="000000" w:themeColor="text1"/>
                <w:kern w:val="2"/>
                <w:szCs w:val="24"/>
                <w:highlight w:val="none"/>
                <w:lang w:bidi="ar"/>
                <w14:textFill>
                  <w14:solidFill>
                    <w14:schemeClr w14:val="tx1"/>
                  </w14:solidFill>
                </w14:textFill>
              </w:rPr>
              <w:t>2021</w:t>
            </w:r>
            <w:r>
              <w:rPr>
                <w:rFonts w:hint="eastAsia" w:ascii="Times New Roman" w:hAnsi="Times New Roman"/>
                <w:color w:val="000000" w:themeColor="text1"/>
                <w:kern w:val="2"/>
                <w:szCs w:val="24"/>
                <w:highlight w:val="none"/>
                <w:lang w:bidi="ar"/>
                <w14:textFill>
                  <w14:solidFill>
                    <w14:schemeClr w14:val="tx1"/>
                  </w14:solidFill>
                </w14:textFill>
              </w:rPr>
              <w:t>年版）》中</w:t>
            </w:r>
            <w:r>
              <w:rPr>
                <w:rFonts w:ascii="Times New Roman" w:hAnsi="Times New Roman"/>
                <w:color w:val="000000" w:themeColor="text1"/>
                <w:kern w:val="2"/>
                <w:szCs w:val="24"/>
                <w:highlight w:val="none"/>
                <w:lang w:bidi="ar"/>
                <w14:textFill>
                  <w14:solidFill>
                    <w14:schemeClr w14:val="tx1"/>
                  </w14:solidFill>
                </w14:textFill>
              </w:rPr>
              <w:t>HW08</w:t>
            </w:r>
            <w:r>
              <w:rPr>
                <w:rFonts w:hint="eastAsia" w:ascii="Times New Roman" w:hAnsi="Times New Roman"/>
                <w:color w:val="000000" w:themeColor="text1"/>
                <w:kern w:val="2"/>
                <w:szCs w:val="24"/>
                <w:highlight w:val="none"/>
                <w:lang w:bidi="ar"/>
                <w14:textFill>
                  <w14:solidFill>
                    <w14:schemeClr w14:val="tx1"/>
                  </w14:solidFill>
                </w14:textFill>
              </w:rPr>
              <w:t>废矿物油与含矿物油废物</w:t>
            </w:r>
            <w:r>
              <w:rPr>
                <w:rFonts w:ascii="Times New Roman" w:hAnsi="Times New Roman"/>
                <w:color w:val="000000" w:themeColor="text1"/>
                <w:kern w:val="2"/>
                <w:szCs w:val="24"/>
                <w:highlight w:val="none"/>
                <w:lang w:bidi="ar"/>
                <w14:textFill>
                  <w14:solidFill>
                    <w14:schemeClr w14:val="tx1"/>
                  </w14:solidFill>
                </w14:textFill>
              </w:rPr>
              <w:t>900-220-08</w:t>
            </w:r>
            <w:r>
              <w:rPr>
                <w:rFonts w:hint="eastAsia" w:ascii="Times New Roman" w:hAnsi="Times New Roman"/>
                <w:color w:val="000000" w:themeColor="text1"/>
                <w:kern w:val="2"/>
                <w:szCs w:val="24"/>
                <w:highlight w:val="none"/>
                <w:lang w:bidi="ar"/>
                <w14:textFill>
                  <w14:solidFill>
                    <w14:schemeClr w14:val="tx1"/>
                  </w14:solidFill>
                </w14:textFill>
              </w:rPr>
              <w:t>。事故发生时，会出现变压器事故油溢出进入变压器底部油坑中，经油坑管道排入事故油池，收集事故状态下的主变油。</w:t>
            </w:r>
            <w:r>
              <w:rPr>
                <w:rFonts w:hint="eastAsia" w:ascii="Times New Roman"/>
                <w:color w:val="000000" w:themeColor="text1"/>
                <w:szCs w:val="24"/>
                <w:highlight w:val="none"/>
                <w14:textFill>
                  <w14:solidFill>
                    <w14:schemeClr w14:val="tx1"/>
                  </w14:solidFill>
                </w14:textFill>
              </w:rPr>
              <w:t>本项目的变压器油为</w:t>
            </w:r>
            <w:r>
              <w:rPr>
                <w:rFonts w:hint="eastAsia" w:ascii="Times New Roman"/>
                <w:color w:val="000000" w:themeColor="text1"/>
                <w:szCs w:val="24"/>
                <w:highlight w:val="none"/>
                <w:lang w:val="en-US" w:eastAsia="zh-CN"/>
                <w14:textFill>
                  <w14:solidFill>
                    <w14:schemeClr w14:val="tx1"/>
                  </w14:solidFill>
                </w14:textFill>
              </w:rPr>
              <w:t>38.16</w:t>
            </w:r>
            <w:r>
              <w:rPr>
                <w:rFonts w:hint="eastAsia" w:ascii="Times New Roman"/>
                <w:color w:val="000000" w:themeColor="text1"/>
                <w:szCs w:val="24"/>
                <w:highlight w:val="none"/>
                <w14:textFill>
                  <w14:solidFill>
                    <w14:schemeClr w14:val="tx1"/>
                  </w14:solidFill>
                </w14:textFill>
              </w:rPr>
              <w:t>t，</w:t>
            </w:r>
            <w:r>
              <w:rPr>
                <w:rFonts w:hint="default" w:ascii="Times New Roman" w:hAnsi="Times New Roman" w:cs="Times New Roman"/>
                <w:color w:val="000000" w:themeColor="text1"/>
                <w:kern w:val="0"/>
                <w:sz w:val="24"/>
                <w:highlight w:val="none"/>
                <w14:textFill>
                  <w14:solidFill>
                    <w14:schemeClr w14:val="tx1"/>
                  </w14:solidFill>
                </w14:textFill>
              </w:rPr>
              <w:t>油密度约0.895t/m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，则事故油的排放量约</w:t>
            </w:r>
            <w:r>
              <w:rPr>
                <w:rFonts w:hint="eastAsia" w:ascii="Times New Roman" w:hAnsi="Times New Roman" w:cs="Times New Roman"/>
                <w:color w:val="000000" w:themeColor="text1"/>
                <w:kern w:val="0"/>
                <w:sz w:val="24"/>
                <w:highlight w:val="none"/>
                <w:lang w:val="en-US" w:eastAsia="zh-CN"/>
                <w14:textFill>
                  <w14:solidFill>
                    <w14:schemeClr w14:val="tx1"/>
                  </w14:solidFill>
                </w14:textFill>
              </w:rPr>
              <w:t>42.64</w:t>
            </w:r>
            <w:r>
              <w:rPr>
                <w:rFonts w:hint="default" w:ascii="Times New Roman" w:hAnsi="Times New Roman" w:cs="Times New Roman"/>
                <w:color w:val="000000" w:themeColor="text1"/>
                <w:kern w:val="0"/>
                <w:sz w:val="24"/>
                <w:highlight w:val="none"/>
                <w14:textFill>
                  <w14:solidFill>
                    <w14:schemeClr w14:val="tx1"/>
                  </w14:solidFill>
                </w14:textFill>
              </w:rPr>
              <w:t>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3</w:t>
            </w:r>
            <w:r>
              <w:rPr>
                <w:rFonts w:hint="default" w:ascii="Times New Roman" w:hAnsi="Times New Roman" w:cs="Times New Roman"/>
                <w:color w:val="000000" w:themeColor="text1"/>
                <w:kern w:val="0"/>
                <w:sz w:val="24"/>
                <w:highlight w:val="none"/>
                <w14:textFill>
                  <w14:solidFill>
                    <w14:schemeClr w14:val="tx1"/>
                  </w14:solidFill>
                </w14:textFill>
              </w:rPr>
              <w:t>，</w:t>
            </w:r>
            <w:r>
              <w:rPr>
                <w:rFonts w:hint="eastAsia" w:ascii="Times New Roman"/>
                <w:color w:val="000000" w:themeColor="text1"/>
                <w:szCs w:val="24"/>
                <w:highlight w:val="none"/>
                <w14:textFill>
                  <w14:solidFill>
                    <w14:schemeClr w14:val="tx1"/>
                  </w14:solidFill>
                </w14:textFill>
              </w:rPr>
              <w:t>本项目事故油池容积为</w:t>
            </w:r>
            <w:r>
              <w:rPr>
                <w:rFonts w:hint="eastAsia" w:ascii="Times New Roman"/>
                <w:color w:val="000000" w:themeColor="text1"/>
                <w:szCs w:val="24"/>
                <w:highlight w:val="none"/>
                <w:lang w:val="en-US" w:eastAsia="zh-CN"/>
                <w14:textFill>
                  <w14:solidFill>
                    <w14:schemeClr w14:val="tx1"/>
                  </w14:solidFill>
                </w14:textFill>
              </w:rPr>
              <w:t>9</w:t>
            </w:r>
            <w:r>
              <w:rPr>
                <w:rFonts w:hint="eastAsia" w:ascii="Times New Roman"/>
                <w:color w:val="000000" w:themeColor="text1"/>
                <w:szCs w:val="24"/>
                <w:highlight w:val="none"/>
                <w14:textFill>
                  <w14:solidFill>
                    <w14:schemeClr w14:val="tx1"/>
                  </w14:solidFill>
                </w14:textFill>
              </w:rPr>
              <w:t>0m</w:t>
            </w:r>
            <w:r>
              <w:rPr>
                <w:rFonts w:hint="eastAsia" w:ascii="Times New Roman"/>
                <w:color w:val="000000" w:themeColor="text1"/>
                <w:szCs w:val="24"/>
                <w:highlight w:val="none"/>
                <w:vertAlign w:val="superscript"/>
                <w14:textFill>
                  <w14:solidFill>
                    <w14:schemeClr w14:val="tx1"/>
                  </w14:solidFill>
                </w14:textFill>
              </w:rPr>
              <w:t>3</w:t>
            </w:r>
            <w:r>
              <w:rPr>
                <w:rFonts w:hint="eastAsia" w:ascii="Times New Roman"/>
                <w:color w:val="000000" w:themeColor="text1"/>
                <w:szCs w:val="24"/>
                <w:highlight w:val="none"/>
                <w14:textFill>
                  <w14:solidFill>
                    <w14:schemeClr w14:val="tx1"/>
                  </w14:solidFill>
                </w14:textFill>
              </w:rPr>
              <w:t>，</w:t>
            </w:r>
            <w:r>
              <w:rPr>
                <w:rFonts w:hint="eastAsia" w:ascii="Times New Roman" w:hAnsi="Times New Roman"/>
                <w:color w:val="000000" w:themeColor="text1"/>
                <w:kern w:val="2"/>
                <w:szCs w:val="24"/>
                <w:highlight w:val="none"/>
                <w:lang w:bidi="ar"/>
                <w14:textFill>
                  <w14:solidFill>
                    <w14:schemeClr w14:val="tx1"/>
                  </w14:solidFill>
                </w14:textFill>
              </w:rPr>
              <w:t>可完整承接事故状态事故油，本项目变压器底部集油坑、联通管道及事故油池均按《危险废物贮存污染控制标准》（</w:t>
            </w:r>
            <w:r>
              <w:rPr>
                <w:rFonts w:ascii="Times New Roman" w:hAnsi="Times New Roman"/>
                <w:color w:val="000000" w:themeColor="text1"/>
                <w:kern w:val="2"/>
                <w:szCs w:val="24"/>
                <w:highlight w:val="none"/>
                <w:lang w:bidi="ar"/>
                <w14:textFill>
                  <w14:solidFill>
                    <w14:schemeClr w14:val="tx1"/>
                  </w14:solidFill>
                </w14:textFill>
              </w:rPr>
              <w:t>GB18597-20</w:t>
            </w:r>
            <w:r>
              <w:rPr>
                <w:rFonts w:hint="eastAsia" w:ascii="Times New Roman" w:hAnsi="Times New Roman"/>
                <w:color w:val="000000" w:themeColor="text1"/>
                <w:kern w:val="2"/>
                <w:szCs w:val="24"/>
                <w:highlight w:val="none"/>
                <w:lang w:bidi="ar"/>
                <w14:textFill>
                  <w14:solidFill>
                    <w14:schemeClr w14:val="tx1"/>
                  </w14:solidFill>
                </w14:textFill>
              </w:rPr>
              <w:t>23）和《危险废物收集、贮存、运输技术规范》（</w:t>
            </w:r>
            <w:r>
              <w:rPr>
                <w:rFonts w:ascii="Times New Roman" w:hAnsi="Times New Roman"/>
                <w:color w:val="000000" w:themeColor="text1"/>
                <w:kern w:val="2"/>
                <w:szCs w:val="24"/>
                <w:highlight w:val="none"/>
                <w:lang w:bidi="ar"/>
                <w14:textFill>
                  <w14:solidFill>
                    <w14:schemeClr w14:val="tx1"/>
                  </w14:solidFill>
                </w14:textFill>
              </w:rPr>
              <w:t>HJ2025-2012</w:t>
            </w:r>
            <w:r>
              <w:rPr>
                <w:rFonts w:hint="eastAsia" w:ascii="Times New Roman" w:hAnsi="Times New Roman"/>
                <w:color w:val="000000" w:themeColor="text1"/>
                <w:kern w:val="2"/>
                <w:szCs w:val="24"/>
                <w:highlight w:val="none"/>
                <w:lang w:bidi="ar"/>
                <w14:textFill>
                  <w14:solidFill>
                    <w14:schemeClr w14:val="tx1"/>
                  </w14:solidFill>
                </w14:textFill>
              </w:rPr>
              <w:t>）要求进行设计，采用抗渗混凝土进行防渗+2mm厚高密度聚乙烯膜等人工防渗材料，等效黏土层Mb≥6.0m、渗透系数≤</w:t>
            </w:r>
            <w:r>
              <w:rPr>
                <w:rFonts w:ascii="Times New Roman" w:hAnsi="Times New Roman"/>
                <w:color w:val="000000" w:themeColor="text1"/>
                <w:kern w:val="2"/>
                <w:szCs w:val="24"/>
                <w:highlight w:val="none"/>
                <w:lang w:bidi="ar"/>
                <w14:textFill>
                  <w14:solidFill>
                    <w14:schemeClr w14:val="tx1"/>
                  </w14:solidFill>
                </w14:textFill>
              </w:rPr>
              <w:t>10</w:t>
            </w:r>
            <w:r>
              <w:rPr>
                <w:rFonts w:ascii="Times New Roman" w:hAnsi="Times New Roman"/>
                <w:color w:val="000000" w:themeColor="text1"/>
                <w:kern w:val="2"/>
                <w:szCs w:val="24"/>
                <w:highlight w:val="none"/>
                <w:vertAlign w:val="superscript"/>
                <w:lang w:bidi="ar"/>
                <w14:textFill>
                  <w14:solidFill>
                    <w14:schemeClr w14:val="tx1"/>
                  </w14:solidFill>
                </w14:textFill>
              </w:rPr>
              <w:t>-10</w:t>
            </w:r>
            <w:r>
              <w:rPr>
                <w:rFonts w:ascii="Times New Roman" w:hAnsi="Times New Roman"/>
                <w:color w:val="000000" w:themeColor="text1"/>
                <w:kern w:val="2"/>
                <w:szCs w:val="24"/>
                <w:highlight w:val="none"/>
                <w:lang w:bidi="ar"/>
                <w14:textFill>
                  <w14:solidFill>
                    <w14:schemeClr w14:val="tx1"/>
                  </w14:solidFill>
                </w14:textFill>
              </w:rPr>
              <w:t>cm/s</w:t>
            </w:r>
            <w:r>
              <w:rPr>
                <w:rFonts w:hint="eastAsia" w:ascii="Times New Roman" w:hAnsi="Times New Roman"/>
                <w:color w:val="000000" w:themeColor="text1"/>
                <w:kern w:val="2"/>
                <w:szCs w:val="24"/>
                <w:highlight w:val="none"/>
                <w:lang w:bidi="ar"/>
                <w14:textFill>
                  <w14:solidFill>
                    <w14:schemeClr w14:val="tx1"/>
                  </w14:solidFill>
                </w14:textFill>
              </w:rPr>
              <w:t>，且做到表面无裂隙。其正常使用状态下不会出现地下水、土壤的污染事件。日常运营要定期检查集油坑、联通管道、事故油井完好状态，事故油池设置井盖及安全警示标志，确保事故发生时的正常使用；突发事故时事故油井存油及时转运，由危险废物处置资质单位及时收集、转运、处理。因此，对周围环境基本无影响。</w:t>
            </w:r>
          </w:p>
          <w:p>
            <w:pPr>
              <w:pStyle w:val="46"/>
              <w:spacing w:before="0" w:beforeAutospacing="0" w:after="0" w:afterAutospacing="0" w:line="360" w:lineRule="auto"/>
              <w:ind w:firstLine="480" w:firstLineChars="200"/>
              <w:jc w:val="both"/>
              <w:rPr>
                <w:rFonts w:ascii="Times New Roman" w:hAnsi="Times New Roman"/>
                <w:color w:val="000000" w:themeColor="text1"/>
                <w:kern w:val="2"/>
                <w:szCs w:val="24"/>
                <w:highlight w:val="none"/>
                <w:lang w:bidi="ar"/>
                <w14:textFill>
                  <w14:solidFill>
                    <w14:schemeClr w14:val="tx1"/>
                  </w14:solidFill>
                </w14:textFill>
              </w:rPr>
            </w:pPr>
            <w:r>
              <w:rPr>
                <w:rFonts w:hint="eastAsia" w:ascii="Times New Roman" w:hAnsi="Times New Roman"/>
                <w:color w:val="000000" w:themeColor="text1"/>
                <w:kern w:val="2"/>
                <w:szCs w:val="24"/>
                <w:highlight w:val="none"/>
                <w:lang w:val="en-US" w:eastAsia="zh-CN" w:bidi="ar"/>
                <w14:textFill>
                  <w14:solidFill>
                    <w14:schemeClr w14:val="tx1"/>
                  </w14:solidFill>
                </w14:textFill>
              </w:rPr>
              <w:t>③</w:t>
            </w:r>
            <w:r>
              <w:rPr>
                <w:rFonts w:hint="eastAsia" w:ascii="Times New Roman"/>
                <w:color w:val="000000" w:themeColor="text1"/>
                <w:sz w:val="24"/>
                <w:szCs w:val="24"/>
                <w:highlight w:val="none"/>
                <w:lang w:eastAsia="zh-CN" w:bidi="ar"/>
                <w14:textFill>
                  <w14:solidFill>
                    <w14:schemeClr w14:val="tx1"/>
                  </w14:solidFill>
                </w14:textFill>
              </w:rPr>
              <w:t>废机油、废润滑油、</w:t>
            </w:r>
            <w:r>
              <w:rPr>
                <w:rFonts w:hint="eastAsia" w:ascii="Times New Roman"/>
                <w:color w:val="000000" w:themeColor="text1"/>
                <w:sz w:val="24"/>
                <w:szCs w:val="24"/>
                <w:highlight w:val="none"/>
                <w:lang w:val="en-US" w:eastAsia="zh-CN"/>
                <w14:textFill>
                  <w14:solidFill>
                    <w14:schemeClr w14:val="tx1"/>
                  </w14:solidFill>
                </w14:textFill>
              </w:rPr>
              <w:t>废变压器油、废油桶</w:t>
            </w:r>
          </w:p>
          <w:p>
            <w:pPr>
              <w:pStyle w:val="84"/>
              <w:spacing w:line="360" w:lineRule="auto"/>
              <w:ind w:firstLine="48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风电场检修期间产生的少量废机油、废润滑油，</w:t>
            </w:r>
            <w:r>
              <w:rPr>
                <w:rFonts w:hint="eastAsia" w:ascii="Times New Roman"/>
                <w:color w:val="000000" w:themeColor="text1"/>
                <w:sz w:val="24"/>
                <w:szCs w:val="24"/>
                <w:highlight w:val="none"/>
                <w:lang w:val="en-US" w:eastAsia="zh-CN"/>
                <w14:textFill>
                  <w14:solidFill>
                    <w14:schemeClr w14:val="tx1"/>
                  </w14:solidFill>
                </w14:textFill>
              </w:rPr>
              <w:t>属于《国家危险废物名录（2021年版）》中</w:t>
            </w:r>
            <w:r>
              <w:rPr>
                <w:rFonts w:ascii="Times New Roman" w:hAnsi="Times New Roman"/>
                <w:color w:val="000000" w:themeColor="text1"/>
                <w:kern w:val="2"/>
                <w:szCs w:val="24"/>
                <w:highlight w:val="none"/>
                <w:lang w:bidi="ar"/>
                <w14:textFill>
                  <w14:solidFill>
                    <w14:schemeClr w14:val="tx1"/>
                  </w14:solidFill>
                </w14:textFill>
              </w:rPr>
              <w:t>HW08</w:t>
            </w:r>
            <w:r>
              <w:rPr>
                <w:rFonts w:hint="eastAsia" w:ascii="Times New Roman" w:hAnsi="Times New Roman"/>
                <w:color w:val="000000" w:themeColor="text1"/>
                <w:kern w:val="2"/>
                <w:szCs w:val="24"/>
                <w:highlight w:val="none"/>
                <w:lang w:bidi="ar"/>
                <w14:textFill>
                  <w14:solidFill>
                    <w14:schemeClr w14:val="tx1"/>
                  </w14:solidFill>
                </w14:textFill>
              </w:rPr>
              <w:t>废矿物油与含矿物油废物</w:t>
            </w:r>
            <w:r>
              <w:rPr>
                <w:rFonts w:hint="eastAsia" w:ascii="Times New Roman"/>
                <w:color w:val="000000" w:themeColor="text1"/>
                <w:sz w:val="24"/>
                <w:szCs w:val="24"/>
                <w:highlight w:val="none"/>
                <w:lang w:val="en-US" w:eastAsia="zh-CN"/>
                <w14:textFill>
                  <w14:solidFill>
                    <w14:schemeClr w14:val="tx1"/>
                  </w14:solidFill>
                </w14:textFill>
              </w:rPr>
              <w:t>900-214-08，产生量</w:t>
            </w:r>
            <w:r>
              <w:rPr>
                <w:rFonts w:hint="eastAsia" w:ascii="Times New Roman"/>
                <w:color w:val="000000" w:themeColor="text1"/>
                <w:sz w:val="24"/>
                <w:szCs w:val="24"/>
                <w:highlight w:val="none"/>
                <w14:textFill>
                  <w14:solidFill>
                    <w14:schemeClr w14:val="tx1"/>
                  </w14:solidFill>
                </w14:textFill>
              </w:rPr>
              <w:t>约为0.1t/a</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变压器维护、检修、更换产生一定量的废变压器油，属于《国家危险废物名录（2021年版）》中</w:t>
            </w:r>
            <w:r>
              <w:rPr>
                <w:rFonts w:ascii="Times New Roman" w:hAnsi="Times New Roman"/>
                <w:color w:val="000000" w:themeColor="text1"/>
                <w:kern w:val="2"/>
                <w:szCs w:val="24"/>
                <w:highlight w:val="none"/>
                <w:lang w:bidi="ar"/>
                <w14:textFill>
                  <w14:solidFill>
                    <w14:schemeClr w14:val="tx1"/>
                  </w14:solidFill>
                </w14:textFill>
              </w:rPr>
              <w:t>HW08</w:t>
            </w:r>
            <w:r>
              <w:rPr>
                <w:rFonts w:hint="eastAsia" w:ascii="Times New Roman" w:hAnsi="Times New Roman"/>
                <w:color w:val="000000" w:themeColor="text1"/>
                <w:kern w:val="2"/>
                <w:szCs w:val="24"/>
                <w:highlight w:val="none"/>
                <w:lang w:bidi="ar"/>
                <w14:textFill>
                  <w14:solidFill>
                    <w14:schemeClr w14:val="tx1"/>
                  </w14:solidFill>
                </w14:textFill>
              </w:rPr>
              <w:t>废矿物油与含矿物油废物</w:t>
            </w:r>
            <w:r>
              <w:rPr>
                <w:rFonts w:hint="eastAsia" w:ascii="Times New Roman"/>
                <w:color w:val="000000" w:themeColor="text1"/>
                <w:sz w:val="24"/>
                <w:szCs w:val="24"/>
                <w:highlight w:val="none"/>
                <w:lang w:val="en-US" w:eastAsia="zh-CN"/>
                <w14:textFill>
                  <w14:solidFill>
                    <w14:schemeClr w14:val="tx1"/>
                  </w14:solidFill>
                </w14:textFill>
              </w:rPr>
              <w:t>900-220-08，产生量</w:t>
            </w:r>
            <w:r>
              <w:rPr>
                <w:rFonts w:hint="eastAsia" w:ascii="Times New Roman"/>
                <w:color w:val="000000" w:themeColor="text1"/>
                <w:sz w:val="24"/>
                <w:szCs w:val="24"/>
                <w:highlight w:val="none"/>
                <w14:textFill>
                  <w14:solidFill>
                    <w14:schemeClr w14:val="tx1"/>
                  </w14:solidFill>
                </w14:textFill>
              </w:rPr>
              <w:t>约为0.1t/a</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废油桶属于《国家危险废物名录（2021年版）》中</w:t>
            </w:r>
            <w:r>
              <w:rPr>
                <w:rFonts w:ascii="Times New Roman" w:hAnsi="Times New Roman"/>
                <w:color w:val="000000" w:themeColor="text1"/>
                <w:kern w:val="2"/>
                <w:szCs w:val="24"/>
                <w:highlight w:val="none"/>
                <w:lang w:bidi="ar"/>
                <w14:textFill>
                  <w14:solidFill>
                    <w14:schemeClr w14:val="tx1"/>
                  </w14:solidFill>
                </w14:textFill>
              </w:rPr>
              <w:t>HW08</w:t>
            </w:r>
            <w:r>
              <w:rPr>
                <w:rFonts w:hint="eastAsia" w:ascii="Times New Roman" w:hAnsi="Times New Roman"/>
                <w:color w:val="000000" w:themeColor="text1"/>
                <w:kern w:val="2"/>
                <w:szCs w:val="24"/>
                <w:highlight w:val="none"/>
                <w:lang w:bidi="ar"/>
                <w14:textFill>
                  <w14:solidFill>
                    <w14:schemeClr w14:val="tx1"/>
                  </w14:solidFill>
                </w14:textFill>
              </w:rPr>
              <w:t>废矿物油与含矿物油废物</w:t>
            </w:r>
            <w:r>
              <w:rPr>
                <w:rFonts w:hint="eastAsia" w:ascii="Times New Roman"/>
                <w:color w:val="000000" w:themeColor="text1"/>
                <w:sz w:val="24"/>
                <w:szCs w:val="24"/>
                <w:highlight w:val="none"/>
                <w:lang w:val="en-US" w:eastAsia="zh-CN"/>
                <w14:textFill>
                  <w14:solidFill>
                    <w14:schemeClr w14:val="tx1"/>
                  </w14:solidFill>
                </w14:textFill>
              </w:rPr>
              <w:t>900-249-08，产生量为0.01t/a，</w:t>
            </w:r>
            <w:r>
              <w:rPr>
                <w:rFonts w:hint="eastAsia" w:ascii="Times New Roman"/>
                <w:color w:val="000000" w:themeColor="text1"/>
                <w:sz w:val="24"/>
                <w:szCs w:val="24"/>
                <w:highlight w:val="none"/>
                <w:lang w:eastAsia="zh-CN" w:bidi="ar"/>
                <w14:textFill>
                  <w14:solidFill>
                    <w14:schemeClr w14:val="tx1"/>
                  </w14:solidFill>
                </w14:textFill>
              </w:rPr>
              <w:t>废机油、废润滑油、</w:t>
            </w:r>
            <w:r>
              <w:rPr>
                <w:rFonts w:hint="eastAsia" w:ascii="Times New Roman"/>
                <w:color w:val="000000" w:themeColor="text1"/>
                <w:sz w:val="24"/>
                <w:szCs w:val="24"/>
                <w:highlight w:val="none"/>
                <w:lang w:val="en-US" w:eastAsia="zh-CN"/>
                <w14:textFill>
                  <w14:solidFill>
                    <w14:schemeClr w14:val="tx1"/>
                  </w14:solidFill>
                </w14:textFill>
              </w:rPr>
              <w:t>废变压器油、废油桶</w:t>
            </w:r>
            <w:r>
              <w:rPr>
                <w:rFonts w:hint="eastAsia" w:ascii="Times New Roman" w:hAnsi="Times New Roman"/>
                <w:color w:val="000000" w:themeColor="text1"/>
                <w:kern w:val="2"/>
                <w:szCs w:val="24"/>
                <w:highlight w:val="none"/>
                <w:lang w:bidi="ar"/>
                <w14:textFill>
                  <w14:solidFill>
                    <w14:schemeClr w14:val="tx1"/>
                  </w14:solidFill>
                </w14:textFill>
              </w:rPr>
              <w:t>暂存于危废暂存间，定期交由有资质的单位处置</w:t>
            </w:r>
            <w:r>
              <w:rPr>
                <w:rFonts w:hint="eastAsia" w:ascii="Times New Roman"/>
                <w:color w:val="000000" w:themeColor="text1"/>
                <w:sz w:val="24"/>
                <w:szCs w:val="24"/>
                <w:highlight w:val="none"/>
                <w14:textFill>
                  <w14:solidFill>
                    <w14:schemeClr w14:val="tx1"/>
                  </w14:solidFill>
                </w14:textFill>
              </w:rPr>
              <w:t>。</w:t>
            </w:r>
          </w:p>
          <w:p>
            <w:pPr>
              <w:pStyle w:val="84"/>
              <w:spacing w:line="360" w:lineRule="auto"/>
              <w:ind w:firstLine="48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项目危废间内暂存危险废物种类包括废蓄电池、废机油、废润滑油、废变压器油、废油桶，危废间应按《危险废物贮存污染控制标准》（GB18597-2023）要求对危废进行分区存储，并设置危险废物识别标志。贮存库内不同贮存分区之间应采取隔离措施。隔离措施可根据危险废物特性采用过道、隔板或隔墙等方式；危废间按照当地环保要求建设监控系统。</w:t>
            </w:r>
          </w:p>
          <w:p>
            <w:pPr>
              <w:jc w:val="center"/>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w:t>
            </w:r>
            <w:r>
              <w:rPr>
                <w:rFonts w:ascii="Times New Roman"/>
                <w:b/>
                <w:bCs/>
                <w:color w:val="000000" w:themeColor="text1"/>
                <w:sz w:val="24"/>
                <w:szCs w:val="24"/>
                <w:highlight w:val="none"/>
                <w14:textFill>
                  <w14:solidFill>
                    <w14:schemeClr w14:val="tx1"/>
                  </w14:solidFill>
                </w14:textFill>
              </w:rPr>
              <w:t>4-</w:t>
            </w:r>
            <w:r>
              <w:rPr>
                <w:rFonts w:hint="eastAsia" w:ascii="Times New Roman"/>
                <w:b/>
                <w:bCs/>
                <w:color w:val="000000" w:themeColor="text1"/>
                <w:sz w:val="24"/>
                <w:szCs w:val="24"/>
                <w:highlight w:val="none"/>
                <w:lang w:val="en-US" w:eastAsia="zh-CN"/>
                <w14:textFill>
                  <w14:solidFill>
                    <w14:schemeClr w14:val="tx1"/>
                  </w14:solidFill>
                </w14:textFill>
              </w:rPr>
              <w:t>6</w:t>
            </w:r>
            <w:r>
              <w:rPr>
                <w:rFonts w:ascii="Times New Roman"/>
                <w:b/>
                <w:bCs/>
                <w:color w:val="000000" w:themeColor="text1"/>
                <w:sz w:val="24"/>
                <w:szCs w:val="24"/>
                <w:highlight w:val="none"/>
                <w14:textFill>
                  <w14:solidFill>
                    <w14:schemeClr w14:val="tx1"/>
                  </w14:solidFill>
                </w14:textFill>
              </w:rPr>
              <w:t xml:space="preserve">  </w:t>
            </w:r>
            <w:r>
              <w:rPr>
                <w:rFonts w:hint="eastAsia" w:ascii="Times New Roman"/>
                <w:b/>
                <w:bCs/>
                <w:color w:val="000000" w:themeColor="text1"/>
                <w:sz w:val="24"/>
                <w:szCs w:val="24"/>
                <w:highlight w:val="none"/>
                <w14:textFill>
                  <w14:solidFill>
                    <w14:schemeClr w14:val="tx1"/>
                  </w14:solidFill>
                </w14:textFill>
              </w:rPr>
              <w:t>危险废物汇总表</w:t>
            </w:r>
          </w:p>
          <w:tbl>
            <w:tblPr>
              <w:tblStyle w:val="5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3" w:type="dxa"/>
              </w:tblCellMar>
            </w:tblPr>
            <w:tblGrid>
              <w:gridCol w:w="376"/>
              <w:gridCol w:w="529"/>
              <w:gridCol w:w="648"/>
              <w:gridCol w:w="1080"/>
              <w:gridCol w:w="539"/>
              <w:gridCol w:w="960"/>
              <w:gridCol w:w="239"/>
              <w:gridCol w:w="721"/>
              <w:gridCol w:w="685"/>
              <w:gridCol w:w="480"/>
              <w:gridCol w:w="660"/>
              <w:gridCol w:w="1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序号</w:t>
                  </w:r>
                </w:p>
              </w:tc>
              <w:tc>
                <w:tcPr>
                  <w:tcW w:w="32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名称</w:t>
                  </w:r>
                </w:p>
              </w:tc>
              <w:tc>
                <w:tcPr>
                  <w:tcW w:w="393"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w:t>
                  </w:r>
                </w:p>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类别</w:t>
                  </w:r>
                </w:p>
              </w:tc>
              <w:tc>
                <w:tcPr>
                  <w:tcW w:w="65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危废代码</w:t>
                  </w:r>
                </w:p>
              </w:tc>
              <w:tc>
                <w:tcPr>
                  <w:tcW w:w="32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产生量</w:t>
                  </w:r>
                </w:p>
              </w:tc>
              <w:tc>
                <w:tcPr>
                  <w:tcW w:w="582"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产生工序及装置</w:t>
                  </w:r>
                </w:p>
              </w:tc>
              <w:tc>
                <w:tcPr>
                  <w:tcW w:w="14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形态</w:t>
                  </w:r>
                </w:p>
              </w:tc>
              <w:tc>
                <w:tcPr>
                  <w:tcW w:w="437"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主要</w:t>
                  </w:r>
                </w:p>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成分</w:t>
                  </w:r>
                </w:p>
              </w:tc>
              <w:tc>
                <w:tcPr>
                  <w:tcW w:w="41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有害</w:t>
                  </w:r>
                </w:p>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成分</w:t>
                  </w:r>
                </w:p>
              </w:tc>
              <w:tc>
                <w:tcPr>
                  <w:tcW w:w="29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产废周期</w:t>
                  </w:r>
                </w:p>
              </w:tc>
              <w:tc>
                <w:tcPr>
                  <w:tcW w:w="400"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危险</w:t>
                  </w:r>
                </w:p>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特性</w:t>
                  </w:r>
                </w:p>
              </w:tc>
              <w:tc>
                <w:tcPr>
                  <w:tcW w:w="799"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hint="eastAsia" w:ascii="Times New Roman" w:eastAsia="宋体"/>
                      <w:color w:val="000000" w:themeColor="text1"/>
                      <w:highlight w:val="none"/>
                      <w:lang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w:t>
                  </w:r>
                </w:p>
              </w:tc>
              <w:tc>
                <w:tcPr>
                  <w:tcW w:w="32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变压器事故油</w:t>
                  </w:r>
                </w:p>
              </w:tc>
              <w:tc>
                <w:tcPr>
                  <w:tcW w:w="393"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HW08</w:t>
                  </w:r>
                </w:p>
              </w:tc>
              <w:tc>
                <w:tcPr>
                  <w:tcW w:w="65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900-220-08</w:t>
                  </w:r>
                </w:p>
              </w:tc>
              <w:tc>
                <w:tcPr>
                  <w:tcW w:w="327" w:type="pct"/>
                  <w:tcBorders>
                    <w:tl2br w:val="nil"/>
                    <w:tr2bl w:val="nil"/>
                  </w:tcBorders>
                  <w:shd w:val="clear" w:color="auto" w:fill="auto"/>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582"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w:t>
                  </w:r>
                </w:p>
              </w:tc>
              <w:tc>
                <w:tcPr>
                  <w:tcW w:w="14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液态</w:t>
                  </w:r>
                </w:p>
              </w:tc>
              <w:tc>
                <w:tcPr>
                  <w:tcW w:w="43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41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29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w:t>
                  </w:r>
                </w:p>
              </w:tc>
              <w:tc>
                <w:tcPr>
                  <w:tcW w:w="400"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毒性、易燃性</w:t>
                  </w:r>
                </w:p>
              </w:tc>
              <w:tc>
                <w:tcPr>
                  <w:tcW w:w="799"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暂存事故油池，及时交有资质单位进行处置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2</w:t>
                  </w:r>
                </w:p>
              </w:tc>
              <w:tc>
                <w:tcPr>
                  <w:tcW w:w="321"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废蓄电池</w:t>
                  </w:r>
                </w:p>
              </w:tc>
              <w:tc>
                <w:tcPr>
                  <w:tcW w:w="393" w:type="pct"/>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highlight w:val="none"/>
                      <w14:textFill>
                        <w14:solidFill>
                          <w14:schemeClr w14:val="tx1"/>
                        </w14:solidFill>
                      </w14:textFill>
                    </w:rPr>
                    <w:t>HW31</w:t>
                  </w:r>
                </w:p>
              </w:tc>
              <w:tc>
                <w:tcPr>
                  <w:tcW w:w="655" w:type="pct"/>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highlight w:val="none"/>
                      <w14:textFill>
                        <w14:solidFill>
                          <w14:schemeClr w14:val="tx1"/>
                        </w14:solidFill>
                      </w14:textFill>
                    </w:rPr>
                    <w:t>900-052-31</w:t>
                  </w:r>
                </w:p>
              </w:tc>
              <w:tc>
                <w:tcPr>
                  <w:tcW w:w="32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5.2</w:t>
                  </w:r>
                  <w:r>
                    <w:rPr>
                      <w:rFonts w:ascii="Times New Roman"/>
                      <w:color w:val="000000" w:themeColor="text1"/>
                      <w:highlight w:val="none"/>
                      <w14:textFill>
                        <w14:solidFill>
                          <w14:schemeClr w14:val="tx1"/>
                        </w14:solidFill>
                      </w14:textFill>
                    </w:rPr>
                    <w:t>t/</w:t>
                  </w:r>
                </w:p>
                <w:p>
                  <w:pPr>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ascii="Times New Roman"/>
                      <w:color w:val="000000" w:themeColor="text1"/>
                      <w:highlight w:val="none"/>
                      <w14:textFill>
                        <w14:solidFill>
                          <w14:schemeClr w14:val="tx1"/>
                        </w14:solidFill>
                      </w14:textFill>
                    </w:rPr>
                    <w:t>10a</w:t>
                  </w:r>
                </w:p>
              </w:tc>
              <w:tc>
                <w:tcPr>
                  <w:tcW w:w="582"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直流铅蓄电池</w:t>
                  </w:r>
                </w:p>
              </w:tc>
              <w:tc>
                <w:tcPr>
                  <w:tcW w:w="145"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固态</w:t>
                  </w:r>
                </w:p>
              </w:tc>
              <w:tc>
                <w:tcPr>
                  <w:tcW w:w="437"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硫酸铅</w:t>
                  </w:r>
                </w:p>
              </w:tc>
              <w:tc>
                <w:tcPr>
                  <w:tcW w:w="415"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硫酸铅</w:t>
                  </w:r>
                </w:p>
              </w:tc>
              <w:tc>
                <w:tcPr>
                  <w:tcW w:w="291" w:type="pct"/>
                  <w:tcBorders>
                    <w:tl2br w:val="nil"/>
                    <w:tr2bl w:val="nil"/>
                  </w:tcBorders>
                  <w:shd w:val="clear" w:color="auto" w:fill="auto"/>
                  <w:vAlign w:val="center"/>
                </w:tcPr>
                <w:p>
                  <w:pPr>
                    <w:jc w:val="center"/>
                    <w:rPr>
                      <w:rFonts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约</w:t>
                  </w:r>
                  <w:r>
                    <w:rPr>
                      <w:rFonts w:ascii="Times New Roman"/>
                      <w:color w:val="000000" w:themeColor="text1"/>
                      <w:highlight w:val="none"/>
                      <w14:textFill>
                        <w14:solidFill>
                          <w14:schemeClr w14:val="tx1"/>
                        </w14:solidFill>
                      </w14:textFill>
                    </w:rPr>
                    <w:t>10</w:t>
                  </w:r>
                  <w:r>
                    <w:rPr>
                      <w:rFonts w:hint="eastAsia" w:ascii="Times New Roman"/>
                      <w:color w:val="000000" w:themeColor="text1"/>
                      <w:highlight w:val="none"/>
                      <w14:textFill>
                        <w14:solidFill>
                          <w14:schemeClr w14:val="tx1"/>
                        </w14:solidFill>
                      </w14:textFill>
                    </w:rPr>
                    <w:t>年</w:t>
                  </w:r>
                </w:p>
              </w:tc>
              <w:tc>
                <w:tcPr>
                  <w:tcW w:w="400" w:type="pc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易燃性、腐蚀性</w:t>
                  </w:r>
                </w:p>
              </w:tc>
              <w:tc>
                <w:tcPr>
                  <w:tcW w:w="799" w:type="pct"/>
                  <w:vMerge w:val="restart"/>
                  <w:tcBorders>
                    <w:tl2br w:val="nil"/>
                    <w:tr2bl w:val="nil"/>
                  </w:tcBorders>
                  <w:shd w:val="clear" w:color="auto" w:fill="auto"/>
                  <w:vAlign w:val="center"/>
                </w:tcPr>
                <w:p>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暂存危废间，定期交有资质单位处理处置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w:t>
                  </w:r>
                </w:p>
              </w:tc>
              <w:tc>
                <w:tcPr>
                  <w:tcW w:w="321"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废机油、废润滑油</w:t>
                  </w:r>
                </w:p>
              </w:tc>
              <w:tc>
                <w:tcPr>
                  <w:tcW w:w="393" w:type="pct"/>
                  <w:tcBorders>
                    <w:tl2br w:val="nil"/>
                    <w:tr2bl w:val="nil"/>
                  </w:tcBorders>
                  <w:shd w:val="clear" w:color="auto" w:fill="auto"/>
                  <w:vAlign w:val="center"/>
                </w:tcPr>
                <w:p>
                  <w:pPr>
                    <w:jc w:val="center"/>
                    <w:rPr>
                      <w:rFonts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55" w:type="pct"/>
                  <w:tcBorders>
                    <w:tl2br w:val="nil"/>
                    <w:tr2bl w:val="nil"/>
                  </w:tcBorders>
                  <w:shd w:val="clear" w:color="auto" w:fill="auto"/>
                  <w:vAlign w:val="center"/>
                </w:tcPr>
                <w:p>
                  <w:pPr>
                    <w:jc w:val="center"/>
                    <w:rPr>
                      <w:rFonts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900-</w:t>
                  </w:r>
                  <w:r>
                    <w:rPr>
                      <w:rFonts w:hint="eastAsia" w:ascii="Times New Roman"/>
                      <w:color w:val="000000" w:themeColor="text1"/>
                      <w:kern w:val="0"/>
                      <w:highlight w:val="none"/>
                      <w14:textFill>
                        <w14:solidFill>
                          <w14:schemeClr w14:val="tx1"/>
                        </w14:solidFill>
                      </w14:textFill>
                    </w:rPr>
                    <w:t>214</w:t>
                  </w:r>
                  <w:r>
                    <w:rPr>
                      <w:rFonts w:ascii="Times New Roman"/>
                      <w:color w:val="000000" w:themeColor="text1"/>
                      <w:kern w:val="0"/>
                      <w:highlight w:val="none"/>
                      <w14:textFill>
                        <w14:solidFill>
                          <w14:schemeClr w14:val="tx1"/>
                        </w14:solidFill>
                      </w14:textFill>
                    </w:rPr>
                    <w:t>-08</w:t>
                  </w:r>
                </w:p>
              </w:tc>
              <w:tc>
                <w:tcPr>
                  <w:tcW w:w="327"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0.1</w:t>
                  </w:r>
                </w:p>
              </w:tc>
              <w:tc>
                <w:tcPr>
                  <w:tcW w:w="582"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风电场检修</w:t>
                  </w:r>
                </w:p>
              </w:tc>
              <w:tc>
                <w:tcPr>
                  <w:tcW w:w="14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ascii="Times New Roman"/>
                      <w:color w:val="000000" w:themeColor="text1"/>
                      <w:spacing w:val="-10"/>
                      <w:kern w:val="0"/>
                      <w:highlight w:val="none"/>
                      <w14:textFill>
                        <w14:solidFill>
                          <w14:schemeClr w14:val="tx1"/>
                        </w14:solidFill>
                      </w14:textFill>
                    </w:rPr>
                    <w:t>液态</w:t>
                  </w:r>
                </w:p>
              </w:tc>
              <w:tc>
                <w:tcPr>
                  <w:tcW w:w="437"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41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291"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pacing w:val="-10"/>
                      <w:kern w:val="0"/>
                      <w:sz w:val="21"/>
                      <w:szCs w:val="21"/>
                      <w:highlight w:val="none"/>
                      <w:lang w:val="en-US" w:eastAsia="zh-CN" w:bidi="ar-SA"/>
                      <w14:textFill>
                        <w14:solidFill>
                          <w14:schemeClr w14:val="tx1"/>
                        </w14:solidFill>
                      </w14:textFill>
                    </w:rPr>
                    <w:t>1年</w:t>
                  </w:r>
                </w:p>
              </w:tc>
              <w:tc>
                <w:tcPr>
                  <w:tcW w:w="400"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ascii="Times New Roman"/>
                      <w:color w:val="000000" w:themeColor="text1"/>
                      <w:spacing w:val="-10"/>
                      <w:kern w:val="0"/>
                      <w:highlight w:val="none"/>
                      <w14:textFill>
                        <w14:solidFill>
                          <w14:schemeClr w14:val="tx1"/>
                        </w14:solidFill>
                      </w14:textFill>
                    </w:rPr>
                    <w:t>毒性、易燃性</w:t>
                  </w:r>
                </w:p>
              </w:tc>
              <w:tc>
                <w:tcPr>
                  <w:tcW w:w="799"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w:t>
                  </w:r>
                </w:p>
              </w:tc>
              <w:tc>
                <w:tcPr>
                  <w:tcW w:w="321"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color w:val="000000" w:themeColor="text1"/>
                      <w:spacing w:val="-10"/>
                      <w:kern w:val="0"/>
                      <w:highlight w:val="none"/>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废变压器油</w:t>
                  </w:r>
                </w:p>
              </w:tc>
              <w:tc>
                <w:tcPr>
                  <w:tcW w:w="393" w:type="pct"/>
                  <w:tcBorders>
                    <w:tl2br w:val="nil"/>
                    <w:tr2bl w:val="nil"/>
                  </w:tcBorders>
                  <w:shd w:val="clear" w:color="auto" w:fill="auto"/>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55" w:type="pct"/>
                  <w:tcBorders>
                    <w:tl2br w:val="nil"/>
                    <w:tr2bl w:val="nil"/>
                  </w:tcBorders>
                  <w:shd w:val="clear" w:color="auto" w:fill="auto"/>
                  <w:vAlign w:val="center"/>
                </w:tcPr>
                <w:p>
                  <w:pPr>
                    <w:jc w:val="center"/>
                    <w:rPr>
                      <w:rFonts w:hint="default"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900-220-08</w:t>
                  </w:r>
                </w:p>
              </w:tc>
              <w:tc>
                <w:tcPr>
                  <w:tcW w:w="327"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eastAsia="宋体"/>
                      <w:color w:val="000000" w:themeColor="text1"/>
                      <w:spacing w:val="-10"/>
                      <w:kern w:val="0"/>
                      <w:highlight w:val="none"/>
                      <w:lang w:val="en-US" w:eastAsia="zh-CN"/>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0.1</w:t>
                  </w:r>
                </w:p>
              </w:tc>
              <w:tc>
                <w:tcPr>
                  <w:tcW w:w="582"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color w:val="000000" w:themeColor="text1"/>
                      <w:spacing w:val="-10"/>
                      <w:kern w:val="0"/>
                      <w:highlight w:val="none"/>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变压器维护、检修、更换</w:t>
                  </w:r>
                </w:p>
              </w:tc>
              <w:tc>
                <w:tcPr>
                  <w:tcW w:w="14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eastAsia="宋体"/>
                      <w:color w:val="000000" w:themeColor="text1"/>
                      <w:spacing w:val="-10"/>
                      <w:kern w:val="0"/>
                      <w:highlight w:val="none"/>
                      <w:lang w:val="en-US" w:eastAsia="zh-CN"/>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液态</w:t>
                  </w:r>
                </w:p>
              </w:tc>
              <w:tc>
                <w:tcPr>
                  <w:tcW w:w="437"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41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highlight w:val="none"/>
                      <w14:textFill>
                        <w14:solidFill>
                          <w14:schemeClr w14:val="tx1"/>
                        </w14:solidFill>
                      </w14:textFill>
                    </w:rPr>
                    <w:t>多环芳烃、苯系物、重金属</w:t>
                  </w:r>
                </w:p>
              </w:tc>
              <w:tc>
                <w:tcPr>
                  <w:tcW w:w="291"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pacing w:val="-10"/>
                      <w:kern w:val="0"/>
                      <w:sz w:val="21"/>
                      <w:szCs w:val="21"/>
                      <w:highlight w:val="none"/>
                      <w:lang w:val="en-US" w:eastAsia="zh-CN" w:bidi="ar-SA"/>
                      <w14:textFill>
                        <w14:solidFill>
                          <w14:schemeClr w14:val="tx1"/>
                        </w14:solidFill>
                      </w14:textFill>
                    </w:rPr>
                    <w:t>1年</w:t>
                  </w:r>
                </w:p>
              </w:tc>
              <w:tc>
                <w:tcPr>
                  <w:tcW w:w="400" w:type="pct"/>
                  <w:tcBorders>
                    <w:tl2br w:val="nil"/>
                    <w:tr2bl w:val="nil"/>
                  </w:tcBorders>
                  <w:shd w:val="clear" w:color="auto" w:fill="auto"/>
                  <w:vAlign w:val="center"/>
                </w:tcPr>
                <w:p>
                  <w:pPr>
                    <w:jc w:val="center"/>
                    <w:rPr>
                      <w:rFonts w:ascii="Times New Roman"/>
                      <w:color w:val="000000" w:themeColor="text1"/>
                      <w:spacing w:val="-10"/>
                      <w:kern w:val="0"/>
                      <w:highlight w:val="none"/>
                      <w14:textFill>
                        <w14:solidFill>
                          <w14:schemeClr w14:val="tx1"/>
                        </w14:solidFill>
                      </w14:textFill>
                    </w:rPr>
                  </w:pPr>
                  <w:r>
                    <w:rPr>
                      <w:rFonts w:ascii="Times New Roman"/>
                      <w:color w:val="000000" w:themeColor="text1"/>
                      <w:spacing w:val="-10"/>
                      <w:kern w:val="0"/>
                      <w:highlight w:val="none"/>
                      <w14:textFill>
                        <w14:solidFill>
                          <w14:schemeClr w14:val="tx1"/>
                        </w14:solidFill>
                      </w14:textFill>
                    </w:rPr>
                    <w:t>毒性、易燃性</w:t>
                  </w:r>
                </w:p>
              </w:tc>
              <w:tc>
                <w:tcPr>
                  <w:tcW w:w="799"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3" w:type="dxa"/>
                </w:tblCellMar>
              </w:tblPrEx>
              <w:trPr>
                <w:trHeight w:val="340" w:hRule="atLeast"/>
                <w:jc w:val="center"/>
              </w:trPr>
              <w:tc>
                <w:tcPr>
                  <w:tcW w:w="228" w:type="pct"/>
                  <w:tcBorders>
                    <w:tl2br w:val="nil"/>
                    <w:tr2bl w:val="nil"/>
                  </w:tcBorders>
                  <w:shd w:val="clear" w:color="auto" w:fill="auto"/>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5</w:t>
                  </w:r>
                </w:p>
              </w:tc>
              <w:tc>
                <w:tcPr>
                  <w:tcW w:w="321"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color w:val="000000" w:themeColor="text1"/>
                      <w:spacing w:val="-10"/>
                      <w:kern w:val="0"/>
                      <w:highlight w:val="none"/>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废油桶</w:t>
                  </w:r>
                </w:p>
              </w:tc>
              <w:tc>
                <w:tcPr>
                  <w:tcW w:w="393" w:type="pct"/>
                  <w:tcBorders>
                    <w:tl2br w:val="nil"/>
                    <w:tr2bl w:val="nil"/>
                  </w:tcBorders>
                  <w:shd w:val="clear" w:color="auto" w:fill="auto"/>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55" w:type="pct"/>
                  <w:tcBorders>
                    <w:tl2br w:val="nil"/>
                    <w:tr2bl w:val="nil"/>
                  </w:tcBorders>
                  <w:shd w:val="clear" w:color="auto" w:fill="auto"/>
                  <w:vAlign w:val="center"/>
                </w:tcPr>
                <w:p>
                  <w:pPr>
                    <w:jc w:val="center"/>
                    <w:rPr>
                      <w:rFonts w:hint="default"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900-249-08</w:t>
                  </w:r>
                </w:p>
              </w:tc>
              <w:tc>
                <w:tcPr>
                  <w:tcW w:w="327"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eastAsia="宋体"/>
                      <w:color w:val="000000" w:themeColor="text1"/>
                      <w:spacing w:val="-10"/>
                      <w:kern w:val="0"/>
                      <w:highlight w:val="none"/>
                      <w:lang w:val="en-US" w:eastAsia="zh-CN"/>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0.01</w:t>
                  </w:r>
                </w:p>
              </w:tc>
              <w:tc>
                <w:tcPr>
                  <w:tcW w:w="582"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eastAsia="宋体"/>
                      <w:color w:val="000000" w:themeColor="text1"/>
                      <w:spacing w:val="-10"/>
                      <w:kern w:val="0"/>
                      <w:highlight w:val="none"/>
                      <w:lang w:val="en-US" w:eastAsia="zh-CN"/>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w:t>
                  </w:r>
                </w:p>
              </w:tc>
              <w:tc>
                <w:tcPr>
                  <w:tcW w:w="145" w:type="pct"/>
                  <w:tcBorders>
                    <w:tl2br w:val="nil"/>
                    <w:tr2bl w:val="nil"/>
                  </w:tcBorders>
                  <w:shd w:val="clear" w:color="auto" w:fill="auto"/>
                  <w:vAlign w:val="center"/>
                </w:tcPr>
                <w:p>
                  <w:pPr>
                    <w:topLinePunct/>
                    <w:adjustRightInd w:val="0"/>
                    <w:snapToGrid w:val="0"/>
                    <w:spacing w:line="0" w:lineRule="atLeast"/>
                    <w:jc w:val="center"/>
                    <w:rPr>
                      <w:rFonts w:ascii="Times New Roman"/>
                      <w:color w:val="000000" w:themeColor="text1"/>
                      <w:spacing w:val="-10"/>
                      <w:kern w:val="0"/>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固态</w:t>
                  </w:r>
                </w:p>
              </w:tc>
              <w:tc>
                <w:tcPr>
                  <w:tcW w:w="437"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415" w:type="pct"/>
                  <w:tcBorders>
                    <w:tl2br w:val="nil"/>
                    <w:tr2bl w:val="nil"/>
                  </w:tcBorders>
                  <w:shd w:val="clear" w:color="auto" w:fill="auto"/>
                  <w:vAlign w:val="center"/>
                </w:tcPr>
                <w:p>
                  <w:pPr>
                    <w:topLinePunct/>
                    <w:adjustRightInd w:val="0"/>
                    <w:snapToGrid w:val="0"/>
                    <w:spacing w:line="0" w:lineRule="atLeast"/>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w:t>
                  </w:r>
                </w:p>
              </w:tc>
              <w:tc>
                <w:tcPr>
                  <w:tcW w:w="291"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s="Times New Roman"/>
                      <w:color w:val="000000" w:themeColor="text1"/>
                      <w:spacing w:val="-10"/>
                      <w:kern w:val="0"/>
                      <w:sz w:val="21"/>
                      <w:szCs w:val="21"/>
                      <w:highlight w:val="none"/>
                      <w:lang w:val="en-US" w:eastAsia="zh-CN" w:bidi="ar-SA"/>
                      <w14:textFill>
                        <w14:solidFill>
                          <w14:schemeClr w14:val="tx1"/>
                        </w14:solidFill>
                      </w14:textFill>
                    </w:rPr>
                    <w:t>1年</w:t>
                  </w:r>
                </w:p>
              </w:tc>
              <w:tc>
                <w:tcPr>
                  <w:tcW w:w="400" w:type="pct"/>
                  <w:tcBorders>
                    <w:tl2br w:val="nil"/>
                    <w:tr2bl w:val="nil"/>
                  </w:tcBorders>
                  <w:shd w:val="clear" w:color="auto" w:fill="auto"/>
                  <w:vAlign w:val="center"/>
                </w:tcPr>
                <w:p>
                  <w:pPr>
                    <w:jc w:val="center"/>
                    <w:rPr>
                      <w:rFonts w:ascii="Times New Roman"/>
                      <w:color w:val="000000" w:themeColor="text1"/>
                      <w:spacing w:val="-10"/>
                      <w:kern w:val="0"/>
                      <w:highlight w:val="none"/>
                      <w14:textFill>
                        <w14:solidFill>
                          <w14:schemeClr w14:val="tx1"/>
                        </w14:solidFill>
                      </w14:textFill>
                    </w:rPr>
                  </w:pPr>
                  <w:r>
                    <w:rPr>
                      <w:rFonts w:ascii="Times New Roman"/>
                      <w:color w:val="000000" w:themeColor="text1"/>
                      <w:spacing w:val="-10"/>
                      <w:kern w:val="0"/>
                      <w:highlight w:val="none"/>
                      <w14:textFill>
                        <w14:solidFill>
                          <w14:schemeClr w14:val="tx1"/>
                        </w14:solidFill>
                      </w14:textFill>
                    </w:rPr>
                    <w:t>毒性、易燃性</w:t>
                  </w:r>
                </w:p>
              </w:tc>
              <w:tc>
                <w:tcPr>
                  <w:tcW w:w="799"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r>
          </w:tbl>
          <w:p>
            <w:pPr>
              <w:jc w:val="center"/>
              <w:rPr>
                <w:rFonts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w:t>
            </w:r>
            <w:r>
              <w:rPr>
                <w:rFonts w:ascii="Times New Roman"/>
                <w:b/>
                <w:bCs/>
                <w:color w:val="000000" w:themeColor="text1"/>
                <w:sz w:val="24"/>
                <w:szCs w:val="24"/>
                <w:highlight w:val="none"/>
                <w14:textFill>
                  <w14:solidFill>
                    <w14:schemeClr w14:val="tx1"/>
                  </w14:solidFill>
                </w14:textFill>
              </w:rPr>
              <w:t>4-</w:t>
            </w:r>
            <w:r>
              <w:rPr>
                <w:rFonts w:hint="eastAsia" w:ascii="Times New Roman"/>
                <w:b/>
                <w:bCs/>
                <w:color w:val="000000" w:themeColor="text1"/>
                <w:sz w:val="24"/>
                <w:szCs w:val="24"/>
                <w:highlight w:val="none"/>
                <w:lang w:val="en-US" w:eastAsia="zh-CN"/>
                <w14:textFill>
                  <w14:solidFill>
                    <w14:schemeClr w14:val="tx1"/>
                  </w14:solidFill>
                </w14:textFill>
              </w:rPr>
              <w:t>7</w:t>
            </w:r>
            <w:r>
              <w:rPr>
                <w:rFonts w:ascii="Times New Roman"/>
                <w:b/>
                <w:bCs/>
                <w:color w:val="000000" w:themeColor="text1"/>
                <w:sz w:val="24"/>
                <w:szCs w:val="24"/>
                <w:highlight w:val="none"/>
                <w14:textFill>
                  <w14:solidFill>
                    <w14:schemeClr w14:val="tx1"/>
                  </w14:solidFill>
                </w14:textFill>
              </w:rPr>
              <w:t xml:space="preserve">  </w:t>
            </w:r>
            <w:r>
              <w:rPr>
                <w:rFonts w:hint="eastAsia" w:ascii="Times New Roman"/>
                <w:b/>
                <w:bCs/>
                <w:color w:val="000000" w:themeColor="text1"/>
                <w:sz w:val="24"/>
                <w:szCs w:val="24"/>
                <w:highlight w:val="none"/>
                <w14:textFill>
                  <w14:solidFill>
                    <w14:schemeClr w14:val="tx1"/>
                  </w14:solidFill>
                </w14:textFill>
              </w:rPr>
              <w:t>建设项目危险废物贮存场所（设施）基本情况表</w:t>
            </w:r>
          </w:p>
          <w:tbl>
            <w:tblPr>
              <w:tblStyle w:val="5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8" w:type="dxa"/>
              </w:tblCellMar>
            </w:tblPr>
            <w:tblGrid>
              <w:gridCol w:w="496"/>
              <w:gridCol w:w="886"/>
              <w:gridCol w:w="891"/>
              <w:gridCol w:w="779"/>
              <w:gridCol w:w="1090"/>
              <w:gridCol w:w="1047"/>
              <w:gridCol w:w="1077"/>
              <w:gridCol w:w="690"/>
              <w:gridCol w:w="657"/>
              <w:gridCol w:w="6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序号</w:t>
                  </w:r>
                </w:p>
              </w:tc>
              <w:tc>
                <w:tcPr>
                  <w:tcW w:w="53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贮存场所名称</w:t>
                  </w:r>
                </w:p>
              </w:tc>
              <w:tc>
                <w:tcPr>
                  <w:tcW w:w="540"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危废名称</w:t>
                  </w:r>
                </w:p>
              </w:tc>
              <w:tc>
                <w:tcPr>
                  <w:tcW w:w="472"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w:t>
                  </w:r>
                </w:p>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类别</w:t>
                  </w:r>
                </w:p>
              </w:tc>
              <w:tc>
                <w:tcPr>
                  <w:tcW w:w="66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危废代码</w:t>
                  </w:r>
                </w:p>
              </w:tc>
              <w:tc>
                <w:tcPr>
                  <w:tcW w:w="63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产生量（</w:t>
                  </w:r>
                  <w:r>
                    <w:rPr>
                      <w:rFonts w:ascii="Times New Roman"/>
                      <w:color w:val="000000" w:themeColor="text1"/>
                      <w:highlight w:val="none"/>
                      <w14:textFill>
                        <w14:solidFill>
                          <w14:schemeClr w14:val="tx1"/>
                        </w14:solidFill>
                      </w14:textFill>
                    </w:rPr>
                    <w:t>t/a</w:t>
                  </w:r>
                  <w:r>
                    <w:rPr>
                      <w:rFonts w:hint="eastAsia" w:ascii="Times New Roman"/>
                      <w:color w:val="000000" w:themeColor="text1"/>
                      <w:highlight w:val="none"/>
                      <w14:textFill>
                        <w14:solidFill>
                          <w14:schemeClr w14:val="tx1"/>
                        </w14:solidFill>
                      </w14:textFill>
                    </w:rPr>
                    <w:t>）</w:t>
                  </w:r>
                </w:p>
              </w:tc>
              <w:tc>
                <w:tcPr>
                  <w:tcW w:w="653"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位置</w:t>
                  </w:r>
                </w:p>
              </w:tc>
              <w:tc>
                <w:tcPr>
                  <w:tcW w:w="41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占地面积</w:t>
                  </w:r>
                </w:p>
              </w:tc>
              <w:tc>
                <w:tcPr>
                  <w:tcW w:w="39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贮存能力</w:t>
                  </w:r>
                </w:p>
              </w:tc>
              <w:tc>
                <w:tcPr>
                  <w:tcW w:w="37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vMerge w:val="restar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1</w:t>
                  </w:r>
                </w:p>
              </w:tc>
              <w:tc>
                <w:tcPr>
                  <w:tcW w:w="537" w:type="pct"/>
                  <w:vMerge w:val="restar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危废间</w:t>
                  </w:r>
                </w:p>
              </w:tc>
              <w:tc>
                <w:tcPr>
                  <w:tcW w:w="540"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废蓄电池</w:t>
                  </w:r>
                </w:p>
              </w:tc>
              <w:tc>
                <w:tcPr>
                  <w:tcW w:w="472"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HW31</w:t>
                  </w:r>
                </w:p>
              </w:tc>
              <w:tc>
                <w:tcPr>
                  <w:tcW w:w="66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900-052-31</w:t>
                  </w:r>
                </w:p>
              </w:tc>
              <w:tc>
                <w:tcPr>
                  <w:tcW w:w="635"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5.2</w:t>
                  </w:r>
                  <w:r>
                    <w:rPr>
                      <w:rFonts w:ascii="Times New Roman"/>
                      <w:color w:val="000000" w:themeColor="text1"/>
                      <w:highlight w:val="none"/>
                      <w14:textFill>
                        <w14:solidFill>
                          <w14:schemeClr w14:val="tx1"/>
                        </w14:solidFill>
                      </w14:textFill>
                    </w:rPr>
                    <w:t>t/10a</w:t>
                  </w:r>
                </w:p>
              </w:tc>
              <w:tc>
                <w:tcPr>
                  <w:tcW w:w="653" w:type="pct"/>
                  <w:vMerge w:val="restart"/>
                  <w:tcBorders>
                    <w:tl2br w:val="nil"/>
                    <w:tr2bl w:val="nil"/>
                  </w:tcBorders>
                  <w:shd w:val="clear" w:color="auto" w:fill="auto"/>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厂区东南角</w:t>
                  </w:r>
                </w:p>
              </w:tc>
              <w:tc>
                <w:tcPr>
                  <w:tcW w:w="41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eastAsia="zh-CN"/>
                      <w14:textFill>
                        <w14:solidFill>
                          <w14:schemeClr w14:val="tx1"/>
                        </w14:solidFill>
                      </w14:textFill>
                    </w:rPr>
                    <w:t>6.8</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p>
              </w:tc>
              <w:tc>
                <w:tcPr>
                  <w:tcW w:w="39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10</w:t>
                  </w:r>
                  <w:r>
                    <w:rPr>
                      <w:rFonts w:ascii="Times New Roman"/>
                      <w:color w:val="000000" w:themeColor="text1"/>
                      <w:highlight w:val="none"/>
                      <w14:textFill>
                        <w14:solidFill>
                          <w14:schemeClr w14:val="tx1"/>
                        </w14:solidFill>
                      </w14:textFill>
                    </w:rPr>
                    <w:t>t</w:t>
                  </w:r>
                </w:p>
              </w:tc>
              <w:tc>
                <w:tcPr>
                  <w:tcW w:w="37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vMerge w:val="continue"/>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p>
              </w:tc>
              <w:tc>
                <w:tcPr>
                  <w:tcW w:w="537"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c>
                <w:tcPr>
                  <w:tcW w:w="540"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废机油、废润滑油</w:t>
                  </w:r>
                </w:p>
              </w:tc>
              <w:tc>
                <w:tcPr>
                  <w:tcW w:w="472" w:type="pct"/>
                  <w:tcBorders>
                    <w:tl2br w:val="nil"/>
                    <w:tr2bl w:val="nil"/>
                  </w:tcBorders>
                  <w:shd w:val="clear" w:color="auto" w:fill="auto"/>
                  <w:vAlign w:val="center"/>
                </w:tcPr>
                <w:p>
                  <w:pPr>
                    <w:jc w:val="center"/>
                    <w:rPr>
                      <w:rFonts w:ascii="Times New Roman" w:hAnsi="Times New Roman" w:eastAsia="宋体" w:cs="Times New Roman"/>
                      <w:color w:val="000000" w:themeColor="text1"/>
                      <w:spacing w:val="-10"/>
                      <w:kern w:val="2"/>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61" w:type="pct"/>
                  <w:tcBorders>
                    <w:tl2br w:val="nil"/>
                    <w:tr2bl w:val="nil"/>
                  </w:tcBorders>
                  <w:shd w:val="clear" w:color="auto" w:fill="auto"/>
                  <w:vAlign w:val="center"/>
                </w:tcPr>
                <w:p>
                  <w:pPr>
                    <w:jc w:val="center"/>
                    <w:rPr>
                      <w:rFonts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900-</w:t>
                  </w:r>
                  <w:r>
                    <w:rPr>
                      <w:rFonts w:hint="eastAsia" w:ascii="Times New Roman"/>
                      <w:color w:val="000000" w:themeColor="text1"/>
                      <w:kern w:val="0"/>
                      <w:highlight w:val="none"/>
                      <w14:textFill>
                        <w14:solidFill>
                          <w14:schemeClr w14:val="tx1"/>
                        </w14:solidFill>
                      </w14:textFill>
                    </w:rPr>
                    <w:t>214</w:t>
                  </w:r>
                  <w:r>
                    <w:rPr>
                      <w:rFonts w:ascii="Times New Roman"/>
                      <w:color w:val="000000" w:themeColor="text1"/>
                      <w:kern w:val="0"/>
                      <w:highlight w:val="none"/>
                      <w14:textFill>
                        <w14:solidFill>
                          <w14:schemeClr w14:val="tx1"/>
                        </w14:solidFill>
                      </w14:textFill>
                    </w:rPr>
                    <w:t>-08</w:t>
                  </w:r>
                </w:p>
              </w:tc>
              <w:tc>
                <w:tcPr>
                  <w:tcW w:w="63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14:textFill>
                        <w14:solidFill>
                          <w14:schemeClr w14:val="tx1"/>
                        </w14:solidFill>
                      </w14:textFill>
                    </w:rPr>
                    <w:t>0.1</w:t>
                  </w:r>
                </w:p>
              </w:tc>
              <w:tc>
                <w:tcPr>
                  <w:tcW w:w="653" w:type="pct"/>
                  <w:vMerge w:val="continue"/>
                  <w:tcBorders>
                    <w:tl2br w:val="nil"/>
                    <w:tr2bl w:val="nil"/>
                  </w:tcBorders>
                  <w:shd w:val="clear" w:color="auto" w:fill="auto"/>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418" w:type="pct"/>
                  <w:tcBorders>
                    <w:tl2br w:val="nil"/>
                    <w:tr2bl w:val="nil"/>
                  </w:tcBorders>
                  <w:shd w:val="clear" w:color="auto" w:fill="auto"/>
                  <w:vAlign w:val="center"/>
                </w:tcPr>
                <w:p>
                  <w:pPr>
                    <w:jc w:val="center"/>
                    <w:rPr>
                      <w:rFonts w:hint="default" w:ascii="Times New Roman"/>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p>
              </w:tc>
              <w:tc>
                <w:tcPr>
                  <w:tcW w:w="398"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r>
                    <w:rPr>
                      <w:rFonts w:ascii="Times New Roman"/>
                      <w:color w:val="000000" w:themeColor="text1"/>
                      <w:highlight w:val="none"/>
                      <w14:textFill>
                        <w14:solidFill>
                          <w14:schemeClr w14:val="tx1"/>
                        </w14:solidFill>
                      </w14:textFill>
                    </w:rPr>
                    <w:t>t</w:t>
                  </w:r>
                </w:p>
              </w:tc>
              <w:tc>
                <w:tcPr>
                  <w:tcW w:w="377" w:type="pct"/>
                  <w:tcBorders>
                    <w:tl2br w:val="nil"/>
                    <w:tr2bl w:val="nil"/>
                  </w:tcBorders>
                  <w:shd w:val="clear" w:color="auto" w:fill="auto"/>
                  <w:vAlign w:val="center"/>
                </w:tcPr>
                <w:p>
                  <w:pPr>
                    <w:jc w:val="center"/>
                    <w:rPr>
                      <w:rFonts w:hint="eastAsia"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vMerge w:val="continue"/>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p>
              </w:tc>
              <w:tc>
                <w:tcPr>
                  <w:tcW w:w="537"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c>
                <w:tcPr>
                  <w:tcW w:w="540"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废变压器油</w:t>
                  </w:r>
                </w:p>
              </w:tc>
              <w:tc>
                <w:tcPr>
                  <w:tcW w:w="472" w:type="pct"/>
                  <w:tcBorders>
                    <w:tl2br w:val="nil"/>
                    <w:tr2bl w:val="nil"/>
                  </w:tcBorders>
                  <w:shd w:val="clear" w:color="auto" w:fill="auto"/>
                  <w:vAlign w:val="center"/>
                </w:tcPr>
                <w:p>
                  <w:pPr>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6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900-220-08</w:t>
                  </w:r>
                </w:p>
              </w:tc>
              <w:tc>
                <w:tcPr>
                  <w:tcW w:w="63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0.1</w:t>
                  </w:r>
                </w:p>
              </w:tc>
              <w:tc>
                <w:tcPr>
                  <w:tcW w:w="653" w:type="pct"/>
                  <w:vMerge w:val="continue"/>
                  <w:tcBorders>
                    <w:tl2br w:val="nil"/>
                    <w:tr2bl w:val="nil"/>
                  </w:tcBorders>
                  <w:shd w:val="clear" w:color="auto" w:fill="auto"/>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418" w:type="pct"/>
                  <w:tcBorders>
                    <w:tl2br w:val="nil"/>
                    <w:tr2bl w:val="nil"/>
                  </w:tcBorders>
                  <w:shd w:val="clear" w:color="auto" w:fill="auto"/>
                  <w:vAlign w:val="center"/>
                </w:tcPr>
                <w:p>
                  <w:pPr>
                    <w:jc w:val="center"/>
                    <w:rPr>
                      <w:rFonts w:hint="eastAsia" w:ascii="Times New Roman"/>
                      <w:color w:val="000000" w:themeColor="text1"/>
                      <w:highlight w:val="none"/>
                      <w:lang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p>
              </w:tc>
              <w:tc>
                <w:tcPr>
                  <w:tcW w:w="398"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r>
                    <w:rPr>
                      <w:rFonts w:ascii="Times New Roman"/>
                      <w:color w:val="000000" w:themeColor="text1"/>
                      <w:highlight w:val="none"/>
                      <w14:textFill>
                        <w14:solidFill>
                          <w14:schemeClr w14:val="tx1"/>
                        </w14:solidFill>
                      </w14:textFill>
                    </w:rPr>
                    <w:t>t</w:t>
                  </w:r>
                </w:p>
              </w:tc>
              <w:tc>
                <w:tcPr>
                  <w:tcW w:w="377"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vMerge w:val="continue"/>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p>
              </w:tc>
              <w:tc>
                <w:tcPr>
                  <w:tcW w:w="537" w:type="pct"/>
                  <w:vMerge w:val="continue"/>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p>
              </w:tc>
              <w:tc>
                <w:tcPr>
                  <w:tcW w:w="540"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废油桶</w:t>
                  </w:r>
                </w:p>
              </w:tc>
              <w:tc>
                <w:tcPr>
                  <w:tcW w:w="472" w:type="pct"/>
                  <w:tcBorders>
                    <w:tl2br w:val="nil"/>
                    <w:tr2bl w:val="nil"/>
                  </w:tcBorders>
                  <w:shd w:val="clear" w:color="auto" w:fill="auto"/>
                  <w:vAlign w:val="center"/>
                </w:tcPr>
                <w:p>
                  <w:pPr>
                    <w:jc w:val="center"/>
                    <w:rPr>
                      <w:rFonts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ascii="Times New Roman"/>
                      <w:color w:val="000000" w:themeColor="text1"/>
                      <w:kern w:val="0"/>
                      <w:highlight w:val="none"/>
                      <w14:textFill>
                        <w14:solidFill>
                          <w14:schemeClr w14:val="tx1"/>
                        </w14:solidFill>
                      </w14:textFill>
                    </w:rPr>
                    <w:t>HW08</w:t>
                  </w:r>
                </w:p>
              </w:tc>
              <w:tc>
                <w:tcPr>
                  <w:tcW w:w="66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900-249-08</w:t>
                  </w:r>
                </w:p>
              </w:tc>
              <w:tc>
                <w:tcPr>
                  <w:tcW w:w="635" w:type="pct"/>
                  <w:tcBorders>
                    <w:tl2br w:val="nil"/>
                    <w:tr2bl w:val="nil"/>
                  </w:tcBorders>
                  <w:shd w:val="clear" w:color="auto" w:fill="auto"/>
                  <w:vAlign w:val="center"/>
                </w:tcPr>
                <w:p>
                  <w:pPr>
                    <w:topLinePunct/>
                    <w:adjustRightInd w:val="0"/>
                    <w:snapToGrid w:val="0"/>
                    <w:spacing w:line="0" w:lineRule="atLeast"/>
                    <w:jc w:val="center"/>
                    <w:rPr>
                      <w:rFonts w:hint="eastAsia" w:ascii="Times New Roman" w:hAnsi="Times New Roman" w:eastAsia="宋体" w:cs="Times New Roman"/>
                      <w:color w:val="000000" w:themeColor="text1"/>
                      <w:spacing w:val="-10"/>
                      <w:kern w:val="0"/>
                      <w:sz w:val="21"/>
                      <w:szCs w:val="21"/>
                      <w:highlight w:val="none"/>
                      <w:lang w:val="en-US" w:eastAsia="zh-CN" w:bidi="ar-SA"/>
                      <w14:textFill>
                        <w14:solidFill>
                          <w14:schemeClr w14:val="tx1"/>
                        </w14:solidFill>
                      </w14:textFill>
                    </w:rPr>
                  </w:pPr>
                  <w:r>
                    <w:rPr>
                      <w:rFonts w:hint="eastAsia" w:ascii="Times New Roman"/>
                      <w:color w:val="000000" w:themeColor="text1"/>
                      <w:spacing w:val="-10"/>
                      <w:kern w:val="0"/>
                      <w:highlight w:val="none"/>
                      <w:lang w:val="en-US" w:eastAsia="zh-CN"/>
                      <w14:textFill>
                        <w14:solidFill>
                          <w14:schemeClr w14:val="tx1"/>
                        </w14:solidFill>
                      </w14:textFill>
                    </w:rPr>
                    <w:t>0.01</w:t>
                  </w:r>
                </w:p>
              </w:tc>
              <w:tc>
                <w:tcPr>
                  <w:tcW w:w="653" w:type="pct"/>
                  <w:vMerge w:val="continue"/>
                  <w:tcBorders>
                    <w:tl2br w:val="nil"/>
                    <w:tr2bl w:val="nil"/>
                  </w:tcBorders>
                  <w:shd w:val="clear" w:color="auto" w:fill="auto"/>
                  <w:vAlign w:val="center"/>
                </w:tcPr>
                <w:p>
                  <w:pPr>
                    <w:jc w:val="center"/>
                    <w:rPr>
                      <w:rFonts w:hint="eastAsia" w:ascii="Times New Roman"/>
                      <w:color w:val="000000" w:themeColor="text1"/>
                      <w:highlight w:val="none"/>
                      <w:lang w:val="en-US" w:eastAsia="zh-CN"/>
                      <w14:textFill>
                        <w14:solidFill>
                          <w14:schemeClr w14:val="tx1"/>
                        </w14:solidFill>
                      </w14:textFill>
                    </w:rPr>
                  </w:pPr>
                </w:p>
              </w:tc>
              <w:tc>
                <w:tcPr>
                  <w:tcW w:w="418" w:type="pct"/>
                  <w:tcBorders>
                    <w:tl2br w:val="nil"/>
                    <w:tr2bl w:val="nil"/>
                  </w:tcBorders>
                  <w:shd w:val="clear" w:color="auto" w:fill="auto"/>
                  <w:vAlign w:val="center"/>
                </w:tcPr>
                <w:p>
                  <w:pPr>
                    <w:jc w:val="center"/>
                    <w:rPr>
                      <w:rFonts w:hint="eastAsia" w:ascii="Times New Roman"/>
                      <w:color w:val="000000" w:themeColor="text1"/>
                      <w:highlight w:val="none"/>
                      <w:lang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w:t>
                  </w:r>
                  <w:r>
                    <w:rPr>
                      <w:rFonts w:ascii="Times New Roman"/>
                      <w:color w:val="000000" w:themeColor="text1"/>
                      <w:highlight w:val="none"/>
                      <w14:textFill>
                        <w14:solidFill>
                          <w14:schemeClr w14:val="tx1"/>
                        </w14:solidFill>
                      </w14:textFill>
                    </w:rPr>
                    <w:t>m</w:t>
                  </w:r>
                  <w:r>
                    <w:rPr>
                      <w:rFonts w:ascii="Times New Roman"/>
                      <w:color w:val="000000" w:themeColor="text1"/>
                      <w:highlight w:val="none"/>
                      <w:vertAlign w:val="superscript"/>
                      <w14:textFill>
                        <w14:solidFill>
                          <w14:schemeClr w14:val="tx1"/>
                        </w14:solidFill>
                      </w14:textFill>
                    </w:rPr>
                    <w:t>2</w:t>
                  </w:r>
                </w:p>
              </w:tc>
              <w:tc>
                <w:tcPr>
                  <w:tcW w:w="398"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r>
                    <w:rPr>
                      <w:rFonts w:ascii="Times New Roman"/>
                      <w:color w:val="000000" w:themeColor="text1"/>
                      <w:highlight w:val="none"/>
                      <w14:textFill>
                        <w14:solidFill>
                          <w14:schemeClr w14:val="tx1"/>
                        </w14:solidFill>
                      </w14:textFill>
                    </w:rPr>
                    <w:t>t</w:t>
                  </w:r>
                </w:p>
              </w:tc>
              <w:tc>
                <w:tcPr>
                  <w:tcW w:w="377" w:type="pct"/>
                  <w:tcBorders>
                    <w:tl2br w:val="nil"/>
                    <w:tr2bl w:val="nil"/>
                  </w:tcBorders>
                  <w:shd w:val="clear" w:color="auto" w:fill="auto"/>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8" w:type="dxa"/>
                </w:tblCellMar>
              </w:tblPrEx>
              <w:trPr>
                <w:trHeight w:val="340" w:hRule="atLeast"/>
                <w:jc w:val="center"/>
              </w:trPr>
              <w:tc>
                <w:tcPr>
                  <w:tcW w:w="30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w:t>
                  </w:r>
                </w:p>
              </w:tc>
              <w:tc>
                <w:tcPr>
                  <w:tcW w:w="53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事故油池</w:t>
                  </w:r>
                </w:p>
              </w:tc>
              <w:tc>
                <w:tcPr>
                  <w:tcW w:w="540"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变压器事故油</w:t>
                  </w:r>
                </w:p>
              </w:tc>
              <w:tc>
                <w:tcPr>
                  <w:tcW w:w="472"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HW08</w:t>
                  </w:r>
                </w:p>
              </w:tc>
              <w:tc>
                <w:tcPr>
                  <w:tcW w:w="661"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900-220-08</w:t>
                  </w:r>
                </w:p>
              </w:tc>
              <w:tc>
                <w:tcPr>
                  <w:tcW w:w="635" w:type="pct"/>
                  <w:tcBorders>
                    <w:tl2br w:val="nil"/>
                    <w:tr2bl w:val="nil"/>
                  </w:tcBorders>
                  <w:shd w:val="clear" w:color="auto" w:fill="auto"/>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38.16t（事故状态）</w:t>
                  </w:r>
                </w:p>
              </w:tc>
              <w:tc>
                <w:tcPr>
                  <w:tcW w:w="653" w:type="pct"/>
                  <w:tcBorders>
                    <w:tl2br w:val="nil"/>
                    <w:tr2bl w:val="nil"/>
                  </w:tcBorders>
                  <w:shd w:val="clear" w:color="auto" w:fill="auto"/>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主变南侧</w:t>
                  </w:r>
                </w:p>
              </w:tc>
              <w:tc>
                <w:tcPr>
                  <w:tcW w:w="41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9</w:t>
                  </w:r>
                  <w:r>
                    <w:rPr>
                      <w:rFonts w:hint="eastAsia" w:ascii="Times New Roman"/>
                      <w:color w:val="000000" w:themeColor="text1"/>
                      <w:highlight w:val="none"/>
                      <w14:textFill>
                        <w14:solidFill>
                          <w14:schemeClr w14:val="tx1"/>
                        </w14:solidFill>
                      </w14:textFill>
                    </w:rPr>
                    <w:t>0</w:t>
                  </w:r>
                  <w:r>
                    <w:rPr>
                      <w:rFonts w:ascii="Times New Roman"/>
                      <w:color w:val="000000" w:themeColor="text1"/>
                      <w:highlight w:val="none"/>
                      <w14:textFill>
                        <w14:solidFill>
                          <w14:schemeClr w14:val="tx1"/>
                        </w14:solidFill>
                      </w14:textFill>
                    </w:rPr>
                    <w:t>m</w:t>
                  </w:r>
                  <w:r>
                    <w:rPr>
                      <w:rFonts w:hint="eastAsia" w:ascii="Times New Roman"/>
                      <w:color w:val="000000" w:themeColor="text1"/>
                      <w:highlight w:val="none"/>
                      <w:vertAlign w:val="superscript"/>
                      <w14:textFill>
                        <w14:solidFill>
                          <w14:schemeClr w14:val="tx1"/>
                        </w14:solidFill>
                      </w14:textFill>
                    </w:rPr>
                    <w:t>3</w:t>
                  </w:r>
                </w:p>
              </w:tc>
              <w:tc>
                <w:tcPr>
                  <w:tcW w:w="398"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44.75</w:t>
                  </w:r>
                  <w:r>
                    <w:rPr>
                      <w:rFonts w:ascii="Times New Roman"/>
                      <w:color w:val="000000" w:themeColor="text1"/>
                      <w:highlight w:val="none"/>
                      <w14:textFill>
                        <w14:solidFill>
                          <w14:schemeClr w14:val="tx1"/>
                        </w14:solidFill>
                      </w14:textFill>
                    </w:rPr>
                    <w:t>t</w:t>
                  </w:r>
                </w:p>
              </w:tc>
              <w:tc>
                <w:tcPr>
                  <w:tcW w:w="377" w:type="pct"/>
                  <w:tcBorders>
                    <w:tl2br w:val="nil"/>
                    <w:tr2bl w:val="nil"/>
                  </w:tcBorders>
                  <w:shd w:val="clear" w:color="auto" w:fill="auto"/>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1月</w:t>
                  </w:r>
                </w:p>
              </w:tc>
            </w:tr>
          </w:tbl>
          <w:p>
            <w:pPr>
              <w:widowControl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2)</w:t>
            </w:r>
            <w:r>
              <w:rPr>
                <w:rFonts w:hint="eastAsia" w:ascii="Times New Roman"/>
                <w:color w:val="000000" w:themeColor="text1"/>
                <w:sz w:val="24"/>
                <w:szCs w:val="24"/>
                <w:highlight w:val="none"/>
                <w14:textFill>
                  <w14:solidFill>
                    <w14:schemeClr w14:val="tx1"/>
                  </w14:solidFill>
                </w14:textFill>
              </w:rPr>
              <w:t>生活垃圾</w:t>
            </w:r>
          </w:p>
          <w:p>
            <w:pPr>
              <w:widowControl w:val="0"/>
              <w:spacing w:line="360" w:lineRule="auto"/>
              <w:ind w:firstLine="480" w:firstLineChars="200"/>
              <w:jc w:val="both"/>
              <w:rPr>
                <w:color w:val="000000" w:themeColor="text1"/>
                <w:sz w:val="24"/>
                <w:szCs w:val="24"/>
                <w:highlight w:val="none"/>
                <w14:textFill>
                  <w14:solidFill>
                    <w14:schemeClr w14:val="tx1"/>
                  </w14:solidFill>
                </w14:textFill>
              </w:rPr>
            </w:pPr>
            <w:r>
              <w:rPr>
                <w:rFonts w:hint="eastAsia" w:ascii="Times New Roman" w:cs="宋体"/>
                <w:color w:val="000000" w:themeColor="text1"/>
                <w:sz w:val="24"/>
                <w:szCs w:val="24"/>
                <w:highlight w:val="none"/>
                <w:lang w:bidi="ar"/>
                <w14:textFill>
                  <w14:solidFill>
                    <w14:schemeClr w14:val="tx1"/>
                  </w14:solidFill>
                </w14:textFill>
              </w:rPr>
              <w:t>项目定员</w:t>
            </w:r>
            <w:r>
              <w:rPr>
                <w:rFonts w:hint="eastAsia" w:ascii="Times New Roman" w:cs="宋体"/>
                <w:color w:val="000000" w:themeColor="text1"/>
                <w:sz w:val="24"/>
                <w:szCs w:val="24"/>
                <w:highlight w:val="none"/>
                <w:lang w:val="en-US" w:eastAsia="zh-CN" w:bidi="ar"/>
                <w14:textFill>
                  <w14:solidFill>
                    <w14:schemeClr w14:val="tx1"/>
                  </w14:solidFill>
                </w14:textFill>
              </w:rPr>
              <w:t>8</w:t>
            </w:r>
            <w:r>
              <w:rPr>
                <w:rFonts w:hint="eastAsia" w:ascii="Times New Roman" w:cs="宋体"/>
                <w:color w:val="000000" w:themeColor="text1"/>
                <w:sz w:val="24"/>
                <w:szCs w:val="24"/>
                <w:highlight w:val="none"/>
                <w:lang w:bidi="ar"/>
                <w14:textFill>
                  <w14:solidFill>
                    <w14:schemeClr w14:val="tx1"/>
                  </w14:solidFill>
                </w14:textFill>
              </w:rPr>
              <w:t>人，生活垃圾产生量以</w:t>
            </w:r>
            <w:r>
              <w:rPr>
                <w:rFonts w:ascii="Times New Roman"/>
                <w:color w:val="000000" w:themeColor="text1"/>
                <w:sz w:val="24"/>
                <w:szCs w:val="24"/>
                <w:highlight w:val="none"/>
                <w:lang w:bidi="ar"/>
                <w14:textFill>
                  <w14:solidFill>
                    <w14:schemeClr w14:val="tx1"/>
                  </w14:solidFill>
                </w14:textFill>
              </w:rPr>
              <w:t>0.5kg/</w:t>
            </w:r>
            <w:r>
              <w:rPr>
                <w:rFonts w:hint="eastAsia" w:ascii="Times New Roman" w:cs="宋体"/>
                <w:color w:val="000000" w:themeColor="text1"/>
                <w:sz w:val="24"/>
                <w:szCs w:val="24"/>
                <w:highlight w:val="none"/>
                <w:lang w:bidi="ar"/>
                <w14:textFill>
                  <w14:solidFill>
                    <w14:schemeClr w14:val="tx1"/>
                  </w14:solidFill>
                </w14:textFill>
              </w:rPr>
              <w:t>人</w:t>
            </w:r>
            <w:r>
              <w:rPr>
                <w:rFonts w:ascii="Times New Roman"/>
                <w:color w:val="000000" w:themeColor="text1"/>
                <w:sz w:val="24"/>
                <w:szCs w:val="24"/>
                <w:highlight w:val="none"/>
                <w:lang w:bidi="ar"/>
                <w14:textFill>
                  <w14:solidFill>
                    <w14:schemeClr w14:val="tx1"/>
                  </w14:solidFill>
                </w14:textFill>
              </w:rPr>
              <w:t>·d</w:t>
            </w:r>
            <w:r>
              <w:rPr>
                <w:rFonts w:hint="eastAsia" w:ascii="Times New Roman" w:cs="宋体"/>
                <w:color w:val="000000" w:themeColor="text1"/>
                <w:sz w:val="24"/>
                <w:szCs w:val="24"/>
                <w:highlight w:val="none"/>
                <w:lang w:bidi="ar"/>
                <w14:textFill>
                  <w14:solidFill>
                    <w14:schemeClr w14:val="tx1"/>
                  </w14:solidFill>
                </w14:textFill>
              </w:rPr>
              <w:t>计，则职工生活垃圾产生量为</w:t>
            </w:r>
            <w:r>
              <w:rPr>
                <w:rFonts w:hint="eastAsia" w:ascii="Times New Roman"/>
                <w:color w:val="000000" w:themeColor="text1"/>
                <w:sz w:val="24"/>
                <w:szCs w:val="24"/>
                <w:highlight w:val="none"/>
                <w:lang w:val="en-US" w:eastAsia="zh-CN" w:bidi="ar"/>
                <w14:textFill>
                  <w14:solidFill>
                    <w14:schemeClr w14:val="tx1"/>
                  </w14:solidFill>
                </w14:textFill>
              </w:rPr>
              <w:t>1.46</w:t>
            </w:r>
            <w:r>
              <w:rPr>
                <w:rFonts w:ascii="Times New Roman"/>
                <w:color w:val="000000" w:themeColor="text1"/>
                <w:sz w:val="24"/>
                <w:szCs w:val="24"/>
                <w:highlight w:val="none"/>
                <w:lang w:bidi="ar"/>
                <w14:textFill>
                  <w14:solidFill>
                    <w14:schemeClr w14:val="tx1"/>
                  </w14:solidFill>
                </w14:textFill>
              </w:rPr>
              <w:t>t/a</w:t>
            </w:r>
            <w:r>
              <w:rPr>
                <w:rFonts w:hint="eastAsia" w:ascii="Times New Roman" w:cs="宋体"/>
                <w:color w:val="000000" w:themeColor="text1"/>
                <w:sz w:val="24"/>
                <w:szCs w:val="24"/>
                <w:highlight w:val="none"/>
                <w:lang w:bidi="ar"/>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本项目站内</w:t>
            </w:r>
            <w:r>
              <w:rPr>
                <w:rFonts w:hint="eastAsia" w:ascii="Times New Roman"/>
                <w:color w:val="000000" w:themeColor="text1"/>
                <w:sz w:val="24"/>
                <w:szCs w:val="24"/>
                <w:highlight w:val="none"/>
                <w14:textFill>
                  <w14:solidFill>
                    <w14:schemeClr w14:val="tx1"/>
                  </w14:solidFill>
                </w14:textFill>
              </w:rPr>
              <w:t>均</w:t>
            </w:r>
            <w:r>
              <w:rPr>
                <w:rFonts w:ascii="Times New Roman"/>
                <w:color w:val="000000" w:themeColor="text1"/>
                <w:sz w:val="24"/>
                <w:szCs w:val="24"/>
                <w:highlight w:val="none"/>
                <w14:textFill>
                  <w14:solidFill>
                    <w14:schemeClr w14:val="tx1"/>
                  </w14:solidFill>
                </w14:textFill>
              </w:rPr>
              <w:t>设置垃圾桶，</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值班人员产生的生活垃圾统一收集，交由环卫部门处置。</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）危险废物环境影响分析</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①贮存场所环境影响分析</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危险废物暂存场所（危废间）满足“四防”（防风、防雨、防晒、防渗漏）要求，采取了防渗措施，并设置警示标示。在采取严格防治措施的前提下，危险废物贮存场所不会造成不利环境影响。</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②运输过程的环境影响分析</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本项目</w:t>
            </w:r>
            <w:r>
              <w:rPr>
                <w:rFonts w:hint="eastAsia" w:ascii="Times New Roman"/>
                <w:color w:val="000000" w:themeColor="text1"/>
                <w:sz w:val="24"/>
                <w:szCs w:val="24"/>
                <w:highlight w:val="none"/>
                <w14:textFill>
                  <w14:solidFill>
                    <w14:schemeClr w14:val="tx1"/>
                  </w14:solidFill>
                </w14:textFill>
              </w:rPr>
              <w:t>蓄电池室等</w:t>
            </w:r>
            <w:r>
              <w:rPr>
                <w:rFonts w:ascii="Times New Roman"/>
                <w:color w:val="000000" w:themeColor="text1"/>
                <w:sz w:val="24"/>
                <w:szCs w:val="24"/>
                <w:highlight w:val="none"/>
                <w14:textFill>
                  <w14:solidFill>
                    <w14:schemeClr w14:val="tx1"/>
                  </w14:solidFill>
                </w14:textFill>
              </w:rPr>
              <w:t>地面及运输通道均已采取硬化和防腐防渗措施，因此危险废物从产生工艺环节运输到暂存场所的过程中产生散落和泄漏</w:t>
            </w:r>
            <w:r>
              <w:rPr>
                <w:rFonts w:hint="eastAsia" w:ascii="Times New Roman"/>
                <w:color w:val="000000" w:themeColor="text1"/>
                <w:sz w:val="24"/>
                <w:szCs w:val="24"/>
                <w:highlight w:val="none"/>
                <w:lang w:eastAsia="zh-CN"/>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均会将影响控制在厂区内，不会对周边环境敏感点及地下水环境产生不利影响。</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③委托利用或者处置的环境影响分析</w:t>
            </w:r>
          </w:p>
          <w:p>
            <w:pPr>
              <w:widowControl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本项目危险废物均委托有资质单位处置，对周边环境保护目标无影响，不会造成二次污染。</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（3）危险废物收集、转运、贮存要求</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项目危险废物储存在危废间内。为保证暂存的危险废物不对环境产生污染，依据《危险废物贮存污染控制标准》（</w:t>
            </w:r>
            <w:r>
              <w:rPr>
                <w:rFonts w:ascii="Times New Roman"/>
                <w:color w:val="000000" w:themeColor="text1"/>
                <w:sz w:val="24"/>
                <w:szCs w:val="24"/>
                <w:highlight w:val="none"/>
                <w14:textFill>
                  <w14:solidFill>
                    <w14:schemeClr w14:val="tx1"/>
                  </w14:solidFill>
                </w14:textFill>
              </w:rPr>
              <w:t>GB18597-20</w:t>
            </w:r>
            <w:r>
              <w:rPr>
                <w:rFonts w:hint="eastAsia" w:ascii="Times New Roman"/>
                <w:color w:val="000000" w:themeColor="text1"/>
                <w:sz w:val="24"/>
                <w:szCs w:val="24"/>
                <w:highlight w:val="none"/>
                <w14:textFill>
                  <w14:solidFill>
                    <w14:schemeClr w14:val="tx1"/>
                  </w14:solidFill>
                </w14:textFill>
              </w:rPr>
              <w:t>23）、《危险废物收集贮存运输技术规范》（</w:t>
            </w:r>
            <w:r>
              <w:rPr>
                <w:rFonts w:ascii="Times New Roman"/>
                <w:color w:val="000000" w:themeColor="text1"/>
                <w:sz w:val="24"/>
                <w:szCs w:val="24"/>
                <w:highlight w:val="none"/>
                <w14:textFill>
                  <w14:solidFill>
                    <w14:schemeClr w14:val="tx1"/>
                  </w14:solidFill>
                </w14:textFill>
              </w:rPr>
              <w:t>HJ2025-2012</w:t>
            </w:r>
            <w:r>
              <w:rPr>
                <w:rFonts w:hint="eastAsia" w:ascii="Times New Roman"/>
                <w:color w:val="000000" w:themeColor="text1"/>
                <w:sz w:val="24"/>
                <w:szCs w:val="24"/>
                <w:highlight w:val="none"/>
                <w14:textFill>
                  <w14:solidFill>
                    <w14:schemeClr w14:val="tx1"/>
                  </w14:solidFill>
                </w14:textFill>
              </w:rPr>
              <w:t>）及相关法律法规，对危险废物暂存场地及危废管理提出如下安全措施：</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a.危险废物存入贮存设施前应对危险废物类别和特性与危险废物标签等危险废物识别标志的一致性进行核验，不一致的或类别、特性不明的不应存入</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b.</w:t>
            </w:r>
            <w:r>
              <w:rPr>
                <w:rFonts w:hAnsi="宋体" w:cs="宋体"/>
                <w:color w:val="000000" w:themeColor="text1"/>
                <w:sz w:val="24"/>
                <w:szCs w:val="24"/>
                <w:highlight w:val="none"/>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c.</w:t>
            </w:r>
            <w:r>
              <w:rPr>
                <w:rFonts w:hAnsi="宋体" w:cs="宋体"/>
                <w:color w:val="000000" w:themeColor="text1"/>
                <w:sz w:val="24"/>
                <w:szCs w:val="24"/>
                <w:highlight w:val="none"/>
                <w14:textFill>
                  <w14:solidFill>
                    <w14:schemeClr w14:val="tx1"/>
                  </w14:solidFill>
                </w14:textFill>
              </w:rPr>
              <w:t>作业设备及车辆等结束作业离开贮存设施时，应对其残留的危险废物进行清理，清理的废物或清洗废水应收集处理</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d.</w:t>
            </w:r>
            <w:r>
              <w:rPr>
                <w:rFonts w:hAnsi="宋体" w:cs="宋体"/>
                <w:color w:val="000000" w:themeColor="text1"/>
                <w:sz w:val="24"/>
                <w:szCs w:val="24"/>
                <w:highlight w:val="none"/>
                <w14:textFill>
                  <w14:solidFill>
                    <w14:schemeClr w14:val="tx1"/>
                  </w14:solidFill>
                </w14:textFill>
              </w:rPr>
              <w:t>贮存设施</w:t>
            </w:r>
            <w:r>
              <w:rPr>
                <w:rFonts w:hint="eastAsia" w:hAnsi="宋体" w:cs="宋体"/>
                <w:color w:val="000000" w:themeColor="text1"/>
                <w:sz w:val="24"/>
                <w:szCs w:val="24"/>
                <w:highlight w:val="none"/>
                <w:lang w:eastAsia="zh-CN"/>
                <w14:textFill>
                  <w14:solidFill>
                    <w14:schemeClr w14:val="tx1"/>
                  </w14:solidFill>
                </w14:textFill>
              </w:rPr>
              <w:t>运营期</w:t>
            </w:r>
            <w:r>
              <w:rPr>
                <w:rFonts w:hAnsi="宋体" w:cs="宋体"/>
                <w:color w:val="000000" w:themeColor="text1"/>
                <w:sz w:val="24"/>
                <w:szCs w:val="24"/>
                <w:highlight w:val="none"/>
                <w14:textFill>
                  <w14:solidFill>
                    <w14:schemeClr w14:val="tx1"/>
                  </w14:solidFill>
                </w14:textFill>
              </w:rPr>
              <w:t>间，应按国家有关标准和规定建立危险废物管理台账并保存</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e.</w:t>
            </w:r>
            <w:r>
              <w:rPr>
                <w:rFonts w:hAnsi="宋体" w:cs="宋体"/>
                <w:color w:val="000000" w:themeColor="text1"/>
                <w:sz w:val="24"/>
                <w:szCs w:val="24"/>
                <w:highlight w:val="none"/>
                <w14:textFill>
                  <w14:solidFill>
                    <w14:schemeClr w14:val="tx1"/>
                  </w14:solidFill>
                </w14:textFill>
              </w:rPr>
              <w:t>贮存设施所有者或运营者应建立贮存设施环境管理制度、管理人员岗位职责制度、设施运行操作制度、人员岗位培训制度等</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f.</w:t>
            </w:r>
            <w:r>
              <w:rPr>
                <w:rFonts w:hAnsi="宋体" w:cs="宋体"/>
                <w:color w:val="000000" w:themeColor="text1"/>
                <w:sz w:val="24"/>
                <w:szCs w:val="24"/>
                <w:highlight w:val="none"/>
                <w14:textFill>
                  <w14:solidFill>
                    <w14:schemeClr w14:val="tx1"/>
                  </w14:solidFill>
                </w14:textFill>
              </w:rPr>
              <w:t>贮存设施所有者或运营者应依据国家土壤和地下水污染防治的有关规定，结合贮存设施特点建立土壤和地下水污染隐患排查制度，并定期开展隐患排查；发现隐患应及时采取措施消除隐患，并建立档案</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color w:val="000000" w:themeColor="text1"/>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g.</w:t>
            </w:r>
            <w:r>
              <w:rPr>
                <w:rFonts w:hAnsi="宋体" w:cs="宋体"/>
                <w:color w:val="000000" w:themeColor="text1"/>
                <w:sz w:val="24"/>
                <w:szCs w:val="24"/>
                <w:highlight w:val="none"/>
                <w14:textFill>
                  <w14:solidFill>
                    <w14:schemeClr w14:val="tx1"/>
                  </w14:solidFill>
                </w14:textFill>
              </w:rPr>
              <w:t>贮存设施所有者或运营者应建立贮存设施全部档案，包括设计、施工、验收、运行、监测和环境应急等，应按国家有关档案管理的法律法规进行整理和归档</w:t>
            </w:r>
            <w:r>
              <w:rPr>
                <w:rFonts w:hint="eastAsia"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（4）危险废物最终处置去向分析</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本项目</w:t>
            </w:r>
            <w:r>
              <w:rPr>
                <w:rFonts w:ascii="Times New Roman"/>
                <w:color w:val="000000" w:themeColor="text1"/>
                <w:sz w:val="24"/>
                <w:szCs w:val="24"/>
                <w:highlight w:val="none"/>
                <w14:textFill>
                  <w14:solidFill>
                    <w14:schemeClr w14:val="tx1"/>
                  </w14:solidFill>
                </w14:textFill>
              </w:rPr>
              <w:t>位于承德市</w:t>
            </w:r>
            <w:r>
              <w:rPr>
                <w:rFonts w:hint="eastAsia" w:ascii="Times New Roman"/>
                <w:color w:val="000000" w:themeColor="text1"/>
                <w:sz w:val="24"/>
                <w:szCs w:val="24"/>
                <w:highlight w:val="none"/>
                <w:lang w:eastAsia="zh-CN"/>
                <w14:textFill>
                  <w14:solidFill>
                    <w14:schemeClr w14:val="tx1"/>
                  </w14:solidFill>
                </w14:textFill>
              </w:rPr>
              <w:t>围场满族蒙古族自治县围场镇坡字村坡来南沟东北约1.97km</w:t>
            </w:r>
            <w:r>
              <w:rPr>
                <w:rFonts w:hint="eastAsia" w:ascii="Times New Roman"/>
                <w:color w:val="000000" w:themeColor="text1"/>
                <w:sz w:val="24"/>
                <w:szCs w:val="24"/>
                <w:highlight w:val="none"/>
                <w14:textFill>
                  <w14:solidFill>
                    <w14:schemeClr w14:val="tx1"/>
                  </w14:solidFill>
                </w14:textFill>
              </w:rPr>
              <w:t>，本项目需要处置的危险废物为变压器事故油、废蓄电池</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废机油、废润滑油</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废变压器油</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废油桶，本项目暂未签订危废协议，根据河北省人民政府网站公布河北省危险废物经营许可证发放情况，给出</w:t>
            </w:r>
            <w:r>
              <w:rPr>
                <w:rFonts w:hint="eastAsia" w:ascii="Times New Roman"/>
                <w:color w:val="000000" w:themeColor="text1"/>
                <w:sz w:val="24"/>
                <w:szCs w:val="24"/>
                <w:highlight w:val="none"/>
                <w:lang w:val="en-US" w:eastAsia="zh-CN"/>
                <w14:textFill>
                  <w14:solidFill>
                    <w14:schemeClr w14:val="tx1"/>
                  </w14:solidFill>
                </w14:textFill>
              </w:rPr>
              <w:t>6</w:t>
            </w:r>
            <w:r>
              <w:rPr>
                <w:rFonts w:hint="eastAsia" w:ascii="Times New Roman"/>
                <w:color w:val="000000" w:themeColor="text1"/>
                <w:sz w:val="24"/>
                <w:szCs w:val="24"/>
                <w:highlight w:val="none"/>
                <w14:textFill>
                  <w14:solidFill>
                    <w14:schemeClr w14:val="tx1"/>
                  </w14:solidFill>
                </w14:textFill>
              </w:rPr>
              <w:t>家能接纳本项目危废的危险废物处置单位可供企业选择。</w:t>
            </w:r>
          </w:p>
          <w:p>
            <w:pPr>
              <w:pStyle w:val="51"/>
              <w:ind w:firstLine="0"/>
              <w:jc w:val="center"/>
              <w:rPr>
                <w:rFonts w:ascii="Times New Roman"/>
                <w:b/>
                <w:bCs/>
                <w:color w:val="000000" w:themeColor="text1"/>
                <w:highlight w:val="none"/>
                <w14:textFill>
                  <w14:solidFill>
                    <w14:schemeClr w14:val="tx1"/>
                  </w14:solidFill>
                </w14:textFill>
              </w:rPr>
            </w:pPr>
            <w:r>
              <w:rPr>
                <w:rFonts w:hint="eastAsia" w:ascii="Times New Roman"/>
                <w:b/>
                <w:bCs/>
                <w:color w:val="000000" w:themeColor="text1"/>
                <w:highlight w:val="none"/>
                <w14:textFill>
                  <w14:solidFill>
                    <w14:schemeClr w14:val="tx1"/>
                  </w14:solidFill>
                </w14:textFill>
              </w:rPr>
              <w:t>表4-</w:t>
            </w:r>
            <w:r>
              <w:rPr>
                <w:rFonts w:hint="eastAsia" w:ascii="Times New Roman"/>
                <w:b/>
                <w:bCs/>
                <w:color w:val="000000" w:themeColor="text1"/>
                <w:highlight w:val="none"/>
                <w:lang w:val="en-US" w:eastAsia="zh-CN"/>
                <w14:textFill>
                  <w14:solidFill>
                    <w14:schemeClr w14:val="tx1"/>
                  </w14:solidFill>
                </w14:textFill>
              </w:rPr>
              <w:t>8</w:t>
            </w:r>
            <w:r>
              <w:rPr>
                <w:rFonts w:hint="eastAsia" w:ascii="Times New Roman"/>
                <w:b/>
                <w:bCs/>
                <w:color w:val="000000" w:themeColor="text1"/>
                <w:highlight w:val="none"/>
                <w14:textFill>
                  <w14:solidFill>
                    <w14:schemeClr w14:val="tx1"/>
                  </w14:solidFill>
                </w14:textFill>
              </w:rPr>
              <w:t xml:space="preserve">  危废处置单位分析一览表</w:t>
            </w:r>
          </w:p>
          <w:tbl>
            <w:tblPr>
              <w:tblStyle w:val="5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4"/>
              <w:gridCol w:w="1266"/>
              <w:gridCol w:w="2022"/>
              <w:gridCol w:w="1576"/>
              <w:gridCol w:w="1628"/>
              <w:gridCol w:w="11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序号</w:t>
                  </w:r>
                </w:p>
              </w:tc>
              <w:tc>
                <w:tcPr>
                  <w:tcW w:w="76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单位名称</w:t>
                  </w:r>
                </w:p>
              </w:tc>
              <w:tc>
                <w:tcPr>
                  <w:tcW w:w="122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经营资质有效期</w:t>
                  </w:r>
                </w:p>
              </w:tc>
              <w:tc>
                <w:tcPr>
                  <w:tcW w:w="95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所属区县</w:t>
                  </w:r>
                </w:p>
              </w:tc>
              <w:tc>
                <w:tcPr>
                  <w:tcW w:w="987"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经营范围</w:t>
                  </w:r>
                </w:p>
              </w:tc>
              <w:tc>
                <w:tcPr>
                  <w:tcW w:w="712"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规模及类别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1</w:t>
                  </w:r>
                </w:p>
              </w:tc>
              <w:tc>
                <w:tcPr>
                  <w:tcW w:w="76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唐山洁城危废处理有限公司</w:t>
                  </w:r>
                </w:p>
              </w:tc>
              <w:tc>
                <w:tcPr>
                  <w:tcW w:w="122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冀环危许201810号</w:t>
                  </w:r>
                </w:p>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20</w:t>
                  </w:r>
                  <w:r>
                    <w:rPr>
                      <w:rFonts w:hint="eastAsia" w:ascii="Times New Roman"/>
                      <w:color w:val="000000" w:themeColor="text1"/>
                      <w:kern w:val="0"/>
                      <w:highlight w:val="none"/>
                      <w14:textFill>
                        <w14:solidFill>
                          <w14:schemeClr w14:val="tx1"/>
                        </w14:solidFill>
                      </w14:textFill>
                    </w:rPr>
                    <w:t>19.95</w:t>
                  </w:r>
                  <w:r>
                    <w:rPr>
                      <w:rFonts w:ascii="Times New Roman"/>
                      <w:color w:val="000000" w:themeColor="text1"/>
                      <w:kern w:val="0"/>
                      <w:highlight w:val="none"/>
                      <w14:textFill>
                        <w14:solidFill>
                          <w14:schemeClr w14:val="tx1"/>
                        </w14:solidFill>
                      </w14:textFill>
                    </w:rPr>
                    <w:t>-202</w:t>
                  </w:r>
                  <w:r>
                    <w:rPr>
                      <w:rFonts w:hint="eastAsia" w:ascii="Times New Roman"/>
                      <w:color w:val="000000" w:themeColor="text1"/>
                      <w:kern w:val="0"/>
                      <w:highlight w:val="none"/>
                      <w14:textFill>
                        <w14:solidFill>
                          <w14:schemeClr w14:val="tx1"/>
                        </w14:solidFill>
                      </w14:textFill>
                    </w:rPr>
                    <w:t>4.9.4</w:t>
                  </w:r>
                </w:p>
              </w:tc>
              <w:tc>
                <w:tcPr>
                  <w:tcW w:w="95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唐山市丰南区尖子沽乡</w:t>
                  </w:r>
                </w:p>
              </w:tc>
              <w:tc>
                <w:tcPr>
                  <w:tcW w:w="987"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固化（稳定化）填埋处置：HW31</w:t>
                  </w:r>
                </w:p>
              </w:tc>
              <w:tc>
                <w:tcPr>
                  <w:tcW w:w="712"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固化（稳定化）填埋处置：9043.01吨/年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2</w:t>
                  </w:r>
                </w:p>
              </w:tc>
              <w:tc>
                <w:tcPr>
                  <w:tcW w:w="768"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万德斯（唐山曹妃甸）环保科技有限公司</w:t>
                  </w:r>
                </w:p>
              </w:tc>
              <w:tc>
                <w:tcPr>
                  <w:tcW w:w="122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14:textFill>
                        <w14:solidFill>
                          <w14:schemeClr w14:val="tx1"/>
                        </w14:solidFill>
                      </w14:textFill>
                    </w:rPr>
                    <w:t>冀环危证202103号202</w:t>
                  </w:r>
                  <w:r>
                    <w:rPr>
                      <w:rFonts w:hint="eastAsia" w:ascii="Times New Roman"/>
                      <w:color w:val="000000" w:themeColor="text1"/>
                      <w:kern w:val="0"/>
                      <w:highlight w:val="none"/>
                      <w14:textFill>
                        <w14:solidFill>
                          <w14:schemeClr w14:val="tx1"/>
                        </w14:solidFill>
                      </w14:textFill>
                    </w:rPr>
                    <w:t>2.11.5</w:t>
                  </w:r>
                  <w:r>
                    <w:rPr>
                      <w:rFonts w:ascii="Times New Roman"/>
                      <w:color w:val="000000" w:themeColor="text1"/>
                      <w:kern w:val="0"/>
                      <w:highlight w:val="none"/>
                      <w14:textFill>
                        <w14:solidFill>
                          <w14:schemeClr w14:val="tx1"/>
                        </w14:solidFill>
                      </w14:textFill>
                    </w:rPr>
                    <w:t>-202</w:t>
                  </w:r>
                  <w:r>
                    <w:rPr>
                      <w:rFonts w:hint="eastAsia" w:ascii="Times New Roman"/>
                      <w:color w:val="000000" w:themeColor="text1"/>
                      <w:kern w:val="0"/>
                      <w:highlight w:val="none"/>
                      <w14:textFill>
                        <w14:solidFill>
                          <w14:schemeClr w14:val="tx1"/>
                        </w14:solidFill>
                      </w14:textFill>
                    </w:rPr>
                    <w:t>4.5.3</w:t>
                  </w:r>
                </w:p>
              </w:tc>
              <w:tc>
                <w:tcPr>
                  <w:tcW w:w="956"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highlight w:val="none"/>
                      <w14:textFill>
                        <w14:solidFill>
                          <w14:schemeClr w14:val="tx1"/>
                        </w14:solidFill>
                      </w14:textFill>
                    </w:rPr>
                    <w:t>唐山市曹妃甸区中小企业园区</w:t>
                  </w:r>
                </w:p>
              </w:tc>
              <w:tc>
                <w:tcPr>
                  <w:tcW w:w="987" w:type="pct"/>
                  <w:noWrap w:val="0"/>
                  <w:vAlign w:val="center"/>
                </w:tcPr>
                <w:p>
                  <w:pPr>
                    <w:jc w:val="center"/>
                    <w:rPr>
                      <w:rFonts w:hint="eastAsia" w:ascii="Times New Roman" w:eastAsia="宋体"/>
                      <w:color w:val="000000" w:themeColor="text1"/>
                      <w:kern w:val="0"/>
                      <w:highlight w:val="none"/>
                      <w:lang w:val="en-US" w:eastAsia="zh-CN"/>
                      <w14:textFill>
                        <w14:solidFill>
                          <w14:schemeClr w14:val="tx1"/>
                        </w14:solidFill>
                      </w14:textFill>
                    </w:rPr>
                  </w:pPr>
                  <w:r>
                    <w:rPr>
                      <w:rFonts w:ascii="Times New Roman"/>
                      <w:color w:val="000000" w:themeColor="text1"/>
                      <w:kern w:val="0"/>
                      <w:highlight w:val="none"/>
                      <w14:textFill>
                        <w14:solidFill>
                          <w14:schemeClr w14:val="tx1"/>
                        </w14:solidFill>
                      </w14:textFill>
                    </w:rPr>
                    <w:t>固化（稳定化）填埋处置：HW3</w:t>
                  </w:r>
                  <w:r>
                    <w:rPr>
                      <w:rFonts w:hint="eastAsia" w:ascii="Times New Roman"/>
                      <w:color w:val="000000" w:themeColor="text1"/>
                      <w:kern w:val="0"/>
                      <w:highlight w:val="none"/>
                      <w:lang w:val="en-US" w:eastAsia="zh-CN"/>
                      <w14:textFill>
                        <w14:solidFill>
                          <w14:schemeClr w14:val="tx1"/>
                        </w14:solidFill>
                      </w14:textFill>
                    </w:rPr>
                    <w:t>1</w:t>
                  </w:r>
                </w:p>
              </w:tc>
              <w:tc>
                <w:tcPr>
                  <w:tcW w:w="712" w:type="pct"/>
                  <w:noWrap w:val="0"/>
                  <w:vAlign w:val="center"/>
                </w:tcPr>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highlight w:val="none"/>
                      <w14:textFill>
                        <w14:solidFill>
                          <w14:schemeClr w14:val="tx1"/>
                        </w14:solidFill>
                      </w14:textFill>
                    </w:rPr>
                    <w:t>固化填埋处置21214吨/年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348" w:type="pct"/>
                  <w:noWrap w:val="0"/>
                  <w:vAlign w:val="center"/>
                </w:tcPr>
                <w:p>
                  <w:pPr>
                    <w:jc w:val="center"/>
                    <w:rPr>
                      <w:rFonts w:hint="eastAsia"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3</w:t>
                  </w:r>
                </w:p>
              </w:tc>
              <w:tc>
                <w:tcPr>
                  <w:tcW w:w="768"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承德畅拓环保科技有限公司</w:t>
                  </w:r>
                </w:p>
              </w:tc>
              <w:tc>
                <w:tcPr>
                  <w:tcW w:w="1226" w:type="pct"/>
                  <w:noWrap w:val="0"/>
                  <w:vAlign w:val="center"/>
                </w:tcPr>
                <w:p>
                  <w:pPr>
                    <w:jc w:val="center"/>
                    <w:rPr>
                      <w:color w:val="000000" w:themeColor="text1"/>
                      <w:kern w:val="0"/>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承危收试〔</w:t>
                  </w:r>
                  <w:r>
                    <w:rPr>
                      <w:rFonts w:ascii="Times New Roman"/>
                      <w:color w:val="000000" w:themeColor="text1"/>
                      <w:kern w:val="0"/>
                      <w:highlight w:val="none"/>
                      <w:lang w:bidi="ar"/>
                      <w14:textFill>
                        <w14:solidFill>
                          <w14:schemeClr w14:val="tx1"/>
                        </w14:solidFill>
                      </w14:textFill>
                    </w:rPr>
                    <w:t>2024</w:t>
                  </w:r>
                  <w:r>
                    <w:rPr>
                      <w:rFonts w:hint="eastAsia" w:ascii="Times New Roman" w:cs="宋体"/>
                      <w:color w:val="000000" w:themeColor="text1"/>
                      <w:kern w:val="0"/>
                      <w:highlight w:val="none"/>
                      <w:lang w:bidi="ar"/>
                      <w14:textFill>
                        <w14:solidFill>
                          <w14:schemeClr w14:val="tx1"/>
                        </w14:solidFill>
                      </w14:textFill>
                    </w:rPr>
                    <w:t>〕</w:t>
                  </w:r>
                  <w:r>
                    <w:rPr>
                      <w:rFonts w:ascii="Times New Roman"/>
                      <w:color w:val="000000" w:themeColor="text1"/>
                      <w:kern w:val="0"/>
                      <w:highlight w:val="none"/>
                      <w:lang w:bidi="ar"/>
                      <w14:textFill>
                        <w14:solidFill>
                          <w14:schemeClr w14:val="tx1"/>
                        </w14:solidFill>
                      </w14:textFill>
                    </w:rPr>
                    <w:t>004</w:t>
                  </w:r>
                  <w:r>
                    <w:rPr>
                      <w:rFonts w:hint="eastAsia" w:ascii="Times New Roman" w:cs="宋体"/>
                      <w:color w:val="000000" w:themeColor="text1"/>
                      <w:kern w:val="0"/>
                      <w:highlight w:val="none"/>
                      <w:lang w:bidi="ar"/>
                      <w14:textFill>
                        <w14:solidFill>
                          <w14:schemeClr w14:val="tx1"/>
                        </w14:solidFill>
                      </w14:textFill>
                    </w:rPr>
                    <w:t>号</w:t>
                  </w:r>
                </w:p>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lang w:bidi="ar"/>
                      <w14:textFill>
                        <w14:solidFill>
                          <w14:schemeClr w14:val="tx1"/>
                        </w14:solidFill>
                      </w14:textFill>
                    </w:rPr>
                    <w:t>2024.1.1-2025.12.31</w:t>
                  </w:r>
                </w:p>
              </w:tc>
              <w:tc>
                <w:tcPr>
                  <w:tcW w:w="956"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承德市双滦工业园区滦河电厂西侧双滦山河机械厂院内</w:t>
                  </w:r>
                </w:p>
              </w:tc>
              <w:tc>
                <w:tcPr>
                  <w:tcW w:w="987"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废铅蓄电池（</w:t>
                  </w:r>
                  <w:r>
                    <w:rPr>
                      <w:rFonts w:ascii="Times New Roman"/>
                      <w:color w:val="000000" w:themeColor="text1"/>
                      <w:kern w:val="0"/>
                      <w:highlight w:val="none"/>
                      <w:lang w:bidi="ar"/>
                      <w14:textFill>
                        <w14:solidFill>
                          <w14:schemeClr w14:val="tx1"/>
                        </w14:solidFill>
                      </w14:textFill>
                    </w:rPr>
                    <w:t>900-052-31</w:t>
                  </w:r>
                  <w:r>
                    <w:rPr>
                      <w:rFonts w:hint="eastAsia" w:ascii="Times New Roman" w:cs="宋体"/>
                      <w:color w:val="000000" w:themeColor="text1"/>
                      <w:kern w:val="0"/>
                      <w:highlight w:val="none"/>
                      <w:lang w:bidi="ar"/>
                      <w14:textFill>
                        <w14:solidFill>
                          <w14:schemeClr w14:val="tx1"/>
                        </w14:solidFill>
                      </w14:textFill>
                    </w:rPr>
                    <w:t>）</w:t>
                  </w:r>
                </w:p>
              </w:tc>
              <w:tc>
                <w:tcPr>
                  <w:tcW w:w="712"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kern w:val="0"/>
                      <w:highlight w:val="none"/>
                      <w:lang w:bidi="ar"/>
                      <w14:textFill>
                        <w14:solidFill>
                          <w14:schemeClr w14:val="tx1"/>
                        </w14:solidFill>
                      </w14:textFill>
                    </w:rPr>
                    <w:t>3000</w:t>
                  </w:r>
                  <w:r>
                    <w:rPr>
                      <w:rFonts w:hint="eastAsia" w:ascii="Times New Roman" w:cs="宋体"/>
                      <w:color w:val="000000" w:themeColor="text1"/>
                      <w:kern w:val="0"/>
                      <w:highlight w:val="none"/>
                      <w:lang w:bidi="ar"/>
                      <w14:textFill>
                        <w14:solidFill>
                          <w14:schemeClr w14:val="tx1"/>
                        </w14:solidFill>
                      </w14:textFill>
                    </w:rPr>
                    <w:t>吨</w:t>
                  </w:r>
                  <w:r>
                    <w:rPr>
                      <w:rFonts w:ascii="Times New Roman"/>
                      <w:color w:val="000000" w:themeColor="text1"/>
                      <w:kern w:val="0"/>
                      <w:highlight w:val="none"/>
                      <w:lang w:bidi="ar"/>
                      <w14:textFill>
                        <w14:solidFill>
                          <w14:schemeClr w14:val="tx1"/>
                        </w14:solidFill>
                      </w14:textFill>
                    </w:rPr>
                    <w:t>/</w:t>
                  </w:r>
                  <w:r>
                    <w:rPr>
                      <w:rFonts w:hint="eastAsia" w:ascii="Times New Roman" w:cs="宋体"/>
                      <w:color w:val="000000" w:themeColor="text1"/>
                      <w:kern w:val="0"/>
                      <w:highlight w:val="none"/>
                      <w:lang w:bidi="ar"/>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hint="eastAsia" w:ascii="Times New Roman"/>
                      <w:color w:val="000000" w:themeColor="text1"/>
                      <w:kern w:val="0"/>
                      <w:highlight w:val="none"/>
                      <w14:textFill>
                        <w14:solidFill>
                          <w14:schemeClr w14:val="tx1"/>
                        </w14:solidFill>
                      </w14:textFill>
                    </w:rPr>
                  </w:pPr>
                  <w:r>
                    <w:rPr>
                      <w:rFonts w:hint="eastAsia" w:ascii="Times New Roman"/>
                      <w:color w:val="000000" w:themeColor="text1"/>
                      <w:kern w:val="0"/>
                      <w:highlight w:val="none"/>
                      <w14:textFill>
                        <w14:solidFill>
                          <w14:schemeClr w14:val="tx1"/>
                        </w14:solidFill>
                      </w14:textFill>
                    </w:rPr>
                    <w:t>4</w:t>
                  </w:r>
                </w:p>
              </w:tc>
              <w:tc>
                <w:tcPr>
                  <w:tcW w:w="768"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承德雅舍再生资源回收有限公司</w:t>
                  </w:r>
                </w:p>
              </w:tc>
              <w:tc>
                <w:tcPr>
                  <w:tcW w:w="1226" w:type="pct"/>
                  <w:noWrap w:val="0"/>
                  <w:vAlign w:val="center"/>
                </w:tcPr>
                <w:p>
                  <w:pPr>
                    <w:jc w:val="center"/>
                    <w:rPr>
                      <w:color w:val="000000" w:themeColor="text1"/>
                      <w:kern w:val="0"/>
                      <w:highlight w:val="none"/>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承危收试〔</w:t>
                  </w:r>
                  <w:r>
                    <w:rPr>
                      <w:rFonts w:ascii="Times New Roman"/>
                      <w:color w:val="000000" w:themeColor="text1"/>
                      <w:kern w:val="0"/>
                      <w:highlight w:val="none"/>
                      <w:lang w:bidi="ar"/>
                      <w14:textFill>
                        <w14:solidFill>
                          <w14:schemeClr w14:val="tx1"/>
                        </w14:solidFill>
                      </w14:textFill>
                    </w:rPr>
                    <w:t>2024</w:t>
                  </w:r>
                  <w:r>
                    <w:rPr>
                      <w:rFonts w:hint="eastAsia" w:ascii="Times New Roman" w:cs="宋体"/>
                      <w:color w:val="000000" w:themeColor="text1"/>
                      <w:kern w:val="0"/>
                      <w:highlight w:val="none"/>
                      <w:lang w:bidi="ar"/>
                      <w14:textFill>
                        <w14:solidFill>
                          <w14:schemeClr w14:val="tx1"/>
                        </w14:solidFill>
                      </w14:textFill>
                    </w:rPr>
                    <w:t>〕</w:t>
                  </w:r>
                  <w:r>
                    <w:rPr>
                      <w:rFonts w:ascii="Times New Roman"/>
                      <w:color w:val="000000" w:themeColor="text1"/>
                      <w:kern w:val="0"/>
                      <w:highlight w:val="none"/>
                      <w:lang w:bidi="ar"/>
                      <w14:textFill>
                        <w14:solidFill>
                          <w14:schemeClr w14:val="tx1"/>
                        </w14:solidFill>
                      </w14:textFill>
                    </w:rPr>
                    <w:t>005</w:t>
                  </w:r>
                  <w:r>
                    <w:rPr>
                      <w:rFonts w:hint="eastAsia" w:ascii="Times New Roman" w:cs="宋体"/>
                      <w:color w:val="000000" w:themeColor="text1"/>
                      <w:kern w:val="0"/>
                      <w:highlight w:val="none"/>
                      <w:lang w:bidi="ar"/>
                      <w14:textFill>
                        <w14:solidFill>
                          <w14:schemeClr w14:val="tx1"/>
                        </w14:solidFill>
                      </w14:textFill>
                    </w:rPr>
                    <w:t>号</w:t>
                  </w:r>
                </w:p>
                <w:p>
                  <w:pPr>
                    <w:jc w:val="center"/>
                    <w:rPr>
                      <w:rFonts w:ascii="Times New Roman"/>
                      <w:color w:val="000000" w:themeColor="text1"/>
                      <w:kern w:val="0"/>
                      <w:highlight w:val="none"/>
                      <w14:textFill>
                        <w14:solidFill>
                          <w14:schemeClr w14:val="tx1"/>
                        </w14:solidFill>
                      </w14:textFill>
                    </w:rPr>
                  </w:pPr>
                  <w:r>
                    <w:rPr>
                      <w:rFonts w:ascii="Times New Roman"/>
                      <w:color w:val="000000" w:themeColor="text1"/>
                      <w:kern w:val="0"/>
                      <w:highlight w:val="none"/>
                      <w:lang w:bidi="ar"/>
                      <w14:textFill>
                        <w14:solidFill>
                          <w14:schemeClr w14:val="tx1"/>
                        </w14:solidFill>
                      </w14:textFill>
                    </w:rPr>
                    <w:t>2024.1.1-2025.12.31</w:t>
                  </w:r>
                </w:p>
              </w:tc>
              <w:tc>
                <w:tcPr>
                  <w:tcW w:w="956"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承德市宽城满族自治县龙须门镇龙须门村后山</w:t>
                  </w:r>
                </w:p>
              </w:tc>
              <w:tc>
                <w:tcPr>
                  <w:tcW w:w="987" w:type="pct"/>
                  <w:noWrap w:val="0"/>
                  <w:vAlign w:val="center"/>
                </w:tcPr>
                <w:p>
                  <w:pPr>
                    <w:jc w:val="center"/>
                    <w:rPr>
                      <w:rFonts w:ascii="Times New Roman"/>
                      <w:color w:val="000000" w:themeColor="text1"/>
                      <w:kern w:val="0"/>
                      <w:highlight w:val="none"/>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废铅蓄电池（</w:t>
                  </w:r>
                  <w:r>
                    <w:rPr>
                      <w:rFonts w:ascii="Times New Roman"/>
                      <w:color w:val="000000" w:themeColor="text1"/>
                      <w:highlight w:val="none"/>
                      <w:lang w:bidi="ar"/>
                      <w14:textFill>
                        <w14:solidFill>
                          <w14:schemeClr w14:val="tx1"/>
                        </w14:solidFill>
                      </w14:textFill>
                    </w:rPr>
                    <w:t>900-052-31</w:t>
                  </w:r>
                  <w:r>
                    <w:rPr>
                      <w:rFonts w:hint="eastAsia" w:ascii="Times New Roman" w:cs="宋体"/>
                      <w:color w:val="000000" w:themeColor="text1"/>
                      <w:highlight w:val="none"/>
                      <w:lang w:bidi="ar"/>
                      <w14:textFill>
                        <w14:solidFill>
                          <w14:schemeClr w14:val="tx1"/>
                        </w14:solidFill>
                      </w14:textFill>
                    </w:rPr>
                    <w:t>）</w:t>
                  </w:r>
                </w:p>
              </w:tc>
              <w:tc>
                <w:tcPr>
                  <w:tcW w:w="712" w:type="pct"/>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lang w:bidi="ar"/>
                      <w14:textFill>
                        <w14:solidFill>
                          <w14:schemeClr w14:val="tx1"/>
                        </w14:solidFill>
                      </w14:textFill>
                    </w:rPr>
                    <w:t>1850</w:t>
                  </w:r>
                  <w:r>
                    <w:rPr>
                      <w:rFonts w:hint="eastAsia" w:ascii="Times New Roman" w:cs="宋体"/>
                      <w:color w:val="000000" w:themeColor="text1"/>
                      <w:highlight w:val="none"/>
                      <w:lang w:bidi="ar"/>
                      <w14:textFill>
                        <w14:solidFill>
                          <w14:schemeClr w14:val="tx1"/>
                        </w14:solidFill>
                      </w14:textFill>
                    </w:rPr>
                    <w:t>吨</w:t>
                  </w:r>
                  <w:r>
                    <w:rPr>
                      <w:rFonts w:ascii="Times New Roman"/>
                      <w:color w:val="000000" w:themeColor="text1"/>
                      <w:highlight w:val="none"/>
                      <w:lang w:bidi="ar"/>
                      <w14:textFill>
                        <w14:solidFill>
                          <w14:schemeClr w14:val="tx1"/>
                        </w14:solidFill>
                      </w14:textFill>
                    </w:rPr>
                    <w:t>/</w:t>
                  </w:r>
                  <w:r>
                    <w:rPr>
                      <w:rFonts w:hint="eastAsia" w:ascii="Times New Roman" w:cs="宋体"/>
                      <w:color w:val="000000" w:themeColor="text1"/>
                      <w:highlight w:val="none"/>
                      <w:lang w:bidi="ar"/>
                      <w14:textFill>
                        <w14:solidFill>
                          <w14:schemeClr w14:val="tx1"/>
                        </w14:solidFill>
                      </w14:textFill>
                    </w:rPr>
                    <w:t>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hint="eastAsia" w:ascii="Times New Roman" w:eastAsia="宋体"/>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5</w:t>
                  </w:r>
                </w:p>
              </w:tc>
              <w:tc>
                <w:tcPr>
                  <w:tcW w:w="768" w:type="pct"/>
                  <w:noWrap w:val="0"/>
                  <w:vAlign w:val="center"/>
                </w:tcPr>
                <w:p>
                  <w:pPr>
                    <w:jc w:val="center"/>
                    <w:rPr>
                      <w:rFonts w:hint="eastAsia" w:ascii="Times New Roman" w:cs="宋体"/>
                      <w:color w:val="000000" w:themeColor="text1"/>
                      <w:kern w:val="0"/>
                      <w:highlight w:val="none"/>
                      <w:lang w:bidi="ar"/>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承德市惠环环境科技有限公司</w:t>
                  </w:r>
                </w:p>
              </w:tc>
              <w:tc>
                <w:tcPr>
                  <w:tcW w:w="1226" w:type="pct"/>
                  <w:noWrap w:val="0"/>
                  <w:vAlign w:val="center"/>
                </w:tcPr>
                <w:p>
                  <w:pPr>
                    <w:jc w:val="center"/>
                    <w:rPr>
                      <w:rFonts w:ascii="Times New Roman"/>
                      <w:color w:val="000000" w:themeColor="text1"/>
                      <w:kern w:val="0"/>
                      <w:highlight w:val="none"/>
                      <w:lang w:bidi="ar"/>
                      <w14:textFill>
                        <w14:solidFill>
                          <w14:schemeClr w14:val="tx1"/>
                        </w14:solidFill>
                      </w14:textFill>
                    </w:rPr>
                  </w:pPr>
                  <w:r>
                    <w:rPr>
                      <w:rFonts w:hint="eastAsia" w:ascii="Times New Roman"/>
                      <w:color w:val="000000" w:themeColor="text1"/>
                      <w:kern w:val="0"/>
                      <w:highlight w:val="none"/>
                      <w:lang w:bidi="ar"/>
                      <w14:textFill>
                        <w14:solidFill>
                          <w14:schemeClr w14:val="tx1"/>
                        </w14:solidFill>
                      </w14:textFill>
                    </w:rPr>
                    <w:t>承危收试〔2024〕002号2024.1.1-2025.12.31</w:t>
                  </w:r>
                </w:p>
              </w:tc>
              <w:tc>
                <w:tcPr>
                  <w:tcW w:w="956" w:type="pct"/>
                  <w:noWrap w:val="0"/>
                  <w:vAlign w:val="center"/>
                </w:tcPr>
                <w:p>
                  <w:pPr>
                    <w:jc w:val="center"/>
                    <w:rPr>
                      <w:rFonts w:hint="eastAsia" w:ascii="Times New Roman" w:cs="宋体"/>
                      <w:color w:val="000000" w:themeColor="text1"/>
                      <w:highlight w:val="none"/>
                      <w:lang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河北省承德市宽城满族自治县龙须门镇小龙须门村河北万聚达家具有限公司厂区1号车间</w:t>
                  </w:r>
                </w:p>
              </w:tc>
              <w:tc>
                <w:tcPr>
                  <w:tcW w:w="987" w:type="pct"/>
                  <w:noWrap w:val="0"/>
                  <w:vAlign w:val="center"/>
                </w:tcPr>
                <w:p>
                  <w:pPr>
                    <w:jc w:val="center"/>
                    <w:rPr>
                      <w:rFonts w:hint="eastAsia" w:ascii="Times New Roman" w:cs="宋体"/>
                      <w:color w:val="000000" w:themeColor="text1"/>
                      <w:highlight w:val="none"/>
                      <w:lang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HW03、HW08、HW09类（废矿物油与含矿物油废物）等13类</w:t>
                  </w:r>
                </w:p>
              </w:tc>
              <w:tc>
                <w:tcPr>
                  <w:tcW w:w="712" w:type="pct"/>
                  <w:noWrap w:val="0"/>
                  <w:vAlign w:val="center"/>
                </w:tcPr>
                <w:p>
                  <w:pPr>
                    <w:jc w:val="center"/>
                    <w:rPr>
                      <w:rFonts w:hint="eastAsia" w:ascii="Times New Roman" w:eastAsia="宋体"/>
                      <w:color w:val="000000" w:themeColor="text1"/>
                      <w:highlight w:val="none"/>
                      <w:lang w:eastAsia="zh-CN"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11000吨/年</w:t>
                  </w:r>
                  <w:r>
                    <w:rPr>
                      <w:rFonts w:hint="eastAsia" w:ascii="Times New Roman" w:cs="宋体"/>
                      <w:color w:val="000000" w:themeColor="text1"/>
                      <w:highlight w:val="none"/>
                      <w:lang w:eastAsia="zh-CN" w:bidi="ar"/>
                      <w14:textFill>
                        <w14:solidFill>
                          <w14:schemeClr w14:val="tx1"/>
                        </w14:solidFill>
                      </w14:textFill>
                    </w:rPr>
                    <w:t>（HW08类7000吨/年、其他类危废4000吨/年）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48" w:type="pct"/>
                  <w:noWrap w:val="0"/>
                  <w:vAlign w:val="center"/>
                </w:tcPr>
                <w:p>
                  <w:pPr>
                    <w:jc w:val="center"/>
                    <w:rPr>
                      <w:rFonts w:hint="default" w:ascii="Times New Roman"/>
                      <w:color w:val="000000" w:themeColor="text1"/>
                      <w:kern w:val="0"/>
                      <w:highlight w:val="none"/>
                      <w:lang w:val="en-US" w:eastAsia="zh-CN"/>
                      <w14:textFill>
                        <w14:solidFill>
                          <w14:schemeClr w14:val="tx1"/>
                        </w14:solidFill>
                      </w14:textFill>
                    </w:rPr>
                  </w:pPr>
                  <w:r>
                    <w:rPr>
                      <w:rFonts w:hint="eastAsia" w:ascii="Times New Roman"/>
                      <w:color w:val="000000" w:themeColor="text1"/>
                      <w:kern w:val="0"/>
                      <w:highlight w:val="none"/>
                      <w:lang w:val="en-US" w:eastAsia="zh-CN"/>
                      <w14:textFill>
                        <w14:solidFill>
                          <w14:schemeClr w14:val="tx1"/>
                        </w14:solidFill>
                      </w14:textFill>
                    </w:rPr>
                    <w:t>6</w:t>
                  </w:r>
                </w:p>
              </w:tc>
              <w:tc>
                <w:tcPr>
                  <w:tcW w:w="768" w:type="pct"/>
                  <w:noWrap w:val="0"/>
                  <w:vAlign w:val="center"/>
                </w:tcPr>
                <w:p>
                  <w:pPr>
                    <w:jc w:val="center"/>
                    <w:rPr>
                      <w:rFonts w:hint="eastAsia" w:ascii="Times New Roman" w:cs="宋体"/>
                      <w:color w:val="000000" w:themeColor="text1"/>
                      <w:kern w:val="0"/>
                      <w:highlight w:val="none"/>
                      <w:lang w:bidi="ar"/>
                      <w14:textFill>
                        <w14:solidFill>
                          <w14:schemeClr w14:val="tx1"/>
                        </w14:solidFill>
                      </w14:textFill>
                    </w:rPr>
                  </w:pPr>
                  <w:r>
                    <w:rPr>
                      <w:rFonts w:hint="eastAsia" w:ascii="Times New Roman" w:cs="宋体"/>
                      <w:color w:val="000000" w:themeColor="text1"/>
                      <w:kern w:val="0"/>
                      <w:highlight w:val="none"/>
                      <w:lang w:bidi="ar"/>
                      <w14:textFill>
                        <w14:solidFill>
                          <w14:schemeClr w14:val="tx1"/>
                        </w14:solidFill>
                      </w14:textFill>
                    </w:rPr>
                    <w:t>承德顺邦再生资源回收利用有限公司</w:t>
                  </w:r>
                </w:p>
              </w:tc>
              <w:tc>
                <w:tcPr>
                  <w:tcW w:w="1226" w:type="pct"/>
                  <w:noWrap w:val="0"/>
                  <w:vAlign w:val="center"/>
                </w:tcPr>
                <w:p>
                  <w:pPr>
                    <w:jc w:val="center"/>
                    <w:rPr>
                      <w:rFonts w:hint="eastAsia" w:ascii="Times New Roman"/>
                      <w:color w:val="000000" w:themeColor="text1"/>
                      <w:kern w:val="0"/>
                      <w:highlight w:val="none"/>
                      <w:lang w:bidi="ar"/>
                      <w14:textFill>
                        <w14:solidFill>
                          <w14:schemeClr w14:val="tx1"/>
                        </w14:solidFill>
                      </w14:textFill>
                    </w:rPr>
                  </w:pPr>
                  <w:r>
                    <w:rPr>
                      <w:rFonts w:hint="eastAsia" w:ascii="Times New Roman"/>
                      <w:color w:val="000000" w:themeColor="text1"/>
                      <w:kern w:val="0"/>
                      <w:highlight w:val="none"/>
                      <w:lang w:bidi="ar"/>
                      <w14:textFill>
                        <w14:solidFill>
                          <w14:schemeClr w14:val="tx1"/>
                        </w14:solidFill>
                      </w14:textFill>
                    </w:rPr>
                    <w:t>承危收试〔2024〕003号2024.1.1-2025.12.31</w:t>
                  </w:r>
                </w:p>
              </w:tc>
              <w:tc>
                <w:tcPr>
                  <w:tcW w:w="956" w:type="pct"/>
                  <w:noWrap w:val="0"/>
                  <w:vAlign w:val="center"/>
                </w:tcPr>
                <w:p>
                  <w:pPr>
                    <w:jc w:val="center"/>
                    <w:rPr>
                      <w:rFonts w:hint="eastAsia" w:ascii="Times New Roman" w:cs="宋体"/>
                      <w:color w:val="000000" w:themeColor="text1"/>
                      <w:highlight w:val="none"/>
                      <w:lang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河北省承德市双滦区滦河镇发电厂西北侧10号地</w:t>
                  </w:r>
                </w:p>
              </w:tc>
              <w:tc>
                <w:tcPr>
                  <w:tcW w:w="987" w:type="pct"/>
                  <w:noWrap w:val="0"/>
                  <w:vAlign w:val="center"/>
                </w:tcPr>
                <w:p>
                  <w:pPr>
                    <w:jc w:val="center"/>
                    <w:rPr>
                      <w:rFonts w:hint="eastAsia" w:ascii="Times New Roman" w:cs="宋体"/>
                      <w:color w:val="000000" w:themeColor="text1"/>
                      <w:highlight w:val="none"/>
                      <w:lang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HW03、HW08、HW09类（废矿物油与含矿物油废物）等13类</w:t>
                  </w:r>
                </w:p>
              </w:tc>
              <w:tc>
                <w:tcPr>
                  <w:tcW w:w="712" w:type="pct"/>
                  <w:noWrap w:val="0"/>
                  <w:vAlign w:val="center"/>
                </w:tcPr>
                <w:p>
                  <w:pPr>
                    <w:jc w:val="center"/>
                    <w:rPr>
                      <w:rFonts w:hint="eastAsia" w:ascii="Times New Roman" w:eastAsia="宋体" w:cs="宋体"/>
                      <w:color w:val="000000" w:themeColor="text1"/>
                      <w:highlight w:val="none"/>
                      <w:lang w:eastAsia="zh-CN" w:bidi="ar"/>
                      <w14:textFill>
                        <w14:solidFill>
                          <w14:schemeClr w14:val="tx1"/>
                        </w14:solidFill>
                      </w14:textFill>
                    </w:rPr>
                  </w:pPr>
                  <w:r>
                    <w:rPr>
                      <w:rFonts w:hint="eastAsia" w:ascii="Times New Roman" w:cs="宋体"/>
                      <w:color w:val="000000" w:themeColor="text1"/>
                      <w:highlight w:val="none"/>
                      <w:lang w:bidi="ar"/>
                      <w14:textFill>
                        <w14:solidFill>
                          <w14:schemeClr w14:val="tx1"/>
                        </w14:solidFill>
                      </w14:textFill>
                    </w:rPr>
                    <w:t>14400吨/年</w:t>
                  </w:r>
                  <w:r>
                    <w:rPr>
                      <w:rFonts w:hint="eastAsia" w:ascii="Times New Roman" w:cs="宋体"/>
                      <w:color w:val="000000" w:themeColor="text1"/>
                      <w:highlight w:val="none"/>
                      <w:lang w:eastAsia="zh-CN" w:bidi="ar"/>
                      <w14:textFill>
                        <w14:solidFill>
                          <w14:schemeClr w14:val="tx1"/>
                        </w14:solidFill>
                      </w14:textFill>
                    </w:rPr>
                    <w:t>（HW08类3000吨/年、其他类危废11400吨/年）</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项目建成后，自行选择上述公司或其他有处置资质的单位。</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（5）危险废物贮存、利用、处置设施标志的设置要求</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①危险废物相关单位的每一个贮存、利用、处置设施均应在设施附近或场所的入口处设置相应的危险废物贮存设施标志、危险废物利用设施标志、危险废物处置设施标志。</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②对于有独立场所的危险废物贮存、利用、处置设施，应在场所外入口处的墙壁或栏杆显著位置设置相应的设施标志。</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③位于建筑物内局部区域的危险废物贮存、利用、处置设施，应在其区域边界或入口处显著位置设置相应的标志。</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④宜根据设施标志的设置位置和观察距离按照《危险废物识别标志设置技术规范》（HJ1276-2022）第9.3条中的制作要求设置相应的标志。</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⑤危险废物设施标志可采用附着式和柱式两种固定方式，应优先选择附着式，当无法选择附着式时，可选择柱式，设施标志设置示意图见《危险废物识别标志设置技术规范》（HJ1276-2022）。</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⑥附着式标志的设置高度，应尽量与视线高度一致；柱式的标志和支架应牢固地联接在一起，标志牌最上端距地面约2m；位于室外的标志牌中，支架固定在地下的，其支架埋深约0.3m。</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⑦危险废物设施标志应稳固固定，不能产生倾斜、卷翘、摆动等现象。在室外露天设置时，应充分考虑风力的影响。</w:t>
            </w:r>
          </w:p>
          <w:p>
            <w:pPr>
              <w:spacing w:line="360" w:lineRule="auto"/>
              <w:ind w:firstLine="480" w:firstLineChars="200"/>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（6）危险废物管理计划</w:t>
            </w:r>
            <w:r>
              <w:rPr>
                <w:rFonts w:hint="eastAsia" w:ascii="Times New Roman"/>
                <w:color w:val="000000" w:themeColor="text1"/>
                <w:sz w:val="24"/>
                <w:szCs w:val="24"/>
                <w:highlight w:val="none"/>
                <w:lang w:val="en-US" w:eastAsia="zh-CN"/>
                <w14:textFill>
                  <w14:solidFill>
                    <w14:schemeClr w14:val="tx1"/>
                  </w14:solidFill>
                </w14:textFill>
              </w:rPr>
              <w:t>和管理台账制定要求</w:t>
            </w:r>
          </w:p>
          <w:p>
            <w:pPr>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根据《危险废物管理计划和管理台账制定技术导则》（HJ1259-2022），项目运营后</w:t>
            </w:r>
            <w:r>
              <w:rPr>
                <w:rFonts w:hint="eastAsia" w:ascii="Times New Roman"/>
                <w:color w:val="000000" w:themeColor="text1"/>
                <w:sz w:val="24"/>
                <w:szCs w:val="24"/>
                <w:highlight w:val="none"/>
                <w:lang w:val="en-US" w:eastAsia="zh-CN"/>
                <w14:textFill>
                  <w14:solidFill>
                    <w14:schemeClr w14:val="tx1"/>
                  </w14:solidFill>
                </w14:textFill>
              </w:rPr>
              <w:t>应</w:t>
            </w:r>
            <w:r>
              <w:rPr>
                <w:rFonts w:hint="eastAsia" w:ascii="Times New Roman"/>
                <w:color w:val="000000" w:themeColor="text1"/>
                <w:sz w:val="24"/>
                <w:szCs w:val="24"/>
                <w:highlight w:val="none"/>
                <w14:textFill>
                  <w14:solidFill>
                    <w14:schemeClr w14:val="tx1"/>
                  </w14:solidFill>
                </w14:textFill>
              </w:rPr>
              <w:t>制定危险废物管理计划，内容应当包括减少危险废物产生量和降低危险废物危害性的措施以及危险废物贮存、利用、处置措施</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建立危险废物管理台账，如实记录危险废物的种类、产生量、流向、贮存、利用、</w:t>
            </w:r>
            <w:r>
              <w:rPr>
                <w:rFonts w:hint="eastAsia" w:ascii="Times New Roman"/>
                <w:color w:val="000000" w:themeColor="text1"/>
                <w:sz w:val="24"/>
                <w:szCs w:val="24"/>
                <w:highlight w:val="none"/>
                <w:lang w:val="en-US" w:eastAsia="zh-CN"/>
                <w14:textFill>
                  <w14:solidFill>
                    <w14:schemeClr w14:val="tx1"/>
                  </w14:solidFill>
                </w14:textFill>
              </w:rPr>
              <w:t>处置</w:t>
            </w:r>
            <w:r>
              <w:rPr>
                <w:rFonts w:hint="eastAsia" w:ascii="Times New Roman"/>
                <w:color w:val="000000" w:themeColor="text1"/>
                <w:sz w:val="24"/>
                <w:szCs w:val="24"/>
                <w:highlight w:val="none"/>
                <w14:textFill>
                  <w14:solidFill>
                    <w14:schemeClr w14:val="tx1"/>
                  </w14:solidFill>
                </w14:textFill>
              </w:rPr>
              <w:t>等有关信息</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通过国家危险废物信息管理系统向所在地生态环境主管部门备案危险废物管理计划</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申报危险废物有关资料</w:t>
            </w:r>
            <w:r>
              <w:rPr>
                <w:rFonts w:hint="eastAsia" w:ascii="Times New Roman"/>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危险废物管理计划制定内容应包括单位基本信息、危险废物产生情况信息、危险废物贮存情况信息、危险废物减量化计划和措施、危险废物转移情况信息</w:t>
            </w:r>
            <w:r>
              <w:rPr>
                <w:rFonts w:hint="eastAsia" w:ascii="Times New Roman"/>
                <w:color w:val="000000" w:themeColor="text1"/>
                <w:sz w:val="24"/>
                <w:szCs w:val="24"/>
                <w:highlight w:val="none"/>
                <w:lang w:eastAsia="zh-CN"/>
                <w14:textFill>
                  <w14:solidFill>
                    <w14:schemeClr w14:val="tx1"/>
                  </w14:solidFill>
                </w14:textFill>
              </w:rPr>
              <w:t>。</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产生危险废物的单位应根据危险废物产生、贮存、利用、处置等环节的动态流向，如实建立各环节的危险废物管理台账</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危险废物管理台账分为电子管理台账和纸质管理台账两种形式。产生危险废物的单位可通过国家危险废物信息管理系统、企业自建信息管理系统或第三方平台等方式记录电子管理台账。</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根据《危险废物贮存污染控制标准》（GB18597-2023）、《危险废物收集贮存运输技术规范》（HJ2025-2012）、《危险废物转移管理办法》（生态环境部、公安部、交通运输部令第23号）、《河北省人民政府办公厅关于印发河北省强化危险废物监管和利用处置能力改革行动方案的通知》（冀政办字﹝2021﹞83号）</w:t>
            </w:r>
            <w:r>
              <w:rPr>
                <w:rFonts w:hint="eastAsia" w:ascii="Times New Roman"/>
                <w:color w:val="000000" w:themeColor="text1"/>
                <w:sz w:val="24"/>
                <w:szCs w:val="24"/>
                <w:highlight w:val="none"/>
                <w:lang w:eastAsia="zh-CN"/>
                <w14:textFill>
                  <w14:solidFill>
                    <w14:schemeClr w14:val="tx1"/>
                  </w14:solidFill>
                </w14:textFill>
              </w:rPr>
              <w:t>、《废铅蓄电池处理污染控制技术规范》（HJ519-2020）</w:t>
            </w:r>
            <w:r>
              <w:rPr>
                <w:rFonts w:hint="eastAsia" w:ascii="Times New Roman"/>
                <w:color w:val="000000" w:themeColor="text1"/>
                <w:sz w:val="24"/>
                <w:szCs w:val="24"/>
                <w:highlight w:val="none"/>
                <w14:textFill>
                  <w14:solidFill>
                    <w14:schemeClr w14:val="tx1"/>
                  </w14:solidFill>
                </w14:textFill>
              </w:rPr>
              <w:t>，本项目应建立管理制度，确保危险废物的产生、收集、贮存、运输、利用等过程安全、可靠，按要求落实排污许可制度。</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综上，项目产生的固体废物全部妥善处理，不会对周围环境产生明显影响。</w:t>
            </w:r>
          </w:p>
          <w:p>
            <w:pPr>
              <w:spacing w:line="360" w:lineRule="auto"/>
              <w:ind w:firstLine="482" w:firstLineChars="200"/>
              <w:rPr>
                <w:rFonts w:ascii="Times New Roman"/>
                <w:b/>
                <w:color w:val="000000" w:themeColor="text1"/>
                <w:sz w:val="24"/>
                <w:szCs w:val="24"/>
                <w:highlight w:val="none"/>
                <w14:textFill>
                  <w14:solidFill>
                    <w14:schemeClr w14:val="tx1"/>
                  </w14:solidFill>
                </w14:textFill>
              </w:rPr>
            </w:pPr>
            <w:r>
              <w:rPr>
                <w:rFonts w:hint="eastAsia" w:ascii="Times New Roman"/>
                <w:b/>
                <w:color w:val="000000" w:themeColor="text1"/>
                <w:sz w:val="24"/>
                <w:szCs w:val="24"/>
                <w:highlight w:val="none"/>
                <w14:textFill>
                  <w14:solidFill>
                    <w14:schemeClr w14:val="tx1"/>
                  </w14:solidFill>
                </w14:textFill>
              </w:rPr>
              <w:t>7、地下水、土壤影响分析</w:t>
            </w:r>
          </w:p>
          <w:p>
            <w:pPr>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本项目地下水、土壤污染源主要为变压器事故油、废蓄电池。为避免事故油、废蓄电池对土壤、地下水造成污染影响，升压站实施分区防渗，其中危废间、事故油收集坑及收集池属重点防渗区，</w:t>
            </w:r>
            <w:r>
              <w:rPr>
                <w:rFonts w:hint="eastAsia" w:ascii="Times New Roman" w:cs="Times New Roman"/>
                <w:color w:val="000000" w:themeColor="text1"/>
                <w:sz w:val="24"/>
                <w:szCs w:val="24"/>
                <w:highlight w:val="none"/>
                <w:lang w:val="en-US" w:eastAsia="zh-CN"/>
                <w14:textFill>
                  <w14:solidFill>
                    <w14:schemeClr w14:val="tx1"/>
                  </w14:solidFill>
                </w14:textFill>
              </w:rPr>
              <w:t>危废间防渗满足《危险废物贮存污染控制标准》(GB18597-2023)要求，</w:t>
            </w:r>
            <w:r>
              <w:rPr>
                <w:rFonts w:hint="eastAsia" w:ascii="Times New Roman" w:hAnsi="Times New Roman" w:cs="Times New Roman"/>
                <w:color w:val="000000" w:themeColor="text1"/>
                <w:sz w:val="24"/>
                <w:szCs w:val="24"/>
                <w:highlight w:val="none"/>
                <w14:textFill>
                  <w14:solidFill>
                    <w14:schemeClr w14:val="tx1"/>
                  </w14:solidFill>
                </w14:textFill>
              </w:rPr>
              <w:t>事故油收集坑及收集池采用抗渗混凝土进行防渗，防渗层渗透系数≤10</w:t>
            </w:r>
            <w:r>
              <w:rPr>
                <w:rFonts w:hint="eastAsia" w:ascii="Times New Roman" w:hAnsi="Times New Roman" w:cs="Times New Roman"/>
                <w:color w:val="000000" w:themeColor="text1"/>
                <w:sz w:val="24"/>
                <w:szCs w:val="24"/>
                <w:highlight w:val="none"/>
                <w:vertAlign w:val="superscript"/>
                <w14:textFill>
                  <w14:solidFill>
                    <w14:schemeClr w14:val="tx1"/>
                  </w14:solidFill>
                </w14:textFill>
              </w:rPr>
              <w:t>-10</w:t>
            </w:r>
            <w:r>
              <w:rPr>
                <w:rFonts w:hint="eastAsia" w:ascii="Times New Roman" w:hAnsi="Times New Roman" w:cs="Times New Roman"/>
                <w:color w:val="000000" w:themeColor="text1"/>
                <w:sz w:val="24"/>
                <w:szCs w:val="24"/>
                <w:highlight w:val="none"/>
                <w14:textFill>
                  <w14:solidFill>
                    <w14:schemeClr w14:val="tx1"/>
                  </w14:solidFill>
                </w14:textFill>
              </w:rPr>
              <w:t>cm/s；其他区域为简单防渗区，采取地面硬化。</w:t>
            </w:r>
          </w:p>
          <w:p>
            <w:pPr>
              <w:spacing w:line="360" w:lineRule="auto"/>
              <w:ind w:firstLine="480" w:firstLineChars="200"/>
              <w:rPr>
                <w:rFonts w:hint="eastAsia" w:ascii="Times New Roman" w:hAnsi="Times New Roman" w:cs="Times New Roman"/>
                <w:color w:val="000000" w:themeColor="text1"/>
                <w:sz w:val="24"/>
                <w:szCs w:val="24"/>
                <w:highlight w:val="none"/>
                <w14:textFill>
                  <w14:solidFill>
                    <w14:schemeClr w14:val="tx1"/>
                  </w14:solidFill>
                </w14:textFill>
              </w:rPr>
            </w:pPr>
            <w:r>
              <w:rPr>
                <w:rFonts w:hint="eastAsia" w:ascii="Times New Roman" w:hAnsi="Times New Roman" w:cs="Times New Roman"/>
                <w:color w:val="000000" w:themeColor="text1"/>
                <w:sz w:val="24"/>
                <w:szCs w:val="24"/>
                <w:highlight w:val="none"/>
                <w14:textFill>
                  <w14:solidFill>
                    <w14:schemeClr w14:val="tx1"/>
                  </w14:solidFill>
                </w14:textFill>
              </w:rPr>
              <w:t>在严格落实各防渗措施，并加强巡查检修，可有效控制污染物通过下渗污染土壤及地下水。</w:t>
            </w:r>
          </w:p>
          <w:p>
            <w:pPr>
              <w:spacing w:line="360" w:lineRule="auto"/>
              <w:ind w:firstLine="482" w:firstLineChars="200"/>
              <w:rPr>
                <w:rFonts w:hint="eastAsia" w:ascii="Times New Roman"/>
                <w:b/>
                <w:color w:val="000000" w:themeColor="text1"/>
                <w:sz w:val="24"/>
                <w:szCs w:val="24"/>
                <w:highlight w:val="none"/>
                <w14:textFill>
                  <w14:solidFill>
                    <w14:schemeClr w14:val="tx1"/>
                  </w14:solidFill>
                </w14:textFill>
              </w:rPr>
            </w:pPr>
          </w:p>
          <w:p>
            <w:pPr>
              <w:spacing w:line="360" w:lineRule="auto"/>
              <w:ind w:firstLine="482" w:firstLineChars="200"/>
              <w:rPr>
                <w:rFonts w:ascii="Times New Roman"/>
                <w:b/>
                <w:color w:val="000000" w:themeColor="text1"/>
                <w:sz w:val="24"/>
                <w:szCs w:val="24"/>
                <w:highlight w:val="none"/>
                <w14:textFill>
                  <w14:solidFill>
                    <w14:schemeClr w14:val="tx1"/>
                  </w14:solidFill>
                </w14:textFill>
              </w:rPr>
            </w:pPr>
            <w:r>
              <w:rPr>
                <w:rFonts w:hint="eastAsia" w:ascii="Times New Roman"/>
                <w:b/>
                <w:color w:val="000000" w:themeColor="text1"/>
                <w:sz w:val="24"/>
                <w:szCs w:val="24"/>
                <w:highlight w:val="none"/>
                <w14:textFill>
                  <w14:solidFill>
                    <w14:schemeClr w14:val="tx1"/>
                  </w14:solidFill>
                </w14:textFill>
              </w:rPr>
              <w:t>8</w:t>
            </w:r>
            <w:r>
              <w:rPr>
                <w:rFonts w:ascii="Times New Roman"/>
                <w:b/>
                <w:color w:val="000000" w:themeColor="text1"/>
                <w:sz w:val="24"/>
                <w:szCs w:val="24"/>
                <w:highlight w:val="none"/>
                <w14:textFill>
                  <w14:solidFill>
                    <w14:schemeClr w14:val="tx1"/>
                  </w14:solidFill>
                </w14:textFill>
              </w:rPr>
              <w:t>、环境风险分析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（1）风险源调查</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本项目废蓄电池产生量为每10年5.2t</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则危废间最大</w:t>
            </w:r>
            <w:r>
              <w:rPr>
                <w:rFonts w:hint="eastAsia" w:ascii="Times New Roman"/>
                <w:color w:val="000000" w:themeColor="text1"/>
                <w:sz w:val="24"/>
                <w:szCs w:val="24"/>
                <w:highlight w:val="none"/>
                <w14:textFill>
                  <w14:solidFill>
                    <w14:schemeClr w14:val="tx1"/>
                  </w14:solidFill>
                </w14:textFill>
              </w:rPr>
              <w:t>暂存废蓄电池</w:t>
            </w:r>
            <w:r>
              <w:rPr>
                <w:rFonts w:hint="eastAsia" w:ascii="Times New Roman"/>
                <w:color w:val="000000" w:themeColor="text1"/>
                <w:sz w:val="24"/>
                <w:szCs w:val="24"/>
                <w:highlight w:val="none"/>
                <w:lang w:val="en-US" w:eastAsia="zh-CN"/>
                <w14:textFill>
                  <w14:solidFill>
                    <w14:schemeClr w14:val="tx1"/>
                  </w14:solidFill>
                </w14:textFill>
              </w:rPr>
              <w:t>量为5.2</w:t>
            </w:r>
            <w:r>
              <w:rPr>
                <w:rFonts w:hint="eastAsia" w:ascii="Times New Roman"/>
                <w:color w:val="000000" w:themeColor="text1"/>
                <w:sz w:val="24"/>
                <w:szCs w:val="24"/>
                <w:highlight w:val="none"/>
                <w14:textFill>
                  <w14:solidFill>
                    <w14:schemeClr w14:val="tx1"/>
                  </w14:solidFill>
                </w14:textFill>
              </w:rPr>
              <w:t>t，本项目废蓄电池中铅含量以80%计，电解液含量10%计（电解液中硫酸的质量分数按15%计），则折合铅最大贮存量为</w:t>
            </w:r>
            <w:r>
              <w:rPr>
                <w:rFonts w:hint="eastAsia" w:ascii="Times New Roman"/>
                <w:color w:val="000000" w:themeColor="text1"/>
                <w:sz w:val="24"/>
                <w:szCs w:val="24"/>
                <w:highlight w:val="none"/>
                <w:lang w:val="en-US" w:eastAsia="zh-CN"/>
                <w14:textFill>
                  <w14:solidFill>
                    <w14:schemeClr w14:val="tx1"/>
                  </w14:solidFill>
                </w14:textFill>
              </w:rPr>
              <w:t>4.16</w:t>
            </w:r>
            <w:r>
              <w:rPr>
                <w:rFonts w:hint="eastAsia" w:ascii="Times New Roman"/>
                <w:color w:val="000000" w:themeColor="text1"/>
                <w:sz w:val="24"/>
                <w:szCs w:val="24"/>
                <w:highlight w:val="none"/>
                <w14:textFill>
                  <w14:solidFill>
                    <w14:schemeClr w14:val="tx1"/>
                  </w14:solidFill>
                </w14:textFill>
              </w:rPr>
              <w:t>t、硫酸最大贮存</w:t>
            </w:r>
            <w:r>
              <w:rPr>
                <w:rFonts w:hint="eastAsia" w:ascii="Times New Roman"/>
                <w:color w:val="000000" w:themeColor="text1"/>
                <w:sz w:val="24"/>
                <w:szCs w:val="24"/>
                <w:highlight w:val="none"/>
                <w:lang w:val="en-US" w:eastAsia="zh-CN"/>
                <w14:textFill>
                  <w14:solidFill>
                    <w14:schemeClr w14:val="tx1"/>
                  </w14:solidFill>
                </w14:textFill>
              </w:rPr>
              <w:t>量</w:t>
            </w:r>
            <w:r>
              <w:rPr>
                <w:rFonts w:hint="eastAsia" w:ascii="Times New Roman"/>
                <w:color w:val="000000" w:themeColor="text1"/>
                <w:sz w:val="24"/>
                <w:szCs w:val="24"/>
                <w:highlight w:val="none"/>
                <w14:textFill>
                  <w14:solidFill>
                    <w14:schemeClr w14:val="tx1"/>
                  </w14:solidFill>
                </w14:textFill>
              </w:rPr>
              <w:t>0.</w:t>
            </w:r>
            <w:r>
              <w:rPr>
                <w:rFonts w:hint="eastAsia" w:ascii="Times New Roman"/>
                <w:color w:val="000000" w:themeColor="text1"/>
                <w:sz w:val="24"/>
                <w:szCs w:val="24"/>
                <w:highlight w:val="none"/>
                <w:lang w:val="en-US" w:eastAsia="zh-CN"/>
                <w14:textFill>
                  <w14:solidFill>
                    <w14:schemeClr w14:val="tx1"/>
                  </w14:solidFill>
                </w14:textFill>
              </w:rPr>
              <w:t>08</w:t>
            </w:r>
            <w:r>
              <w:rPr>
                <w:rFonts w:hint="eastAsia" w:ascii="Times New Roman"/>
                <w:color w:val="000000" w:themeColor="text1"/>
                <w:sz w:val="24"/>
                <w:szCs w:val="24"/>
                <w:highlight w:val="none"/>
                <w14:textFill>
                  <w14:solidFill>
                    <w14:schemeClr w14:val="tx1"/>
                  </w14:solidFill>
                </w14:textFill>
              </w:rPr>
              <w:t>t，主变压器变压器油含量约38.16t，废机油、废润滑油产生量为0.1t/a。</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主要风险物质一览表见表4-</w:t>
            </w:r>
            <w:r>
              <w:rPr>
                <w:rFonts w:hint="eastAsia" w:ascii="Times New Roman"/>
                <w:color w:val="000000" w:themeColor="text1"/>
                <w:sz w:val="24"/>
                <w:szCs w:val="24"/>
                <w:highlight w:val="none"/>
                <w:lang w:val="en-US" w:eastAsia="zh-CN"/>
                <w14:textFill>
                  <w14:solidFill>
                    <w14:schemeClr w14:val="tx1"/>
                  </w14:solidFill>
                </w14:textFill>
              </w:rPr>
              <w:t>9</w:t>
            </w:r>
            <w:r>
              <w:rPr>
                <w:rFonts w:hint="eastAsia" w:ascii="Times New Roman"/>
                <w:color w:val="000000" w:themeColor="text1"/>
                <w:sz w:val="24"/>
                <w:szCs w:val="24"/>
                <w:highlight w:val="none"/>
                <w14:textFill>
                  <w14:solidFill>
                    <w14:schemeClr w14:val="tx1"/>
                  </w14:solidFill>
                </w14:textFill>
              </w:rPr>
              <w:t>。</w:t>
            </w:r>
          </w:p>
          <w:p>
            <w:pPr>
              <w:jc w:val="center"/>
              <w:rPr>
                <w:rFonts w:hint="eastAsia"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表4-</w:t>
            </w:r>
            <w:r>
              <w:rPr>
                <w:rFonts w:hint="eastAsia" w:ascii="Times New Roman"/>
                <w:b/>
                <w:bCs/>
                <w:color w:val="000000" w:themeColor="text1"/>
                <w:sz w:val="24"/>
                <w:szCs w:val="24"/>
                <w:highlight w:val="none"/>
                <w:lang w:val="en-US" w:eastAsia="zh-CN"/>
                <w14:textFill>
                  <w14:solidFill>
                    <w14:schemeClr w14:val="tx1"/>
                  </w14:solidFill>
                </w14:textFill>
              </w:rPr>
              <w:t>9</w:t>
            </w:r>
            <w:r>
              <w:rPr>
                <w:rFonts w:hint="eastAsia" w:ascii="Times New Roman"/>
                <w:b/>
                <w:bCs/>
                <w:color w:val="000000" w:themeColor="text1"/>
                <w:sz w:val="24"/>
                <w:szCs w:val="24"/>
                <w:highlight w:val="none"/>
                <w14:textFill>
                  <w14:solidFill>
                    <w14:schemeClr w14:val="tx1"/>
                  </w14:solidFill>
                </w14:textFill>
              </w:rPr>
              <w:t xml:space="preserve">  主要风险物质一览表</w:t>
            </w:r>
          </w:p>
          <w:tbl>
            <w:tblPr>
              <w:tblStyle w:val="5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1837"/>
              <w:gridCol w:w="1457"/>
              <w:gridCol w:w="1649"/>
              <w:gridCol w:w="16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序号</w:t>
                  </w:r>
                </w:p>
              </w:tc>
              <w:tc>
                <w:tcPr>
                  <w:tcW w:w="111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风险物质</w:t>
                  </w:r>
                </w:p>
              </w:tc>
              <w:tc>
                <w:tcPr>
                  <w:tcW w:w="88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位置</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用途</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p>
              </w:tc>
              <w:tc>
                <w:tcPr>
                  <w:tcW w:w="111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铅</w:t>
                  </w:r>
                </w:p>
              </w:tc>
              <w:tc>
                <w:tcPr>
                  <w:tcW w:w="884" w:type="pct"/>
                  <w:vMerge w:val="restart"/>
                  <w:noWrap w:val="0"/>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危废间</w:t>
                  </w:r>
                  <w:r>
                    <w:rPr>
                      <w:rFonts w:hint="eastAsia" w:hAnsi="宋体"/>
                      <w:color w:val="000000" w:themeColor="text1"/>
                      <w:highlight w:val="none"/>
                      <w:lang w:bidi="ar"/>
                      <w14:textFill>
                        <w14:solidFill>
                          <w14:schemeClr w14:val="tx1"/>
                        </w14:solidFill>
                      </w14:textFill>
                    </w:rPr>
                    <w:t>废蓄电池</w:t>
                  </w:r>
                  <w:r>
                    <w:rPr>
                      <w:rFonts w:hint="eastAsia" w:hAnsi="宋体"/>
                      <w:color w:val="000000" w:themeColor="text1"/>
                      <w:highlight w:val="none"/>
                      <w:lang w:val="en-US" w:eastAsia="zh-CN" w:bidi="ar"/>
                      <w14:textFill>
                        <w14:solidFill>
                          <w14:schemeClr w14:val="tx1"/>
                        </w14:solidFill>
                      </w14:textFill>
                    </w:rPr>
                    <w:t>暂存区</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供电</w:t>
                  </w:r>
                </w:p>
              </w:tc>
              <w:tc>
                <w:tcPr>
                  <w:tcW w:w="1000"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4.16</w:t>
                  </w:r>
                  <w:r>
                    <w:rPr>
                      <w:rFonts w:hint="eastAsia" w:ascii="Times New Roman"/>
                      <w:color w:val="000000" w:themeColor="text1"/>
                      <w:highlight w:val="none"/>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w:t>
                  </w:r>
                </w:p>
              </w:tc>
              <w:tc>
                <w:tcPr>
                  <w:tcW w:w="111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硫酸</w:t>
                  </w:r>
                </w:p>
              </w:tc>
              <w:tc>
                <w:tcPr>
                  <w:tcW w:w="884" w:type="pct"/>
                  <w:vMerge w:val="continue"/>
                  <w:noWrap w:val="0"/>
                  <w:vAlign w:val="center"/>
                </w:tcPr>
                <w:p>
                  <w:pPr>
                    <w:jc w:val="center"/>
                    <w:rPr>
                      <w:rFonts w:hint="eastAsia" w:ascii="Times New Roman"/>
                      <w:color w:val="000000" w:themeColor="text1"/>
                      <w:highlight w:val="none"/>
                      <w14:textFill>
                        <w14:solidFill>
                          <w14:schemeClr w14:val="tx1"/>
                        </w14:solidFill>
                      </w14:textFill>
                    </w:rPr>
                  </w:pP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供电</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0.</w:t>
                  </w:r>
                  <w:r>
                    <w:rPr>
                      <w:rFonts w:hint="eastAsia" w:ascii="Times New Roman"/>
                      <w:color w:val="000000" w:themeColor="text1"/>
                      <w:highlight w:val="none"/>
                      <w:lang w:val="en-US" w:eastAsia="zh-CN"/>
                      <w14:textFill>
                        <w14:solidFill>
                          <w14:schemeClr w14:val="tx1"/>
                        </w14:solidFill>
                      </w14:textFill>
                    </w:rPr>
                    <w:t>08</w:t>
                  </w:r>
                  <w:r>
                    <w:rPr>
                      <w:rFonts w:hint="eastAsia" w:ascii="Times New Roman"/>
                      <w:color w:val="000000" w:themeColor="text1"/>
                      <w:highlight w:val="none"/>
                      <w14:textFill>
                        <w14:solidFill>
                          <w14:schemeClr w14:val="tx1"/>
                        </w14:solidFill>
                      </w14:textFill>
                    </w:rPr>
                    <w:t>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w:t>
                  </w:r>
                </w:p>
              </w:tc>
              <w:tc>
                <w:tcPr>
                  <w:tcW w:w="111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变压器油</w:t>
                  </w:r>
                </w:p>
              </w:tc>
              <w:tc>
                <w:tcPr>
                  <w:tcW w:w="884"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事故油池</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冷却</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38.16t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00"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4</w:t>
                  </w:r>
                </w:p>
              </w:tc>
              <w:tc>
                <w:tcPr>
                  <w:tcW w:w="1114"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废机油、废润滑油</w:t>
                  </w:r>
                </w:p>
              </w:tc>
              <w:tc>
                <w:tcPr>
                  <w:tcW w:w="884"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风电场检修</w:t>
                  </w:r>
                </w:p>
              </w:tc>
              <w:tc>
                <w:tcPr>
                  <w:tcW w:w="1000" w:type="pc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检修</w:t>
                  </w:r>
                </w:p>
              </w:tc>
              <w:tc>
                <w:tcPr>
                  <w:tcW w:w="1000" w:type="pct"/>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0.1t</w:t>
                  </w:r>
                </w:p>
              </w:tc>
            </w:tr>
          </w:tbl>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（2）风险潜势初判及评价等级</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根据《建设项目环境风险评价技术导则》（HJ169-2018）附录B及《危险化学品重大危险源辨识》（GB18218-2018），危险物质数量与临界量比值（Q）：</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计算所涉及的每种危险物质在厂界内的最大存在总量与其在附录B 对应临界量的比Q。在不同厂区的同一种物质，按其在厂界内的最大存在总量计算。对于长输管线项目，按两个截断阀室之间管段危险物质最大存在总量计算。</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当只涉及一种危险物质时，计算该物质的总量与其临界量比值，即为Q；</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当存在多种危险物质时，则按式（C.1）计算物质总量与其临界量比值（Q）：</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position w:val="-28"/>
                <w:sz w:val="24"/>
                <w:szCs w:val="24"/>
                <w:highlight w:val="none"/>
                <w14:textFill>
                  <w14:solidFill>
                    <w14:schemeClr w14:val="tx1"/>
                  </w14:solidFill>
                </w14:textFill>
              </w:rPr>
              <w:object>
                <v:shape id="_x0000_i1025" o:spt="75" type="#_x0000_t75" style="height:33pt;width:130pt;" o:ole="t" filled="f" o:preferrelative="t" stroked="f" coordsize="21600,21600">
                  <v:path/>
                  <v:fill on="f" focussize="0,0"/>
                  <v:stroke on="f"/>
                  <v:imagedata r:id="rId32" o:title=""/>
                  <o:lock v:ext="edit" aspectratio="t"/>
                  <w10:wrap type="none"/>
                  <w10:anchorlock/>
                </v:shape>
                <o:OLEObject Type="Embed" ProgID="Equation.KSEE3" ShapeID="_x0000_i1025" DrawAspect="Content" ObjectID="_1468075725" r:id="rId31">
                  <o:LockedField>false</o:LockedField>
                </o:OLEObject>
              </w:objec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式中：q1，q2，...，qn——每种危险物质的最大存在总量，t；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Q1，Q2，...，Qn——每种危险物质的临界量，t。</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当 Q＜1 时，该项目环境风险潜势为Ⅰ。</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当 Q≥1 时，将 Q 值划分为：（1）1≤Q＜10；（2）10≤Q＜100；（3）Q≥100。</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本项目主要物质危险性判定见表4-</w:t>
            </w:r>
            <w:r>
              <w:rPr>
                <w:rFonts w:hint="eastAsia" w:ascii="Times New Roman"/>
                <w:color w:val="000000" w:themeColor="text1"/>
                <w:sz w:val="24"/>
                <w:szCs w:val="24"/>
                <w:highlight w:val="none"/>
                <w:lang w:val="en-US" w:eastAsia="zh-CN"/>
                <w14:textFill>
                  <w14:solidFill>
                    <w14:schemeClr w14:val="tx1"/>
                  </w14:solidFill>
                </w14:textFill>
              </w:rPr>
              <w:t>10</w:t>
            </w:r>
            <w:r>
              <w:rPr>
                <w:rFonts w:hint="eastAsia" w:ascii="Times New Roman"/>
                <w:color w:val="000000" w:themeColor="text1"/>
                <w:sz w:val="24"/>
                <w:szCs w:val="24"/>
                <w:highlight w:val="none"/>
                <w14:textFill>
                  <w14:solidFill>
                    <w14:schemeClr w14:val="tx1"/>
                  </w14:solidFill>
                </w14:textFill>
              </w:rPr>
              <w:t>：</w:t>
            </w:r>
          </w:p>
          <w:p>
            <w:pPr>
              <w:spacing w:line="360" w:lineRule="auto"/>
              <w:jc w:val="center"/>
              <w:rPr>
                <w:rFonts w:hint="eastAsia" w:ascii="Times New Roman"/>
                <w:b/>
                <w:bCs/>
                <w:color w:val="000000" w:themeColor="text1"/>
                <w:sz w:val="24"/>
                <w:szCs w:val="24"/>
                <w:highlight w:val="none"/>
                <w14:textFill>
                  <w14:solidFill>
                    <w14:schemeClr w14:val="tx1"/>
                  </w14:solidFill>
                </w14:textFill>
              </w:rPr>
            </w:pPr>
          </w:p>
          <w:p>
            <w:pPr>
              <w:spacing w:line="360" w:lineRule="auto"/>
              <w:jc w:val="center"/>
              <w:rPr>
                <w:rFonts w:hint="eastAsia" w:ascii="Times New Roman"/>
                <w:b/>
                <w:bCs/>
                <w:color w:val="000000" w:themeColor="text1"/>
                <w:sz w:val="24"/>
                <w:szCs w:val="24"/>
                <w:highlight w:val="none"/>
                <w14:textFill>
                  <w14:solidFill>
                    <w14:schemeClr w14:val="tx1"/>
                  </w14:solidFill>
                </w14:textFill>
              </w:rPr>
            </w:pPr>
          </w:p>
          <w:p>
            <w:pPr>
              <w:spacing w:line="360" w:lineRule="auto"/>
              <w:jc w:val="center"/>
              <w:rPr>
                <w:rFonts w:hint="eastAsia"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表4-</w:t>
            </w:r>
            <w:r>
              <w:rPr>
                <w:rFonts w:hint="eastAsia" w:ascii="Times New Roman"/>
                <w:b/>
                <w:bCs/>
                <w:color w:val="000000" w:themeColor="text1"/>
                <w:sz w:val="24"/>
                <w:szCs w:val="24"/>
                <w:highlight w:val="none"/>
                <w:lang w:val="en-US" w:eastAsia="zh-CN"/>
                <w14:textFill>
                  <w14:solidFill>
                    <w14:schemeClr w14:val="tx1"/>
                  </w14:solidFill>
                </w14:textFill>
              </w:rPr>
              <w:t>10</w:t>
            </w:r>
            <w:r>
              <w:rPr>
                <w:rFonts w:hint="eastAsia" w:ascii="Times New Roman"/>
                <w:b/>
                <w:bCs/>
                <w:color w:val="000000" w:themeColor="text1"/>
                <w:sz w:val="24"/>
                <w:szCs w:val="24"/>
                <w:highlight w:val="none"/>
                <w14:textFill>
                  <w14:solidFill>
                    <w14:schemeClr w14:val="tx1"/>
                  </w14:solidFill>
                </w14:textFill>
              </w:rPr>
              <w:t xml:space="preserve">  本项目主要物质危险性初步判定</w:t>
            </w:r>
          </w:p>
          <w:tbl>
            <w:tblPr>
              <w:tblStyle w:val="5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1846"/>
              <w:gridCol w:w="1617"/>
              <w:gridCol w:w="1616"/>
              <w:gridCol w:w="16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vMerge w:val="restar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物质分类</w:t>
                  </w:r>
                </w:p>
              </w:tc>
              <w:tc>
                <w:tcPr>
                  <w:tcW w:w="3463" w:type="dxa"/>
                  <w:gridSpan w:val="2"/>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贮存场所</w:t>
                  </w:r>
                </w:p>
              </w:tc>
              <w:tc>
                <w:tcPr>
                  <w:tcW w:w="1616" w:type="dxa"/>
                  <w:vMerge w:val="restar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qn/Qn</w:t>
                  </w:r>
                </w:p>
              </w:tc>
              <w:tc>
                <w:tcPr>
                  <w:tcW w:w="1616" w:type="dxa"/>
                  <w:vMerge w:val="restart"/>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重大危险源识别结果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vMerge w:val="continue"/>
                  <w:noWrap w:val="0"/>
                  <w:vAlign w:val="center"/>
                </w:tcPr>
                <w:p>
                  <w:pPr>
                    <w:jc w:val="center"/>
                    <w:rPr>
                      <w:rFonts w:hint="eastAsia" w:ascii="Times New Roman"/>
                      <w:color w:val="000000" w:themeColor="text1"/>
                      <w:highlight w:val="none"/>
                      <w14:textFill>
                        <w14:solidFill>
                          <w14:schemeClr w14:val="tx1"/>
                        </w14:solidFill>
                      </w14:textFill>
                    </w:rPr>
                  </w:pPr>
                </w:p>
              </w:tc>
              <w:tc>
                <w:tcPr>
                  <w:tcW w:w="184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使用/产生/存在量</w:t>
                  </w:r>
                </w:p>
              </w:tc>
              <w:tc>
                <w:tcPr>
                  <w:tcW w:w="161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临界量（t）</w:t>
                  </w:r>
                </w:p>
              </w:tc>
              <w:tc>
                <w:tcPr>
                  <w:tcW w:w="1616" w:type="dxa"/>
                  <w:vMerge w:val="continue"/>
                  <w:noWrap w:val="0"/>
                  <w:vAlign w:val="center"/>
                </w:tcPr>
                <w:p>
                  <w:pPr>
                    <w:jc w:val="center"/>
                    <w:rPr>
                      <w:rFonts w:hint="eastAsia" w:ascii="Times New Roman"/>
                      <w:color w:val="000000" w:themeColor="text1"/>
                      <w:highlight w:val="none"/>
                      <w14:textFill>
                        <w14:solidFill>
                          <w14:schemeClr w14:val="tx1"/>
                        </w14:solidFill>
                      </w14:textFill>
                    </w:rPr>
                  </w:pPr>
                </w:p>
              </w:tc>
              <w:tc>
                <w:tcPr>
                  <w:tcW w:w="1616" w:type="dxa"/>
                  <w:vMerge w:val="continue"/>
                  <w:noWrap w:val="0"/>
                  <w:vAlign w:val="center"/>
                </w:tcPr>
                <w:p>
                  <w:pPr>
                    <w:jc w:val="center"/>
                    <w:rPr>
                      <w:rFonts w:hint="eastAsia" w:ascii="Times New Roman"/>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变压器油</w:t>
                  </w:r>
                </w:p>
              </w:tc>
              <w:tc>
                <w:tcPr>
                  <w:tcW w:w="1846"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38.16t</w:t>
                  </w:r>
                </w:p>
              </w:tc>
              <w:tc>
                <w:tcPr>
                  <w:tcW w:w="1617"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2500</w:t>
                  </w:r>
                </w:p>
              </w:tc>
              <w:tc>
                <w:tcPr>
                  <w:tcW w:w="1616" w:type="dxa"/>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0.016</w:t>
                  </w:r>
                </w:p>
              </w:tc>
              <w:tc>
                <w:tcPr>
                  <w:tcW w:w="161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非重大危险源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废机油、废润滑油</w:t>
                  </w:r>
                </w:p>
              </w:tc>
              <w:tc>
                <w:tcPr>
                  <w:tcW w:w="1846"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0.1t</w:t>
                  </w:r>
                </w:p>
              </w:tc>
              <w:tc>
                <w:tcPr>
                  <w:tcW w:w="1617" w:type="dxa"/>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1</w:t>
                  </w:r>
                  <w:r>
                    <w:rPr>
                      <w:rFonts w:ascii="Times New Roman"/>
                      <w:color w:val="000000" w:themeColor="text1"/>
                      <w:highlight w:val="none"/>
                      <w14:textFill>
                        <w14:solidFill>
                          <w14:schemeClr w14:val="tx1"/>
                        </w14:solidFill>
                      </w14:textFill>
                    </w:rPr>
                    <w:t>00</w:t>
                  </w:r>
                </w:p>
              </w:tc>
              <w:tc>
                <w:tcPr>
                  <w:tcW w:w="1616" w:type="dxa"/>
                  <w:noWrap w:val="0"/>
                  <w:vAlign w:val="center"/>
                </w:tcPr>
                <w:p>
                  <w:pPr>
                    <w:jc w:val="center"/>
                    <w:rPr>
                      <w:rFonts w:hint="eastAsia" w:ascii="Times New Roman" w:eastAsia="宋体"/>
                      <w:color w:val="000000" w:themeColor="text1"/>
                      <w:highlight w:val="none"/>
                      <w:lang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0.00</w:t>
                  </w:r>
                  <w:r>
                    <w:rPr>
                      <w:rFonts w:hint="eastAsia" w:ascii="Times New Roman"/>
                      <w:color w:val="000000" w:themeColor="text1"/>
                      <w:highlight w:val="none"/>
                      <w:lang w:val="en-US" w:eastAsia="zh-CN"/>
                      <w14:textFill>
                        <w14:solidFill>
                          <w14:schemeClr w14:val="tx1"/>
                        </w14:solidFill>
                      </w14:textFill>
                    </w:rPr>
                    <w:t>1</w:t>
                  </w:r>
                </w:p>
              </w:tc>
              <w:tc>
                <w:tcPr>
                  <w:tcW w:w="161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非重大危险源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铅</w:t>
                  </w:r>
                </w:p>
              </w:tc>
              <w:tc>
                <w:tcPr>
                  <w:tcW w:w="1846" w:type="dxa"/>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4.16</w:t>
                  </w:r>
                  <w:r>
                    <w:rPr>
                      <w:rFonts w:ascii="Times New Roman"/>
                      <w:color w:val="000000" w:themeColor="text1"/>
                      <w:highlight w:val="none"/>
                      <w14:textFill>
                        <w14:solidFill>
                          <w14:schemeClr w14:val="tx1"/>
                        </w14:solidFill>
                      </w14:textFill>
                    </w:rPr>
                    <w:t>t</w:t>
                  </w:r>
                </w:p>
              </w:tc>
              <w:tc>
                <w:tcPr>
                  <w:tcW w:w="1617" w:type="dxa"/>
                  <w:noWrap w:val="0"/>
                  <w:vAlign w:val="center"/>
                </w:tcPr>
                <w:p>
                  <w:pPr>
                    <w:pStyle w:val="46"/>
                    <w:widowControl w:val="0"/>
                    <w:adjustRightInd w:val="0"/>
                    <w:snapToGrid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lang w:bidi="ar"/>
                      <w14:textFill>
                        <w14:solidFill>
                          <w14:schemeClr w14:val="tx1"/>
                        </w14:solidFill>
                      </w14:textFill>
                    </w:rPr>
                    <w:t>50</w:t>
                  </w:r>
                </w:p>
              </w:tc>
              <w:tc>
                <w:tcPr>
                  <w:tcW w:w="1616" w:type="dxa"/>
                  <w:noWrap w:val="0"/>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0.</w:t>
                  </w:r>
                  <w:r>
                    <w:rPr>
                      <w:rFonts w:hint="eastAsia" w:ascii="Times New Roman"/>
                      <w:color w:val="000000" w:themeColor="text1"/>
                      <w:highlight w:val="none"/>
                      <w:lang w:val="en-US" w:eastAsia="zh-CN"/>
                      <w14:textFill>
                        <w14:solidFill>
                          <w14:schemeClr w14:val="tx1"/>
                        </w14:solidFill>
                      </w14:textFill>
                    </w:rPr>
                    <w:t>083</w:t>
                  </w:r>
                </w:p>
              </w:tc>
              <w:tc>
                <w:tcPr>
                  <w:tcW w:w="161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非重大危险源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7" w:type="dxa"/>
                  <w:noWrap w:val="0"/>
                  <w:vAlign w:val="center"/>
                </w:tcPr>
                <w:p>
                  <w:pPr>
                    <w:jc w:val="center"/>
                    <w:rPr>
                      <w:rFonts w:ascii="Times New Roman"/>
                      <w:color w:val="000000" w:themeColor="text1"/>
                      <w:highlight w:val="none"/>
                      <w14:textFill>
                        <w14:solidFill>
                          <w14:schemeClr w14:val="tx1"/>
                        </w14:solidFill>
                      </w14:textFill>
                    </w:rPr>
                  </w:pPr>
                  <w:r>
                    <w:rPr>
                      <w:rFonts w:ascii="Times New Roman"/>
                      <w:color w:val="000000" w:themeColor="text1"/>
                      <w:highlight w:val="none"/>
                      <w14:textFill>
                        <w14:solidFill>
                          <w14:schemeClr w14:val="tx1"/>
                        </w14:solidFill>
                      </w14:textFill>
                    </w:rPr>
                    <w:t>硫酸</w:t>
                  </w:r>
                </w:p>
              </w:tc>
              <w:tc>
                <w:tcPr>
                  <w:tcW w:w="1846" w:type="dxa"/>
                  <w:noWrap w:val="0"/>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ascii="Times New Roman"/>
                      <w:color w:val="000000" w:themeColor="text1"/>
                      <w:highlight w:val="none"/>
                      <w14:textFill>
                        <w14:solidFill>
                          <w14:schemeClr w14:val="tx1"/>
                        </w14:solidFill>
                      </w14:textFill>
                    </w:rPr>
                    <w:t>0.</w:t>
                  </w:r>
                  <w:r>
                    <w:rPr>
                      <w:rFonts w:hint="eastAsia" w:ascii="Times New Roman"/>
                      <w:color w:val="000000" w:themeColor="text1"/>
                      <w:highlight w:val="none"/>
                      <w:lang w:val="en-US" w:eastAsia="zh-CN"/>
                      <w14:textFill>
                        <w14:solidFill>
                          <w14:schemeClr w14:val="tx1"/>
                        </w14:solidFill>
                      </w14:textFill>
                    </w:rPr>
                    <w:t>08</w:t>
                  </w:r>
                </w:p>
              </w:tc>
              <w:tc>
                <w:tcPr>
                  <w:tcW w:w="1617" w:type="dxa"/>
                  <w:noWrap w:val="0"/>
                  <w:vAlign w:val="center"/>
                </w:tcPr>
                <w:p>
                  <w:pPr>
                    <w:pStyle w:val="46"/>
                    <w:widowControl w:val="0"/>
                    <w:adjustRightInd w:val="0"/>
                    <w:snapToGrid w:val="0"/>
                    <w:spacing w:before="0" w:beforeAutospacing="0" w:after="0" w:afterAutospacing="0"/>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bCs/>
                      <w:color w:val="000000" w:themeColor="text1"/>
                      <w:sz w:val="21"/>
                      <w:szCs w:val="21"/>
                      <w:highlight w:val="none"/>
                      <w:lang w:bidi="ar"/>
                      <w14:textFill>
                        <w14:solidFill>
                          <w14:schemeClr w14:val="tx1"/>
                        </w14:solidFill>
                      </w14:textFill>
                    </w:rPr>
                    <w:t>10</w:t>
                  </w:r>
                </w:p>
              </w:tc>
              <w:tc>
                <w:tcPr>
                  <w:tcW w:w="1616" w:type="dxa"/>
                  <w:noWrap w:val="0"/>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14:textFill>
                        <w14:solidFill>
                          <w14:schemeClr w14:val="tx1"/>
                        </w14:solidFill>
                      </w14:textFill>
                    </w:rPr>
                    <w:t>0.</w:t>
                  </w:r>
                  <w:r>
                    <w:rPr>
                      <w:rFonts w:hint="eastAsia" w:ascii="Times New Roman"/>
                      <w:color w:val="000000" w:themeColor="text1"/>
                      <w:highlight w:val="none"/>
                      <w:lang w:val="en-US" w:eastAsia="zh-CN"/>
                      <w14:textFill>
                        <w14:solidFill>
                          <w14:schemeClr w14:val="tx1"/>
                        </w14:solidFill>
                      </w14:textFill>
                    </w:rPr>
                    <w:t>008</w:t>
                  </w:r>
                </w:p>
              </w:tc>
              <w:tc>
                <w:tcPr>
                  <w:tcW w:w="161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非重大危险源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13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合计Q</w:t>
                  </w:r>
                </w:p>
              </w:tc>
              <w:tc>
                <w:tcPr>
                  <w:tcW w:w="184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w:t>
                  </w:r>
                </w:p>
              </w:tc>
              <w:tc>
                <w:tcPr>
                  <w:tcW w:w="161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w:t>
                  </w:r>
                </w:p>
              </w:tc>
              <w:tc>
                <w:tcPr>
                  <w:tcW w:w="1616" w:type="dxa"/>
                  <w:noWrap w:val="0"/>
                  <w:vAlign w:val="center"/>
                </w:tcPr>
                <w:p>
                  <w:pPr>
                    <w:jc w:val="center"/>
                    <w:rPr>
                      <w:rFonts w:hint="default" w:ascii="Times New Roman" w:eastAsia="宋体"/>
                      <w:color w:val="000000" w:themeColor="text1"/>
                      <w:highlight w:val="none"/>
                      <w:lang w:val="en-US" w:eastAsia="zh-CN"/>
                      <w14:textFill>
                        <w14:solidFill>
                          <w14:schemeClr w14:val="tx1"/>
                        </w14:solidFill>
                      </w14:textFill>
                    </w:rPr>
                  </w:pPr>
                  <w:r>
                    <w:rPr>
                      <w:rFonts w:hint="eastAsia" w:ascii="Times New Roman"/>
                      <w:color w:val="000000" w:themeColor="text1"/>
                      <w:highlight w:val="none"/>
                      <w:lang w:val="en-US" w:eastAsia="zh-CN"/>
                      <w14:textFill>
                        <w14:solidFill>
                          <w14:schemeClr w14:val="tx1"/>
                        </w14:solidFill>
                      </w14:textFill>
                    </w:rPr>
                    <w:t>0.108</w:t>
                  </w:r>
                </w:p>
              </w:tc>
              <w:tc>
                <w:tcPr>
                  <w:tcW w:w="1616" w:type="dxa"/>
                  <w:noWrap w:val="0"/>
                  <w:vAlign w:val="center"/>
                </w:tcPr>
                <w:p>
                  <w:pPr>
                    <w:jc w:val="center"/>
                    <w:rPr>
                      <w:rFonts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w:t>
                  </w:r>
                </w:p>
              </w:tc>
            </w:tr>
          </w:tbl>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根据辨别结果，本项目涉及的危险物质Q=0.</w:t>
            </w:r>
            <w:r>
              <w:rPr>
                <w:rFonts w:hint="eastAsia" w:ascii="Times New Roman"/>
                <w:color w:val="000000" w:themeColor="text1"/>
                <w:sz w:val="24"/>
                <w:szCs w:val="24"/>
                <w:highlight w:val="none"/>
                <w:lang w:val="en-US" w:eastAsia="zh-CN"/>
                <w14:textFill>
                  <w14:solidFill>
                    <w14:schemeClr w14:val="tx1"/>
                  </w14:solidFill>
                </w14:textFill>
              </w:rPr>
              <w:t>108</w:t>
            </w:r>
            <w:r>
              <w:rPr>
                <w:rFonts w:ascii="Times New Roman"/>
                <w:color w:val="000000" w:themeColor="text1"/>
                <w:sz w:val="24"/>
                <w:szCs w:val="24"/>
                <w:highlight w:val="none"/>
                <w14:textFill>
                  <w14:solidFill>
                    <w14:schemeClr w14:val="tx1"/>
                  </w14:solidFill>
                </w14:textFill>
              </w:rPr>
              <w:t>，未构成重大危险源。根据《建设项目环境风险评价技术导则》（HJ 169－2018），当Q＜1时，该项目环境风险潜势划为Ⅰ，按评价工作等级划分要求，确定本项目环境风险评价等级为简单分析。</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（3）环境风险识别</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本项目环境风险识别分析见表4-1</w:t>
            </w:r>
            <w:r>
              <w:rPr>
                <w:rFonts w:hint="eastAsia" w:ascii="Times New Roman"/>
                <w:color w:val="000000" w:themeColor="text1"/>
                <w:sz w:val="24"/>
                <w:szCs w:val="24"/>
                <w:highlight w:val="none"/>
                <w:lang w:val="en-US" w:eastAsia="zh-CN"/>
                <w14:textFill>
                  <w14:solidFill>
                    <w14:schemeClr w14:val="tx1"/>
                  </w14:solidFill>
                </w14:textFill>
              </w:rPr>
              <w:t>1</w:t>
            </w:r>
            <w:r>
              <w:rPr>
                <w:rFonts w:hint="eastAsia" w:ascii="Times New Roman"/>
                <w:color w:val="000000" w:themeColor="text1"/>
                <w:sz w:val="24"/>
                <w:szCs w:val="24"/>
                <w:highlight w:val="none"/>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b/>
                <w:bCs/>
                <w:color w:val="000000" w:themeColor="text1"/>
                <w:sz w:val="24"/>
                <w:szCs w:val="24"/>
                <w:highlight w:val="none"/>
                <w14:textFill>
                  <w14:solidFill>
                    <w14:schemeClr w14:val="tx1"/>
                  </w14:solidFill>
                </w14:textFill>
              </w:rPr>
            </w:pPr>
            <w:r>
              <w:rPr>
                <w:rFonts w:hint="eastAsia" w:ascii="Times New Roman"/>
                <w:b/>
                <w:bCs/>
                <w:color w:val="000000" w:themeColor="text1"/>
                <w:sz w:val="24"/>
                <w:szCs w:val="24"/>
                <w:highlight w:val="none"/>
                <w14:textFill>
                  <w14:solidFill>
                    <w14:schemeClr w14:val="tx1"/>
                  </w14:solidFill>
                </w14:textFill>
              </w:rPr>
              <w:t>表4-1</w:t>
            </w:r>
            <w:r>
              <w:rPr>
                <w:rFonts w:hint="eastAsia" w:ascii="Times New Roman"/>
                <w:b/>
                <w:bCs/>
                <w:color w:val="000000" w:themeColor="text1"/>
                <w:sz w:val="24"/>
                <w:szCs w:val="24"/>
                <w:highlight w:val="none"/>
                <w:lang w:val="en-US" w:eastAsia="zh-CN"/>
                <w14:textFill>
                  <w14:solidFill>
                    <w14:schemeClr w14:val="tx1"/>
                  </w14:solidFill>
                </w14:textFill>
              </w:rPr>
              <w:t>1</w:t>
            </w:r>
            <w:r>
              <w:rPr>
                <w:rFonts w:hint="eastAsia" w:ascii="Times New Roman"/>
                <w:b/>
                <w:bCs/>
                <w:color w:val="000000" w:themeColor="text1"/>
                <w:sz w:val="24"/>
                <w:szCs w:val="24"/>
                <w:highlight w:val="none"/>
                <w14:textFill>
                  <w14:solidFill>
                    <w14:schemeClr w14:val="tx1"/>
                  </w14:solidFill>
                </w14:textFill>
              </w:rPr>
              <w:t xml:space="preserve">   建设项目环境风险识别表</w:t>
            </w:r>
          </w:p>
          <w:tbl>
            <w:tblPr>
              <w:tblStyle w:val="5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687"/>
              <w:gridCol w:w="1150"/>
              <w:gridCol w:w="1561"/>
              <w:gridCol w:w="1500"/>
              <w:gridCol w:w="15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序号</w:t>
                  </w:r>
                </w:p>
              </w:tc>
              <w:tc>
                <w:tcPr>
                  <w:tcW w:w="1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危险单元</w:t>
                  </w:r>
                </w:p>
              </w:tc>
              <w:tc>
                <w:tcPr>
                  <w:tcW w:w="115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风险源</w:t>
                  </w:r>
                </w:p>
              </w:tc>
              <w:tc>
                <w:tcPr>
                  <w:tcW w:w="1561"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主要危险物质</w:t>
                  </w:r>
                </w:p>
              </w:tc>
              <w:tc>
                <w:tcPr>
                  <w:tcW w:w="150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环境风险类型</w:t>
                  </w:r>
                </w:p>
              </w:tc>
              <w:tc>
                <w:tcPr>
                  <w:tcW w:w="150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环境影响途径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1</w:t>
                  </w:r>
                </w:p>
              </w:tc>
              <w:tc>
                <w:tcPr>
                  <w:tcW w:w="1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w:t>
                  </w:r>
                </w:p>
              </w:tc>
              <w:tc>
                <w:tcPr>
                  <w:tcW w:w="115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变压器油</w:t>
                  </w:r>
                </w:p>
              </w:tc>
              <w:tc>
                <w:tcPr>
                  <w:tcW w:w="1561"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矿物质油</w:t>
                  </w:r>
                </w:p>
              </w:tc>
              <w:tc>
                <w:tcPr>
                  <w:tcW w:w="150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泄漏、火灾、爆炸</w:t>
                  </w:r>
                </w:p>
              </w:tc>
              <w:tc>
                <w:tcPr>
                  <w:tcW w:w="150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大气、土壤、地下水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2</w:t>
                  </w:r>
                </w:p>
              </w:tc>
              <w:tc>
                <w:tcPr>
                  <w:tcW w:w="1687"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危险废物暂存间</w:t>
                  </w:r>
                </w:p>
              </w:tc>
              <w:tc>
                <w:tcPr>
                  <w:tcW w:w="115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废蓄电池</w:t>
                  </w:r>
                </w:p>
              </w:tc>
              <w:tc>
                <w:tcPr>
                  <w:tcW w:w="1561"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电解液</w:t>
                  </w:r>
                </w:p>
              </w:tc>
              <w:tc>
                <w:tcPr>
                  <w:tcW w:w="1500"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泄漏</w:t>
                  </w:r>
                </w:p>
              </w:tc>
              <w:tc>
                <w:tcPr>
                  <w:tcW w:w="1506" w:type="dxa"/>
                  <w:noWrap w:val="0"/>
                  <w:vAlign w:val="center"/>
                </w:tcPr>
                <w:p>
                  <w:pPr>
                    <w:jc w:val="center"/>
                    <w:rPr>
                      <w:rFonts w:hint="eastAsia" w:ascii="Times New Roman"/>
                      <w:color w:val="000000" w:themeColor="text1"/>
                      <w:highlight w:val="none"/>
                      <w14:textFill>
                        <w14:solidFill>
                          <w14:schemeClr w14:val="tx1"/>
                        </w14:solidFill>
                      </w14:textFill>
                    </w:rPr>
                  </w:pPr>
                  <w:r>
                    <w:rPr>
                      <w:rFonts w:hint="eastAsia" w:ascii="Times New Roman"/>
                      <w:color w:val="000000" w:themeColor="text1"/>
                      <w:highlight w:val="none"/>
                      <w14:textFill>
                        <w14:solidFill>
                          <w14:schemeClr w14:val="tx1"/>
                        </w14:solidFill>
                      </w14:textFill>
                    </w:rPr>
                    <w:t>土壤、地下水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7"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3</w:t>
                  </w:r>
                </w:p>
              </w:tc>
              <w:tc>
                <w:tcPr>
                  <w:tcW w:w="1687"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雷电或短路风险</w:t>
                  </w:r>
                </w:p>
              </w:tc>
              <w:tc>
                <w:tcPr>
                  <w:tcW w:w="1150"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电气设备</w:t>
                  </w:r>
                </w:p>
              </w:tc>
              <w:tc>
                <w:tcPr>
                  <w:tcW w:w="1561"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CO等</w:t>
                  </w:r>
                </w:p>
              </w:tc>
              <w:tc>
                <w:tcPr>
                  <w:tcW w:w="1500"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火灾</w:t>
                  </w:r>
                </w:p>
              </w:tc>
              <w:tc>
                <w:tcPr>
                  <w:tcW w:w="1506" w:type="dxa"/>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大气、土壤、地下水</w:t>
                  </w:r>
                </w:p>
              </w:tc>
            </w:tr>
          </w:tbl>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（4）风险防范及事故应急措施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①变压器油事故风险防范措施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变压器为了绝缘和冷却的需要，其外壳内装有大量变压器油，一般只有发生事故时才会排油。随着技术的进步和管理的科学化，升压站变压器发生故障的可能性极小，在采取严格管理措施的情况下，即使发生事故也能得到及时处理，对环境的影响很小。</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措施如下：本工程在升压站内设置1座事故油池，容积为</w:t>
            </w:r>
            <w:r>
              <w:rPr>
                <w:rFonts w:hint="eastAsia" w:ascii="Times New Roman"/>
                <w:color w:val="000000" w:themeColor="text1"/>
                <w:sz w:val="24"/>
                <w:szCs w:val="24"/>
                <w:highlight w:val="none"/>
                <w:lang w:val="en-US" w:eastAsia="zh-CN"/>
                <w14:textFill>
                  <w14:solidFill>
                    <w14:schemeClr w14:val="tx1"/>
                  </w14:solidFill>
                </w14:textFill>
              </w:rPr>
              <w:t>9</w:t>
            </w:r>
            <w:r>
              <w:rPr>
                <w:rFonts w:hint="eastAsia" w:ascii="Times New Roman"/>
                <w:color w:val="000000" w:themeColor="text1"/>
                <w:sz w:val="24"/>
                <w:szCs w:val="24"/>
                <w:highlight w:val="none"/>
                <w14:textFill>
                  <w14:solidFill>
                    <w14:schemeClr w14:val="tx1"/>
                  </w14:solidFill>
                </w14:textFill>
              </w:rPr>
              <w:t>0m</w:t>
            </w:r>
            <w:r>
              <w:rPr>
                <w:rFonts w:hint="eastAsia" w:ascii="Times New Roman"/>
                <w:color w:val="000000" w:themeColor="text1"/>
                <w:sz w:val="24"/>
                <w:szCs w:val="24"/>
                <w:highlight w:val="none"/>
                <w:vertAlign w:val="superscript"/>
                <w14:textFill>
                  <w14:solidFill>
                    <w14:schemeClr w14:val="tx1"/>
                  </w14:solidFill>
                </w14:textFill>
              </w:rPr>
              <w:t>3</w:t>
            </w:r>
            <w:r>
              <w:rPr>
                <w:rFonts w:hint="eastAsia" w:ascii="Times New Roman"/>
                <w:color w:val="000000" w:themeColor="text1"/>
                <w:sz w:val="24"/>
                <w:szCs w:val="24"/>
                <w:highlight w:val="none"/>
                <w14:textFill>
                  <w14:solidFill>
                    <w14:schemeClr w14:val="tx1"/>
                  </w14:solidFill>
                </w14:textFill>
              </w:rPr>
              <w:t>，用于存放事故废油；升压站运行期有严格的检修操作规程，同时主变都配备有油压监控设备和主变保护装置，在发生事故排油时会发出警告声，通知站内值守人员及时进行应急处理；站区设置监控系统，对站内的电气设备及运行环境进行图像监视，并能向各级调度传送遥信、遥测、遥控、遥调等信息，可及时发现问题，避免事故发生。</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②废蓄电池处置风险防范措施</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变电站废蓄电池更换下来后，</w:t>
            </w:r>
            <w:r>
              <w:rPr>
                <w:rFonts w:hint="eastAsia" w:ascii="Times New Roman"/>
                <w:color w:val="000000" w:themeColor="text1"/>
                <w:sz w:val="24"/>
                <w:szCs w:val="24"/>
                <w:highlight w:val="none"/>
                <w:lang w:val="en-US" w:eastAsia="zh-CN"/>
                <w14:textFill>
                  <w14:solidFill>
                    <w14:schemeClr w14:val="tx1"/>
                  </w14:solidFill>
                </w14:textFill>
              </w:rPr>
              <w:t>在</w:t>
            </w:r>
            <w:r>
              <w:rPr>
                <w:rFonts w:hint="eastAsia" w:ascii="Times New Roman"/>
                <w:color w:val="000000" w:themeColor="text1"/>
                <w:sz w:val="24"/>
                <w:szCs w:val="24"/>
                <w:highlight w:val="none"/>
                <w14:textFill>
                  <w14:solidFill>
                    <w14:schemeClr w14:val="tx1"/>
                  </w14:solidFill>
                </w14:textFill>
              </w:rPr>
              <w:t>升压站危废暂存间暂存，由有资质的收集处理单位回收，不在现场进行拆解处理，不会对周边环境造成影响。退役的蓄电池进行临时贮存，需按照《废铅蓄电池处理污染控制技术规范》（HJ519-2020）、《危险废物贮存污染控制标准》（GB18597-2023）要求进行处置。升压站内拟按《危险废物贮存污染控制标准》（GB18597-2023）的要求设置危废暂存间对同时对暂存间采取防雨淋、防渗、防火以及防盗等相应工程措施，防止意外事故和环境污染，并设置危险废物标志和台账。本工程产生破损的废铅蓄电池转运时应按《危险废物转移管理办法》进行运输和处理处置。</w:t>
            </w:r>
          </w:p>
          <w:p>
            <w:pPr>
              <w:autoSpaceDE w:val="0"/>
              <w:autoSpaceDN w:val="0"/>
              <w:adjustRightInd w:val="0"/>
              <w:spacing w:line="360" w:lineRule="auto"/>
              <w:ind w:firstLine="480"/>
              <w:rPr>
                <w:color w:val="000000" w:themeColor="text1"/>
                <w:kern w:val="0"/>
                <w:sz w:val="24"/>
                <w:szCs w:val="20"/>
                <w:highlight w:val="none"/>
                <w14:textFill>
                  <w14:solidFill>
                    <w14:schemeClr w14:val="tx1"/>
                  </w14:solidFill>
                </w14:textFill>
              </w:rPr>
            </w:pPr>
            <w:r>
              <w:rPr>
                <w:rFonts w:hint="eastAsia"/>
                <w:color w:val="000000" w:themeColor="text1"/>
                <w:kern w:val="0"/>
                <w:sz w:val="24"/>
                <w:szCs w:val="20"/>
                <w:highlight w:val="none"/>
                <w14:textFill>
                  <w14:solidFill>
                    <w14:schemeClr w14:val="tx1"/>
                  </w14:solidFill>
                </w14:textFill>
              </w:rPr>
              <w:t>③</w:t>
            </w:r>
            <w:r>
              <w:rPr>
                <w:color w:val="000000" w:themeColor="text1"/>
                <w:kern w:val="0"/>
                <w:sz w:val="24"/>
                <w:szCs w:val="20"/>
                <w:highlight w:val="none"/>
                <w14:textFill>
                  <w14:solidFill>
                    <w14:schemeClr w14:val="tx1"/>
                  </w14:solidFill>
                </w14:textFill>
              </w:rPr>
              <w:t>雷电或短路风险分析及防范措施</w:t>
            </w:r>
          </w:p>
          <w:p>
            <w:pPr>
              <w:tabs>
                <w:tab w:val="right" w:pos="9412"/>
              </w:tabs>
              <w:adjustRightInd w:val="0"/>
              <w:snapToGrid w:val="0"/>
              <w:spacing w:line="360" w:lineRule="auto"/>
              <w:ind w:firstLine="480" w:firstLineChars="200"/>
              <w:rPr>
                <w:color w:val="000000" w:themeColor="text1"/>
                <w:kern w:val="0"/>
                <w:sz w:val="24"/>
                <w:szCs w:val="20"/>
                <w:highlight w:val="none"/>
                <w14:textFill>
                  <w14:solidFill>
                    <w14:schemeClr w14:val="tx1"/>
                  </w14:solidFill>
                </w14:textFill>
              </w:rPr>
            </w:pPr>
            <w:r>
              <w:rPr>
                <w:color w:val="000000" w:themeColor="text1"/>
                <w:kern w:val="0"/>
                <w:sz w:val="24"/>
                <w:szCs w:val="20"/>
                <w:highlight w:val="none"/>
                <w14:textFill>
                  <w14:solidFill>
                    <w14:schemeClr w14:val="tx1"/>
                  </w14:solidFill>
                </w14:textFill>
              </w:rPr>
              <w:t>雷电或短路将导致线路及</w:t>
            </w:r>
            <w:r>
              <w:rPr>
                <w:rFonts w:hint="eastAsia"/>
                <w:color w:val="000000" w:themeColor="text1"/>
                <w:kern w:val="0"/>
                <w:sz w:val="24"/>
                <w:szCs w:val="20"/>
                <w:highlight w:val="none"/>
                <w14:textFill>
                  <w14:solidFill>
                    <w14:schemeClr w14:val="tx1"/>
                  </w14:solidFill>
                </w14:textFill>
              </w:rPr>
              <w:t>升压站</w:t>
            </w:r>
            <w:r>
              <w:rPr>
                <w:color w:val="000000" w:themeColor="text1"/>
                <w:kern w:val="0"/>
                <w:sz w:val="24"/>
                <w:szCs w:val="20"/>
                <w:highlight w:val="none"/>
                <w14:textFill>
                  <w14:solidFill>
                    <w14:schemeClr w14:val="tx1"/>
                  </w14:solidFill>
                </w14:textFill>
              </w:rPr>
              <w:t>设备过电流或过电压</w:t>
            </w:r>
            <w:r>
              <w:rPr>
                <w:rFonts w:hint="eastAsia"/>
                <w:color w:val="000000" w:themeColor="text1"/>
                <w:kern w:val="0"/>
                <w:sz w:val="24"/>
                <w:szCs w:val="20"/>
                <w:highlight w:val="none"/>
                <w14:textFill>
                  <w14:solidFill>
                    <w14:schemeClr w14:val="tx1"/>
                  </w14:solidFill>
                </w14:textFill>
              </w:rPr>
              <w:t>。</w:t>
            </w:r>
            <w:r>
              <w:rPr>
                <w:color w:val="000000" w:themeColor="text1"/>
                <w:kern w:val="0"/>
                <w:sz w:val="24"/>
                <w:szCs w:val="20"/>
                <w:highlight w:val="none"/>
                <w14:textFill>
                  <w14:solidFill>
                    <w14:schemeClr w14:val="tx1"/>
                  </w14:solidFill>
                </w14:textFill>
              </w:rPr>
              <w:t>在</w:t>
            </w:r>
            <w:r>
              <w:rPr>
                <w:rFonts w:hint="eastAsia"/>
                <w:color w:val="000000" w:themeColor="text1"/>
                <w:kern w:val="0"/>
                <w:sz w:val="24"/>
                <w:szCs w:val="20"/>
                <w:highlight w:val="none"/>
                <w14:textFill>
                  <w14:solidFill>
                    <w14:schemeClr w14:val="tx1"/>
                  </w14:solidFill>
                </w14:textFill>
              </w:rPr>
              <w:t>升压站</w:t>
            </w:r>
            <w:r>
              <w:rPr>
                <w:color w:val="000000" w:themeColor="text1"/>
                <w:kern w:val="0"/>
                <w:sz w:val="24"/>
                <w:szCs w:val="20"/>
                <w:highlight w:val="none"/>
                <w14:textFill>
                  <w14:solidFill>
                    <w14:schemeClr w14:val="tx1"/>
                  </w14:solidFill>
                </w14:textFill>
              </w:rPr>
              <w:t>内设置了</w:t>
            </w:r>
            <w:r>
              <w:rPr>
                <w:rFonts w:hint="eastAsia"/>
                <w:color w:val="000000" w:themeColor="text1"/>
                <w:kern w:val="0"/>
                <w:sz w:val="24"/>
                <w:szCs w:val="20"/>
                <w:highlight w:val="none"/>
                <w14:textFill>
                  <w14:solidFill>
                    <w14:schemeClr w14:val="tx1"/>
                  </w14:solidFill>
                </w14:textFill>
              </w:rPr>
              <w:t>避雷器和</w:t>
            </w:r>
            <w:r>
              <w:rPr>
                <w:color w:val="000000" w:themeColor="text1"/>
                <w:kern w:val="0"/>
                <w:sz w:val="24"/>
                <w:szCs w:val="20"/>
                <w:highlight w:val="none"/>
                <w14:textFill>
                  <w14:solidFill>
                    <w14:schemeClr w14:val="tx1"/>
                  </w14:solidFill>
                </w14:textFill>
              </w:rPr>
              <w:t>完备的防止系统过载的自动保护系统及良好的接地，当电网内发生故障使电压或电流超出正常运行的范围，自动保护装置将在几十毫秒时间内使断路器断开，实现事故元件断电，因此，</w:t>
            </w:r>
            <w:r>
              <w:rPr>
                <w:rFonts w:hint="eastAsia"/>
                <w:color w:val="000000" w:themeColor="text1"/>
                <w:kern w:val="0"/>
                <w:sz w:val="24"/>
                <w:szCs w:val="20"/>
                <w:highlight w:val="none"/>
                <w14:textFill>
                  <w14:solidFill>
                    <w14:schemeClr w14:val="tx1"/>
                  </w14:solidFill>
                </w14:textFill>
              </w:rPr>
              <w:t>升压站</w:t>
            </w:r>
            <w:r>
              <w:rPr>
                <w:color w:val="000000" w:themeColor="text1"/>
                <w:kern w:val="0"/>
                <w:sz w:val="24"/>
                <w:szCs w:val="20"/>
                <w:highlight w:val="none"/>
                <w14:textFill>
                  <w14:solidFill>
                    <w14:schemeClr w14:val="tx1"/>
                  </w14:solidFill>
                </w14:textFill>
              </w:rPr>
              <w:t>不存在事故时的运行工况。</w:t>
            </w:r>
            <w:r>
              <w:rPr>
                <w:rFonts w:hAnsi="宋体"/>
                <w:color w:val="000000" w:themeColor="text1"/>
                <w:sz w:val="24"/>
                <w:highlight w:val="none"/>
                <w14:textFill>
                  <w14:solidFill>
                    <w14:schemeClr w14:val="tx1"/>
                  </w14:solidFill>
                </w14:textFill>
              </w:rPr>
              <w:t>经定期检查可有效降低事故发生的概率。</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（5）环境风险管理及应急预案</w:t>
            </w:r>
          </w:p>
          <w:p>
            <w:pPr>
              <w:spacing w:line="360" w:lineRule="auto"/>
              <w:ind w:firstLine="480" w:firstLineChars="200"/>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为避免风险事故，尤其是避免风险事故发生后对环境造成严重的污染，建设单位应树立并强化环境风险意识，增加对环境风险的防范措施，并使这些措施在实际工作中得到落实。为进一步减少事故的发生，减缓该项目运营过程中对环境的潜在威胁，建设单位应采取综合防范措施，并从技术、工艺、管理等方面对以下几方面予以重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①树立环境风险意识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贯彻“安全第一，预防为主”的方针同时，应树立环境风险意识，强化环境风险责任，体现出环境保护的内容。通过培训等手段增强员工环境风险意识。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②实行全面环境安全管理制度</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应该针对该项目开展全面、全员、全过程的安全管理，把环境安全工作的重点放在消除系统的潜在危险上，并从整体和全局上促进该项目各个环节的环境安全运作，并建立监察、管理、检测、信息系统和科学决策体系，实行环境安全目标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③加强危险废物处理管理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加强危险废物的收集、暂存、交接等环节的管理，对危险废物的处理应设专人责任负责制，负责人在接管前应全面学习有关危险废物处理的有关法规和操作方法。做好危险废物有关资料的记录。</w:t>
            </w:r>
          </w:p>
          <w:p>
            <w:pPr>
              <w:spacing w:line="360" w:lineRule="auto"/>
              <w:ind w:firstLine="480" w:firstLineChars="200"/>
              <w:rPr>
                <w:rFonts w:hint="eastAsia" w:ascii="Times New Roman" w:hAnsi="Times New Roman" w:cs="Times New Roman"/>
                <w:color w:val="000000" w:themeColor="text1"/>
                <w:sz w:val="24"/>
                <w:szCs w:val="24"/>
                <w:highlight w:val="none"/>
                <w:lang w:bidi="ar"/>
                <w14:textFill>
                  <w14:solidFill>
                    <w14:schemeClr w14:val="tx1"/>
                  </w14:solidFill>
                </w14:textFill>
              </w:rPr>
            </w:pPr>
            <w:r>
              <w:rPr>
                <w:rFonts w:hint="eastAsia" w:ascii="Times New Roman" w:hAnsi="Times New Roman" w:cs="Times New Roman"/>
                <w:color w:val="000000" w:themeColor="text1"/>
                <w:sz w:val="24"/>
                <w:szCs w:val="24"/>
                <w:highlight w:val="none"/>
                <w:lang w:bidi="ar"/>
                <w14:textFill>
                  <w14:solidFill>
                    <w14:schemeClr w14:val="tx1"/>
                  </w14:solidFill>
                </w14:textFill>
              </w:rPr>
              <w:t>④项目运行前，编写突发环境事件应急预案，并经</w:t>
            </w:r>
            <w:r>
              <w:rPr>
                <w:rFonts w:hint="eastAsia" w:ascii="Times New Roman" w:cs="Times New Roman"/>
                <w:color w:val="000000" w:themeColor="text1"/>
                <w:sz w:val="24"/>
                <w:szCs w:val="24"/>
                <w:highlight w:val="none"/>
                <w:lang w:eastAsia="zh-CN" w:bidi="ar"/>
                <w14:textFill>
                  <w14:solidFill>
                    <w14:schemeClr w14:val="tx1"/>
                  </w14:solidFill>
                </w14:textFill>
              </w:rPr>
              <w:t>围场满族蒙古族自治县</w:t>
            </w:r>
            <w:r>
              <w:rPr>
                <w:rFonts w:hint="eastAsia" w:ascii="Times New Roman" w:hAnsi="Times New Roman" w:cs="Times New Roman"/>
                <w:color w:val="000000" w:themeColor="text1"/>
                <w:sz w:val="24"/>
                <w:szCs w:val="24"/>
                <w:highlight w:val="none"/>
                <w:lang w:bidi="ar"/>
                <w14:textFill>
                  <w14:solidFill>
                    <w14:schemeClr w14:val="tx1"/>
                  </w14:solidFill>
                </w14:textFill>
              </w:rPr>
              <w:t>环保局备案。</w:t>
            </w:r>
          </w:p>
          <w:p>
            <w:pPr>
              <w:spacing w:line="360" w:lineRule="auto"/>
              <w:ind w:firstLine="480" w:firstLineChars="200"/>
              <w:rPr>
                <w:rFonts w:ascii="Times New Roman"/>
                <w:color w:val="000000" w:themeColor="text1"/>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bidi="ar"/>
                <w14:textFill>
                  <w14:solidFill>
                    <w14:schemeClr w14:val="tx1"/>
                  </w14:solidFill>
                </w14:textFill>
              </w:rPr>
              <w:t>综上所述，在采取严格管理措施的情况下，变压器即使发生故障也能得到及时处置，对环境影响较小，因此本项目风险影响可接受。</w:t>
            </w:r>
          </w:p>
          <w:p>
            <w:pPr>
              <w:autoSpaceDE w:val="0"/>
              <w:autoSpaceDN w:val="0"/>
              <w:adjustRightInd w:val="0"/>
              <w:snapToGrid w:val="0"/>
              <w:spacing w:line="360" w:lineRule="auto"/>
              <w:ind w:firstLine="482" w:firstLineChars="200"/>
              <w:rPr>
                <w:rFonts w:hint="default" w:ascii="Times New Roman" w:hAnsi="Times New Roman" w:eastAsia="宋体" w:cs="Times New Roman"/>
                <w:b/>
                <w:bCs/>
                <w:color w:val="000000" w:themeColor="text1"/>
                <w:kern w:val="0"/>
                <w:sz w:val="24"/>
                <w:highlight w:val="none"/>
                <w14:textFill>
                  <w14:solidFill>
                    <w14:schemeClr w14:val="tx1"/>
                  </w14:solidFill>
                </w14:textFill>
              </w:rPr>
            </w:pPr>
            <w:r>
              <w:rPr>
                <w:rFonts w:hint="eastAsia" w:ascii="Times New Roman"/>
                <w:b/>
                <w:color w:val="000000" w:themeColor="text1"/>
                <w:sz w:val="24"/>
                <w:szCs w:val="24"/>
                <w:highlight w:val="none"/>
                <w14:textFill>
                  <w14:solidFill>
                    <w14:schemeClr w14:val="tx1"/>
                  </w14:solidFill>
                </w14:textFill>
              </w:rPr>
              <w:t>9</w:t>
            </w:r>
            <w:r>
              <w:rPr>
                <w:rFonts w:hint="default" w:ascii="Times New Roman" w:hAnsi="Times New Roman" w:eastAsia="宋体" w:cs="Times New Roman"/>
                <w:b/>
                <w:bCs/>
                <w:color w:val="000000" w:themeColor="text1"/>
                <w:kern w:val="0"/>
                <w:sz w:val="24"/>
                <w:highlight w:val="none"/>
                <w14:textFill>
                  <w14:solidFill>
                    <w14:schemeClr w14:val="tx1"/>
                  </w14:solidFill>
                </w14:textFill>
              </w:rPr>
              <w:t>、环境管理及监测计划</w:t>
            </w:r>
          </w:p>
          <w:p>
            <w:pPr>
              <w:autoSpaceDE w:val="0"/>
              <w:autoSpaceDN w:val="0"/>
              <w:adjustRightInd w:val="0"/>
              <w:spacing w:line="360" w:lineRule="auto"/>
              <w:ind w:firstLine="480" w:firstLineChars="200"/>
              <w:rPr>
                <w:rFonts w:ascii="Times New Roman"/>
                <w:color w:val="000000" w:themeColor="text1"/>
                <w:kern w:val="0"/>
                <w:sz w:val="24"/>
                <w:highlight w:val="none"/>
                <w14:textFill>
                  <w14:solidFill>
                    <w14:schemeClr w14:val="tx1"/>
                  </w14:solidFill>
                </w14:textFill>
              </w:rPr>
            </w:pPr>
            <w:r>
              <w:rPr>
                <w:rFonts w:hint="default" w:ascii="Times New Roman" w:hAnsi="Times New Roman" w:eastAsia="宋体" w:cs="Times New Roman"/>
                <w:color w:val="000000" w:themeColor="text1"/>
                <w:kern w:val="0"/>
                <w:sz w:val="24"/>
                <w:highlight w:val="none"/>
                <w14:textFill>
                  <w14:solidFill>
                    <w14:schemeClr w14:val="tx1"/>
                  </w14:solidFill>
                </w14:textFill>
              </w:rPr>
              <w:t>施工期和运行期应加强环境管理，执行环境管</w:t>
            </w:r>
            <w:r>
              <w:rPr>
                <w:rFonts w:ascii="Times New Roman"/>
                <w:color w:val="000000" w:themeColor="text1"/>
                <w:kern w:val="0"/>
                <w:sz w:val="24"/>
                <w:highlight w:val="none"/>
                <w14:textFill>
                  <w14:solidFill>
                    <w14:schemeClr w14:val="tx1"/>
                  </w14:solidFill>
                </w14:textFill>
              </w:rPr>
              <w:t>理和监测计划，掌握项目工程建设前后、运行前后实际产生的环境影响变化情况，确保各项环保防治措施的有效落实，并根据管理、监测中发现的信息及时解决相关问题，尽可能降低、减少工程建设及工程运行对环境带来的负面影响，力争做到经济、社会、环境效益的统一和可持续发展。</w:t>
            </w:r>
          </w:p>
          <w:p>
            <w:pPr>
              <w:spacing w:line="360" w:lineRule="auto"/>
              <w:ind w:firstLine="480" w:firstLineChars="200"/>
              <w:rPr>
                <w:rFonts w:ascii="Times New Roman"/>
                <w:b w:val="0"/>
                <w:bCs w:val="0"/>
                <w:color w:val="000000" w:themeColor="text1"/>
                <w:sz w:val="24"/>
                <w:szCs w:val="24"/>
                <w:highlight w:val="none"/>
                <w14:textFill>
                  <w14:solidFill>
                    <w14:schemeClr w14:val="tx1"/>
                  </w14:solidFill>
                </w14:textFill>
              </w:rPr>
            </w:pPr>
            <w:r>
              <w:rPr>
                <w:rFonts w:hint="eastAsia" w:ascii="Times New Roman"/>
                <w:b w:val="0"/>
                <w:bCs w:val="0"/>
                <w:color w:val="000000" w:themeColor="text1"/>
                <w:sz w:val="24"/>
                <w:szCs w:val="24"/>
                <w:highlight w:val="none"/>
                <w:lang w:eastAsia="zh-CN"/>
                <w14:textFill>
                  <w14:solidFill>
                    <w14:schemeClr w14:val="tx1"/>
                  </w14:solidFill>
                </w14:textFill>
              </w:rPr>
              <w:t>（</w:t>
            </w:r>
            <w:r>
              <w:rPr>
                <w:rFonts w:hint="eastAsia" w:ascii="Times New Roman"/>
                <w:b w:val="0"/>
                <w:bCs w:val="0"/>
                <w:color w:val="000000" w:themeColor="text1"/>
                <w:sz w:val="24"/>
                <w:szCs w:val="24"/>
                <w:highlight w:val="none"/>
                <w:lang w:val="en-US" w:eastAsia="zh-CN"/>
                <w14:textFill>
                  <w14:solidFill>
                    <w14:schemeClr w14:val="tx1"/>
                  </w14:solidFill>
                </w14:textFill>
              </w:rPr>
              <w:t>1</w:t>
            </w:r>
            <w:r>
              <w:rPr>
                <w:rFonts w:hint="eastAsia" w:ascii="Times New Roman"/>
                <w:b w:val="0"/>
                <w:bCs w:val="0"/>
                <w:color w:val="000000" w:themeColor="text1"/>
                <w:sz w:val="24"/>
                <w:szCs w:val="24"/>
                <w:highlight w:val="none"/>
                <w:lang w:eastAsia="zh-CN"/>
                <w14:textFill>
                  <w14:solidFill>
                    <w14:schemeClr w14:val="tx1"/>
                  </w14:solidFill>
                </w14:textFill>
              </w:rPr>
              <w:t>）</w:t>
            </w:r>
            <w:r>
              <w:rPr>
                <w:rFonts w:ascii="Times New Roman"/>
                <w:b w:val="0"/>
                <w:bCs w:val="0"/>
                <w:color w:val="000000" w:themeColor="text1"/>
                <w:sz w:val="24"/>
                <w:szCs w:val="24"/>
                <w:highlight w:val="none"/>
                <w14:textFill>
                  <w14:solidFill>
                    <w14:schemeClr w14:val="tx1"/>
                  </w14:solidFill>
                </w14:textFill>
              </w:rPr>
              <w:t>环境管理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建设单位设置环境管理体制、管理机构和人员。加强施工期环境管理，及时组织竣工环境保护验收并加强</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环境管理。开展环境保护培训。</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严格环境保护法规、政策的执行，编制环境管理计划并落实环境保护措施的实施。</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1)施工期</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kern w:val="0"/>
                <w:sz w:val="24"/>
                <w:highlight w:val="none"/>
                <w14:textFill>
                  <w14:solidFill>
                    <w14:schemeClr w14:val="tx1"/>
                  </w14:solidFill>
                </w14:textFill>
              </w:rPr>
              <w:t>施工现场的环境管理包括施工期防尘降噪、固废处理、生态保护等。组织落实环境监测计划、分析、整理监测结果。并进行有关环保法规的宣传，对用关人员进行环保培训</w:t>
            </w:r>
            <w:r>
              <w:rPr>
                <w:rFonts w:ascii="Times New Roman"/>
                <w:color w:val="000000" w:themeColor="text1"/>
                <w:sz w:val="24"/>
                <w:szCs w:val="24"/>
                <w:highlight w:val="none"/>
                <w14:textFill>
                  <w14:solidFill>
                    <w14:schemeClr w14:val="tx1"/>
                  </w14:solidFill>
                </w14:textFill>
              </w:rPr>
              <w:t>。</w:t>
            </w:r>
          </w:p>
          <w:p>
            <w:pPr>
              <w:spacing w:line="360" w:lineRule="auto"/>
              <w:ind w:firstLine="480" w:firstLineChars="200"/>
              <w:rPr>
                <w:rFonts w:hint="eastAsia" w:ascii="Times New Roman" w:eastAsia="宋体"/>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w:t>
            </w:r>
            <w:r>
              <w:rPr>
                <w:rFonts w:hint="eastAsia" w:ascii="Times New Roman"/>
                <w:color w:val="000000" w:themeColor="text1"/>
                <w:sz w:val="24"/>
                <w:szCs w:val="24"/>
                <w:highlight w:val="none"/>
                <w:lang w:eastAsia="zh-CN"/>
                <w14:textFill>
                  <w14:solidFill>
                    <w14:schemeClr w14:val="tx1"/>
                  </w14:solidFill>
                </w14:textFill>
              </w:rPr>
              <w:t>运营期</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①</w:t>
            </w:r>
            <w:r>
              <w:rPr>
                <w:rFonts w:ascii="Times New Roman"/>
                <w:color w:val="000000" w:themeColor="text1"/>
                <w:sz w:val="24"/>
                <w:szCs w:val="24"/>
                <w:highlight w:val="none"/>
                <w14:textFill>
                  <w14:solidFill>
                    <w14:schemeClr w14:val="tx1"/>
                  </w14:solidFill>
                </w14:textFill>
              </w:rPr>
              <w:t>加强</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相关环境管理。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②</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做好环境保护设施的维护和运行管理，加强巡查和检查，保障发挥环境保护作用。</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③</w:t>
            </w:r>
            <w:r>
              <w:rPr>
                <w:rFonts w:ascii="Times New Roman"/>
                <w:color w:val="000000" w:themeColor="text1"/>
                <w:sz w:val="24"/>
                <w:szCs w:val="24"/>
                <w:highlight w:val="none"/>
                <w14:textFill>
                  <w14:solidFill>
                    <w14:schemeClr w14:val="tx1"/>
                  </w14:solidFill>
                </w14:textFill>
              </w:rPr>
              <w:t>主要声源设备大修前后，应对厂界排放噪声和周围声环境敏感目标环境噪声进行监测，监测结果向社会公开。</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④</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应对事故油池的完好情况进行检查，确保无渗漏、无溢流。</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⑤</w:t>
            </w:r>
            <w:r>
              <w:rPr>
                <w:rFonts w:ascii="Times New Roman"/>
                <w:color w:val="000000" w:themeColor="text1"/>
                <w:sz w:val="24"/>
                <w:szCs w:val="24"/>
                <w:highlight w:val="none"/>
                <w14:textFill>
                  <w14:solidFill>
                    <w14:schemeClr w14:val="tx1"/>
                  </w14:solidFill>
                </w14:textFill>
              </w:rPr>
              <w:t>运行过程中产生的危险废物应交由有资质的单位回收处理，严禁随意丢弃。</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⑥</w:t>
            </w:r>
            <w:r>
              <w:rPr>
                <w:rFonts w:ascii="Times New Roman"/>
                <w:color w:val="000000" w:themeColor="text1"/>
                <w:sz w:val="24"/>
                <w:szCs w:val="24"/>
                <w:highlight w:val="none"/>
                <w14:textFill>
                  <w14:solidFill>
                    <w14:schemeClr w14:val="tx1"/>
                  </w14:solidFill>
                </w14:textFill>
              </w:rPr>
              <w:t>针对站内可能发生的突发环境事件，应按照HJ169等国家有关规定制定突发环境事件应急预案，并定期演练。</w:t>
            </w:r>
          </w:p>
          <w:p>
            <w:pPr>
              <w:spacing w:line="360" w:lineRule="auto"/>
              <w:ind w:firstLine="480" w:firstLineChars="200"/>
              <w:rPr>
                <w:rFonts w:ascii="Times New Roman"/>
                <w:b w:val="0"/>
                <w:bCs w:val="0"/>
                <w:color w:val="000000" w:themeColor="text1"/>
                <w:sz w:val="24"/>
                <w:szCs w:val="24"/>
                <w:highlight w:val="none"/>
                <w14:textFill>
                  <w14:solidFill>
                    <w14:schemeClr w14:val="tx1"/>
                  </w14:solidFill>
                </w14:textFill>
              </w:rPr>
            </w:pPr>
            <w:r>
              <w:rPr>
                <w:rFonts w:hint="eastAsia" w:ascii="Times New Roman"/>
                <w:b w:val="0"/>
                <w:bCs w:val="0"/>
                <w:color w:val="000000" w:themeColor="text1"/>
                <w:sz w:val="24"/>
                <w:szCs w:val="24"/>
                <w:highlight w:val="none"/>
                <w:lang w:eastAsia="zh-CN"/>
                <w14:textFill>
                  <w14:solidFill>
                    <w14:schemeClr w14:val="tx1"/>
                  </w14:solidFill>
                </w14:textFill>
              </w:rPr>
              <w:t>（</w:t>
            </w:r>
            <w:r>
              <w:rPr>
                <w:rFonts w:hint="eastAsia" w:ascii="Times New Roman"/>
                <w:b w:val="0"/>
                <w:bCs w:val="0"/>
                <w:color w:val="000000" w:themeColor="text1"/>
                <w:sz w:val="24"/>
                <w:szCs w:val="24"/>
                <w:highlight w:val="none"/>
                <w:lang w:val="en-US" w:eastAsia="zh-CN"/>
                <w14:textFill>
                  <w14:solidFill>
                    <w14:schemeClr w14:val="tx1"/>
                  </w14:solidFill>
                </w14:textFill>
              </w:rPr>
              <w:t>2</w:t>
            </w:r>
            <w:r>
              <w:rPr>
                <w:rFonts w:hint="eastAsia" w:ascii="Times New Roman"/>
                <w:b w:val="0"/>
                <w:bCs w:val="0"/>
                <w:color w:val="000000" w:themeColor="text1"/>
                <w:sz w:val="24"/>
                <w:szCs w:val="24"/>
                <w:highlight w:val="none"/>
                <w:lang w:eastAsia="zh-CN"/>
                <w14:textFill>
                  <w14:solidFill>
                    <w14:schemeClr w14:val="tx1"/>
                  </w14:solidFill>
                </w14:textFill>
              </w:rPr>
              <w:t>）</w:t>
            </w:r>
            <w:r>
              <w:rPr>
                <w:rFonts w:ascii="Times New Roman"/>
                <w:b w:val="0"/>
                <w:bCs w:val="0"/>
                <w:color w:val="000000" w:themeColor="text1"/>
                <w:sz w:val="24"/>
                <w:szCs w:val="24"/>
                <w:highlight w:val="none"/>
                <w14:textFill>
                  <w14:solidFill>
                    <w14:schemeClr w14:val="tx1"/>
                  </w14:solidFill>
                </w14:textFill>
              </w:rPr>
              <w:t>培训管理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本项目</w:t>
            </w: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对与工程项目有关的人员，进行一次环境保护技术和政策方面的培训与宣传，从而进一步增强施运行单位的环保管理的能力，减少运行产生的不利环境影响，并且能够更好地参与和监督本项目的环保管理；同时对附近居民进行相关环境保护技术及政策法规、电力安全防护知识宣传，提高公众的环境保护和自我保护意识。</w:t>
            </w:r>
          </w:p>
          <w:p>
            <w:pPr>
              <w:spacing w:line="360" w:lineRule="auto"/>
              <w:ind w:firstLine="480" w:firstLineChars="200"/>
              <w:rPr>
                <w:rFonts w:ascii="Times New Roman"/>
                <w:b w:val="0"/>
                <w:bCs w:val="0"/>
                <w:color w:val="000000" w:themeColor="text1"/>
                <w:sz w:val="24"/>
                <w:szCs w:val="24"/>
                <w:highlight w:val="none"/>
                <w14:textFill>
                  <w14:solidFill>
                    <w14:schemeClr w14:val="tx1"/>
                  </w14:solidFill>
                </w14:textFill>
              </w:rPr>
            </w:pPr>
            <w:r>
              <w:rPr>
                <w:rFonts w:hint="eastAsia" w:ascii="Times New Roman"/>
                <w:b w:val="0"/>
                <w:bCs w:val="0"/>
                <w:color w:val="000000" w:themeColor="text1"/>
                <w:sz w:val="24"/>
                <w:szCs w:val="24"/>
                <w:highlight w:val="none"/>
                <w:lang w:eastAsia="zh-CN"/>
                <w14:textFill>
                  <w14:solidFill>
                    <w14:schemeClr w14:val="tx1"/>
                  </w14:solidFill>
                </w14:textFill>
              </w:rPr>
              <w:t>（</w:t>
            </w:r>
            <w:r>
              <w:rPr>
                <w:rFonts w:hint="eastAsia" w:ascii="Times New Roman"/>
                <w:b w:val="0"/>
                <w:bCs w:val="0"/>
                <w:color w:val="000000" w:themeColor="text1"/>
                <w:sz w:val="24"/>
                <w:szCs w:val="24"/>
                <w:highlight w:val="none"/>
                <w:lang w:val="en-US" w:eastAsia="zh-CN"/>
                <w14:textFill>
                  <w14:solidFill>
                    <w14:schemeClr w14:val="tx1"/>
                  </w14:solidFill>
                </w14:textFill>
              </w:rPr>
              <w:t>3</w:t>
            </w:r>
            <w:r>
              <w:rPr>
                <w:rFonts w:hint="eastAsia" w:ascii="Times New Roman"/>
                <w:b w:val="0"/>
                <w:bCs w:val="0"/>
                <w:color w:val="000000" w:themeColor="text1"/>
                <w:sz w:val="24"/>
                <w:szCs w:val="24"/>
                <w:highlight w:val="none"/>
                <w:lang w:eastAsia="zh-CN"/>
                <w14:textFill>
                  <w14:solidFill>
                    <w14:schemeClr w14:val="tx1"/>
                  </w14:solidFill>
                </w14:textFill>
              </w:rPr>
              <w:t>）</w:t>
            </w:r>
            <w:r>
              <w:rPr>
                <w:rFonts w:ascii="Times New Roman"/>
                <w:b w:val="0"/>
                <w:bCs w:val="0"/>
                <w:color w:val="000000" w:themeColor="text1"/>
                <w:sz w:val="24"/>
                <w:szCs w:val="24"/>
                <w:highlight w:val="none"/>
                <w14:textFill>
                  <w14:solidFill>
                    <w14:schemeClr w14:val="tx1"/>
                  </w14:solidFill>
                </w14:textFill>
              </w:rPr>
              <w:t>档案管理</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工程档案是指建设项目从立项审批、勘察设计、施工、安装调试、生产准备到竣工投产全过程形成的、应当归档保存的文字材料、图纸、图表、电子文件、声像等形式与载体的材料。</w:t>
            </w:r>
          </w:p>
          <w:p>
            <w:pPr>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工程档案应由专人负责各阶段(工程前期、启动验收及其以后)档案材料的归档、立卷、管理工作。</w:t>
            </w:r>
          </w:p>
          <w:p>
            <w:pPr>
              <w:spacing w:line="360" w:lineRule="auto"/>
              <w:ind w:firstLine="480" w:firstLineChars="200"/>
              <w:rPr>
                <w:rFonts w:ascii="Times New Roman"/>
                <w:b w:val="0"/>
                <w:bCs w:val="0"/>
                <w:color w:val="000000" w:themeColor="text1"/>
                <w:sz w:val="24"/>
                <w:szCs w:val="24"/>
                <w:highlight w:val="none"/>
                <w14:textFill>
                  <w14:solidFill>
                    <w14:schemeClr w14:val="tx1"/>
                  </w14:solidFill>
                </w14:textFill>
              </w:rPr>
            </w:pPr>
            <w:r>
              <w:rPr>
                <w:rFonts w:hint="eastAsia" w:ascii="Times New Roman"/>
                <w:b w:val="0"/>
                <w:bCs w:val="0"/>
                <w:color w:val="000000" w:themeColor="text1"/>
                <w:sz w:val="24"/>
                <w:szCs w:val="24"/>
                <w:highlight w:val="none"/>
                <w:lang w:eastAsia="zh-CN"/>
                <w14:textFill>
                  <w14:solidFill>
                    <w14:schemeClr w14:val="tx1"/>
                  </w14:solidFill>
                </w14:textFill>
              </w:rPr>
              <w:t>（</w:t>
            </w:r>
            <w:r>
              <w:rPr>
                <w:rFonts w:hint="eastAsia" w:ascii="Times New Roman"/>
                <w:b w:val="0"/>
                <w:bCs w:val="0"/>
                <w:color w:val="000000" w:themeColor="text1"/>
                <w:sz w:val="24"/>
                <w:szCs w:val="24"/>
                <w:highlight w:val="none"/>
                <w:lang w:val="en-US" w:eastAsia="zh-CN"/>
                <w14:textFill>
                  <w14:solidFill>
                    <w14:schemeClr w14:val="tx1"/>
                  </w14:solidFill>
                </w14:textFill>
              </w:rPr>
              <w:t>4</w:t>
            </w:r>
            <w:r>
              <w:rPr>
                <w:rFonts w:hint="eastAsia" w:ascii="Times New Roman"/>
                <w:b w:val="0"/>
                <w:bCs w:val="0"/>
                <w:color w:val="000000" w:themeColor="text1"/>
                <w:sz w:val="24"/>
                <w:szCs w:val="24"/>
                <w:highlight w:val="none"/>
                <w:lang w:eastAsia="zh-CN"/>
                <w14:textFill>
                  <w14:solidFill>
                    <w14:schemeClr w14:val="tx1"/>
                  </w14:solidFill>
                </w14:textFill>
              </w:rPr>
              <w:t>）</w:t>
            </w:r>
            <w:r>
              <w:rPr>
                <w:rFonts w:ascii="Times New Roman"/>
                <w:b w:val="0"/>
                <w:bCs w:val="0"/>
                <w:color w:val="000000" w:themeColor="text1"/>
                <w:sz w:val="24"/>
                <w:szCs w:val="24"/>
                <w:highlight w:val="none"/>
                <w14:textFill>
                  <w14:solidFill>
                    <w14:schemeClr w14:val="tx1"/>
                  </w14:solidFill>
                </w14:textFill>
              </w:rPr>
              <w:t>环境监测计划</w:t>
            </w:r>
          </w:p>
          <w:p>
            <w:pPr>
              <w:autoSpaceDE w:val="0"/>
              <w:autoSpaceDN w:val="0"/>
              <w:adjustRightInd w:val="0"/>
              <w:spacing w:line="360" w:lineRule="auto"/>
              <w:ind w:firstLine="480" w:firstLineChars="200"/>
              <w:rPr>
                <w:rFonts w:ascii="Times New Roman"/>
                <w:color w:val="000000" w:themeColor="text1"/>
                <w:kern w:val="0"/>
                <w:sz w:val="24"/>
                <w:highlight w:val="none"/>
                <w14:textFill>
                  <w14:solidFill>
                    <w14:schemeClr w14:val="tx1"/>
                  </w14:solidFill>
                </w14:textFill>
              </w:rPr>
            </w:pPr>
            <w:r>
              <w:rPr>
                <w:rFonts w:ascii="Times New Roman"/>
                <w:color w:val="000000" w:themeColor="text1"/>
                <w:kern w:val="0"/>
                <w:sz w:val="24"/>
                <w:highlight w:val="none"/>
                <w14:textFill>
                  <w14:solidFill>
                    <w14:schemeClr w14:val="tx1"/>
                  </w14:solidFill>
                </w14:textFill>
              </w:rPr>
              <w:t>为更好的开展输变电工程的环境保护工作，进行有效的环境监督、管理，为工程的环境管理提供依据，制订了具体的环境监测计划，具体监测计划见下表4-1</w:t>
            </w:r>
            <w:r>
              <w:rPr>
                <w:rFonts w:hint="eastAsia" w:ascii="Times New Roman"/>
                <w:color w:val="000000" w:themeColor="text1"/>
                <w:kern w:val="0"/>
                <w:sz w:val="24"/>
                <w:highlight w:val="none"/>
                <w:lang w:val="en-US" w:eastAsia="zh-CN"/>
                <w14:textFill>
                  <w14:solidFill>
                    <w14:schemeClr w14:val="tx1"/>
                  </w14:solidFill>
                </w14:textFill>
              </w:rPr>
              <w:t>2</w:t>
            </w:r>
            <w:r>
              <w:rPr>
                <w:rFonts w:ascii="Times New Roman"/>
                <w:color w:val="000000" w:themeColor="text1"/>
                <w:kern w:val="0"/>
                <w:sz w:val="24"/>
                <w:highlight w:val="none"/>
                <w14:textFill>
                  <w14:solidFill>
                    <w14:schemeClr w14:val="tx1"/>
                  </w14:solidFill>
                </w14:textFill>
              </w:rPr>
              <w:t>。</w:t>
            </w: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p>
          <w:p>
            <w:pPr>
              <w:pStyle w:val="15"/>
              <w:jc w:val="center"/>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表4-1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 监测计划</w:t>
            </w:r>
          </w:p>
          <w:tbl>
            <w:tblPr>
              <w:tblStyle w:val="5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360"/>
              <w:gridCol w:w="1354"/>
              <w:gridCol w:w="1234"/>
              <w:gridCol w:w="52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40" w:hRule="atLeast"/>
                <w:jc w:val="center"/>
              </w:trPr>
              <w:tc>
                <w:tcPr>
                  <w:tcW w:w="220" w:type="pct"/>
                  <w:tcBorders>
                    <w:top w:val="single" w:color="auto" w:sz="12"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序号</w:t>
                  </w:r>
                </w:p>
              </w:tc>
              <w:tc>
                <w:tcPr>
                  <w:tcW w:w="1575" w:type="pct"/>
                  <w:gridSpan w:val="2"/>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名称</w:t>
                  </w:r>
                </w:p>
              </w:tc>
              <w:tc>
                <w:tcPr>
                  <w:tcW w:w="3205" w:type="pct"/>
                  <w:tcBorders>
                    <w:top w:val="single" w:color="auto" w:sz="12"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220" w:type="pct"/>
                  <w:vMerge w:val="restart"/>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1</w:t>
                  </w:r>
                </w:p>
              </w:tc>
              <w:tc>
                <w:tcPr>
                  <w:tcW w:w="824" w:type="pct"/>
                  <w:vMerge w:val="restar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工频电场、工频磁场</w:t>
                  </w: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点位布设</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厂界四周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监测项目</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工频电场、工频磁场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监测方法</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《交流输变电工程电磁环境监测方法（试行）》（HJ681-2013）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监测频次</w:t>
                  </w:r>
                </w:p>
              </w:tc>
              <w:tc>
                <w:tcPr>
                  <w:tcW w:w="3205" w:type="pct"/>
                  <w:tcBorders>
                    <w:top w:val="single" w:color="auto" w:sz="6" w:space="0"/>
                    <w:bottom w:val="single" w:color="auto" w:sz="6" w:space="0"/>
                    <w:right w:val="nil"/>
                  </w:tcBorders>
                  <w:noWrap w:val="0"/>
                  <w:vAlign w:val="center"/>
                </w:tcPr>
                <w:p>
                  <w:pPr>
                    <w:pStyle w:val="231"/>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验收监测一次，突发环境事件时进行监测，</w:t>
                  </w:r>
                </w:p>
                <w:p>
                  <w:pPr>
                    <w:pStyle w:val="231"/>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公众发生投诉情况时进行监测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6"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执行标准</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《电磁环境控制限值》（GB8702-2014）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20" w:type="pct"/>
                  <w:vMerge w:val="restart"/>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2</w:t>
                  </w:r>
                </w:p>
              </w:tc>
              <w:tc>
                <w:tcPr>
                  <w:tcW w:w="824" w:type="pct"/>
                  <w:vMerge w:val="restar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噪声</w:t>
                  </w: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点位布设</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厂界四周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监测项目</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等效连续A声级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监测方法</w:t>
                  </w:r>
                </w:p>
              </w:tc>
              <w:tc>
                <w:tcPr>
                  <w:tcW w:w="3205" w:type="pct"/>
                  <w:tcBorders>
                    <w:top w:val="single" w:color="auto" w:sz="6" w:space="0"/>
                    <w:bottom w:val="single" w:color="auto" w:sz="6"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《声环境质量标准》（GB3096-2008）、《工业企业厂界环境噪声排放标准》（GB12348-2008）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20" w:type="pct"/>
                  <w:vMerge w:val="continue"/>
                  <w:tcBorders>
                    <w:top w:val="single" w:color="auto" w:sz="6" w:space="0"/>
                    <w:left w:val="nil"/>
                    <w:bottom w:val="single" w:color="auto" w:sz="6"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监测频次</w:t>
                  </w:r>
                </w:p>
              </w:tc>
              <w:tc>
                <w:tcPr>
                  <w:tcW w:w="3205" w:type="pct"/>
                  <w:tcBorders>
                    <w:top w:val="single" w:color="auto" w:sz="6" w:space="0"/>
                    <w:bottom w:val="single" w:color="auto" w:sz="6" w:space="0"/>
                    <w:right w:val="nil"/>
                  </w:tcBorders>
                  <w:noWrap w:val="0"/>
                  <w:vAlign w:val="center"/>
                </w:tcPr>
                <w:p>
                  <w:pPr>
                    <w:pStyle w:val="231"/>
                    <w:rPr>
                      <w:rFonts w:hint="eastAsia"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验收监测一次，突发环境事件时进行监测，公众发生投诉情况时进行监测</w:t>
                  </w:r>
                  <w:r>
                    <w:rPr>
                      <w:rFonts w:hint="eastAsia" w:ascii="Times New Roman" w:hAnsi="Times New Roman"/>
                      <w:color w:val="000000" w:themeColor="text1"/>
                      <w:highlight w:val="none"/>
                      <w:lang w:eastAsia="zh-CN"/>
                      <w14:textFill>
                        <w14:solidFill>
                          <w14:schemeClr w14:val="tx1"/>
                        </w14:solidFill>
                      </w14:textFill>
                    </w:rPr>
                    <w:t>，每季度一次，每次监测昼夜各一次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20" w:type="pct"/>
                  <w:vMerge w:val="continue"/>
                  <w:tcBorders>
                    <w:top w:val="single" w:color="auto" w:sz="6" w:space="0"/>
                    <w:left w:val="nil"/>
                    <w:bottom w:val="single" w:color="000000" w:sz="12" w:space="0"/>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824" w:type="pct"/>
                  <w:vMerge w:val="continue"/>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p>
              </w:tc>
              <w:tc>
                <w:tcPr>
                  <w:tcW w:w="751" w:type="pct"/>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执行标准</w:t>
                  </w:r>
                </w:p>
              </w:tc>
              <w:tc>
                <w:tcPr>
                  <w:tcW w:w="3205" w:type="pct"/>
                  <w:tcBorders>
                    <w:top w:val="single" w:color="auto" w:sz="6" w:space="0"/>
                    <w:bottom w:val="single" w:color="auto" w:sz="12" w:space="0"/>
                    <w:right w:val="nil"/>
                  </w:tcBorders>
                  <w:noWrap w:val="0"/>
                  <w:vAlign w:val="center"/>
                </w:tcPr>
                <w:p>
                  <w:pPr>
                    <w:pStyle w:val="231"/>
                    <w:ind w:left="0" w:leftChars="0" w:right="0" w:rightChars="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《工业企业厂界环境噪声排放标准》（GB12348-2008）</w:t>
                  </w:r>
                </w:p>
              </w:tc>
            </w:tr>
          </w:tbl>
          <w:p>
            <w:pPr>
              <w:spacing w:line="360" w:lineRule="auto"/>
              <w:ind w:firstLine="480" w:firstLineChars="200"/>
              <w:rPr>
                <w:rFonts w:ascii="Times New Roman"/>
                <w:b w:val="0"/>
                <w:bCs w:val="0"/>
                <w:color w:val="000000" w:themeColor="text1"/>
                <w:sz w:val="24"/>
                <w:szCs w:val="24"/>
                <w:highlight w:val="none"/>
                <w14:textFill>
                  <w14:solidFill>
                    <w14:schemeClr w14:val="tx1"/>
                  </w14:solidFill>
                </w14:textFill>
              </w:rPr>
            </w:pPr>
            <w:r>
              <w:rPr>
                <w:rFonts w:hint="eastAsia" w:ascii="Times New Roman"/>
                <w:b w:val="0"/>
                <w:bCs w:val="0"/>
                <w:color w:val="000000" w:themeColor="text1"/>
                <w:sz w:val="24"/>
                <w:szCs w:val="24"/>
                <w:highlight w:val="none"/>
                <w:lang w:eastAsia="zh-CN"/>
                <w14:textFill>
                  <w14:solidFill>
                    <w14:schemeClr w14:val="tx1"/>
                  </w14:solidFill>
                </w14:textFill>
              </w:rPr>
              <w:t>（</w:t>
            </w:r>
            <w:r>
              <w:rPr>
                <w:rFonts w:hint="eastAsia" w:ascii="Times New Roman"/>
                <w:b w:val="0"/>
                <w:bCs w:val="0"/>
                <w:color w:val="000000" w:themeColor="text1"/>
                <w:sz w:val="24"/>
                <w:szCs w:val="24"/>
                <w:highlight w:val="none"/>
                <w:lang w:val="en-US" w:eastAsia="zh-CN"/>
                <w14:textFill>
                  <w14:solidFill>
                    <w14:schemeClr w14:val="tx1"/>
                  </w14:solidFill>
                </w14:textFill>
              </w:rPr>
              <w:t>5</w:t>
            </w:r>
            <w:r>
              <w:rPr>
                <w:rFonts w:hint="eastAsia" w:ascii="Times New Roman"/>
                <w:b w:val="0"/>
                <w:bCs w:val="0"/>
                <w:color w:val="000000" w:themeColor="text1"/>
                <w:sz w:val="24"/>
                <w:szCs w:val="24"/>
                <w:highlight w:val="none"/>
                <w:lang w:eastAsia="zh-CN"/>
                <w14:textFill>
                  <w14:solidFill>
                    <w14:schemeClr w14:val="tx1"/>
                  </w14:solidFill>
                </w14:textFill>
              </w:rPr>
              <w:t>）</w:t>
            </w:r>
            <w:r>
              <w:rPr>
                <w:rFonts w:ascii="Times New Roman"/>
                <w:b w:val="0"/>
                <w:bCs w:val="0"/>
                <w:color w:val="000000" w:themeColor="text1"/>
                <w:sz w:val="24"/>
                <w:szCs w:val="24"/>
                <w:highlight w:val="none"/>
                <w14:textFill>
                  <w14:solidFill>
                    <w14:schemeClr w14:val="tx1"/>
                  </w14:solidFill>
                </w14:textFill>
              </w:rPr>
              <w:t>环境保护设施竣工验收</w:t>
            </w:r>
          </w:p>
          <w:p>
            <w:pPr>
              <w:adjustRightInd w:val="0"/>
              <w:snapToGrid w:val="0"/>
              <w:spacing w:line="360" w:lineRule="auto"/>
              <w:ind w:firstLine="480" w:firstLineChars="200"/>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根据《建设项目环境保护管理条例》，本项目建设应执行污染治理设施与主体工程同时设计、同时施工、同时投产使用的“三同时”制度。建设单位应当按照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spacing w:line="360" w:lineRule="auto"/>
              <w:ind w:firstLine="480" w:firstLineChars="200"/>
              <w:rPr>
                <w:rFonts w:ascii="Times New Roman" w:hAnsi="Times New Roman" w:cs="Times New Roman"/>
                <w:b w:val="0"/>
                <w:bCs w:val="0"/>
                <w:color w:val="000000" w:themeColor="text1"/>
                <w:sz w:val="24"/>
                <w:szCs w:val="24"/>
                <w:highlight w:val="none"/>
                <w14:textFill>
                  <w14:solidFill>
                    <w14:schemeClr w14:val="tx1"/>
                  </w14:solidFill>
                </w14:textFill>
              </w:rPr>
            </w:pPr>
            <w:r>
              <w:rPr>
                <w:rFonts w:hint="eastAsia" w:ascii="Times New Roman" w:cs="Times New Roman"/>
                <w:b w:val="0"/>
                <w:bCs w:val="0"/>
                <w:color w:val="000000" w:themeColor="text1"/>
                <w:sz w:val="24"/>
                <w:szCs w:val="24"/>
                <w:highlight w:val="none"/>
                <w:lang w:val="en-US" w:eastAsia="zh-CN"/>
                <w14:textFill>
                  <w14:solidFill>
                    <w14:schemeClr w14:val="tx1"/>
                  </w14:solidFill>
                </w14:textFill>
              </w:rPr>
              <w:t>（6）</w:t>
            </w:r>
            <w:r>
              <w:rPr>
                <w:rFonts w:ascii="Times New Roman" w:hAnsi="Times New Roman" w:cs="Times New Roman"/>
                <w:b w:val="0"/>
                <w:bCs w:val="0"/>
                <w:color w:val="000000" w:themeColor="text1"/>
                <w:sz w:val="24"/>
                <w:szCs w:val="24"/>
                <w:highlight w:val="none"/>
                <w14:textFill>
                  <w14:solidFill>
                    <w14:schemeClr w14:val="tx1"/>
                  </w14:solidFill>
                </w14:textFill>
              </w:rPr>
              <w:t>排污许可证申领</w:t>
            </w:r>
          </w:p>
          <w:p>
            <w:pPr>
              <w:spacing w:line="360" w:lineRule="auto"/>
              <w:ind w:firstLine="480" w:firstLineChars="200"/>
              <w:rPr>
                <w:rFonts w:ascii="Times New Roman"/>
                <w:color w:val="000000" w:themeColor="text1"/>
                <w:sz w:val="24"/>
                <w:szCs w:val="24"/>
                <w:highlight w:val="none"/>
                <w:lang w:bidi="ar"/>
                <w14:textFill>
                  <w14:solidFill>
                    <w14:schemeClr w14:val="tx1"/>
                  </w14:solidFill>
                </w14:textFill>
              </w:rPr>
            </w:pPr>
            <w:r>
              <w:rPr>
                <w:rFonts w:ascii="Times New Roman"/>
                <w:color w:val="000000" w:themeColor="text1"/>
                <w:kern w:val="0"/>
                <w:sz w:val="24"/>
                <w:highlight w:val="none"/>
                <w14:textFill>
                  <w14:solidFill>
                    <w14:schemeClr w14:val="tx1"/>
                  </w14:solidFill>
                </w14:textFill>
              </w:rPr>
              <w:t>根据《排污许可管理办法（试行）》（2018 年环境保护部部令第48 号）规定，对照《固定污染源排污许可分类管理名录（2019 年版）》（2019 年环境保护部部令第11号），输变电工程不在该目录中，企业不需要办理排污许可证，企业需随时关注相关排污许可政策，若有进一步需办理要求，需随时跟进。</w:t>
            </w:r>
          </w:p>
          <w:p>
            <w:pPr>
              <w:spacing w:line="360" w:lineRule="auto"/>
              <w:ind w:firstLine="482" w:firstLineChars="200"/>
              <w:rPr>
                <w:color w:val="000000" w:themeColor="text1"/>
                <w:highlight w:val="none"/>
                <w14:textFill>
                  <w14:solidFill>
                    <w14:schemeClr w14:val="tx1"/>
                  </w14:solidFill>
                </w14:textFill>
              </w:rPr>
            </w:pPr>
            <w:r>
              <w:rPr>
                <w:rFonts w:ascii="Times New Roman"/>
                <w:b/>
                <w:bCs/>
                <w:color w:val="000000" w:themeColor="text1"/>
                <w:sz w:val="24"/>
                <w:szCs w:val="24"/>
                <w:highlight w:val="none"/>
                <w14:textFill>
                  <w14:solidFill>
                    <w14:schemeClr w14:val="tx1"/>
                  </w14:solidFill>
                </w14:textFill>
              </w:rPr>
              <w:t>综上所述，本项目运营期采取的电磁环境、生态环境及环境风险保护措施和水、噪声污染防治措施具有技术可行性、经济合理性、运行稳定性、生态保护的可达性，在认真落实各项污染防治措施后，本项目运营期对周围生态、电磁、水、声环境影响较小。</w:t>
            </w:r>
          </w:p>
        </w:tc>
      </w:tr>
    </w:tbl>
    <w:p>
      <w:pPr>
        <w:pStyle w:val="46"/>
        <w:spacing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bookmarkStart w:id="70" w:name="_Toc30968"/>
      <w:r>
        <w:rPr>
          <w:rFonts w:ascii="Times New Roman" w:hAnsi="Times New Roman" w:eastAsia="黑体"/>
          <w:snapToGrid w:val="0"/>
          <w:color w:val="000000" w:themeColor="text1"/>
          <w:sz w:val="30"/>
          <w:szCs w:val="30"/>
          <w:highlight w:val="none"/>
          <w14:textFill>
            <w14:solidFill>
              <w14:schemeClr w14:val="tx1"/>
            </w14:solidFill>
          </w14:textFill>
        </w:rPr>
        <w:t>五、</w:t>
      </w:r>
      <w:bookmarkStart w:id="71" w:name="_Hlk54167917"/>
      <w:r>
        <w:rPr>
          <w:rFonts w:ascii="Times New Roman" w:hAnsi="Times New Roman" w:eastAsia="黑体"/>
          <w:snapToGrid w:val="0"/>
          <w:color w:val="000000" w:themeColor="text1"/>
          <w:sz w:val="30"/>
          <w:szCs w:val="30"/>
          <w:highlight w:val="none"/>
          <w14:textFill>
            <w14:solidFill>
              <w14:schemeClr w14:val="tx1"/>
            </w14:solidFill>
          </w14:textFill>
        </w:rPr>
        <w:t>环境保护措施监督检查清单</w:t>
      </w:r>
      <w:bookmarkEnd w:id="70"/>
      <w:bookmarkEnd w:id="71"/>
    </w:p>
    <w:tbl>
      <w:tblPr>
        <w:tblStyle w:val="53"/>
        <w:tblW w:w="91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365"/>
        <w:gridCol w:w="1080"/>
        <w:gridCol w:w="2840"/>
        <w:gridCol w:w="265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tcBorders>
              <w:tl2br w:val="single" w:color="auto" w:sz="4" w:space="0"/>
            </w:tcBorders>
          </w:tcPr>
          <w:p>
            <w:pPr>
              <w:keepNext w:val="0"/>
              <w:keepLines w:val="0"/>
              <w:pageBreakBefore w:val="0"/>
              <w:kinsoku/>
              <w:wordWrap/>
              <w:overflowPunct/>
              <w:topLinePunct w:val="0"/>
              <w:autoSpaceDE/>
              <w:autoSpaceDN/>
              <w:bidi w:val="0"/>
              <w:adjustRightInd w:val="0"/>
              <w:snapToGrid w:val="0"/>
              <w:spacing w:line="240" w:lineRule="auto"/>
              <w:jc w:val="right"/>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内容</w:t>
            </w:r>
          </w:p>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要素</w:t>
            </w:r>
          </w:p>
        </w:tc>
        <w:tc>
          <w:tcPr>
            <w:tcW w:w="136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排放口(污</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染源)</w:t>
            </w:r>
          </w:p>
        </w:tc>
        <w:tc>
          <w:tcPr>
            <w:tcW w:w="108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污染物</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项目</w:t>
            </w: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环境保护措施</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25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大气环境</w:t>
            </w:r>
          </w:p>
        </w:tc>
        <w:tc>
          <w:tcPr>
            <w:tcW w:w="136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w:t>
            </w:r>
            <w:r>
              <w:rPr>
                <w:rFonts w:hint="eastAsia" w:ascii="Times New Roman"/>
                <w:color w:val="000000" w:themeColor="text1"/>
                <w:sz w:val="24"/>
                <w:szCs w:val="24"/>
                <w:highlight w:val="none"/>
                <w:lang w:val="en-US" w:eastAsia="zh-CN"/>
                <w14:textFill>
                  <w14:solidFill>
                    <w14:schemeClr w14:val="tx1"/>
                  </w14:solidFill>
                </w14:textFill>
              </w:rPr>
              <w:t>期</w:t>
            </w:r>
          </w:p>
        </w:tc>
        <w:tc>
          <w:tcPr>
            <w:tcW w:w="108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w:t>
            </w:r>
            <w:r>
              <w:rPr>
                <w:rFonts w:ascii="Times New Roman"/>
                <w:color w:val="000000" w:themeColor="text1"/>
                <w:sz w:val="24"/>
                <w:szCs w:val="24"/>
                <w:highlight w:val="none"/>
                <w14:textFill>
                  <w14:solidFill>
                    <w14:schemeClr w14:val="tx1"/>
                  </w14:solidFill>
                </w14:textFill>
              </w:rPr>
              <w:t>扬尘</w:t>
            </w:r>
            <w:r>
              <w:rPr>
                <w:rFonts w:hint="eastAsia"/>
                <w:color w:val="000000" w:themeColor="text1"/>
                <w:sz w:val="24"/>
                <w:szCs w:val="24"/>
                <w:highlight w:val="none"/>
                <w14:textFill>
                  <w14:solidFill>
                    <w14:schemeClr w14:val="tx1"/>
                  </w14:solidFill>
                </w14:textFill>
              </w:rPr>
              <w:t>、车辆扬尘、施工机械及汽车尾气</w:t>
            </w: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eastAsia="宋体"/>
                <w:color w:val="000000" w:themeColor="text1"/>
                <w:sz w:val="24"/>
                <w:szCs w:val="24"/>
                <w:highlight w:val="none"/>
                <w:lang w:val="fr-FR"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w:t>
            </w:r>
            <w:r>
              <w:rPr>
                <w:rFonts w:ascii="Times New Roman"/>
                <w:color w:val="000000" w:themeColor="text1"/>
                <w:sz w:val="24"/>
                <w:szCs w:val="24"/>
                <w:highlight w:val="none"/>
                <w14:textFill>
                  <w14:solidFill>
                    <w14:schemeClr w14:val="tx1"/>
                  </w14:solidFill>
                </w14:textFill>
              </w:rPr>
              <w:t>施工设置硬质围挡、出入车辆清洗、加强遮盖、及时清扫抑尘等措施</w:t>
            </w:r>
            <w:r>
              <w:rPr>
                <w:rFonts w:hint="eastAsia" w:ascii="Times New Roman"/>
                <w:color w:val="000000" w:themeColor="text1"/>
                <w:sz w:val="24"/>
                <w:szCs w:val="24"/>
                <w:highlight w:val="none"/>
                <w:lang w:eastAsia="zh-CN"/>
                <w14:textFill>
                  <w14:solidFill>
                    <w14:schemeClr w14:val="tx1"/>
                  </w14:solidFill>
                </w14:textFill>
              </w:rPr>
              <w:t>，机械和车辆加强维修保养</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lang w:val="fr-FR"/>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《施工场地扬尘排放标准》(DB13/2934-2019)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365"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运营期</w:t>
            </w:r>
          </w:p>
        </w:tc>
        <w:tc>
          <w:tcPr>
            <w:tcW w:w="1080"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食堂油烟</w:t>
            </w: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食堂安装油烟净化处理装置进行处理，引至</w:t>
            </w:r>
            <w:r>
              <w:rPr>
                <w:rFonts w:hint="eastAsia" w:ascii="Times New Roman"/>
                <w:color w:val="000000" w:themeColor="text1"/>
                <w:sz w:val="24"/>
                <w:szCs w:val="24"/>
                <w:highlight w:val="none"/>
                <w:lang w:val="en-US" w:eastAsia="zh-CN"/>
                <w14:textFill>
                  <w14:solidFill>
                    <w14:schemeClr w14:val="tx1"/>
                  </w14:solidFill>
                </w14:textFill>
              </w:rPr>
              <w:t>屋</w:t>
            </w:r>
            <w:r>
              <w:rPr>
                <w:rFonts w:hint="eastAsia" w:ascii="Times New Roman"/>
                <w:color w:val="000000" w:themeColor="text1"/>
                <w:sz w:val="24"/>
                <w:szCs w:val="24"/>
                <w:highlight w:val="none"/>
                <w14:textFill>
                  <w14:solidFill>
                    <w14:schemeClr w14:val="tx1"/>
                  </w14:solidFill>
                </w14:textFill>
              </w:rPr>
              <w:t>顶高空排放</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《餐饮业大气污染物排放标准》（DB13/5808—2023）</w:t>
            </w:r>
            <w:r>
              <w:rPr>
                <w:rFonts w:hint="eastAsia" w:ascii="Times New Roman"/>
                <w:color w:val="000000" w:themeColor="text1"/>
                <w:sz w:val="24"/>
                <w:szCs w:val="24"/>
                <w:highlight w:val="none"/>
                <w:lang w:val="en-US" w:eastAsia="zh-CN"/>
                <w14:textFill>
                  <w14:solidFill>
                    <w14:schemeClr w14:val="tx1"/>
                  </w14:solidFill>
                </w14:textFill>
              </w:rPr>
              <w:t>及《饮食业油烟排放标准(试行)》（GB18483-2001）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地表水环境</w:t>
            </w:r>
          </w:p>
        </w:tc>
        <w:tc>
          <w:tcPr>
            <w:tcW w:w="136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生活污水</w:t>
            </w:r>
          </w:p>
        </w:tc>
        <w:tc>
          <w:tcPr>
            <w:tcW w:w="108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SS、NH</w:t>
            </w:r>
            <w:r>
              <w:rPr>
                <w:rFonts w:ascii="Times New Roman"/>
                <w:color w:val="000000" w:themeColor="text1"/>
                <w:sz w:val="24"/>
                <w:szCs w:val="24"/>
                <w:highlight w:val="none"/>
                <w:vertAlign w:val="subscript"/>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-N、COD、BOD</w:t>
            </w:r>
            <w:r>
              <w:rPr>
                <w:rFonts w:hint="eastAsia" w:ascii="Times New Roman"/>
                <w:color w:val="000000" w:themeColor="text1"/>
                <w:sz w:val="24"/>
                <w:szCs w:val="24"/>
                <w:highlight w:val="none"/>
                <w:vertAlign w:val="subscript"/>
                <w14:textFill>
                  <w14:solidFill>
                    <w14:schemeClr w14:val="tx1"/>
                  </w14:solidFill>
                </w14:textFill>
              </w:rPr>
              <w:t>5</w:t>
            </w:r>
            <w:r>
              <w:rPr>
                <w:rFonts w:ascii="Times New Roman"/>
                <w:color w:val="000000" w:themeColor="text1"/>
                <w:sz w:val="24"/>
                <w:szCs w:val="24"/>
                <w:highlight w:val="none"/>
                <w14:textFill>
                  <w14:solidFill>
                    <w14:schemeClr w14:val="tx1"/>
                  </w14:solidFill>
                </w14:textFill>
              </w:rPr>
              <w:t>等</w:t>
            </w:r>
          </w:p>
        </w:tc>
        <w:tc>
          <w:tcPr>
            <w:tcW w:w="2840" w:type="dxa"/>
            <w:vAlign w:val="center"/>
          </w:tcPr>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lang w:val="fr-FR"/>
                <w14:textFill>
                  <w14:solidFill>
                    <w14:schemeClr w14:val="tx1"/>
                  </w14:solidFill>
                </w14:textFill>
              </w:rPr>
            </w:pPr>
            <w:r>
              <w:rPr>
                <w:rFonts w:ascii="Times New Roman"/>
                <w:color w:val="000000" w:themeColor="text1"/>
                <w:sz w:val="24"/>
                <w:szCs w:val="24"/>
                <w:highlight w:val="none"/>
                <w:lang w:val="fr-FR"/>
                <w14:textFill>
                  <w14:solidFill>
                    <w14:schemeClr w14:val="tx1"/>
                  </w14:solidFill>
                </w14:textFill>
              </w:rPr>
              <w:t>施工期：</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“围环评[2023]28号”建设内容：建设临时沉淀池，施工废水全部回用</w:t>
            </w:r>
            <w:r>
              <w:rPr>
                <w:rFonts w:ascii="Times New Roman"/>
                <w:color w:val="000000" w:themeColor="text1"/>
                <w:sz w:val="24"/>
                <w:szCs w:val="24"/>
                <w:highlight w:val="none"/>
                <w:lang w:val="fr-FR"/>
                <w14:textFill>
                  <w14:solidFill>
                    <w14:schemeClr w14:val="tx1"/>
                  </w14:solidFill>
                </w14:textFill>
              </w:rPr>
              <w:t>；施工区域设置防渗旱厕，定期清掏用作农肥。</w:t>
            </w:r>
          </w:p>
        </w:tc>
        <w:tc>
          <w:tcPr>
            <w:tcW w:w="2656" w:type="dxa"/>
            <w:vAlign w:val="center"/>
          </w:tcPr>
          <w:p>
            <w:pPr>
              <w:keepNext w:val="0"/>
              <w:keepLines w:val="0"/>
              <w:pageBreakBefore w:val="0"/>
              <w:kinsoku/>
              <w:wordWrap/>
              <w:overflowPunct/>
              <w:topLinePunct w:val="0"/>
              <w:autoSpaceDE/>
              <w:autoSpaceDN/>
              <w:bidi w:val="0"/>
              <w:adjustRightInd w:val="0"/>
              <w:spacing w:line="240" w:lineRule="auto"/>
              <w:jc w:val="center"/>
              <w:textAlignment w:val="auto"/>
              <w:rPr>
                <w:rFonts w:ascii="Times New Roman"/>
                <w:color w:val="000000" w:themeColor="text1"/>
                <w:sz w:val="24"/>
                <w:szCs w:val="24"/>
                <w:highlight w:val="none"/>
                <w:lang w:val="fr-FR"/>
                <w14:textFill>
                  <w14:solidFill>
                    <w14:schemeClr w14:val="tx1"/>
                  </w14:solidFill>
                </w14:textFill>
              </w:rPr>
            </w:pPr>
            <w:r>
              <w:rPr>
                <w:rFonts w:ascii="Times New Roman"/>
                <w:color w:val="000000" w:themeColor="text1"/>
                <w:sz w:val="24"/>
                <w:szCs w:val="24"/>
                <w:highlight w:val="none"/>
                <w:lang w:val="fr-F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36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08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食堂废水隔油处理，与</w:t>
            </w:r>
            <w:r>
              <w:rPr>
                <w:rFonts w:hint="eastAsia" w:ascii="Times New Roman"/>
                <w:color w:val="000000" w:themeColor="text1"/>
                <w:sz w:val="24"/>
                <w:szCs w:val="24"/>
                <w:highlight w:val="none"/>
                <w:lang w:val="en-US" w:eastAsia="zh-CN"/>
                <w14:textFill>
                  <w14:solidFill>
                    <w14:schemeClr w14:val="tx1"/>
                  </w14:solidFill>
                </w14:textFill>
              </w:rPr>
              <w:t>盥洗水经一体化污水处理装置处理达标后回用</w:t>
            </w:r>
            <w:r>
              <w:rPr>
                <w:rFonts w:hint="eastAsia" w:ascii="Times New Roman"/>
                <w:color w:val="000000" w:themeColor="text1"/>
                <w:sz w:val="24"/>
                <w:szCs w:val="24"/>
                <w:highlight w:val="none"/>
                <w14:textFill>
                  <w14:solidFill>
                    <w14:schemeClr w14:val="tx1"/>
                  </w14:solidFill>
                </w14:textFill>
              </w:rPr>
              <w:t>。</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《城市污水再生利用 城市杂用水水质》（GB/T18920-2020）中城市绿化、道路清扫、消防、建筑施工标准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声环境</w:t>
            </w:r>
          </w:p>
        </w:tc>
        <w:tc>
          <w:tcPr>
            <w:tcW w:w="1365" w:type="dxa"/>
            <w:vMerge w:val="restart"/>
            <w:vAlign w:val="center"/>
          </w:tcPr>
          <w:p>
            <w:pPr>
              <w:pStyle w:val="50"/>
              <w:keepNext w:val="0"/>
              <w:keepLines w:val="0"/>
              <w:pageBreakBefore w:val="0"/>
              <w:kinsoku/>
              <w:wordWrap/>
              <w:overflowPunct/>
              <w:topLinePunct w:val="0"/>
              <w:autoSpaceDE/>
              <w:autoSpaceDN/>
              <w:bidi w:val="0"/>
              <w:spacing w:line="240" w:lineRule="auto"/>
              <w:ind w:left="0"/>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电气设备</w:t>
            </w:r>
            <w:r>
              <w:rPr>
                <w:rFonts w:hint="eastAsia" w:ascii="Times New Roman"/>
                <w:color w:val="000000" w:themeColor="text1"/>
                <w:sz w:val="24"/>
                <w:szCs w:val="24"/>
                <w:highlight w:val="none"/>
                <w14:textFill>
                  <w14:solidFill>
                    <w14:schemeClr w14:val="tx1"/>
                  </w14:solidFill>
                </w14:textFill>
              </w:rPr>
              <w:t>噪声</w:t>
            </w:r>
          </w:p>
        </w:tc>
        <w:tc>
          <w:tcPr>
            <w:tcW w:w="108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噪声</w:t>
            </w: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w:t>
            </w:r>
            <w:r>
              <w:rPr>
                <w:rFonts w:ascii="Times New Roman"/>
                <w:color w:val="000000" w:themeColor="text1"/>
                <w:sz w:val="24"/>
                <w:szCs w:val="24"/>
                <w:highlight w:val="none"/>
                <w14:textFill>
                  <w14:solidFill>
                    <w14:schemeClr w14:val="tx1"/>
                  </w14:solidFill>
                </w14:textFill>
              </w:rPr>
              <w:t>选用低噪声设备，四周设置围挡，</w:t>
            </w:r>
            <w:r>
              <w:rPr>
                <w:rFonts w:hint="eastAsia" w:ascii="Times New Roman"/>
                <w:color w:val="000000" w:themeColor="text1"/>
                <w:sz w:val="24"/>
                <w:szCs w:val="24"/>
                <w:highlight w:val="none"/>
                <w14:textFill>
                  <w14:solidFill>
                    <w14:schemeClr w14:val="tx1"/>
                  </w14:solidFill>
                </w14:textFill>
              </w:rPr>
              <w:t>合理布置施工现场及安排施工时间，并加强管理</w:t>
            </w:r>
            <w:r>
              <w:rPr>
                <w:rFonts w:ascii="Times New Roman"/>
                <w:color w:val="000000" w:themeColor="text1"/>
                <w:sz w:val="24"/>
                <w:szCs w:val="24"/>
                <w:highlight w:val="none"/>
                <w14:textFill>
                  <w14:solidFill>
                    <w14:schemeClr w14:val="tx1"/>
                  </w14:solidFill>
                </w14:textFill>
              </w:rPr>
              <w:t>。</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eastAsia="zh-CN"/>
                <w14:textFill>
                  <w14:solidFill>
                    <w14:schemeClr w14:val="tx1"/>
                  </w14:solidFill>
                </w14:textFill>
              </w:rPr>
              <w:t>建筑施工场界环境噪声排放标准</w:t>
            </w:r>
            <w:r>
              <w:rPr>
                <w:rFonts w:ascii="Times New Roman"/>
                <w:color w:val="000000" w:themeColor="text1"/>
                <w:sz w:val="24"/>
                <w:szCs w:val="24"/>
                <w:highlight w:val="none"/>
                <w14:textFill>
                  <w14:solidFill>
                    <w14:schemeClr w14:val="tx1"/>
                  </w14:solidFill>
                </w14:textFill>
              </w:rPr>
              <w:t>》(GB12523-2011)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36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08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w:t>
            </w:r>
            <w:r>
              <w:rPr>
                <w:rFonts w:hint="eastAsia" w:ascii="Times New Roman"/>
                <w:color w:val="000000" w:themeColor="text1"/>
                <w:sz w:val="24"/>
                <w:szCs w:val="24"/>
                <w:highlight w:val="none"/>
                <w14:textFill>
                  <w14:solidFill>
                    <w14:schemeClr w14:val="tx1"/>
                  </w14:solidFill>
                </w14:textFill>
              </w:rPr>
              <w:t>合理布置、选用低噪声设备、距离衰减等措施</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厂界执行</w:t>
            </w:r>
            <w:r>
              <w:rPr>
                <w:rFonts w:ascii="Times New Roman"/>
                <w:color w:val="000000" w:themeColor="text1"/>
                <w:sz w:val="24"/>
                <w:szCs w:val="24"/>
                <w:highlight w:val="none"/>
                <w14:textFill>
                  <w14:solidFill>
                    <w14:schemeClr w14:val="tx1"/>
                  </w14:solidFill>
                </w14:textFill>
              </w:rPr>
              <w:t>《工业企业厂界环境噪声排放标准》(GB12348-2008)中的</w:t>
            </w:r>
            <w:r>
              <w:rPr>
                <w:rFonts w:hint="eastAsia" w:ascii="Times New Roman"/>
                <w:color w:val="000000" w:themeColor="text1"/>
                <w:sz w:val="24"/>
                <w:szCs w:val="24"/>
                <w:highlight w:val="none"/>
                <w:lang w:val="en-US" w:eastAsia="zh-CN"/>
                <w14:textFill>
                  <w14:solidFill>
                    <w14:schemeClr w14:val="tx1"/>
                  </w14:solidFill>
                </w14:textFill>
              </w:rPr>
              <w:t>1</w:t>
            </w:r>
            <w:r>
              <w:rPr>
                <w:rFonts w:ascii="Times New Roman"/>
                <w:color w:val="000000" w:themeColor="text1"/>
                <w:sz w:val="24"/>
                <w:szCs w:val="24"/>
                <w:highlight w:val="none"/>
                <w14:textFill>
                  <w14:solidFill>
                    <w14:schemeClr w14:val="tx1"/>
                  </w14:solidFill>
                </w14:textFill>
              </w:rPr>
              <w:t>类</w:t>
            </w:r>
            <w:r>
              <w:rPr>
                <w:rFonts w:hint="eastAsia" w:ascii="Times New Roman"/>
                <w:color w:val="000000" w:themeColor="text1"/>
                <w:sz w:val="24"/>
                <w:szCs w:val="24"/>
                <w:highlight w:val="none"/>
                <w14:textFill>
                  <w14:solidFill>
                    <w14:schemeClr w14:val="tx1"/>
                  </w14:solidFill>
                </w14:textFill>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电磁辐射</w:t>
            </w:r>
          </w:p>
        </w:tc>
        <w:tc>
          <w:tcPr>
            <w:tcW w:w="1365"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主变压器</w:t>
            </w:r>
          </w:p>
        </w:tc>
        <w:tc>
          <w:tcPr>
            <w:tcW w:w="1080" w:type="dxa"/>
            <w:vMerge w:val="restart"/>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lang w:val="zh-CN"/>
                <w14:textFill>
                  <w14:solidFill>
                    <w14:schemeClr w14:val="tx1"/>
                  </w14:solidFill>
                </w14:textFill>
              </w:rPr>
              <w:t>工频电场强度</w:t>
            </w:r>
            <w:r>
              <w:rPr>
                <w:rFonts w:ascii="Times New Roman"/>
                <w:color w:val="000000" w:themeColor="text1"/>
                <w:sz w:val="24"/>
                <w:szCs w:val="24"/>
                <w:highlight w:val="none"/>
                <w14:textFill>
                  <w14:solidFill>
                    <w14:schemeClr w14:val="tx1"/>
                  </w14:solidFill>
                </w14:textFill>
              </w:rPr>
              <w:t>、工频磁感应强度</w:t>
            </w: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253"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365"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1080" w:type="dxa"/>
            <w:vMerge w:val="continue"/>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p>
        </w:tc>
        <w:tc>
          <w:tcPr>
            <w:tcW w:w="2840" w:type="dxa"/>
            <w:vAlign w:val="center"/>
          </w:tcPr>
          <w:p>
            <w:pPr>
              <w:keepNext w:val="0"/>
              <w:keepLines w:val="0"/>
              <w:pageBreakBefore w:val="0"/>
              <w:kinsoku/>
              <w:wordWrap/>
              <w:overflowPunct/>
              <w:topLinePunct w:val="0"/>
              <w:autoSpaceDE/>
              <w:autoSpaceDN/>
              <w:bidi w:val="0"/>
              <w:adjustRightInd w:val="0"/>
              <w:snapToGrid w:val="0"/>
              <w:spacing w:line="240" w:lineRule="auto"/>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选用优质设备及配件，配电装置选用GIS装置</w:t>
            </w:r>
            <w:r>
              <w:rPr>
                <w:rFonts w:hint="eastAsia" w:ascii="Times New Roman"/>
                <w:color w:val="000000" w:themeColor="text1"/>
                <w:sz w:val="24"/>
                <w:szCs w:val="24"/>
                <w:highlight w:val="none"/>
                <w:lang w:eastAsia="zh-CN"/>
                <w14:textFill>
                  <w14:solidFill>
                    <w14:schemeClr w14:val="tx1"/>
                  </w14:solidFill>
                </w14:textFill>
              </w:rPr>
              <w:t>，</w:t>
            </w:r>
            <w:r>
              <w:rPr>
                <w:rFonts w:ascii="Times New Roman"/>
                <w:color w:val="000000" w:themeColor="text1"/>
                <w:sz w:val="24"/>
                <w:szCs w:val="24"/>
                <w:highlight w:val="none"/>
                <w14:textFill>
                  <w14:solidFill>
                    <w14:schemeClr w14:val="tx1"/>
                  </w14:solidFill>
                </w14:textFill>
              </w:rPr>
              <w:t>加强对变电站设备运行维护管理。</w:t>
            </w:r>
          </w:p>
        </w:tc>
        <w:tc>
          <w:tcPr>
            <w:tcW w:w="2656"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《电磁环境控制限值》(GB8702-2014)中4kV/m和100μT的控制限值</w:t>
            </w:r>
            <w:r>
              <w:rPr>
                <w:rFonts w:ascii="Times New Roman"/>
                <w:color w:val="000000" w:themeColor="text1"/>
                <w:sz w:val="24"/>
                <w:szCs w:val="24"/>
                <w:highlight w:val="none"/>
                <w:lang w:val="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固体废物</w:t>
            </w:r>
          </w:p>
        </w:tc>
        <w:tc>
          <w:tcPr>
            <w:tcW w:w="7941"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color w:val="000000" w:themeColor="text1"/>
                <w:sz w:val="24"/>
                <w:szCs w:val="24"/>
                <w:highlight w:val="none"/>
                <w:lang w:eastAsia="zh-CN"/>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r>
              <w:rPr>
                <w:rFonts w:hint="eastAsia" w:ascii="Times New Roman"/>
                <w:color w:val="000000" w:themeColor="text1"/>
                <w:sz w:val="24"/>
                <w:szCs w:val="24"/>
                <w:highlight w:val="none"/>
                <w:lang w:val="en-US" w:eastAsia="zh-CN"/>
                <w14:textFill>
                  <w14:solidFill>
                    <w14:schemeClr w14:val="tx1"/>
                  </w14:solidFill>
                </w14:textFill>
              </w:rPr>
              <w:t>依托</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“围环评[2023]28号”建设内容：无弃方，生活垃圾外运至市政垃圾收集点</w:t>
            </w:r>
            <w:r>
              <w:rPr>
                <w:rFonts w:hint="eastAsia" w:ascii="Times New Roman"/>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eastAsia="宋体"/>
                <w:color w:val="000000" w:themeColor="text1"/>
                <w:sz w:val="24"/>
                <w:szCs w:val="24"/>
                <w:highlight w:val="none"/>
                <w:lang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s="Times New Roman"/>
                <w:color w:val="000000" w:themeColor="text1"/>
                <w:sz w:val="24"/>
                <w:szCs w:val="24"/>
                <w:highlight w:val="none"/>
                <w:lang w:val="en-US" w:eastAsia="zh-CN"/>
                <w14:textFill>
                  <w14:solidFill>
                    <w14:schemeClr w14:val="tx1"/>
                  </w14:solidFill>
                </w14:textFill>
              </w:rPr>
              <w:t>“围环评[2023]28号”建设内容：生活垃圾设置垃圾桶收集后交由环卫部门统一处理；废润滑油、废油桶和废蓄电池暂存于危废暂存间，委托有资质单位处理</w:t>
            </w:r>
            <w:r>
              <w:rPr>
                <w:rFonts w:hint="eastAsia" w:ascii="Times New Roman"/>
                <w:color w:val="000000" w:themeColor="text1"/>
                <w:sz w:val="24"/>
                <w:szCs w:val="24"/>
                <w:highlight w:val="non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实际建设</w:t>
            </w:r>
            <w:r>
              <w:rPr>
                <w:rFonts w:hint="eastAsia" w:ascii="Times New Roman"/>
                <w:color w:val="000000" w:themeColor="text1"/>
                <w:sz w:val="24"/>
                <w:szCs w:val="24"/>
                <w:highlight w:val="none"/>
                <w:lang w:val="en-US" w:eastAsia="zh-CN"/>
                <w14:textFill>
                  <w14:solidFill>
                    <w14:schemeClr w14:val="tx1"/>
                  </w14:solidFill>
                </w14:textFill>
              </w:rPr>
              <w:t>情况</w:t>
            </w:r>
            <w:r>
              <w:rPr>
                <w:rFonts w:hint="eastAsia" w:ascii="Times New Roman"/>
                <w:color w:val="000000" w:themeColor="text1"/>
                <w:sz w:val="24"/>
                <w:szCs w:val="24"/>
                <w:highlight w:val="none"/>
                <w14:textFill>
                  <w14:solidFill>
                    <w14:schemeClr w14:val="tx1"/>
                  </w14:solidFill>
                </w14:textFill>
              </w:rPr>
              <w:t>：生活垃圾设置垃圾桶收集后交由环卫部门统一处理；升压站内产生的废蓄电池由有资质单位进行处理；升压站内设置事故油池，事故油池进行防渗处理，发生事故时事故废油交由有资质单位处理，不在站区贮存；检修</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维护</w:t>
            </w:r>
            <w:r>
              <w:rPr>
                <w:rFonts w:hint="eastAsia" w:ascii="Times New Roman"/>
                <w:color w:val="000000" w:themeColor="text1"/>
                <w:sz w:val="24"/>
                <w:szCs w:val="24"/>
                <w:highlight w:val="none"/>
                <w14:textFill>
                  <w14:solidFill>
                    <w14:schemeClr w14:val="tx1"/>
                  </w14:solidFill>
                </w14:textFill>
              </w:rPr>
              <w:t>期间产生的少量废机油、</w:t>
            </w:r>
            <w:r>
              <w:rPr>
                <w:rFonts w:hint="eastAsia" w:ascii="Times New Roman"/>
                <w:color w:val="000000" w:themeColor="text1"/>
                <w:sz w:val="24"/>
                <w:szCs w:val="24"/>
                <w:highlight w:val="none"/>
                <w:lang w:val="en-US" w:eastAsia="zh-CN"/>
                <w14:textFill>
                  <w14:solidFill>
                    <w14:schemeClr w14:val="tx1"/>
                  </w14:solidFill>
                </w14:textFill>
              </w:rPr>
              <w:t>废</w:t>
            </w:r>
            <w:r>
              <w:rPr>
                <w:rFonts w:hint="eastAsia" w:ascii="Times New Roman"/>
                <w:color w:val="000000" w:themeColor="text1"/>
                <w:sz w:val="24"/>
                <w:szCs w:val="24"/>
                <w:highlight w:val="none"/>
                <w14:textFill>
                  <w14:solidFill>
                    <w14:schemeClr w14:val="tx1"/>
                  </w14:solidFill>
                </w14:textFill>
              </w:rPr>
              <w:t>润滑油</w:t>
            </w:r>
            <w:r>
              <w:rPr>
                <w:rFonts w:hint="eastAsia" w:ascii="Times New Roman"/>
                <w:color w:val="000000" w:themeColor="text1"/>
                <w:sz w:val="24"/>
                <w:szCs w:val="24"/>
                <w:highlight w:val="none"/>
                <w:lang w:eastAsia="zh-CN"/>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废变压器油、废油桶</w:t>
            </w:r>
            <w:r>
              <w:rPr>
                <w:rFonts w:hint="eastAsia" w:ascii="Times New Roman"/>
                <w:color w:val="000000" w:themeColor="text1"/>
                <w:sz w:val="24"/>
                <w:szCs w:val="24"/>
                <w:highlight w:val="none"/>
                <w14:textFill>
                  <w14:solidFill>
                    <w14:schemeClr w14:val="tx1"/>
                  </w14:solidFill>
                </w14:textFill>
              </w:rPr>
              <w:t>，暂存于危废暂存间，定期交由有资质的单位处置</w:t>
            </w:r>
            <w:r>
              <w:rPr>
                <w:rFonts w:ascii="Times New Roman"/>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土壤及地下水污染防治措施</w:t>
            </w:r>
          </w:p>
        </w:tc>
        <w:tc>
          <w:tcPr>
            <w:tcW w:w="7941"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危废间、事故油池及收集设施属进行重点防渗，危废间防渗满足《危险废物贮存污染控制标准》(GB18597-2023)要求，事故油池采用抗渗混凝土进行防渗，防渗层渗透系数≤10</w:t>
            </w:r>
            <w:r>
              <w:rPr>
                <w:rFonts w:hint="eastAsia" w:ascii="Times New Roman"/>
                <w:color w:val="000000" w:themeColor="text1"/>
                <w:sz w:val="24"/>
                <w:szCs w:val="24"/>
                <w:highlight w:val="none"/>
                <w:vertAlign w:val="superscript"/>
                <w:lang w:val="en-US" w:eastAsia="zh-CN"/>
                <w14:textFill>
                  <w14:solidFill>
                    <w14:schemeClr w14:val="tx1"/>
                  </w14:solidFill>
                </w14:textFill>
              </w:rPr>
              <w:t>-10</w:t>
            </w:r>
            <w:r>
              <w:rPr>
                <w:rFonts w:hint="eastAsia" w:ascii="Times New Roman"/>
                <w:color w:val="000000" w:themeColor="text1"/>
                <w:sz w:val="24"/>
                <w:szCs w:val="24"/>
                <w:highlight w:val="none"/>
                <w:lang w:val="en-US" w:eastAsia="zh-CN"/>
                <w14:textFill>
                  <w14:solidFill>
                    <w14:schemeClr w14:val="tx1"/>
                  </w14:solidFill>
                </w14:textFill>
              </w:rPr>
              <w:t>cm/s；其他区域属简单防渗区，采取地面硬化。严格落实各防渗措施，并加强巡查检修。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生态保护</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措施</w:t>
            </w:r>
          </w:p>
        </w:tc>
        <w:tc>
          <w:tcPr>
            <w:tcW w:w="7941"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施工期严格按照设计要求控制开挖范围及开挖量；及时清理施工场地，对施工临时占地部分，根据原占地类型进行生态恢复；做好表土剥离与临时堆存，施工结束后及时利用剥离表土进行植被恢复。施工完毕后，尽可能将施工地带地形、地貌恢复至施工前时的地形地貌。加强环境管理，提高施工人员的环保意识。在开挖的工程中，不随意砍伐植物，不破坏施工场地周围的植被；升压站在施工结束后对建设区植被播撒草籽进行绿化；通过采取围挡作业、分段分区施工、采取防尘抑尘措施、集中收集施工人员生活垃圾并及时清运处理等措施，可以使施工区域及时恢复原有自然面貌，将施工期造成的景观影响降至最小。</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5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环境风险</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防范措施</w:t>
            </w:r>
          </w:p>
        </w:tc>
        <w:tc>
          <w:tcPr>
            <w:tcW w:w="7941" w:type="dxa"/>
            <w:gridSpan w:val="4"/>
            <w:vAlign w:val="center"/>
          </w:tcPr>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施工期：-</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eastAsia="zh-CN"/>
                <w14:textFill>
                  <w14:solidFill>
                    <w14:schemeClr w14:val="tx1"/>
                  </w14:solidFill>
                </w14:textFill>
              </w:rPr>
              <w:t>运营期</w:t>
            </w:r>
            <w:r>
              <w:rPr>
                <w:rFonts w:ascii="Times New Roman"/>
                <w:color w:val="000000" w:themeColor="text1"/>
                <w:sz w:val="24"/>
                <w:szCs w:val="24"/>
                <w:highlight w:val="none"/>
                <w14:textFill>
                  <w14:solidFill>
                    <w14:schemeClr w14:val="tx1"/>
                  </w14:solidFill>
                </w14:textFill>
              </w:rPr>
              <w:t>：</w:t>
            </w:r>
            <w:r>
              <w:rPr>
                <w:rFonts w:hint="eastAsia" w:ascii="Times New Roman"/>
                <w:color w:val="000000" w:themeColor="text1"/>
                <w:sz w:val="24"/>
                <w:szCs w:val="24"/>
                <w:highlight w:val="none"/>
                <w14:textFill>
                  <w14:solidFill>
                    <w14:schemeClr w14:val="tx1"/>
                  </w14:solidFill>
                </w14:textFill>
              </w:rPr>
              <w:t>升压站设置防渗事故油</w:t>
            </w:r>
            <w:r>
              <w:rPr>
                <w:rFonts w:hint="eastAsia" w:ascii="Times New Roman"/>
                <w:color w:val="000000" w:themeColor="text1"/>
                <w:sz w:val="24"/>
                <w:szCs w:val="24"/>
                <w:highlight w:val="none"/>
                <w:lang w:val="en-US" w:eastAsia="zh-CN"/>
                <w14:textFill>
                  <w14:solidFill>
                    <w14:schemeClr w14:val="tx1"/>
                  </w14:solidFill>
                </w14:textFill>
              </w:rPr>
              <w:t>池</w:t>
            </w:r>
            <w:r>
              <w:rPr>
                <w:rFonts w:hint="eastAsia" w:ascii="Times New Roman"/>
                <w:color w:val="000000" w:themeColor="text1"/>
                <w:sz w:val="24"/>
                <w:szCs w:val="24"/>
                <w:highlight w:val="none"/>
                <w14:textFill>
                  <w14:solidFill>
                    <w14:schemeClr w14:val="tx1"/>
                  </w14:solidFill>
                </w14:textFill>
              </w:rPr>
              <w:t>收集变压器事故漏油，并设置危废间暂存废蓄电池，危险废物均由有危废处理资质单位进行处置。建立完善的事故油</w:t>
            </w:r>
            <w:r>
              <w:rPr>
                <w:rFonts w:hint="eastAsia" w:ascii="Times New Roman"/>
                <w:color w:val="000000" w:themeColor="text1"/>
                <w:sz w:val="24"/>
                <w:szCs w:val="24"/>
                <w:highlight w:val="none"/>
                <w:lang w:val="en-US" w:eastAsia="zh-CN"/>
                <w14:textFill>
                  <w14:solidFill>
                    <w14:schemeClr w14:val="tx1"/>
                  </w14:solidFill>
                </w14:textFill>
              </w:rPr>
              <w:t>池</w:t>
            </w:r>
            <w:r>
              <w:rPr>
                <w:rFonts w:hint="eastAsia" w:ascii="Times New Roman"/>
                <w:color w:val="000000" w:themeColor="text1"/>
                <w:sz w:val="24"/>
                <w:szCs w:val="24"/>
                <w:highlight w:val="none"/>
                <w14:textFill>
                  <w14:solidFill>
                    <w14:schemeClr w14:val="tx1"/>
                  </w14:solidFill>
                </w14:textFill>
              </w:rPr>
              <w:t>、危废间巡查和维护管理制度，定期由专人对事故油</w:t>
            </w:r>
            <w:r>
              <w:rPr>
                <w:rFonts w:hint="eastAsia" w:ascii="Times New Roman"/>
                <w:color w:val="000000" w:themeColor="text1"/>
                <w:sz w:val="24"/>
                <w:szCs w:val="24"/>
                <w:highlight w:val="none"/>
                <w:lang w:val="en-US" w:eastAsia="zh-CN"/>
                <w14:textFill>
                  <w14:solidFill>
                    <w14:schemeClr w14:val="tx1"/>
                  </w14:solidFill>
                </w14:textFill>
              </w:rPr>
              <w:t>池</w:t>
            </w:r>
            <w:r>
              <w:rPr>
                <w:rFonts w:hint="eastAsia" w:ascii="Times New Roman"/>
                <w:color w:val="000000" w:themeColor="text1"/>
                <w:sz w:val="24"/>
                <w:szCs w:val="24"/>
                <w:highlight w:val="none"/>
                <w14:textFill>
                  <w14:solidFill>
                    <w14:schemeClr w14:val="tx1"/>
                  </w14:solidFill>
                </w14:textFill>
              </w:rPr>
              <w:t>、危废间进行维护管理，确保事故油</w:t>
            </w:r>
            <w:r>
              <w:rPr>
                <w:rFonts w:hint="eastAsia" w:ascii="Times New Roman"/>
                <w:color w:val="000000" w:themeColor="text1"/>
                <w:sz w:val="24"/>
                <w:szCs w:val="24"/>
                <w:highlight w:val="none"/>
                <w:lang w:val="en-US" w:eastAsia="zh-CN"/>
                <w14:textFill>
                  <w14:solidFill>
                    <w14:schemeClr w14:val="tx1"/>
                  </w14:solidFill>
                </w14:textFill>
              </w:rPr>
              <w:t>池</w:t>
            </w:r>
            <w:r>
              <w:rPr>
                <w:rFonts w:hint="eastAsia" w:ascii="Times New Roman"/>
                <w:color w:val="000000" w:themeColor="text1"/>
                <w:sz w:val="24"/>
                <w:szCs w:val="24"/>
                <w:highlight w:val="none"/>
                <w14:textFill>
                  <w14:solidFill>
                    <w14:schemeClr w14:val="tx1"/>
                  </w14:solidFill>
                </w14:textFill>
              </w:rPr>
              <w:t>、危废间处于良好的状态，各项条件能够达到事故时的使用要求。</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hint="eastAsia"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为了及时扑灭各电器设备的初起火灾，根据电气设备不同类型，分别设置手提式、拖车式干粉类灭火器。消防给水系统由消防蓄水池、管道、消防水泵、室内外消火栓等组成。消防设计满足相关的标准要求，满足一旦发生火灾，在初期就及时扑灭的原则，降低对周围环境不利影响。</w:t>
            </w:r>
          </w:p>
          <w:p>
            <w:pPr>
              <w:keepNext w:val="0"/>
              <w:keepLines w:val="0"/>
              <w:pageBreakBefore w:val="0"/>
              <w:kinsoku/>
              <w:wordWrap/>
              <w:overflowPunct/>
              <w:topLinePunct w:val="0"/>
              <w:autoSpaceDE/>
              <w:autoSpaceDN/>
              <w:bidi w:val="0"/>
              <w:adjustRightInd w:val="0"/>
              <w:snapToGrid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应在运行期做好环境保护设施的维护和运行管理，加强巡查和检查，保障发挥环境保护作用。定期开展环境监测，定期对事故油井的完好情况进行检查，确保无渗漏、无溢流。针对站内可能发生的突发环境事件，应按照国家有关规定制定突发环境事件应急预案，并定期演练</w:t>
            </w:r>
            <w:r>
              <w:rPr>
                <w:rFonts w:ascii="Times New Roman"/>
                <w:color w:val="000000" w:themeColor="text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1253" w:type="dxa"/>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其他环境</w:t>
            </w:r>
          </w:p>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管理要求</w:t>
            </w:r>
          </w:p>
        </w:tc>
        <w:tc>
          <w:tcPr>
            <w:tcW w:w="7941" w:type="dxa"/>
            <w:gridSpan w:val="4"/>
            <w:vAlign w:val="center"/>
          </w:tcPr>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1、环境管理</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该单位配备相应专业的管理人员加强日常环保管理。</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环境管理的职能为：</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（1）制定和实施各项环境管理计划。</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（2）建立工频电场、工频磁场环境监测，并定期向当地生态环境行政主管部门申报。</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3）建立环境管理和环境监测技术文件，包括：污染源的监测记录技术文件；污染控制、环境保护设施的设计和运行管理文件；导致严重环境影响事件的分析报告和监测数据资料等，并定期向当地生态环境主管部门申报。</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（4）检查治理设施运行情况，及时处理出现的问题，保证治理设施正常运行。</w:t>
            </w:r>
          </w:p>
          <w:p>
            <w:pPr>
              <w:keepNext w:val="0"/>
              <w:keepLines w:val="0"/>
              <w:pageBreakBefore w:val="0"/>
              <w:kinsoku/>
              <w:wordWrap/>
              <w:overflowPunct/>
              <w:topLinePunct w:val="0"/>
              <w:autoSpaceDE/>
              <w:autoSpaceDN/>
              <w:bidi w:val="0"/>
              <w:spacing w:line="240" w:lineRule="auto"/>
              <w:ind w:firstLine="480" w:firstLineChars="200"/>
              <w:textAlignment w:val="auto"/>
              <w:rPr>
                <w:rFonts w:hint="eastAsia" w:ascii="Times New Roman" w:eastAsia="宋体"/>
                <w:color w:val="000000" w:themeColor="text1"/>
                <w:sz w:val="24"/>
                <w:szCs w:val="24"/>
                <w:highlight w:val="none"/>
                <w:lang w:val="en-US" w:eastAsia="zh-CN"/>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2、危险废物管理计划和管理台账制定要求</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根据《危险废物管理计划和管理台账制定技术导则》（HJ1259-2022），项目运营后应制定危险废物管理计划</w:t>
            </w:r>
            <w:r>
              <w:rPr>
                <w:rFonts w:hint="eastAsia" w:ascii="Times New Roman"/>
                <w:color w:val="000000" w:themeColor="text1"/>
                <w:sz w:val="24"/>
                <w:szCs w:val="24"/>
                <w:highlight w:val="none"/>
                <w:lang w:eastAsia="zh-CN"/>
                <w14:textFill>
                  <w14:solidFill>
                    <w14:schemeClr w14:val="tx1"/>
                  </w14:solidFill>
                </w14:textFill>
              </w:rPr>
              <w:t>；建立危险废物管理台账，如实记录危险废物的种类、产生量、流向、贮存、利用、处置等有关信息</w:t>
            </w:r>
            <w:r>
              <w:rPr>
                <w:rFonts w:hint="eastAsia" w:ascii="Times New Roman"/>
                <w:color w:val="000000" w:themeColor="text1"/>
                <w:sz w:val="24"/>
                <w:szCs w:val="24"/>
                <w:highlight w:val="none"/>
                <w14:textFill>
                  <w14:solidFill>
                    <w14:schemeClr w14:val="tx1"/>
                  </w14:solidFill>
                </w14:textFill>
              </w:rPr>
              <w:t>。</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3</w:t>
            </w:r>
            <w:r>
              <w:rPr>
                <w:rFonts w:ascii="Times New Roman"/>
                <w:color w:val="000000" w:themeColor="text1"/>
                <w:sz w:val="24"/>
                <w:szCs w:val="24"/>
                <w:highlight w:val="none"/>
                <w14:textFill>
                  <w14:solidFill>
                    <w14:schemeClr w14:val="tx1"/>
                  </w14:solidFill>
                </w14:textFill>
              </w:rPr>
              <w:t>、环境监测计划</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建设项目建成后应按照国家环境保护法律、法规，进行项目竣工环保验收。开展运营期工频电磁场环境监测工作，如发现电磁感应强度值超过国家标准，应分析原因并采取有效的防范措施。</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监测布点</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（1）</w:t>
            </w:r>
            <w:r>
              <w:rPr>
                <w:rFonts w:ascii="Times New Roman"/>
                <w:color w:val="000000" w:themeColor="text1"/>
                <w:sz w:val="24"/>
                <w:szCs w:val="24"/>
                <w:highlight w:val="none"/>
                <w14:textFill>
                  <w14:solidFill>
                    <w14:schemeClr w14:val="tx1"/>
                  </w14:solidFill>
                </w14:textFill>
              </w:rPr>
              <w:t>根据《建设项目竣工环境保护验收技术规范输变电》（HJ705-2020）的要求，在升压站围墙外5m处布置监测点并设置电磁环境断面</w:t>
            </w:r>
            <w:r>
              <w:rPr>
                <w:rFonts w:hint="eastAsia" w:ascii="Times New Roman"/>
                <w:color w:val="000000" w:themeColor="text1"/>
                <w:sz w:val="24"/>
                <w:szCs w:val="24"/>
                <w:highlight w:val="none"/>
                <w14:textFill>
                  <w14:solidFill>
                    <w14:schemeClr w14:val="tx1"/>
                  </w14:solidFill>
                </w14:textFill>
              </w:rPr>
              <w:t>监</w:t>
            </w:r>
            <w:r>
              <w:rPr>
                <w:rFonts w:ascii="Times New Roman"/>
                <w:color w:val="000000" w:themeColor="text1"/>
                <w:sz w:val="24"/>
                <w:szCs w:val="24"/>
                <w:highlight w:val="none"/>
                <w14:textFill>
                  <w14:solidFill>
                    <w14:schemeClr w14:val="tx1"/>
                  </w14:solidFill>
                </w14:textFill>
              </w:rPr>
              <w:t>测。</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hint="eastAsia" w:ascii="Times New Roman"/>
                <w:color w:val="000000" w:themeColor="text1"/>
                <w:sz w:val="24"/>
                <w:szCs w:val="24"/>
                <w:highlight w:val="none"/>
                <w14:textFill>
                  <w14:solidFill>
                    <w14:schemeClr w14:val="tx1"/>
                  </w14:solidFill>
                </w14:textFill>
              </w:rPr>
              <w:t>（2）</w:t>
            </w:r>
            <w:r>
              <w:rPr>
                <w:rFonts w:ascii="Times New Roman"/>
                <w:color w:val="000000" w:themeColor="text1"/>
                <w:sz w:val="24"/>
                <w:szCs w:val="24"/>
                <w:highlight w:val="none"/>
                <w14:textFill>
                  <w14:solidFill>
                    <w14:schemeClr w14:val="tx1"/>
                  </w14:solidFill>
                </w14:textFill>
              </w:rPr>
              <w:t>若项目存在新增电磁环境敏感目标，需要对电磁环境敏感目标进行</w:t>
            </w:r>
            <w:r>
              <w:rPr>
                <w:rFonts w:hint="eastAsia" w:ascii="Times New Roman"/>
                <w:color w:val="000000" w:themeColor="text1"/>
                <w:sz w:val="24"/>
                <w:szCs w:val="24"/>
                <w:highlight w:val="none"/>
                <w14:textFill>
                  <w14:solidFill>
                    <w14:schemeClr w14:val="tx1"/>
                  </w14:solidFill>
                </w14:textFill>
              </w:rPr>
              <w:t>监</w:t>
            </w:r>
            <w:r>
              <w:rPr>
                <w:rFonts w:ascii="Times New Roman"/>
                <w:color w:val="000000" w:themeColor="text1"/>
                <w:sz w:val="24"/>
                <w:szCs w:val="24"/>
                <w:highlight w:val="none"/>
                <w14:textFill>
                  <w14:solidFill>
                    <w14:schemeClr w14:val="tx1"/>
                  </w14:solidFill>
                </w14:textFill>
              </w:rPr>
              <w:t>测。</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3、环境保护设施竣工验收</w:t>
            </w:r>
          </w:p>
          <w:p>
            <w:pPr>
              <w:keepNext w:val="0"/>
              <w:keepLines w:val="0"/>
              <w:pageBreakBefore w:val="0"/>
              <w:kinsoku/>
              <w:wordWrap/>
              <w:overflowPunct/>
              <w:topLinePunct w:val="0"/>
              <w:autoSpaceDE/>
              <w:autoSpaceDN/>
              <w:bidi w:val="0"/>
              <w:spacing w:line="240" w:lineRule="auto"/>
              <w:ind w:firstLine="480" w:firstLineChars="200"/>
              <w:textAlignment w:val="auto"/>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根据《建设项目环境保护管理条例》，本项目建设应执行污染治理设施与主体工程同时设计、同时施工、同时投产使用的“三同时”制度。建设单位应当按照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w:t>
            </w: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240" w:lineRule="auto"/>
              <w:textAlignment w:val="auto"/>
              <w:rPr>
                <w:rFonts w:ascii="Times New Roman"/>
                <w:color w:val="000000" w:themeColor="text1"/>
                <w:sz w:val="24"/>
                <w:szCs w:val="24"/>
                <w:highlight w:val="none"/>
                <w14:textFill>
                  <w14:solidFill>
                    <w14:schemeClr w14:val="tx1"/>
                  </w14:solidFill>
                </w14:textFill>
              </w:rPr>
            </w:pPr>
          </w:p>
          <w:p>
            <w:pPr>
              <w:pStyle w:val="25"/>
              <w:keepNext w:val="0"/>
              <w:keepLines w:val="0"/>
              <w:pageBreakBefore w:val="0"/>
              <w:kinsoku/>
              <w:wordWrap/>
              <w:overflowPunct/>
              <w:topLinePunct w:val="0"/>
              <w:autoSpaceDE/>
              <w:autoSpaceDN/>
              <w:bidi w:val="0"/>
              <w:spacing w:line="240" w:lineRule="auto"/>
              <w:ind w:left="0" w:leftChars="0"/>
              <w:textAlignment w:val="auto"/>
              <w:rPr>
                <w:rFonts w:ascii="Times New Roman"/>
                <w:color w:val="000000" w:themeColor="text1"/>
                <w:sz w:val="24"/>
                <w:szCs w:val="24"/>
                <w:highlight w:val="none"/>
                <w14:textFill>
                  <w14:solidFill>
                    <w14:schemeClr w14:val="tx1"/>
                  </w14:solidFill>
                </w14:textFill>
              </w:rPr>
            </w:pPr>
          </w:p>
        </w:tc>
      </w:tr>
    </w:tbl>
    <w:p>
      <w:pPr>
        <w:pStyle w:val="46"/>
        <w:spacing w:before="0" w:beforeAutospacing="0" w:after="0" w:afterAutospacing="0" w:line="360" w:lineRule="auto"/>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snapToGrid w:val="0"/>
          <w:color w:val="000000" w:themeColor="text1"/>
          <w:highlight w:val="none"/>
          <w14:textFill>
            <w14:solidFill>
              <w14:schemeClr w14:val="tx1"/>
            </w14:solidFill>
          </w14:textFill>
        </w:rPr>
        <w:br w:type="page"/>
      </w:r>
      <w:bookmarkStart w:id="72" w:name="_Toc29662"/>
      <w:r>
        <w:rPr>
          <w:rFonts w:ascii="Times New Roman" w:hAnsi="Times New Roman" w:eastAsia="黑体"/>
          <w:snapToGrid w:val="0"/>
          <w:color w:val="000000" w:themeColor="text1"/>
          <w:sz w:val="30"/>
          <w:szCs w:val="30"/>
          <w:highlight w:val="none"/>
          <w14:textFill>
            <w14:solidFill>
              <w14:schemeClr w14:val="tx1"/>
            </w14:solidFill>
          </w14:textFill>
        </w:rPr>
        <w:t>六、结论</w:t>
      </w:r>
      <w:bookmarkEnd w:id="72"/>
    </w:p>
    <w:tbl>
      <w:tblPr>
        <w:tblStyle w:val="53"/>
        <w:tblW w:w="9072"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072"/>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250" w:hRule="atLeast"/>
          <w:jc w:val="center"/>
        </w:trPr>
        <w:tc>
          <w:tcPr>
            <w:tcW w:w="9072" w:type="dxa"/>
            <w:tcBorders>
              <w:bottom w:val="single" w:color="auto" w:sz="8" w:space="0"/>
            </w:tcBorders>
            <w:vAlign w:val="center"/>
          </w:tcPr>
          <w:p>
            <w:pPr>
              <w:snapToGrid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综上所述，</w:t>
            </w:r>
            <w:r>
              <w:rPr>
                <w:rFonts w:hint="eastAsia" w:ascii="Times New Roman"/>
                <w:color w:val="000000" w:themeColor="text1"/>
                <w:sz w:val="24"/>
                <w:szCs w:val="24"/>
                <w:highlight w:val="none"/>
                <w:lang w:eastAsia="zh-CN"/>
                <w14:textFill>
                  <w14:solidFill>
                    <w14:schemeClr w14:val="tx1"/>
                  </w14:solidFill>
                </w14:textFill>
              </w:rPr>
              <w:t>承德燕能宝石山风电场项目220kV升压站工程（变更）</w:t>
            </w:r>
            <w:r>
              <w:rPr>
                <w:rFonts w:ascii="Times New Roman"/>
                <w:color w:val="000000" w:themeColor="text1"/>
                <w:sz w:val="24"/>
                <w:szCs w:val="24"/>
                <w:highlight w:val="none"/>
                <w14:textFill>
                  <w14:solidFill>
                    <w14:schemeClr w14:val="tx1"/>
                  </w14:solidFill>
                </w14:textFill>
              </w:rPr>
              <w:t>采取了较完善的环保治理措施，在严格执行本报告表要求并认真落实“环境保护措施监督检查清单”的基础上，本项目对该区域环境产生的影响较小，工程实施后对周边环境影响均符合国家相关标准要求。</w:t>
            </w:r>
          </w:p>
          <w:p>
            <w:pPr>
              <w:snapToGrid w:val="0"/>
              <w:spacing w:line="360" w:lineRule="auto"/>
              <w:ind w:firstLine="480" w:firstLineChars="200"/>
              <w:jc w:val="both"/>
              <w:rPr>
                <w:rFonts w:ascii="Times New Roman"/>
                <w:color w:val="000000" w:themeColor="text1"/>
                <w:sz w:val="24"/>
                <w:szCs w:val="24"/>
                <w:highlight w:val="none"/>
                <w14:textFill>
                  <w14:solidFill>
                    <w14:schemeClr w14:val="tx1"/>
                  </w14:solidFill>
                </w14:textFill>
              </w:rPr>
            </w:pPr>
            <w:r>
              <w:rPr>
                <w:rFonts w:ascii="Times New Roman"/>
                <w:color w:val="000000" w:themeColor="text1"/>
                <w:sz w:val="24"/>
                <w:szCs w:val="24"/>
                <w:highlight w:val="none"/>
                <w14:textFill>
                  <w14:solidFill>
                    <w14:schemeClr w14:val="tx1"/>
                  </w14:solidFill>
                </w14:textFill>
              </w:rPr>
              <w:t>因此，本评价从环保角度认为，项目的建设是可行的。</w:t>
            </w:r>
          </w:p>
        </w:tc>
      </w:tr>
    </w:tbl>
    <w:p>
      <w:pPr>
        <w:spacing w:line="360" w:lineRule="auto"/>
        <w:rPr>
          <w:rFonts w:ascii="Times New Roman"/>
          <w:color w:val="000000" w:themeColor="text1"/>
          <w:highlight w:val="none"/>
          <w14:textFill>
            <w14:solidFill>
              <w14:schemeClr w14:val="tx1"/>
            </w14:solidFill>
          </w14:textFill>
        </w:rPr>
      </w:pPr>
    </w:p>
    <w:p>
      <w:pPr>
        <w:spacing w:line="360" w:lineRule="auto"/>
        <w:rPr>
          <w:rFonts w:ascii="Times New Roman"/>
          <w:color w:val="000000" w:themeColor="text1"/>
          <w:highlight w:val="none"/>
          <w14:textFill>
            <w14:solidFill>
              <w14:schemeClr w14:val="tx1"/>
            </w14:solidFill>
          </w14:textFill>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46"/>
        <w:adjustRightInd w:val="0"/>
        <w:snapToGrid w:val="0"/>
        <w:spacing w:before="0" w:beforeAutospacing="0" w:after="0" w:afterAutospacing="0" w:line="360" w:lineRule="auto"/>
        <w:rPr>
          <w:rFonts w:ascii="Times New Roman" w:hAnsi="Times New Roman" w:eastAsia="黑体"/>
          <w:snapToGrid w:val="0"/>
          <w:color w:val="000000" w:themeColor="text1"/>
          <w:sz w:val="32"/>
          <w:szCs w:val="32"/>
          <w:highlight w:val="none"/>
          <w14:textFill>
            <w14:solidFill>
              <w14:schemeClr w14:val="tx1"/>
            </w14:solidFill>
          </w14:textFill>
        </w:rPr>
      </w:pPr>
      <w:r>
        <w:rPr>
          <w:rFonts w:ascii="Times New Roman" w:hAnsi="Times New Roman" w:eastAsia="黑体"/>
          <w:snapToGrid w:val="0"/>
          <w:color w:val="000000" w:themeColor="text1"/>
          <w:sz w:val="32"/>
          <w:szCs w:val="32"/>
          <w:highlight w:val="none"/>
          <w14:textFill>
            <w14:solidFill>
              <w14:schemeClr w14:val="tx1"/>
            </w14:solidFill>
          </w14:textFill>
        </w:rPr>
        <w:t>附表</w:t>
      </w:r>
    </w:p>
    <w:p>
      <w:pPr>
        <w:pStyle w:val="46"/>
        <w:adjustRightInd w:val="0"/>
        <w:snapToGrid w:val="0"/>
        <w:spacing w:before="0" w:beforeAutospacing="0" w:after="0" w:afterAutospacing="0" w:line="360" w:lineRule="auto"/>
        <w:jc w:val="center"/>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53"/>
        <w:tblW w:w="1377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7"/>
        <w:gridCol w:w="1290"/>
        <w:gridCol w:w="1644"/>
        <w:gridCol w:w="1200"/>
        <w:gridCol w:w="1656"/>
        <w:gridCol w:w="1632"/>
        <w:gridCol w:w="1560"/>
        <w:gridCol w:w="1662"/>
        <w:gridCol w:w="15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tcBorders>
              <w:tl2br w:val="single" w:color="auto" w:sz="4" w:space="0"/>
            </w:tcBorders>
            <w:tcMar>
              <w:left w:w="28" w:type="dxa"/>
              <w:right w:w="28" w:type="dxa"/>
            </w:tcMar>
            <w:vAlign w:val="center"/>
          </w:tcPr>
          <w:p>
            <w:pPr>
              <w:pStyle w:val="76"/>
              <w:spacing w:beforeLines="0" w:afterLines="0" w:line="240" w:lineRule="auto"/>
              <w:jc w:val="right"/>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项目</w:t>
            </w:r>
          </w:p>
          <w:p>
            <w:pPr>
              <w:pStyle w:val="76"/>
              <w:spacing w:beforeLines="0" w:afterLines="0" w:line="240" w:lineRule="auto"/>
              <w:jc w:val="left"/>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分类</w:t>
            </w:r>
          </w:p>
        </w:tc>
        <w:tc>
          <w:tcPr>
            <w:tcW w:w="1290"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污染物名称</w:t>
            </w:r>
          </w:p>
        </w:tc>
        <w:tc>
          <w:tcPr>
            <w:tcW w:w="1644"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现有工程</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排放量(固体废物产生量)</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6"/>
                <w:kern w:val="21"/>
                <w:sz w:val="24"/>
                <w:szCs w:val="24"/>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①</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end"/>
            </w:r>
          </w:p>
        </w:tc>
        <w:tc>
          <w:tcPr>
            <w:tcW w:w="1200"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现有工程</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许可排放量</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6"/>
                <w:kern w:val="21"/>
                <w:sz w:val="24"/>
                <w:szCs w:val="24"/>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separate"/>
            </w:r>
            <w:r>
              <w:rPr>
                <w:rFonts w:ascii="Times New Roman"/>
                <w:snapToGrid w:val="0"/>
                <w:color w:val="000000" w:themeColor="text1"/>
                <w:spacing w:val="-6"/>
                <w:kern w:val="21"/>
                <w:sz w:val="24"/>
                <w:szCs w:val="24"/>
                <w:highlight w:val="none"/>
                <w14:textFill>
                  <w14:solidFill>
                    <w14:schemeClr w14:val="tx1"/>
                  </w14:solidFill>
                </w14:textFill>
              </w:rPr>
              <w:t>②</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end"/>
            </w:r>
          </w:p>
        </w:tc>
        <w:tc>
          <w:tcPr>
            <w:tcW w:w="1656"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在建工程</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排放量(固体废物产生量)</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6"/>
                <w:kern w:val="21"/>
                <w:sz w:val="24"/>
                <w:szCs w:val="24"/>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③</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end"/>
            </w:r>
          </w:p>
        </w:tc>
        <w:tc>
          <w:tcPr>
            <w:tcW w:w="1632"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本项目</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排放量(固体废物产生量)</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6"/>
                <w:kern w:val="21"/>
                <w:sz w:val="24"/>
                <w:szCs w:val="24"/>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④</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end"/>
            </w:r>
          </w:p>
        </w:tc>
        <w:tc>
          <w:tcPr>
            <w:tcW w:w="1560"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16"/>
                <w:kern w:val="21"/>
                <w:sz w:val="24"/>
                <w:szCs w:val="24"/>
                <w:highlight w:val="none"/>
                <w14:textFill>
                  <w14:solidFill>
                    <w14:schemeClr w14:val="tx1"/>
                  </w14:solidFill>
                </w14:textFill>
              </w:rPr>
            </w:pPr>
            <w:r>
              <w:rPr>
                <w:rFonts w:ascii="Times New Roman" w:eastAsia="黑体"/>
                <w:snapToGrid w:val="0"/>
                <w:color w:val="000000" w:themeColor="text1"/>
                <w:spacing w:val="-16"/>
                <w:kern w:val="21"/>
                <w:sz w:val="24"/>
                <w:szCs w:val="24"/>
                <w:highlight w:val="none"/>
                <w14:textFill>
                  <w14:solidFill>
                    <w14:schemeClr w14:val="tx1"/>
                  </w14:solidFill>
                </w14:textFill>
              </w:rPr>
              <w:t>以新带老削减量</w:t>
            </w:r>
          </w:p>
          <w:p>
            <w:pPr>
              <w:pStyle w:val="76"/>
              <w:spacing w:beforeLines="0" w:afterLines="0" w:line="240" w:lineRule="auto"/>
              <w:rPr>
                <w:rFonts w:ascii="Times New Roman" w:eastAsia="黑体"/>
                <w:snapToGrid w:val="0"/>
                <w:color w:val="000000" w:themeColor="text1"/>
                <w:spacing w:val="-16"/>
                <w:kern w:val="21"/>
                <w:sz w:val="24"/>
                <w:szCs w:val="24"/>
                <w:highlight w:val="none"/>
                <w14:textFill>
                  <w14:solidFill>
                    <w14:schemeClr w14:val="tx1"/>
                  </w14:solidFill>
                </w14:textFill>
              </w:rPr>
            </w:pPr>
            <w:r>
              <w:rPr>
                <w:rFonts w:ascii="Times New Roman" w:eastAsia="黑体"/>
                <w:snapToGrid w:val="0"/>
                <w:color w:val="000000" w:themeColor="text1"/>
                <w:spacing w:val="-16"/>
                <w:kern w:val="21"/>
                <w:sz w:val="24"/>
                <w:szCs w:val="24"/>
                <w:highlight w:val="none"/>
                <w14:textFill>
                  <w14:solidFill>
                    <w14:schemeClr w14:val="tx1"/>
                  </w14:solidFill>
                </w14:textFill>
              </w:rPr>
              <w:t>(新建项目不填)</w: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16"/>
                <w:kern w:val="21"/>
                <w:sz w:val="24"/>
                <w:szCs w:val="24"/>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⑤</w: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end"/>
            </w:r>
          </w:p>
        </w:tc>
        <w:tc>
          <w:tcPr>
            <w:tcW w:w="1662"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16"/>
                <w:kern w:val="21"/>
                <w:sz w:val="24"/>
                <w:szCs w:val="24"/>
                <w:highlight w:val="none"/>
                <w14:textFill>
                  <w14:solidFill>
                    <w14:schemeClr w14:val="tx1"/>
                  </w14:solidFill>
                </w14:textFill>
              </w:rPr>
            </w:pPr>
            <w:r>
              <w:rPr>
                <w:rFonts w:ascii="Times New Roman" w:eastAsia="黑体"/>
                <w:snapToGrid w:val="0"/>
                <w:color w:val="000000" w:themeColor="text1"/>
                <w:spacing w:val="-16"/>
                <w:kern w:val="21"/>
                <w:sz w:val="24"/>
                <w:szCs w:val="24"/>
                <w:highlight w:val="none"/>
                <w14:textFill>
                  <w14:solidFill>
                    <w14:schemeClr w14:val="tx1"/>
                  </w14:solidFill>
                </w14:textFill>
              </w:rPr>
              <w:t>本项目建成后</w:t>
            </w:r>
          </w:p>
          <w:p>
            <w:pPr>
              <w:pStyle w:val="76"/>
              <w:spacing w:beforeLines="0" w:afterLines="0" w:line="240" w:lineRule="auto"/>
              <w:rPr>
                <w:rFonts w:ascii="Times New Roman" w:eastAsia="黑体"/>
                <w:snapToGrid w:val="0"/>
                <w:color w:val="000000" w:themeColor="text1"/>
                <w:spacing w:val="-16"/>
                <w:kern w:val="21"/>
                <w:sz w:val="24"/>
                <w:szCs w:val="24"/>
                <w:highlight w:val="none"/>
                <w14:textFill>
                  <w14:solidFill>
                    <w14:schemeClr w14:val="tx1"/>
                  </w14:solidFill>
                </w14:textFill>
              </w:rPr>
            </w:pPr>
            <w:r>
              <w:rPr>
                <w:rFonts w:ascii="Times New Roman" w:eastAsia="黑体"/>
                <w:snapToGrid w:val="0"/>
                <w:color w:val="000000" w:themeColor="text1"/>
                <w:spacing w:val="-16"/>
                <w:kern w:val="21"/>
                <w:sz w:val="24"/>
                <w:szCs w:val="24"/>
                <w:highlight w:val="none"/>
                <w14:textFill>
                  <w14:solidFill>
                    <w14:schemeClr w14:val="tx1"/>
                  </w14:solidFill>
                </w14:textFill>
              </w:rPr>
              <w:t>全厂排放量(固体废物产生量)</w: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16"/>
                <w:kern w:val="21"/>
                <w:sz w:val="24"/>
                <w:szCs w:val="24"/>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⑥</w:t>
            </w:r>
            <w:r>
              <w:rPr>
                <w:rFonts w:ascii="Times New Roman" w:eastAsia="黑体"/>
                <w:snapToGrid w:val="0"/>
                <w:color w:val="000000" w:themeColor="text1"/>
                <w:spacing w:val="-16"/>
                <w:kern w:val="21"/>
                <w:sz w:val="24"/>
                <w:szCs w:val="24"/>
                <w:highlight w:val="none"/>
                <w14:textFill>
                  <w14:solidFill>
                    <w14:schemeClr w14:val="tx1"/>
                  </w14:solidFill>
                </w14:textFill>
              </w:rPr>
              <w:fldChar w:fldCharType="end"/>
            </w:r>
          </w:p>
        </w:tc>
        <w:tc>
          <w:tcPr>
            <w:tcW w:w="1547" w:type="dxa"/>
            <w:tcMar>
              <w:left w:w="28" w:type="dxa"/>
              <w:right w:w="28" w:type="dxa"/>
            </w:tcMar>
            <w:vAlign w:val="center"/>
          </w:tcPr>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t>变化量</w:t>
            </w:r>
          </w:p>
          <w:p>
            <w:pPr>
              <w:pStyle w:val="76"/>
              <w:spacing w:beforeLines="0" w:afterLines="0" w:line="240" w:lineRule="auto"/>
              <w:rPr>
                <w:rFonts w:ascii="Times New Roman" w:eastAsia="黑体"/>
                <w:snapToGrid w:val="0"/>
                <w:color w:val="000000" w:themeColor="text1"/>
                <w:spacing w:val="-6"/>
                <w:kern w:val="21"/>
                <w:sz w:val="24"/>
                <w:szCs w:val="24"/>
                <w:highlight w:val="none"/>
                <w14:textFill>
                  <w14:solidFill>
                    <w14:schemeClr w14:val="tx1"/>
                  </w14:solidFill>
                </w14:textFill>
              </w:rPr>
            </w:pP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begin"/>
            </w:r>
            <w:r>
              <w:rPr>
                <w:rFonts w:ascii="Times New Roman" w:eastAsia="黑体"/>
                <w:snapToGrid w:val="0"/>
                <w:color w:val="000000" w:themeColor="text1"/>
                <w:spacing w:val="-6"/>
                <w:kern w:val="21"/>
                <w:sz w:val="24"/>
                <w:szCs w:val="24"/>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separate"/>
            </w:r>
            <w:r>
              <w:rPr>
                <w:rFonts w:ascii="Times New Roman"/>
                <w:color w:val="000000" w:themeColor="text1"/>
                <w:kern w:val="2"/>
                <w:sz w:val="24"/>
                <w:szCs w:val="24"/>
                <w:highlight w:val="none"/>
                <w14:textFill>
                  <w14:solidFill>
                    <w14:schemeClr w14:val="tx1"/>
                  </w14:solidFill>
                </w14:textFill>
              </w:rPr>
              <w:t>⑦</w:t>
            </w:r>
            <w:r>
              <w:rPr>
                <w:rFonts w:ascii="Times New Roman" w:eastAsia="黑体"/>
                <w:snapToGrid w:val="0"/>
                <w:color w:val="000000" w:themeColor="text1"/>
                <w:spacing w:val="-6"/>
                <w:kern w:val="21"/>
                <w:sz w:val="24"/>
                <w:szCs w:val="24"/>
                <w:highlight w:val="none"/>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废气</w:t>
            </w:r>
          </w:p>
        </w:tc>
        <w:tc>
          <w:tcPr>
            <w:tcW w:w="129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44"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56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547"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废水</w:t>
            </w:r>
          </w:p>
        </w:tc>
        <w:tc>
          <w:tcPr>
            <w:tcW w:w="129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44"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56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547"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restart"/>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一般工业</w:t>
            </w:r>
          </w:p>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固体废物</w:t>
            </w:r>
          </w:p>
        </w:tc>
        <w:tc>
          <w:tcPr>
            <w:tcW w:w="129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lang w:val="en-US" w:eastAsia="zh-CN"/>
                <w14:textFill>
                  <w14:solidFill>
                    <w14:schemeClr w14:val="tx1"/>
                  </w14:solidFill>
                </w14:textFill>
              </w:rPr>
              <w:t>生活垃圾</w:t>
            </w:r>
          </w:p>
        </w:tc>
        <w:tc>
          <w:tcPr>
            <w:tcW w:w="1644"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hint="default" w:ascii="Times New Roman" w:hAnsi="Times New Roman" w:eastAsia="宋体" w:cs="Times New Roman"/>
                <w:color w:val="000000" w:themeColor="text1"/>
                <w:spacing w:val="-10"/>
                <w:kern w:val="2"/>
                <w:sz w:val="24"/>
                <w:szCs w:val="24"/>
                <w:highlight w:val="none"/>
                <w:lang w:val="en-US" w:eastAsia="zh-CN" w:bidi="ar"/>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1.46</w:t>
            </w:r>
            <w:r>
              <w:rPr>
                <w:rFonts w:ascii="Times New Roman"/>
                <w:snapToGrid w:val="0"/>
                <w:color w:val="000000" w:themeColor="text1"/>
                <w:kern w:val="21"/>
                <w:sz w:val="24"/>
                <w:szCs w:val="24"/>
                <w:highlight w:val="none"/>
                <w14:textFill>
                  <w14:solidFill>
                    <w14:schemeClr w14:val="tx1"/>
                  </w14:solidFill>
                </w14:textFill>
              </w:rPr>
              <w:t>t/a</w:t>
            </w:r>
          </w:p>
        </w:tc>
        <w:tc>
          <w:tcPr>
            <w:tcW w:w="156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hint="eastAsia" w:ascii="Times New Roman" w:hAnsi="Times New Roman" w:eastAsia="宋体" w:cs="Times New Roman"/>
                <w:color w:val="000000" w:themeColor="text1"/>
                <w:spacing w:val="-10"/>
                <w:kern w:val="2"/>
                <w:sz w:val="24"/>
                <w:szCs w:val="24"/>
                <w:highlight w:val="none"/>
                <w:lang w:val="en-US" w:eastAsia="zh-CN" w:bidi="ar"/>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1.46</w:t>
            </w:r>
            <w:r>
              <w:rPr>
                <w:rFonts w:ascii="Times New Roman"/>
                <w:snapToGrid w:val="0"/>
                <w:color w:val="000000" w:themeColor="text1"/>
                <w:kern w:val="21"/>
                <w:sz w:val="24"/>
                <w:szCs w:val="24"/>
                <w:highlight w:val="none"/>
                <w14:textFill>
                  <w14:solidFill>
                    <w14:schemeClr w14:val="tx1"/>
                  </w14:solidFill>
                </w14:textFill>
              </w:rPr>
              <w:t>t/a</w:t>
            </w:r>
          </w:p>
        </w:tc>
        <w:tc>
          <w:tcPr>
            <w:tcW w:w="1547" w:type="dxa"/>
            <w:vAlign w:val="center"/>
          </w:tcPr>
          <w:p>
            <w:pPr>
              <w:pStyle w:val="76"/>
              <w:spacing w:beforeLines="0" w:afterLines="0" w:line="240" w:lineRule="auto"/>
              <w:rPr>
                <w:rFonts w:hint="eastAsia" w:ascii="Times New Roman" w:hAnsi="Times New Roman" w:eastAsia="宋体" w:cs="Times New Roman"/>
                <w:color w:val="000000" w:themeColor="text1"/>
                <w:spacing w:val="-10"/>
                <w:kern w:val="2"/>
                <w:sz w:val="24"/>
                <w:szCs w:val="24"/>
                <w:highlight w:val="none"/>
                <w:lang w:val="en-US" w:eastAsia="zh-CN" w:bidi="ar"/>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1.46</w:t>
            </w:r>
            <w:r>
              <w:rPr>
                <w:rFonts w:ascii="Times New Roman"/>
                <w:snapToGrid w:val="0"/>
                <w:color w:val="000000" w:themeColor="text1"/>
                <w:kern w:val="21"/>
                <w:sz w:val="24"/>
                <w:szCs w:val="24"/>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restart"/>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危险废物</w:t>
            </w:r>
          </w:p>
        </w:tc>
        <w:tc>
          <w:tcPr>
            <w:tcW w:w="129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废蓄电池</w:t>
            </w:r>
          </w:p>
        </w:tc>
        <w:tc>
          <w:tcPr>
            <w:tcW w:w="1644"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5.2</w:t>
            </w:r>
            <w:r>
              <w:rPr>
                <w:rFonts w:ascii="Times New Roman"/>
                <w:color w:val="000000" w:themeColor="text1"/>
                <w:spacing w:val="-10"/>
                <w:kern w:val="2"/>
                <w:sz w:val="24"/>
                <w:szCs w:val="24"/>
                <w:highlight w:val="none"/>
                <w:lang w:bidi="ar"/>
                <w14:textFill>
                  <w14:solidFill>
                    <w14:schemeClr w14:val="tx1"/>
                  </w14:solidFill>
                </w14:textFill>
              </w:rPr>
              <w:t>t/10a</w:t>
            </w:r>
          </w:p>
        </w:tc>
        <w:tc>
          <w:tcPr>
            <w:tcW w:w="156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5.2</w:t>
            </w:r>
            <w:r>
              <w:rPr>
                <w:rFonts w:ascii="Times New Roman"/>
                <w:color w:val="000000" w:themeColor="text1"/>
                <w:spacing w:val="-10"/>
                <w:kern w:val="2"/>
                <w:sz w:val="24"/>
                <w:szCs w:val="24"/>
                <w:highlight w:val="none"/>
                <w:lang w:bidi="ar"/>
                <w14:textFill>
                  <w14:solidFill>
                    <w14:schemeClr w14:val="tx1"/>
                  </w14:solidFill>
                </w14:textFill>
              </w:rPr>
              <w:t>t/10a</w:t>
            </w:r>
          </w:p>
        </w:tc>
        <w:tc>
          <w:tcPr>
            <w:tcW w:w="1547" w:type="dxa"/>
            <w:vAlign w:val="center"/>
          </w:tcPr>
          <w:p>
            <w:pPr>
              <w:pStyle w:val="76"/>
              <w:spacing w:beforeLines="0" w:afterLines="0" w:line="240" w:lineRule="auto"/>
              <w:rPr>
                <w:rFonts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color w:val="000000" w:themeColor="text1"/>
                <w:spacing w:val="-10"/>
                <w:kern w:val="2"/>
                <w:sz w:val="24"/>
                <w:szCs w:val="24"/>
                <w:highlight w:val="none"/>
                <w:lang w:val="en-US" w:eastAsia="zh-CN" w:bidi="ar"/>
                <w14:textFill>
                  <w14:solidFill>
                    <w14:schemeClr w14:val="tx1"/>
                  </w14:solidFill>
                </w14:textFill>
              </w:rPr>
              <w:t>5.2</w:t>
            </w:r>
            <w:r>
              <w:rPr>
                <w:rFonts w:ascii="Times New Roman"/>
                <w:color w:val="000000" w:themeColor="text1"/>
                <w:spacing w:val="-10"/>
                <w:kern w:val="2"/>
                <w:sz w:val="24"/>
                <w:szCs w:val="24"/>
                <w:highlight w:val="none"/>
                <w:lang w:bidi="ar"/>
                <w14:textFill>
                  <w14:solidFill>
                    <w14:schemeClr w14:val="tx1"/>
                  </w14:solidFill>
                </w14:textFill>
              </w:rPr>
              <w:t>t/10a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p>
        </w:tc>
        <w:tc>
          <w:tcPr>
            <w:tcW w:w="129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事故油</w:t>
            </w:r>
          </w:p>
        </w:tc>
        <w:tc>
          <w:tcPr>
            <w:tcW w:w="1644"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ascii="Times New Roman"/>
                <w:color w:val="000000" w:themeColor="text1"/>
                <w:spacing w:val="-10"/>
                <w:kern w:val="2"/>
                <w:sz w:val="24"/>
                <w:szCs w:val="24"/>
                <w:highlight w:val="none"/>
                <w:lang w:bidi="ar"/>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38.16</w:t>
            </w:r>
            <w:r>
              <w:rPr>
                <w:rFonts w:hint="eastAsia" w:ascii="Times New Roman"/>
                <w:color w:val="000000" w:themeColor="text1"/>
                <w:sz w:val="24"/>
                <w:szCs w:val="24"/>
                <w:highlight w:val="none"/>
                <w14:textFill>
                  <w14:solidFill>
                    <w14:schemeClr w14:val="tx1"/>
                  </w14:solidFill>
                </w14:textFill>
              </w:rPr>
              <w:t>t/次</w:t>
            </w:r>
          </w:p>
        </w:tc>
        <w:tc>
          <w:tcPr>
            <w:tcW w:w="1560" w:type="dxa"/>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ascii="Times New Roman" w:hAnsi="Times New Roman" w:eastAsia="宋体" w:cs="Times New Roman"/>
                <w:color w:val="000000" w:themeColor="text1"/>
                <w:spacing w:val="-10"/>
                <w:kern w:val="2"/>
                <w:sz w:val="24"/>
                <w:szCs w:val="24"/>
                <w:highlight w:val="none"/>
                <w:lang w:val="en-US" w:eastAsia="zh-CN" w:bidi="ar"/>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38.16</w:t>
            </w:r>
            <w:r>
              <w:rPr>
                <w:rFonts w:hint="eastAsia" w:ascii="Times New Roman"/>
                <w:color w:val="000000" w:themeColor="text1"/>
                <w:sz w:val="24"/>
                <w:szCs w:val="24"/>
                <w:highlight w:val="none"/>
                <w14:textFill>
                  <w14:solidFill>
                    <w14:schemeClr w14:val="tx1"/>
                  </w14:solidFill>
                </w14:textFill>
              </w:rPr>
              <w:t>t/次</w:t>
            </w:r>
          </w:p>
        </w:tc>
        <w:tc>
          <w:tcPr>
            <w:tcW w:w="1547" w:type="dxa"/>
            <w:vAlign w:val="center"/>
          </w:tcPr>
          <w:p>
            <w:pPr>
              <w:pStyle w:val="76"/>
              <w:spacing w:beforeLines="0" w:afterLines="0" w:line="240" w:lineRule="auto"/>
              <w:rPr>
                <w:rFonts w:ascii="Times New Roman" w:hAnsi="Times New Roman" w:eastAsia="宋体" w:cs="Times New Roman"/>
                <w:color w:val="000000" w:themeColor="text1"/>
                <w:spacing w:val="-10"/>
                <w:kern w:val="2"/>
                <w:sz w:val="24"/>
                <w:szCs w:val="24"/>
                <w:highlight w:val="none"/>
                <w:lang w:val="en-US" w:eastAsia="zh-CN" w:bidi="ar"/>
                <w14:textFill>
                  <w14:solidFill>
                    <w14:schemeClr w14:val="tx1"/>
                  </w14:solidFill>
                </w14:textFill>
              </w:rPr>
            </w:pPr>
            <w:r>
              <w:rPr>
                <w:rFonts w:hint="eastAsia" w:ascii="Times New Roman"/>
                <w:color w:val="000000" w:themeColor="text1"/>
                <w:sz w:val="24"/>
                <w:szCs w:val="24"/>
                <w:highlight w:val="none"/>
                <w:lang w:val="en-US" w:eastAsia="zh-CN"/>
                <w14:textFill>
                  <w14:solidFill>
                    <w14:schemeClr w14:val="tx1"/>
                  </w14:solidFill>
                </w14:textFill>
              </w:rPr>
              <w:t>38.16</w:t>
            </w:r>
            <w:r>
              <w:rPr>
                <w:rFonts w:hint="eastAsia" w:ascii="Times New Roman"/>
                <w:color w:val="000000" w:themeColor="text1"/>
                <w:sz w:val="24"/>
                <w:szCs w:val="24"/>
                <w:highlight w:val="none"/>
                <w14:textFill>
                  <w14:solidFill>
                    <w14:schemeClr w14:val="tx1"/>
                  </w14:solidFill>
                </w14:textFill>
              </w:rPr>
              <w:t>t/次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p>
        </w:tc>
        <w:tc>
          <w:tcPr>
            <w:tcW w:w="129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废机油、废润滑油</w:t>
            </w:r>
          </w:p>
        </w:tc>
        <w:tc>
          <w:tcPr>
            <w:tcW w:w="1644"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c>
          <w:tcPr>
            <w:tcW w:w="1560" w:type="dxa"/>
            <w:vAlign w:val="center"/>
          </w:tcPr>
          <w:p>
            <w:pPr>
              <w:jc w:val="center"/>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w:t>
            </w:r>
          </w:p>
        </w:tc>
        <w:tc>
          <w:tcPr>
            <w:tcW w:w="1662"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c>
          <w:tcPr>
            <w:tcW w:w="1547"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p>
        </w:tc>
        <w:tc>
          <w:tcPr>
            <w:tcW w:w="1290" w:type="dxa"/>
            <w:vAlign w:val="center"/>
          </w:tcPr>
          <w:p>
            <w:pPr>
              <w:pStyle w:val="76"/>
              <w:spacing w:beforeLines="0" w:afterLines="0" w:line="240" w:lineRule="auto"/>
              <w:rPr>
                <w:rFonts w:hint="default" w:ascii="Times New Roman" w:eastAsia="宋体"/>
                <w:snapToGrid w:val="0"/>
                <w:color w:val="000000" w:themeColor="text1"/>
                <w:kern w:val="21"/>
                <w:sz w:val="24"/>
                <w:szCs w:val="24"/>
                <w:highlight w:val="none"/>
                <w:lang w:val="en-US" w:eastAsia="zh-CN"/>
                <w14:textFill>
                  <w14:solidFill>
                    <w14:schemeClr w14:val="tx1"/>
                  </w14:solidFill>
                </w14:textFill>
              </w:rPr>
            </w:pPr>
            <w:r>
              <w:rPr>
                <w:rFonts w:hint="eastAsia" w:ascii="Times New Roman"/>
                <w:snapToGrid w:val="0"/>
                <w:color w:val="000000" w:themeColor="text1"/>
                <w:kern w:val="21"/>
                <w:sz w:val="24"/>
                <w:szCs w:val="24"/>
                <w:highlight w:val="none"/>
                <w:lang w:val="en-US" w:eastAsia="zh-CN"/>
                <w14:textFill>
                  <w14:solidFill>
                    <w14:schemeClr w14:val="tx1"/>
                  </w14:solidFill>
                </w14:textFill>
              </w:rPr>
              <w:t>废变压器油</w:t>
            </w:r>
          </w:p>
        </w:tc>
        <w:tc>
          <w:tcPr>
            <w:tcW w:w="1644"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hint="eastAsia" w:ascii="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c>
          <w:tcPr>
            <w:tcW w:w="1560" w:type="dxa"/>
            <w:vAlign w:val="center"/>
          </w:tcPr>
          <w:p>
            <w:pPr>
              <w:jc w:val="center"/>
              <w:rPr>
                <w:rFonts w:hint="eastAsia" w:ascii="Times New Roman" w:eastAsia="宋体"/>
                <w:snapToGrid w:val="0"/>
                <w:color w:val="000000" w:themeColor="text1"/>
                <w:kern w:val="21"/>
                <w:sz w:val="24"/>
                <w:szCs w:val="24"/>
                <w:highlight w:val="none"/>
                <w:lang w:val="en-US" w:eastAsia="zh-CN"/>
                <w14:textFill>
                  <w14:solidFill>
                    <w14:schemeClr w14:val="tx1"/>
                  </w14:solidFill>
                </w14:textFill>
              </w:rPr>
            </w:pPr>
            <w:r>
              <w:rPr>
                <w:rFonts w:hint="eastAsia" w:ascii="Times New Roman"/>
                <w:snapToGrid w:val="0"/>
                <w:color w:val="000000" w:themeColor="text1"/>
                <w:kern w:val="21"/>
                <w:sz w:val="24"/>
                <w:szCs w:val="24"/>
                <w:highlight w:val="none"/>
                <w:lang w:val="en-US" w:eastAsia="zh-CN"/>
                <w14:textFill>
                  <w14:solidFill>
                    <w14:schemeClr w14:val="tx1"/>
                  </w14:solidFill>
                </w14:textFill>
              </w:rPr>
              <w:t>/</w:t>
            </w:r>
          </w:p>
        </w:tc>
        <w:tc>
          <w:tcPr>
            <w:tcW w:w="1662"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c>
          <w:tcPr>
            <w:tcW w:w="1547"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0.1</w:t>
            </w:r>
            <w:r>
              <w:rPr>
                <w:rFonts w:ascii="Times New Roman"/>
                <w:snapToGrid w:val="0"/>
                <w:color w:val="000000" w:themeColor="text1"/>
                <w:kern w:val="21"/>
                <w:sz w:val="24"/>
                <w:szCs w:val="24"/>
                <w:highlight w:val="none"/>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587" w:type="dxa"/>
            <w:vMerge w:val="continue"/>
            <w:vAlign w:val="center"/>
          </w:tcPr>
          <w:p>
            <w:pPr>
              <w:pStyle w:val="76"/>
              <w:spacing w:beforeLines="0" w:afterLines="0" w:line="240" w:lineRule="auto"/>
              <w:rPr>
                <w:rFonts w:ascii="Times New Roman"/>
                <w:snapToGrid w:val="0"/>
                <w:color w:val="000000" w:themeColor="text1"/>
                <w:kern w:val="21"/>
                <w:sz w:val="24"/>
                <w:szCs w:val="24"/>
                <w:highlight w:val="none"/>
                <w14:textFill>
                  <w14:solidFill>
                    <w14:schemeClr w14:val="tx1"/>
                  </w14:solidFill>
                </w14:textFill>
              </w:rPr>
            </w:pPr>
          </w:p>
        </w:tc>
        <w:tc>
          <w:tcPr>
            <w:tcW w:w="1290" w:type="dxa"/>
            <w:vAlign w:val="center"/>
          </w:tcPr>
          <w:p>
            <w:pPr>
              <w:pStyle w:val="76"/>
              <w:spacing w:beforeLines="0" w:afterLines="0" w:line="240" w:lineRule="auto"/>
              <w:rPr>
                <w:rFonts w:hint="eastAsia" w:ascii="Times New Roman" w:eastAsia="宋体"/>
                <w:snapToGrid w:val="0"/>
                <w:color w:val="000000" w:themeColor="text1"/>
                <w:kern w:val="21"/>
                <w:sz w:val="24"/>
                <w:szCs w:val="24"/>
                <w:highlight w:val="none"/>
                <w:lang w:val="en-US" w:eastAsia="zh-CN"/>
                <w14:textFill>
                  <w14:solidFill>
                    <w14:schemeClr w14:val="tx1"/>
                  </w14:solidFill>
                </w14:textFill>
              </w:rPr>
            </w:pPr>
            <w:r>
              <w:rPr>
                <w:rFonts w:hint="eastAsia" w:ascii="Times New Roman"/>
                <w:snapToGrid w:val="0"/>
                <w:color w:val="000000" w:themeColor="text1"/>
                <w:kern w:val="21"/>
                <w:sz w:val="24"/>
                <w:szCs w:val="24"/>
                <w:highlight w:val="none"/>
                <w:lang w:val="en-US" w:eastAsia="zh-CN"/>
                <w14:textFill>
                  <w14:solidFill>
                    <w14:schemeClr w14:val="tx1"/>
                  </w14:solidFill>
                </w14:textFill>
              </w:rPr>
              <w:t>废油桶</w:t>
            </w:r>
          </w:p>
        </w:tc>
        <w:tc>
          <w:tcPr>
            <w:tcW w:w="1644"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200"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56"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ascii="Times New Roman"/>
                <w:snapToGrid w:val="0"/>
                <w:color w:val="000000" w:themeColor="text1"/>
                <w:kern w:val="21"/>
                <w:sz w:val="24"/>
                <w:szCs w:val="24"/>
                <w:highlight w:val="none"/>
                <w14:textFill>
                  <w14:solidFill>
                    <w14:schemeClr w14:val="tx1"/>
                  </w14:solidFill>
                </w14:textFill>
              </w:rPr>
              <w:t>/</w:t>
            </w:r>
          </w:p>
        </w:tc>
        <w:tc>
          <w:tcPr>
            <w:tcW w:w="1632" w:type="dxa"/>
            <w:vAlign w:val="center"/>
          </w:tcPr>
          <w:p>
            <w:pPr>
              <w:pStyle w:val="76"/>
              <w:spacing w:beforeLines="0" w:afterLines="0" w:line="240" w:lineRule="auto"/>
              <w:rPr>
                <w:rFonts w:hint="eastAsia" w:ascii="Times New Roman"/>
                <w:snapToGrid w:val="0"/>
                <w:color w:val="000000" w:themeColor="text1"/>
                <w:kern w:val="21"/>
                <w:sz w:val="24"/>
                <w:szCs w:val="24"/>
                <w:highlight w:val="none"/>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w:t>
            </w:r>
            <w:r>
              <w:rPr>
                <w:rFonts w:hint="eastAsia" w:ascii="Times New Roman"/>
                <w:snapToGrid w:val="0"/>
                <w:color w:val="000000" w:themeColor="text1"/>
                <w:kern w:val="21"/>
                <w:sz w:val="24"/>
                <w:szCs w:val="24"/>
                <w:highlight w:val="none"/>
                <w:lang w:val="en-US" w:eastAsia="zh-CN"/>
                <w14:textFill>
                  <w14:solidFill>
                    <w14:schemeClr w14:val="tx1"/>
                  </w14:solidFill>
                </w14:textFill>
              </w:rPr>
              <w:t>0</w:t>
            </w:r>
            <w:r>
              <w:rPr>
                <w:rFonts w:hint="eastAsia" w:ascii="Times New Roman"/>
                <w:snapToGrid w:val="0"/>
                <w:color w:val="000000" w:themeColor="text1"/>
                <w:kern w:val="21"/>
                <w:sz w:val="24"/>
                <w:szCs w:val="24"/>
                <w:highlight w:val="none"/>
                <w14:textFill>
                  <w14:solidFill>
                    <w14:schemeClr w14:val="tx1"/>
                  </w14:solidFill>
                </w14:textFill>
              </w:rPr>
              <w:t>1</w:t>
            </w:r>
            <w:r>
              <w:rPr>
                <w:rFonts w:ascii="Times New Roman"/>
                <w:snapToGrid w:val="0"/>
                <w:color w:val="000000" w:themeColor="text1"/>
                <w:kern w:val="21"/>
                <w:sz w:val="24"/>
                <w:szCs w:val="24"/>
                <w:highlight w:val="none"/>
                <w14:textFill>
                  <w14:solidFill>
                    <w14:schemeClr w14:val="tx1"/>
                  </w14:solidFill>
                </w14:textFill>
              </w:rPr>
              <w:t>t/a</w:t>
            </w:r>
          </w:p>
        </w:tc>
        <w:tc>
          <w:tcPr>
            <w:tcW w:w="1560" w:type="dxa"/>
            <w:vAlign w:val="center"/>
          </w:tcPr>
          <w:p>
            <w:pPr>
              <w:jc w:val="center"/>
              <w:rPr>
                <w:rFonts w:hint="eastAsia" w:ascii="Times New Roman" w:eastAsia="宋体"/>
                <w:snapToGrid w:val="0"/>
                <w:color w:val="000000" w:themeColor="text1"/>
                <w:kern w:val="21"/>
                <w:sz w:val="24"/>
                <w:szCs w:val="24"/>
                <w:highlight w:val="none"/>
                <w:lang w:val="en-US" w:eastAsia="zh-CN"/>
                <w14:textFill>
                  <w14:solidFill>
                    <w14:schemeClr w14:val="tx1"/>
                  </w14:solidFill>
                </w14:textFill>
              </w:rPr>
            </w:pPr>
            <w:r>
              <w:rPr>
                <w:rFonts w:hint="eastAsia" w:ascii="Times New Roman"/>
                <w:snapToGrid w:val="0"/>
                <w:color w:val="000000" w:themeColor="text1"/>
                <w:kern w:val="21"/>
                <w:sz w:val="24"/>
                <w:szCs w:val="24"/>
                <w:highlight w:val="none"/>
                <w:lang w:val="en-US" w:eastAsia="zh-CN"/>
                <w14:textFill>
                  <w14:solidFill>
                    <w14:schemeClr w14:val="tx1"/>
                  </w14:solidFill>
                </w14:textFill>
              </w:rPr>
              <w:t>/</w:t>
            </w:r>
          </w:p>
        </w:tc>
        <w:tc>
          <w:tcPr>
            <w:tcW w:w="1662"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w:t>
            </w:r>
            <w:r>
              <w:rPr>
                <w:rFonts w:hint="eastAsia" w:ascii="Times New Roman"/>
                <w:snapToGrid w:val="0"/>
                <w:color w:val="000000" w:themeColor="text1"/>
                <w:kern w:val="21"/>
                <w:sz w:val="24"/>
                <w:szCs w:val="24"/>
                <w:highlight w:val="none"/>
                <w:lang w:val="en-US" w:eastAsia="zh-CN"/>
                <w14:textFill>
                  <w14:solidFill>
                    <w14:schemeClr w14:val="tx1"/>
                  </w14:solidFill>
                </w14:textFill>
              </w:rPr>
              <w:t>0</w:t>
            </w:r>
            <w:r>
              <w:rPr>
                <w:rFonts w:hint="eastAsia" w:ascii="Times New Roman"/>
                <w:snapToGrid w:val="0"/>
                <w:color w:val="000000" w:themeColor="text1"/>
                <w:kern w:val="21"/>
                <w:sz w:val="24"/>
                <w:szCs w:val="24"/>
                <w:highlight w:val="none"/>
                <w14:textFill>
                  <w14:solidFill>
                    <w14:schemeClr w14:val="tx1"/>
                  </w14:solidFill>
                </w14:textFill>
              </w:rPr>
              <w:t>1</w:t>
            </w:r>
            <w:r>
              <w:rPr>
                <w:rFonts w:ascii="Times New Roman"/>
                <w:snapToGrid w:val="0"/>
                <w:color w:val="000000" w:themeColor="text1"/>
                <w:kern w:val="21"/>
                <w:sz w:val="24"/>
                <w:szCs w:val="24"/>
                <w:highlight w:val="none"/>
                <w14:textFill>
                  <w14:solidFill>
                    <w14:schemeClr w14:val="tx1"/>
                  </w14:solidFill>
                </w14:textFill>
              </w:rPr>
              <w:t>t/a</w:t>
            </w:r>
          </w:p>
        </w:tc>
        <w:tc>
          <w:tcPr>
            <w:tcW w:w="1547" w:type="dxa"/>
            <w:vAlign w:val="center"/>
          </w:tcPr>
          <w:p>
            <w:pPr>
              <w:pStyle w:val="76"/>
              <w:spacing w:beforeLines="0" w:afterLines="0" w:line="240" w:lineRule="auto"/>
              <w:rPr>
                <w:rFonts w:hint="eastAsia" w:ascii="Times New Roman" w:hAnsi="Times New Roman" w:eastAsia="宋体" w:cs="Times New Roman"/>
                <w:snapToGrid w:val="0"/>
                <w:color w:val="000000" w:themeColor="text1"/>
                <w:kern w:val="21"/>
                <w:sz w:val="24"/>
                <w:szCs w:val="24"/>
                <w:highlight w:val="none"/>
                <w:lang w:val="en-US" w:eastAsia="zh-CN" w:bidi="ar-SA"/>
                <w14:textFill>
                  <w14:solidFill>
                    <w14:schemeClr w14:val="tx1"/>
                  </w14:solidFill>
                </w14:textFill>
              </w:rPr>
            </w:pPr>
            <w:r>
              <w:rPr>
                <w:rFonts w:hint="eastAsia" w:ascii="Times New Roman"/>
                <w:snapToGrid w:val="0"/>
                <w:color w:val="000000" w:themeColor="text1"/>
                <w:kern w:val="21"/>
                <w:sz w:val="24"/>
                <w:szCs w:val="24"/>
                <w:highlight w:val="none"/>
                <w14:textFill>
                  <w14:solidFill>
                    <w14:schemeClr w14:val="tx1"/>
                  </w14:solidFill>
                </w14:textFill>
              </w:rPr>
              <w:t>0.</w:t>
            </w:r>
            <w:r>
              <w:rPr>
                <w:rFonts w:hint="eastAsia" w:ascii="Times New Roman"/>
                <w:snapToGrid w:val="0"/>
                <w:color w:val="000000" w:themeColor="text1"/>
                <w:kern w:val="21"/>
                <w:sz w:val="24"/>
                <w:szCs w:val="24"/>
                <w:highlight w:val="none"/>
                <w:lang w:val="en-US" w:eastAsia="zh-CN"/>
                <w14:textFill>
                  <w14:solidFill>
                    <w14:schemeClr w14:val="tx1"/>
                  </w14:solidFill>
                </w14:textFill>
              </w:rPr>
              <w:t>0</w:t>
            </w:r>
            <w:r>
              <w:rPr>
                <w:rFonts w:hint="eastAsia" w:ascii="Times New Roman"/>
                <w:snapToGrid w:val="0"/>
                <w:color w:val="000000" w:themeColor="text1"/>
                <w:kern w:val="21"/>
                <w:sz w:val="24"/>
                <w:szCs w:val="24"/>
                <w:highlight w:val="none"/>
                <w14:textFill>
                  <w14:solidFill>
                    <w14:schemeClr w14:val="tx1"/>
                  </w14:solidFill>
                </w14:textFill>
              </w:rPr>
              <w:t>1</w:t>
            </w:r>
            <w:r>
              <w:rPr>
                <w:rFonts w:ascii="Times New Roman"/>
                <w:snapToGrid w:val="0"/>
                <w:color w:val="000000" w:themeColor="text1"/>
                <w:kern w:val="21"/>
                <w:sz w:val="24"/>
                <w:szCs w:val="24"/>
                <w:highlight w:val="none"/>
                <w14:textFill>
                  <w14:solidFill>
                    <w14:schemeClr w14:val="tx1"/>
                  </w14:solidFill>
                </w14:textFill>
              </w:rPr>
              <w:t>t/a</w:t>
            </w:r>
          </w:p>
        </w:tc>
      </w:tr>
    </w:tbl>
    <w:p>
      <w:pPr>
        <w:pStyle w:val="76"/>
        <w:spacing w:before="192" w:beforeLines="80" w:after="24" w:line="360" w:lineRule="auto"/>
        <w:jc w:val="left"/>
        <w:rPr>
          <w:color w:val="000000" w:themeColor="text1"/>
          <w:highlight w:val="none"/>
          <w14:textFill>
            <w14:solidFill>
              <w14:schemeClr w14:val="tx1"/>
            </w14:solidFill>
          </w14:textFill>
        </w:rPr>
      </w:pPr>
      <w:r>
        <w:rPr>
          <w:rFonts w:hint="default" w:ascii="Times New Roman" w:hAnsi="Times New Roman" w:cs="Times New Roman"/>
          <w:snapToGrid w:val="0"/>
          <w:color w:val="000000" w:themeColor="text1"/>
          <w:kern w:val="21"/>
          <w:szCs w:val="21"/>
          <w:highlight w:val="none"/>
          <w14:textFill>
            <w14:solidFill>
              <w14:schemeClr w14:val="tx1"/>
            </w14:solidFill>
          </w14:textFill>
        </w:rPr>
        <w:t>注：</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③</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④</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⑤</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⑦</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⑥</w:t>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highlight w:val="none"/>
          <w14:textFill>
            <w14:solidFill>
              <w14:schemeClr w14:val="tx1"/>
            </w14:solidFill>
          </w14:textFill>
        </w:rPr>
        <w:t>-</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separate"/>
      </w:r>
      <w:r>
        <w:rPr>
          <w:rFonts w:hint="default" w:ascii="Times New Roman" w:hAnsi="Times New Roman" w:cs="Times New Roman"/>
          <w:color w:val="000000" w:themeColor="text1"/>
          <w:szCs w:val="21"/>
          <w:highlight w:val="none"/>
          <w14:textFill>
            <w14:solidFill>
              <w14:schemeClr w14:val="tx1"/>
            </w14:solidFill>
          </w14:textFill>
        </w:rPr>
        <w:t>①</w:t>
      </w:r>
      <w:r>
        <w:rPr>
          <w:rFonts w:hint="default" w:ascii="Times New Roman" w:hAnsi="Times New Roman" w:cs="Times New Roman"/>
          <w:snapToGrid w:val="0"/>
          <w:color w:val="000000" w:themeColor="text1"/>
          <w:spacing w:val="-6"/>
          <w:kern w:val="21"/>
          <w:szCs w:val="21"/>
          <w:highlight w:val="none"/>
          <w14:textFill>
            <w14:solidFill>
              <w14:schemeClr w14:val="tx1"/>
            </w14:solidFill>
          </w14:textFill>
        </w:rPr>
        <w:fldChar w:fldCharType="end"/>
      </w:r>
    </w:p>
    <w:sectPr>
      <w:footerReference r:id="rId12" w:type="default"/>
      <w:headerReference r:id="rId11" w:type="even"/>
      <w:footerReference r:id="rId13" w:type="even"/>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TimesNewRomanPSMT">
    <w:altName w:val="Times New Roman"/>
    <w:panose1 w:val="00000000000000000000"/>
    <w:charset w:val="00"/>
    <w:family w:val="auto"/>
    <w:pitch w:val="default"/>
    <w:sig w:usb0="00000000" w:usb1="00000000" w:usb2="00000000" w:usb3="00000000" w:csb0="0000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Apple Color Emoji">
    <w:altName w:val="Calibri"/>
    <w:panose1 w:val="00000000000000000000"/>
    <w:charset w:val="00"/>
    <w:family w:val="auto"/>
    <w:pitch w:val="default"/>
    <w:sig w:usb0="00000000" w:usb1="00000000" w:usb2="14000000" w:usb3="00000000" w:csb0="0000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jc w:val="center"/>
                          </w:pPr>
                          <w:r>
                            <w:rPr>
                              <w:rStyle w:val="57"/>
                              <w:rFonts w:hint="eastAsia" w:ascii="宋体" w:hAnsi="宋体"/>
                              <w:sz w:val="28"/>
                              <w:szCs w:val="28"/>
                            </w:rPr>
                            <w:t>—</w:t>
                          </w:r>
                          <w:r>
                            <w:rPr>
                              <w:rStyle w:val="57"/>
                              <w:rFonts w:hint="eastAsia" w:ascii="宋体" w:hAnsi="宋体"/>
                              <w:sz w:val="20"/>
                            </w:rPr>
                            <w:t xml:space="preserve"> </w:t>
                          </w:r>
                          <w:r>
                            <w:rPr>
                              <w:rStyle w:val="57"/>
                              <w:sz w:val="20"/>
                            </w:rPr>
                            <w:t xml:space="preserve"> </w:t>
                          </w:r>
                          <w:r>
                            <w:rPr>
                              <w:rStyle w:val="57"/>
                              <w:sz w:val="26"/>
                              <w:szCs w:val="26"/>
                            </w:rPr>
                            <w:fldChar w:fldCharType="begin"/>
                          </w:r>
                          <w:r>
                            <w:rPr>
                              <w:rStyle w:val="57"/>
                              <w:sz w:val="26"/>
                              <w:szCs w:val="26"/>
                            </w:rPr>
                            <w:instrText xml:space="preserve">PAGE  </w:instrText>
                          </w:r>
                          <w:r>
                            <w:rPr>
                              <w:rStyle w:val="57"/>
                              <w:sz w:val="26"/>
                              <w:szCs w:val="26"/>
                            </w:rPr>
                            <w:fldChar w:fldCharType="separate"/>
                          </w:r>
                          <w:r>
                            <w:rPr>
                              <w:rStyle w:val="57"/>
                              <w:sz w:val="26"/>
                              <w:szCs w:val="26"/>
                            </w:rPr>
                            <w:t>3</w:t>
                          </w:r>
                          <w:r>
                            <w:rPr>
                              <w:rStyle w:val="57"/>
                              <w:sz w:val="26"/>
                              <w:szCs w:val="26"/>
                            </w:rPr>
                            <w:fldChar w:fldCharType="end"/>
                          </w:r>
                          <w:r>
                            <w:rPr>
                              <w:rStyle w:val="57"/>
                              <w:sz w:val="20"/>
                            </w:rPr>
                            <w:t xml:space="preserve">  </w:t>
                          </w:r>
                          <w:r>
                            <w:rPr>
                              <w:rStyle w:val="57"/>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30"/>
                      <w:jc w:val="center"/>
                    </w:pPr>
                    <w:r>
                      <w:rPr>
                        <w:rStyle w:val="57"/>
                        <w:rFonts w:hint="eastAsia" w:ascii="宋体" w:hAnsi="宋体"/>
                        <w:sz w:val="28"/>
                        <w:szCs w:val="28"/>
                      </w:rPr>
                      <w:t>—</w:t>
                    </w:r>
                    <w:r>
                      <w:rPr>
                        <w:rStyle w:val="57"/>
                        <w:rFonts w:hint="eastAsia" w:ascii="宋体" w:hAnsi="宋体"/>
                        <w:sz w:val="20"/>
                      </w:rPr>
                      <w:t xml:space="preserve"> </w:t>
                    </w:r>
                    <w:r>
                      <w:rPr>
                        <w:rStyle w:val="57"/>
                        <w:sz w:val="20"/>
                      </w:rPr>
                      <w:t xml:space="preserve"> </w:t>
                    </w:r>
                    <w:r>
                      <w:rPr>
                        <w:rStyle w:val="57"/>
                        <w:sz w:val="26"/>
                        <w:szCs w:val="26"/>
                      </w:rPr>
                      <w:fldChar w:fldCharType="begin"/>
                    </w:r>
                    <w:r>
                      <w:rPr>
                        <w:rStyle w:val="57"/>
                        <w:sz w:val="26"/>
                        <w:szCs w:val="26"/>
                      </w:rPr>
                      <w:instrText xml:space="preserve">PAGE  </w:instrText>
                    </w:r>
                    <w:r>
                      <w:rPr>
                        <w:rStyle w:val="57"/>
                        <w:sz w:val="26"/>
                        <w:szCs w:val="26"/>
                      </w:rPr>
                      <w:fldChar w:fldCharType="separate"/>
                    </w:r>
                    <w:r>
                      <w:rPr>
                        <w:rStyle w:val="57"/>
                        <w:sz w:val="26"/>
                        <w:szCs w:val="26"/>
                      </w:rPr>
                      <w:t>3</w:t>
                    </w:r>
                    <w:r>
                      <w:rPr>
                        <w:rStyle w:val="57"/>
                        <w:sz w:val="26"/>
                        <w:szCs w:val="26"/>
                      </w:rPr>
                      <w:fldChar w:fldCharType="end"/>
                    </w:r>
                    <w:r>
                      <w:rPr>
                        <w:rStyle w:val="57"/>
                        <w:sz w:val="20"/>
                      </w:rPr>
                      <w:t xml:space="preserve">  </w:t>
                    </w:r>
                    <w:r>
                      <w:rPr>
                        <w:rStyle w:val="57"/>
                        <w:rFonts w:hint="eastAsia" w:ascii="宋体" w:hAnsi="宋体"/>
                        <w:sz w:val="28"/>
                        <w:szCs w:val="28"/>
                      </w:rPr>
                      <w:t>—</w:t>
                    </w:r>
                  </w:p>
                </w:txbxContent>
              </v:textbox>
            </v:shape>
          </w:pict>
        </mc:Fallback>
      </mc:AlternateContent>
    </w:r>
  </w:p>
  <w:p>
    <w:pPr>
      <w:pStyle w:val="30"/>
      <w:ind w:right="360"/>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rPr>
                              <w:rStyle w:val="57"/>
                              <w:rFonts w:ascii="宋体" w:hAnsi="宋体"/>
                              <w:sz w:val="28"/>
                              <w:szCs w:val="28"/>
                            </w:rPr>
                          </w:pPr>
                          <w:r>
                            <w:rPr>
                              <w:rStyle w:val="57"/>
                              <w:rFonts w:hint="eastAsia" w:ascii="宋体" w:hAnsi="宋体"/>
                              <w:sz w:val="28"/>
                              <w:szCs w:val="28"/>
                            </w:rPr>
                            <w:t>—</w:t>
                          </w:r>
                          <w:r>
                            <w:rPr>
                              <w:rStyle w:val="57"/>
                              <w:rFonts w:hint="eastAsia" w:ascii="宋体" w:hAnsi="宋体"/>
                              <w:sz w:val="20"/>
                            </w:rPr>
                            <w:t xml:space="preserve">  </w:t>
                          </w:r>
                          <w:r>
                            <w:rPr>
                              <w:rStyle w:val="57"/>
                              <w:sz w:val="26"/>
                              <w:szCs w:val="26"/>
                            </w:rPr>
                            <w:fldChar w:fldCharType="begin"/>
                          </w:r>
                          <w:r>
                            <w:rPr>
                              <w:rStyle w:val="57"/>
                              <w:sz w:val="26"/>
                              <w:szCs w:val="26"/>
                            </w:rPr>
                            <w:instrText xml:space="preserve">PAGE  </w:instrText>
                          </w:r>
                          <w:r>
                            <w:rPr>
                              <w:rStyle w:val="57"/>
                              <w:sz w:val="26"/>
                              <w:szCs w:val="26"/>
                            </w:rPr>
                            <w:fldChar w:fldCharType="separate"/>
                          </w:r>
                          <w:r>
                            <w:rPr>
                              <w:rStyle w:val="57"/>
                              <w:sz w:val="26"/>
                              <w:szCs w:val="26"/>
                            </w:rPr>
                            <w:t>2</w:t>
                          </w:r>
                          <w:r>
                            <w:rPr>
                              <w:rStyle w:val="57"/>
                              <w:sz w:val="26"/>
                              <w:szCs w:val="26"/>
                            </w:rPr>
                            <w:fldChar w:fldCharType="end"/>
                          </w:r>
                          <w:r>
                            <w:rPr>
                              <w:rStyle w:val="57"/>
                              <w:sz w:val="20"/>
                            </w:rPr>
                            <w:t xml:space="preserve">  </w:t>
                          </w:r>
                          <w:r>
                            <w:rPr>
                              <w:rStyle w:val="57"/>
                              <w:rFonts w:hint="eastAsia" w:ascii="宋体" w:hAnsi="宋体"/>
                              <w:sz w:val="28"/>
                              <w:szCs w:val="28"/>
                            </w:rPr>
                            <w:t>—</w:t>
                          </w:r>
                        </w:p>
                        <w:p>
                          <w:pPr>
                            <w:pStyle w:val="3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30"/>
                      <w:rPr>
                        <w:rStyle w:val="57"/>
                        <w:rFonts w:ascii="宋体" w:hAnsi="宋体"/>
                        <w:sz w:val="28"/>
                        <w:szCs w:val="28"/>
                      </w:rPr>
                    </w:pPr>
                    <w:r>
                      <w:rPr>
                        <w:rStyle w:val="57"/>
                        <w:rFonts w:hint="eastAsia" w:ascii="宋体" w:hAnsi="宋体"/>
                        <w:sz w:val="28"/>
                        <w:szCs w:val="28"/>
                      </w:rPr>
                      <w:t>—</w:t>
                    </w:r>
                    <w:r>
                      <w:rPr>
                        <w:rStyle w:val="57"/>
                        <w:rFonts w:hint="eastAsia" w:ascii="宋体" w:hAnsi="宋体"/>
                        <w:sz w:val="20"/>
                      </w:rPr>
                      <w:t xml:space="preserve">  </w:t>
                    </w:r>
                    <w:r>
                      <w:rPr>
                        <w:rStyle w:val="57"/>
                        <w:sz w:val="26"/>
                        <w:szCs w:val="26"/>
                      </w:rPr>
                      <w:fldChar w:fldCharType="begin"/>
                    </w:r>
                    <w:r>
                      <w:rPr>
                        <w:rStyle w:val="57"/>
                        <w:sz w:val="26"/>
                        <w:szCs w:val="26"/>
                      </w:rPr>
                      <w:instrText xml:space="preserve">PAGE  </w:instrText>
                    </w:r>
                    <w:r>
                      <w:rPr>
                        <w:rStyle w:val="57"/>
                        <w:sz w:val="26"/>
                        <w:szCs w:val="26"/>
                      </w:rPr>
                      <w:fldChar w:fldCharType="separate"/>
                    </w:r>
                    <w:r>
                      <w:rPr>
                        <w:rStyle w:val="57"/>
                        <w:sz w:val="26"/>
                        <w:szCs w:val="26"/>
                      </w:rPr>
                      <w:t>2</w:t>
                    </w:r>
                    <w:r>
                      <w:rPr>
                        <w:rStyle w:val="57"/>
                        <w:sz w:val="26"/>
                        <w:szCs w:val="26"/>
                      </w:rPr>
                      <w:fldChar w:fldCharType="end"/>
                    </w:r>
                    <w:r>
                      <w:rPr>
                        <w:rStyle w:val="57"/>
                        <w:sz w:val="20"/>
                      </w:rPr>
                      <w:t xml:space="preserve">  </w:t>
                    </w:r>
                    <w:r>
                      <w:rPr>
                        <w:rStyle w:val="57"/>
                        <w:rFonts w:hint="eastAsia" w:ascii="宋体" w:hAnsi="宋体"/>
                        <w:sz w:val="28"/>
                        <w:szCs w:val="28"/>
                      </w:rPr>
                      <w:t>—</w:t>
                    </w:r>
                  </w:p>
                  <w:p>
                    <w:pPr>
                      <w:pStyle w:val="30"/>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ind w:right="360"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evenAndOddHeaders w:val="1"/>
  <w:drawingGridHorizontalSpacing w:val="181"/>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VkZmEzZWFmM2RhNzE2NGI2YWVmMWIyNWExZTFhNDUifQ=="/>
  </w:docVars>
  <w:rsids>
    <w:rsidRoot w:val="00172A27"/>
    <w:rsid w:val="00000194"/>
    <w:rsid w:val="0000055B"/>
    <w:rsid w:val="00001308"/>
    <w:rsid w:val="00001311"/>
    <w:rsid w:val="0000162E"/>
    <w:rsid w:val="0000168D"/>
    <w:rsid w:val="00001E53"/>
    <w:rsid w:val="00002E8E"/>
    <w:rsid w:val="00002F4F"/>
    <w:rsid w:val="00003116"/>
    <w:rsid w:val="00003549"/>
    <w:rsid w:val="0000380C"/>
    <w:rsid w:val="00004178"/>
    <w:rsid w:val="00004EA4"/>
    <w:rsid w:val="00005D31"/>
    <w:rsid w:val="000060B3"/>
    <w:rsid w:val="000068EC"/>
    <w:rsid w:val="00006BDC"/>
    <w:rsid w:val="00006BE8"/>
    <w:rsid w:val="00006FBA"/>
    <w:rsid w:val="00010089"/>
    <w:rsid w:val="00010C3D"/>
    <w:rsid w:val="00011E1E"/>
    <w:rsid w:val="00011FA8"/>
    <w:rsid w:val="000122DF"/>
    <w:rsid w:val="00012399"/>
    <w:rsid w:val="00012850"/>
    <w:rsid w:val="00012860"/>
    <w:rsid w:val="0001337A"/>
    <w:rsid w:val="0001342D"/>
    <w:rsid w:val="00013ABD"/>
    <w:rsid w:val="00013CAC"/>
    <w:rsid w:val="00014141"/>
    <w:rsid w:val="00015544"/>
    <w:rsid w:val="00015C2E"/>
    <w:rsid w:val="00015E4A"/>
    <w:rsid w:val="00016BC2"/>
    <w:rsid w:val="000174C8"/>
    <w:rsid w:val="00017AA1"/>
    <w:rsid w:val="00022EEC"/>
    <w:rsid w:val="00023435"/>
    <w:rsid w:val="00023A3F"/>
    <w:rsid w:val="00024929"/>
    <w:rsid w:val="0002568B"/>
    <w:rsid w:val="00025960"/>
    <w:rsid w:val="00025D0A"/>
    <w:rsid w:val="00026821"/>
    <w:rsid w:val="00026F4B"/>
    <w:rsid w:val="0002765E"/>
    <w:rsid w:val="00027C7F"/>
    <w:rsid w:val="00027DB3"/>
    <w:rsid w:val="00027E8C"/>
    <w:rsid w:val="00030C64"/>
    <w:rsid w:val="000311F2"/>
    <w:rsid w:val="00031E26"/>
    <w:rsid w:val="000328E6"/>
    <w:rsid w:val="00032A03"/>
    <w:rsid w:val="000330F6"/>
    <w:rsid w:val="0003314C"/>
    <w:rsid w:val="00033BFC"/>
    <w:rsid w:val="000340F3"/>
    <w:rsid w:val="00034838"/>
    <w:rsid w:val="00034CAB"/>
    <w:rsid w:val="000353AB"/>
    <w:rsid w:val="0003600A"/>
    <w:rsid w:val="000365A1"/>
    <w:rsid w:val="00036659"/>
    <w:rsid w:val="000375B9"/>
    <w:rsid w:val="00041579"/>
    <w:rsid w:val="000417E9"/>
    <w:rsid w:val="00042210"/>
    <w:rsid w:val="00042F8A"/>
    <w:rsid w:val="0004345A"/>
    <w:rsid w:val="0004364B"/>
    <w:rsid w:val="00043E1D"/>
    <w:rsid w:val="00045764"/>
    <w:rsid w:val="00045B36"/>
    <w:rsid w:val="00045C07"/>
    <w:rsid w:val="00045C6C"/>
    <w:rsid w:val="00047456"/>
    <w:rsid w:val="00047998"/>
    <w:rsid w:val="00047F02"/>
    <w:rsid w:val="00050C64"/>
    <w:rsid w:val="00051659"/>
    <w:rsid w:val="00051801"/>
    <w:rsid w:val="000518C4"/>
    <w:rsid w:val="00051C05"/>
    <w:rsid w:val="0005260A"/>
    <w:rsid w:val="00052853"/>
    <w:rsid w:val="00052E0E"/>
    <w:rsid w:val="00054952"/>
    <w:rsid w:val="00055170"/>
    <w:rsid w:val="000554E5"/>
    <w:rsid w:val="00055544"/>
    <w:rsid w:val="00055C6B"/>
    <w:rsid w:val="000569B5"/>
    <w:rsid w:val="00057004"/>
    <w:rsid w:val="0005723E"/>
    <w:rsid w:val="0005736F"/>
    <w:rsid w:val="000573C4"/>
    <w:rsid w:val="00057CC1"/>
    <w:rsid w:val="00060304"/>
    <w:rsid w:val="00060A4C"/>
    <w:rsid w:val="00061555"/>
    <w:rsid w:val="00061B1F"/>
    <w:rsid w:val="000620C3"/>
    <w:rsid w:val="00062A16"/>
    <w:rsid w:val="00062B15"/>
    <w:rsid w:val="00062D68"/>
    <w:rsid w:val="00063504"/>
    <w:rsid w:val="00063507"/>
    <w:rsid w:val="00064DDB"/>
    <w:rsid w:val="000654F4"/>
    <w:rsid w:val="0006585E"/>
    <w:rsid w:val="00065D88"/>
    <w:rsid w:val="00066512"/>
    <w:rsid w:val="000665DF"/>
    <w:rsid w:val="0006670C"/>
    <w:rsid w:val="00067787"/>
    <w:rsid w:val="00067E2C"/>
    <w:rsid w:val="00067EB0"/>
    <w:rsid w:val="00070C81"/>
    <w:rsid w:val="000721BF"/>
    <w:rsid w:val="00073320"/>
    <w:rsid w:val="000733C4"/>
    <w:rsid w:val="0007346B"/>
    <w:rsid w:val="00073D02"/>
    <w:rsid w:val="00073D2D"/>
    <w:rsid w:val="00074783"/>
    <w:rsid w:val="000752F6"/>
    <w:rsid w:val="0007548F"/>
    <w:rsid w:val="00075C0B"/>
    <w:rsid w:val="00075D56"/>
    <w:rsid w:val="0007611F"/>
    <w:rsid w:val="0007652D"/>
    <w:rsid w:val="00076CCF"/>
    <w:rsid w:val="0007704B"/>
    <w:rsid w:val="0007710C"/>
    <w:rsid w:val="000771EB"/>
    <w:rsid w:val="000773AF"/>
    <w:rsid w:val="00077516"/>
    <w:rsid w:val="00077EF4"/>
    <w:rsid w:val="000800BC"/>
    <w:rsid w:val="0008035B"/>
    <w:rsid w:val="0008070B"/>
    <w:rsid w:val="000810AC"/>
    <w:rsid w:val="00081396"/>
    <w:rsid w:val="00081A02"/>
    <w:rsid w:val="00081B24"/>
    <w:rsid w:val="00081F9A"/>
    <w:rsid w:val="0008208E"/>
    <w:rsid w:val="00082231"/>
    <w:rsid w:val="00083122"/>
    <w:rsid w:val="000832C1"/>
    <w:rsid w:val="00084D63"/>
    <w:rsid w:val="00084F73"/>
    <w:rsid w:val="000863BC"/>
    <w:rsid w:val="0008697D"/>
    <w:rsid w:val="00086DC8"/>
    <w:rsid w:val="00090555"/>
    <w:rsid w:val="00090A66"/>
    <w:rsid w:val="00090D2C"/>
    <w:rsid w:val="00090F1E"/>
    <w:rsid w:val="0009185A"/>
    <w:rsid w:val="000922AA"/>
    <w:rsid w:val="0009235A"/>
    <w:rsid w:val="00092D38"/>
    <w:rsid w:val="000935DD"/>
    <w:rsid w:val="0009361F"/>
    <w:rsid w:val="000936AA"/>
    <w:rsid w:val="0009377B"/>
    <w:rsid w:val="00094C57"/>
    <w:rsid w:val="00094CF0"/>
    <w:rsid w:val="00096872"/>
    <w:rsid w:val="000969D3"/>
    <w:rsid w:val="00096ECF"/>
    <w:rsid w:val="00097059"/>
    <w:rsid w:val="000970AA"/>
    <w:rsid w:val="000974FE"/>
    <w:rsid w:val="0009764D"/>
    <w:rsid w:val="00097A8F"/>
    <w:rsid w:val="000A0887"/>
    <w:rsid w:val="000A0C02"/>
    <w:rsid w:val="000A15EA"/>
    <w:rsid w:val="000A1EE9"/>
    <w:rsid w:val="000A20C9"/>
    <w:rsid w:val="000A241E"/>
    <w:rsid w:val="000A2859"/>
    <w:rsid w:val="000A2EF7"/>
    <w:rsid w:val="000A2FD3"/>
    <w:rsid w:val="000A3A46"/>
    <w:rsid w:val="000A417C"/>
    <w:rsid w:val="000A47B0"/>
    <w:rsid w:val="000A63A3"/>
    <w:rsid w:val="000B01A2"/>
    <w:rsid w:val="000B058F"/>
    <w:rsid w:val="000B0AE3"/>
    <w:rsid w:val="000B106B"/>
    <w:rsid w:val="000B169C"/>
    <w:rsid w:val="000B1B0C"/>
    <w:rsid w:val="000B3854"/>
    <w:rsid w:val="000B43A0"/>
    <w:rsid w:val="000B4467"/>
    <w:rsid w:val="000B4DB9"/>
    <w:rsid w:val="000B774C"/>
    <w:rsid w:val="000B7B92"/>
    <w:rsid w:val="000B7BC3"/>
    <w:rsid w:val="000C017B"/>
    <w:rsid w:val="000C022F"/>
    <w:rsid w:val="000C027C"/>
    <w:rsid w:val="000C09AC"/>
    <w:rsid w:val="000C162C"/>
    <w:rsid w:val="000C16BC"/>
    <w:rsid w:val="000C2F30"/>
    <w:rsid w:val="000C390A"/>
    <w:rsid w:val="000C4739"/>
    <w:rsid w:val="000C47BF"/>
    <w:rsid w:val="000C4C0C"/>
    <w:rsid w:val="000C5028"/>
    <w:rsid w:val="000C5240"/>
    <w:rsid w:val="000C5262"/>
    <w:rsid w:val="000C6524"/>
    <w:rsid w:val="000C72F0"/>
    <w:rsid w:val="000C767F"/>
    <w:rsid w:val="000C7CBB"/>
    <w:rsid w:val="000D0546"/>
    <w:rsid w:val="000D08A2"/>
    <w:rsid w:val="000D0B4C"/>
    <w:rsid w:val="000D0CB6"/>
    <w:rsid w:val="000D0E5D"/>
    <w:rsid w:val="000D2B2B"/>
    <w:rsid w:val="000D2EF3"/>
    <w:rsid w:val="000D3CB5"/>
    <w:rsid w:val="000D3EED"/>
    <w:rsid w:val="000D4B5C"/>
    <w:rsid w:val="000D5A44"/>
    <w:rsid w:val="000D5AA7"/>
    <w:rsid w:val="000D5CAA"/>
    <w:rsid w:val="000D5F10"/>
    <w:rsid w:val="000D6E5E"/>
    <w:rsid w:val="000D7297"/>
    <w:rsid w:val="000D7ADF"/>
    <w:rsid w:val="000E0192"/>
    <w:rsid w:val="000E01CC"/>
    <w:rsid w:val="000E0CE9"/>
    <w:rsid w:val="000E1EED"/>
    <w:rsid w:val="000E392B"/>
    <w:rsid w:val="000E3ED2"/>
    <w:rsid w:val="000E4235"/>
    <w:rsid w:val="000E51F8"/>
    <w:rsid w:val="000E534F"/>
    <w:rsid w:val="000E6071"/>
    <w:rsid w:val="000E620F"/>
    <w:rsid w:val="000E7383"/>
    <w:rsid w:val="000E7699"/>
    <w:rsid w:val="000E7D9E"/>
    <w:rsid w:val="000F1082"/>
    <w:rsid w:val="000F1432"/>
    <w:rsid w:val="000F16F3"/>
    <w:rsid w:val="000F2A16"/>
    <w:rsid w:val="000F2C5F"/>
    <w:rsid w:val="000F3078"/>
    <w:rsid w:val="000F3879"/>
    <w:rsid w:val="000F41A4"/>
    <w:rsid w:val="000F4AC3"/>
    <w:rsid w:val="000F5062"/>
    <w:rsid w:val="000F520A"/>
    <w:rsid w:val="000F6905"/>
    <w:rsid w:val="000F6A96"/>
    <w:rsid w:val="000F78D7"/>
    <w:rsid w:val="000F7F17"/>
    <w:rsid w:val="001007F3"/>
    <w:rsid w:val="00100EBB"/>
    <w:rsid w:val="00100FD4"/>
    <w:rsid w:val="001016DA"/>
    <w:rsid w:val="00102637"/>
    <w:rsid w:val="001029FC"/>
    <w:rsid w:val="00102B6F"/>
    <w:rsid w:val="0010330B"/>
    <w:rsid w:val="00103383"/>
    <w:rsid w:val="001040A5"/>
    <w:rsid w:val="00104576"/>
    <w:rsid w:val="001049C2"/>
    <w:rsid w:val="001052AC"/>
    <w:rsid w:val="0010579D"/>
    <w:rsid w:val="00107623"/>
    <w:rsid w:val="00111082"/>
    <w:rsid w:val="0011163E"/>
    <w:rsid w:val="00111EBF"/>
    <w:rsid w:val="00114CC9"/>
    <w:rsid w:val="00115E81"/>
    <w:rsid w:val="00116F1A"/>
    <w:rsid w:val="00117494"/>
    <w:rsid w:val="0011755D"/>
    <w:rsid w:val="0012199B"/>
    <w:rsid w:val="00121BA8"/>
    <w:rsid w:val="001227C3"/>
    <w:rsid w:val="00122AB1"/>
    <w:rsid w:val="00123443"/>
    <w:rsid w:val="00123E07"/>
    <w:rsid w:val="00123F54"/>
    <w:rsid w:val="00124CAF"/>
    <w:rsid w:val="00124DB0"/>
    <w:rsid w:val="00125D7A"/>
    <w:rsid w:val="00126C3D"/>
    <w:rsid w:val="001271CC"/>
    <w:rsid w:val="00127E2A"/>
    <w:rsid w:val="00130330"/>
    <w:rsid w:val="001305B0"/>
    <w:rsid w:val="001318D7"/>
    <w:rsid w:val="00131BFD"/>
    <w:rsid w:val="00131F42"/>
    <w:rsid w:val="00132720"/>
    <w:rsid w:val="00132D8A"/>
    <w:rsid w:val="00132DBF"/>
    <w:rsid w:val="001330C2"/>
    <w:rsid w:val="0013338C"/>
    <w:rsid w:val="00133DB6"/>
    <w:rsid w:val="001340B7"/>
    <w:rsid w:val="0013483E"/>
    <w:rsid w:val="001357F1"/>
    <w:rsid w:val="001361E1"/>
    <w:rsid w:val="001367B4"/>
    <w:rsid w:val="00136BBC"/>
    <w:rsid w:val="001375E8"/>
    <w:rsid w:val="001379BC"/>
    <w:rsid w:val="001403F8"/>
    <w:rsid w:val="0014075B"/>
    <w:rsid w:val="00140FA8"/>
    <w:rsid w:val="001419A2"/>
    <w:rsid w:val="00141C19"/>
    <w:rsid w:val="00142218"/>
    <w:rsid w:val="001422A9"/>
    <w:rsid w:val="001423EF"/>
    <w:rsid w:val="00142FEB"/>
    <w:rsid w:val="001436FF"/>
    <w:rsid w:val="001439A3"/>
    <w:rsid w:val="00143A2D"/>
    <w:rsid w:val="00144390"/>
    <w:rsid w:val="00144921"/>
    <w:rsid w:val="001454CD"/>
    <w:rsid w:val="001454E7"/>
    <w:rsid w:val="00145A41"/>
    <w:rsid w:val="0014638D"/>
    <w:rsid w:val="001474CC"/>
    <w:rsid w:val="001477D5"/>
    <w:rsid w:val="00151675"/>
    <w:rsid w:val="001523E8"/>
    <w:rsid w:val="0015281C"/>
    <w:rsid w:val="0015299E"/>
    <w:rsid w:val="001536D6"/>
    <w:rsid w:val="00153D53"/>
    <w:rsid w:val="00153DD8"/>
    <w:rsid w:val="00154E60"/>
    <w:rsid w:val="001550B7"/>
    <w:rsid w:val="00155672"/>
    <w:rsid w:val="00155925"/>
    <w:rsid w:val="001559B6"/>
    <w:rsid w:val="00155C77"/>
    <w:rsid w:val="0015665F"/>
    <w:rsid w:val="00156900"/>
    <w:rsid w:val="00156B4F"/>
    <w:rsid w:val="00157435"/>
    <w:rsid w:val="0015793E"/>
    <w:rsid w:val="001579A8"/>
    <w:rsid w:val="00157E9C"/>
    <w:rsid w:val="001601DA"/>
    <w:rsid w:val="00160433"/>
    <w:rsid w:val="0016162B"/>
    <w:rsid w:val="001619B0"/>
    <w:rsid w:val="00161DC5"/>
    <w:rsid w:val="00161E45"/>
    <w:rsid w:val="00162BA1"/>
    <w:rsid w:val="00162F1B"/>
    <w:rsid w:val="00162F49"/>
    <w:rsid w:val="001631C7"/>
    <w:rsid w:val="00163A7A"/>
    <w:rsid w:val="001653D3"/>
    <w:rsid w:val="001661E2"/>
    <w:rsid w:val="001668F1"/>
    <w:rsid w:val="00166D55"/>
    <w:rsid w:val="00167567"/>
    <w:rsid w:val="00171357"/>
    <w:rsid w:val="001714C9"/>
    <w:rsid w:val="00171953"/>
    <w:rsid w:val="00172514"/>
    <w:rsid w:val="00172719"/>
    <w:rsid w:val="00172796"/>
    <w:rsid w:val="00172A27"/>
    <w:rsid w:val="00172AC7"/>
    <w:rsid w:val="0017327C"/>
    <w:rsid w:val="001746A5"/>
    <w:rsid w:val="0017504D"/>
    <w:rsid w:val="00175382"/>
    <w:rsid w:val="001756C3"/>
    <w:rsid w:val="0017588F"/>
    <w:rsid w:val="00175AAA"/>
    <w:rsid w:val="00175F5F"/>
    <w:rsid w:val="0017671A"/>
    <w:rsid w:val="0017673C"/>
    <w:rsid w:val="00177422"/>
    <w:rsid w:val="001809D4"/>
    <w:rsid w:val="00181945"/>
    <w:rsid w:val="00181F5E"/>
    <w:rsid w:val="00182084"/>
    <w:rsid w:val="001840E9"/>
    <w:rsid w:val="00184590"/>
    <w:rsid w:val="00184F9A"/>
    <w:rsid w:val="00185DA4"/>
    <w:rsid w:val="001866A4"/>
    <w:rsid w:val="0018671E"/>
    <w:rsid w:val="00186E71"/>
    <w:rsid w:val="00186F4E"/>
    <w:rsid w:val="0018700B"/>
    <w:rsid w:val="001870D1"/>
    <w:rsid w:val="00187120"/>
    <w:rsid w:val="0018781E"/>
    <w:rsid w:val="0018798E"/>
    <w:rsid w:val="00187C9B"/>
    <w:rsid w:val="0019064E"/>
    <w:rsid w:val="0019111C"/>
    <w:rsid w:val="00191874"/>
    <w:rsid w:val="001923CE"/>
    <w:rsid w:val="0019262D"/>
    <w:rsid w:val="00192858"/>
    <w:rsid w:val="00192FCD"/>
    <w:rsid w:val="00194725"/>
    <w:rsid w:val="00194E6F"/>
    <w:rsid w:val="00195762"/>
    <w:rsid w:val="0019624B"/>
    <w:rsid w:val="0019693E"/>
    <w:rsid w:val="00196B1C"/>
    <w:rsid w:val="00197561"/>
    <w:rsid w:val="00197577"/>
    <w:rsid w:val="00197F8F"/>
    <w:rsid w:val="001A0346"/>
    <w:rsid w:val="001A045A"/>
    <w:rsid w:val="001A0840"/>
    <w:rsid w:val="001A1B35"/>
    <w:rsid w:val="001A2311"/>
    <w:rsid w:val="001A3185"/>
    <w:rsid w:val="001A48A2"/>
    <w:rsid w:val="001A4D89"/>
    <w:rsid w:val="001A5084"/>
    <w:rsid w:val="001A5A92"/>
    <w:rsid w:val="001A5DD6"/>
    <w:rsid w:val="001A653D"/>
    <w:rsid w:val="001A68E1"/>
    <w:rsid w:val="001A696C"/>
    <w:rsid w:val="001A6F61"/>
    <w:rsid w:val="001B02A7"/>
    <w:rsid w:val="001B0BA5"/>
    <w:rsid w:val="001B1646"/>
    <w:rsid w:val="001B178B"/>
    <w:rsid w:val="001B181A"/>
    <w:rsid w:val="001B1F8F"/>
    <w:rsid w:val="001B2155"/>
    <w:rsid w:val="001B234F"/>
    <w:rsid w:val="001B34D1"/>
    <w:rsid w:val="001B37C7"/>
    <w:rsid w:val="001B4954"/>
    <w:rsid w:val="001B527E"/>
    <w:rsid w:val="001B52A2"/>
    <w:rsid w:val="001B5EDC"/>
    <w:rsid w:val="001B5F6F"/>
    <w:rsid w:val="001B69E7"/>
    <w:rsid w:val="001B7039"/>
    <w:rsid w:val="001B72B8"/>
    <w:rsid w:val="001B7334"/>
    <w:rsid w:val="001C02AD"/>
    <w:rsid w:val="001C0D72"/>
    <w:rsid w:val="001C10B1"/>
    <w:rsid w:val="001C165C"/>
    <w:rsid w:val="001C193F"/>
    <w:rsid w:val="001C19D8"/>
    <w:rsid w:val="001C2E2A"/>
    <w:rsid w:val="001C3010"/>
    <w:rsid w:val="001C323F"/>
    <w:rsid w:val="001C365B"/>
    <w:rsid w:val="001C3A4D"/>
    <w:rsid w:val="001C447C"/>
    <w:rsid w:val="001C462D"/>
    <w:rsid w:val="001C4641"/>
    <w:rsid w:val="001C5081"/>
    <w:rsid w:val="001C51B7"/>
    <w:rsid w:val="001C52A1"/>
    <w:rsid w:val="001C61AA"/>
    <w:rsid w:val="001C69B3"/>
    <w:rsid w:val="001C6B80"/>
    <w:rsid w:val="001C70F6"/>
    <w:rsid w:val="001C71A7"/>
    <w:rsid w:val="001D0CCE"/>
    <w:rsid w:val="001D10B9"/>
    <w:rsid w:val="001D1322"/>
    <w:rsid w:val="001D1446"/>
    <w:rsid w:val="001D17C0"/>
    <w:rsid w:val="001D1CA6"/>
    <w:rsid w:val="001D35B9"/>
    <w:rsid w:val="001D516A"/>
    <w:rsid w:val="001D5595"/>
    <w:rsid w:val="001D5628"/>
    <w:rsid w:val="001D5A45"/>
    <w:rsid w:val="001D6B7F"/>
    <w:rsid w:val="001D6FC2"/>
    <w:rsid w:val="001D7874"/>
    <w:rsid w:val="001D7F22"/>
    <w:rsid w:val="001E0496"/>
    <w:rsid w:val="001E12AE"/>
    <w:rsid w:val="001E188D"/>
    <w:rsid w:val="001E1F62"/>
    <w:rsid w:val="001E212C"/>
    <w:rsid w:val="001E24F9"/>
    <w:rsid w:val="001E3505"/>
    <w:rsid w:val="001E3776"/>
    <w:rsid w:val="001E39B3"/>
    <w:rsid w:val="001E3E5C"/>
    <w:rsid w:val="001E3F1D"/>
    <w:rsid w:val="001E529A"/>
    <w:rsid w:val="001E58B0"/>
    <w:rsid w:val="001E58B2"/>
    <w:rsid w:val="001E7873"/>
    <w:rsid w:val="001E7A31"/>
    <w:rsid w:val="001F0279"/>
    <w:rsid w:val="001F053F"/>
    <w:rsid w:val="001F0700"/>
    <w:rsid w:val="001F0B35"/>
    <w:rsid w:val="001F0CA9"/>
    <w:rsid w:val="001F0F17"/>
    <w:rsid w:val="001F137C"/>
    <w:rsid w:val="001F163E"/>
    <w:rsid w:val="001F1BA3"/>
    <w:rsid w:val="001F1FFC"/>
    <w:rsid w:val="001F26D0"/>
    <w:rsid w:val="001F26F4"/>
    <w:rsid w:val="001F2704"/>
    <w:rsid w:val="001F3347"/>
    <w:rsid w:val="001F35B5"/>
    <w:rsid w:val="001F404B"/>
    <w:rsid w:val="001F5FA4"/>
    <w:rsid w:val="001F60F3"/>
    <w:rsid w:val="001F69E4"/>
    <w:rsid w:val="001F75B8"/>
    <w:rsid w:val="001F76B9"/>
    <w:rsid w:val="001F79EE"/>
    <w:rsid w:val="0020053D"/>
    <w:rsid w:val="00200C4D"/>
    <w:rsid w:val="00200CE6"/>
    <w:rsid w:val="00200D38"/>
    <w:rsid w:val="00201928"/>
    <w:rsid w:val="00201E24"/>
    <w:rsid w:val="002020C4"/>
    <w:rsid w:val="002025B8"/>
    <w:rsid w:val="002027B6"/>
    <w:rsid w:val="00202B4B"/>
    <w:rsid w:val="00202BAB"/>
    <w:rsid w:val="00203CB7"/>
    <w:rsid w:val="00204659"/>
    <w:rsid w:val="00205023"/>
    <w:rsid w:val="00205103"/>
    <w:rsid w:val="0020530A"/>
    <w:rsid w:val="002056F2"/>
    <w:rsid w:val="00205BF1"/>
    <w:rsid w:val="0020626D"/>
    <w:rsid w:val="00206774"/>
    <w:rsid w:val="00206C56"/>
    <w:rsid w:val="00207498"/>
    <w:rsid w:val="00207533"/>
    <w:rsid w:val="00207975"/>
    <w:rsid w:val="002102E5"/>
    <w:rsid w:val="00210F08"/>
    <w:rsid w:val="00211C03"/>
    <w:rsid w:val="00211E50"/>
    <w:rsid w:val="00212341"/>
    <w:rsid w:val="002125B4"/>
    <w:rsid w:val="00212AA9"/>
    <w:rsid w:val="00212C38"/>
    <w:rsid w:val="00212F4C"/>
    <w:rsid w:val="00213E54"/>
    <w:rsid w:val="00213F46"/>
    <w:rsid w:val="0021475C"/>
    <w:rsid w:val="00215349"/>
    <w:rsid w:val="002155B8"/>
    <w:rsid w:val="00215745"/>
    <w:rsid w:val="002169EF"/>
    <w:rsid w:val="00217092"/>
    <w:rsid w:val="0021720C"/>
    <w:rsid w:val="002175C6"/>
    <w:rsid w:val="00217864"/>
    <w:rsid w:val="00220143"/>
    <w:rsid w:val="00220F8B"/>
    <w:rsid w:val="002213BE"/>
    <w:rsid w:val="002213DA"/>
    <w:rsid w:val="00221670"/>
    <w:rsid w:val="00222CAA"/>
    <w:rsid w:val="00222D9F"/>
    <w:rsid w:val="00222E1E"/>
    <w:rsid w:val="00223ABE"/>
    <w:rsid w:val="00224839"/>
    <w:rsid w:val="002249B2"/>
    <w:rsid w:val="00224C42"/>
    <w:rsid w:val="00224D14"/>
    <w:rsid w:val="0022588B"/>
    <w:rsid w:val="00225CFB"/>
    <w:rsid w:val="00226193"/>
    <w:rsid w:val="00226305"/>
    <w:rsid w:val="00226574"/>
    <w:rsid w:val="0022669D"/>
    <w:rsid w:val="0022685E"/>
    <w:rsid w:val="00226C80"/>
    <w:rsid w:val="00226D03"/>
    <w:rsid w:val="00226DD1"/>
    <w:rsid w:val="00226E1D"/>
    <w:rsid w:val="00227282"/>
    <w:rsid w:val="002278EC"/>
    <w:rsid w:val="00230C36"/>
    <w:rsid w:val="002311A7"/>
    <w:rsid w:val="00231837"/>
    <w:rsid w:val="00232674"/>
    <w:rsid w:val="002327AB"/>
    <w:rsid w:val="0023280E"/>
    <w:rsid w:val="00232950"/>
    <w:rsid w:val="002334E5"/>
    <w:rsid w:val="00233ABE"/>
    <w:rsid w:val="002348F9"/>
    <w:rsid w:val="00234B84"/>
    <w:rsid w:val="00234F4B"/>
    <w:rsid w:val="0023552E"/>
    <w:rsid w:val="00235615"/>
    <w:rsid w:val="0023577E"/>
    <w:rsid w:val="0023694B"/>
    <w:rsid w:val="0023750D"/>
    <w:rsid w:val="00237794"/>
    <w:rsid w:val="002377D1"/>
    <w:rsid w:val="00237B76"/>
    <w:rsid w:val="0024024B"/>
    <w:rsid w:val="0024047D"/>
    <w:rsid w:val="00240BA1"/>
    <w:rsid w:val="00240D5F"/>
    <w:rsid w:val="00241002"/>
    <w:rsid w:val="00241681"/>
    <w:rsid w:val="0024168F"/>
    <w:rsid w:val="002429D6"/>
    <w:rsid w:val="002438AF"/>
    <w:rsid w:val="00243AF3"/>
    <w:rsid w:val="00244E29"/>
    <w:rsid w:val="00244F88"/>
    <w:rsid w:val="002458B6"/>
    <w:rsid w:val="00246C10"/>
    <w:rsid w:val="00247291"/>
    <w:rsid w:val="00247DFA"/>
    <w:rsid w:val="00247FC4"/>
    <w:rsid w:val="0025064D"/>
    <w:rsid w:val="002506BC"/>
    <w:rsid w:val="0025096D"/>
    <w:rsid w:val="002509A4"/>
    <w:rsid w:val="00251052"/>
    <w:rsid w:val="00251DBB"/>
    <w:rsid w:val="00251FA4"/>
    <w:rsid w:val="00252859"/>
    <w:rsid w:val="002536CD"/>
    <w:rsid w:val="00253C4B"/>
    <w:rsid w:val="00254345"/>
    <w:rsid w:val="00255EAD"/>
    <w:rsid w:val="00256C05"/>
    <w:rsid w:val="0025781A"/>
    <w:rsid w:val="002611AB"/>
    <w:rsid w:val="00261AFF"/>
    <w:rsid w:val="00261D34"/>
    <w:rsid w:val="00261EFC"/>
    <w:rsid w:val="002623C3"/>
    <w:rsid w:val="0026252B"/>
    <w:rsid w:val="00262EF1"/>
    <w:rsid w:val="00263E74"/>
    <w:rsid w:val="00264557"/>
    <w:rsid w:val="00264EA5"/>
    <w:rsid w:val="002658DE"/>
    <w:rsid w:val="00266979"/>
    <w:rsid w:val="00267527"/>
    <w:rsid w:val="00267E19"/>
    <w:rsid w:val="00270250"/>
    <w:rsid w:val="00270A98"/>
    <w:rsid w:val="00270C0A"/>
    <w:rsid w:val="00271413"/>
    <w:rsid w:val="00271439"/>
    <w:rsid w:val="0027261A"/>
    <w:rsid w:val="00272E1E"/>
    <w:rsid w:val="0027388E"/>
    <w:rsid w:val="002744C6"/>
    <w:rsid w:val="00274A63"/>
    <w:rsid w:val="00276EF8"/>
    <w:rsid w:val="0027764D"/>
    <w:rsid w:val="00277F50"/>
    <w:rsid w:val="002805AB"/>
    <w:rsid w:val="002833F3"/>
    <w:rsid w:val="00284204"/>
    <w:rsid w:val="0028467D"/>
    <w:rsid w:val="00284ADE"/>
    <w:rsid w:val="00284C8C"/>
    <w:rsid w:val="00284F9F"/>
    <w:rsid w:val="002851CC"/>
    <w:rsid w:val="002908DA"/>
    <w:rsid w:val="002909B8"/>
    <w:rsid w:val="00290B82"/>
    <w:rsid w:val="00290BF1"/>
    <w:rsid w:val="00291773"/>
    <w:rsid w:val="002917AE"/>
    <w:rsid w:val="00291A96"/>
    <w:rsid w:val="00292211"/>
    <w:rsid w:val="00292671"/>
    <w:rsid w:val="002933CF"/>
    <w:rsid w:val="00293851"/>
    <w:rsid w:val="00293E41"/>
    <w:rsid w:val="00294391"/>
    <w:rsid w:val="002954C3"/>
    <w:rsid w:val="00295517"/>
    <w:rsid w:val="0029588E"/>
    <w:rsid w:val="002959F8"/>
    <w:rsid w:val="00295A35"/>
    <w:rsid w:val="00296507"/>
    <w:rsid w:val="00296743"/>
    <w:rsid w:val="00297C82"/>
    <w:rsid w:val="002A0267"/>
    <w:rsid w:val="002A0AA9"/>
    <w:rsid w:val="002A0EBC"/>
    <w:rsid w:val="002A168C"/>
    <w:rsid w:val="002A1C52"/>
    <w:rsid w:val="002A1DD9"/>
    <w:rsid w:val="002A2814"/>
    <w:rsid w:val="002A38DB"/>
    <w:rsid w:val="002A3CAF"/>
    <w:rsid w:val="002A3DC7"/>
    <w:rsid w:val="002A3F48"/>
    <w:rsid w:val="002A4476"/>
    <w:rsid w:val="002A5B38"/>
    <w:rsid w:val="002A70D5"/>
    <w:rsid w:val="002A7F27"/>
    <w:rsid w:val="002B025A"/>
    <w:rsid w:val="002B0687"/>
    <w:rsid w:val="002B0822"/>
    <w:rsid w:val="002B0858"/>
    <w:rsid w:val="002B1DD6"/>
    <w:rsid w:val="002B2885"/>
    <w:rsid w:val="002B2B29"/>
    <w:rsid w:val="002B2D0E"/>
    <w:rsid w:val="002B3B43"/>
    <w:rsid w:val="002B3E48"/>
    <w:rsid w:val="002B48FD"/>
    <w:rsid w:val="002B49E2"/>
    <w:rsid w:val="002B4E70"/>
    <w:rsid w:val="002B5A24"/>
    <w:rsid w:val="002B631D"/>
    <w:rsid w:val="002B6CE4"/>
    <w:rsid w:val="002B6EC7"/>
    <w:rsid w:val="002B71B2"/>
    <w:rsid w:val="002B75AB"/>
    <w:rsid w:val="002B7897"/>
    <w:rsid w:val="002B7A05"/>
    <w:rsid w:val="002B7B00"/>
    <w:rsid w:val="002B7C44"/>
    <w:rsid w:val="002C291E"/>
    <w:rsid w:val="002C29FC"/>
    <w:rsid w:val="002C2B17"/>
    <w:rsid w:val="002C365B"/>
    <w:rsid w:val="002C3704"/>
    <w:rsid w:val="002C5BDF"/>
    <w:rsid w:val="002C5D53"/>
    <w:rsid w:val="002C5FB2"/>
    <w:rsid w:val="002C6FCE"/>
    <w:rsid w:val="002C74E5"/>
    <w:rsid w:val="002C777E"/>
    <w:rsid w:val="002D0043"/>
    <w:rsid w:val="002D07C1"/>
    <w:rsid w:val="002D1A86"/>
    <w:rsid w:val="002D1F39"/>
    <w:rsid w:val="002D3DD0"/>
    <w:rsid w:val="002D428E"/>
    <w:rsid w:val="002D48B4"/>
    <w:rsid w:val="002D4930"/>
    <w:rsid w:val="002D4BFB"/>
    <w:rsid w:val="002D549D"/>
    <w:rsid w:val="002D6799"/>
    <w:rsid w:val="002D67E7"/>
    <w:rsid w:val="002D70BE"/>
    <w:rsid w:val="002D7B52"/>
    <w:rsid w:val="002E0A04"/>
    <w:rsid w:val="002E0D5D"/>
    <w:rsid w:val="002E0F09"/>
    <w:rsid w:val="002E1367"/>
    <w:rsid w:val="002E1390"/>
    <w:rsid w:val="002E1C7B"/>
    <w:rsid w:val="002E1F3A"/>
    <w:rsid w:val="002E2936"/>
    <w:rsid w:val="002E298A"/>
    <w:rsid w:val="002E3676"/>
    <w:rsid w:val="002E49EF"/>
    <w:rsid w:val="002E56C1"/>
    <w:rsid w:val="002E621B"/>
    <w:rsid w:val="002E6594"/>
    <w:rsid w:val="002E73BE"/>
    <w:rsid w:val="002E7478"/>
    <w:rsid w:val="002E7B96"/>
    <w:rsid w:val="002F04B2"/>
    <w:rsid w:val="002F0681"/>
    <w:rsid w:val="002F0707"/>
    <w:rsid w:val="002F0ABB"/>
    <w:rsid w:val="002F0B88"/>
    <w:rsid w:val="002F0E51"/>
    <w:rsid w:val="002F0E75"/>
    <w:rsid w:val="002F1066"/>
    <w:rsid w:val="002F132F"/>
    <w:rsid w:val="002F153B"/>
    <w:rsid w:val="002F172F"/>
    <w:rsid w:val="002F19E6"/>
    <w:rsid w:val="002F1D81"/>
    <w:rsid w:val="002F27E8"/>
    <w:rsid w:val="002F2C8A"/>
    <w:rsid w:val="002F2E0E"/>
    <w:rsid w:val="002F32BF"/>
    <w:rsid w:val="002F430D"/>
    <w:rsid w:val="002F43D2"/>
    <w:rsid w:val="002F4A1F"/>
    <w:rsid w:val="002F575F"/>
    <w:rsid w:val="002F5CDC"/>
    <w:rsid w:val="002F6343"/>
    <w:rsid w:val="002F6E25"/>
    <w:rsid w:val="002F6E74"/>
    <w:rsid w:val="002F7101"/>
    <w:rsid w:val="002F756D"/>
    <w:rsid w:val="002F777C"/>
    <w:rsid w:val="002F7B86"/>
    <w:rsid w:val="0030014E"/>
    <w:rsid w:val="00300846"/>
    <w:rsid w:val="00300F65"/>
    <w:rsid w:val="00301281"/>
    <w:rsid w:val="00301816"/>
    <w:rsid w:val="00301978"/>
    <w:rsid w:val="00301C60"/>
    <w:rsid w:val="00301F11"/>
    <w:rsid w:val="00302AB1"/>
    <w:rsid w:val="00302ED5"/>
    <w:rsid w:val="0030332C"/>
    <w:rsid w:val="00303E67"/>
    <w:rsid w:val="0030427B"/>
    <w:rsid w:val="0030442E"/>
    <w:rsid w:val="00304480"/>
    <w:rsid w:val="00304AE4"/>
    <w:rsid w:val="00304B85"/>
    <w:rsid w:val="003051C2"/>
    <w:rsid w:val="00305735"/>
    <w:rsid w:val="00305F8F"/>
    <w:rsid w:val="00306C4C"/>
    <w:rsid w:val="0030754D"/>
    <w:rsid w:val="00311521"/>
    <w:rsid w:val="0031182C"/>
    <w:rsid w:val="00311FEB"/>
    <w:rsid w:val="00312296"/>
    <w:rsid w:val="003127CF"/>
    <w:rsid w:val="00312A43"/>
    <w:rsid w:val="00313EA7"/>
    <w:rsid w:val="003142A4"/>
    <w:rsid w:val="00314F0E"/>
    <w:rsid w:val="0031610C"/>
    <w:rsid w:val="003161EB"/>
    <w:rsid w:val="003167D0"/>
    <w:rsid w:val="0031713B"/>
    <w:rsid w:val="0031724A"/>
    <w:rsid w:val="00317876"/>
    <w:rsid w:val="00317BE0"/>
    <w:rsid w:val="003208AA"/>
    <w:rsid w:val="00320FBA"/>
    <w:rsid w:val="00321536"/>
    <w:rsid w:val="00321D8E"/>
    <w:rsid w:val="00321DD1"/>
    <w:rsid w:val="003226A3"/>
    <w:rsid w:val="00324BC7"/>
    <w:rsid w:val="00324FA5"/>
    <w:rsid w:val="003252D2"/>
    <w:rsid w:val="0032551B"/>
    <w:rsid w:val="00325530"/>
    <w:rsid w:val="00325928"/>
    <w:rsid w:val="00325E55"/>
    <w:rsid w:val="00330B48"/>
    <w:rsid w:val="0033104E"/>
    <w:rsid w:val="0033111C"/>
    <w:rsid w:val="00331386"/>
    <w:rsid w:val="00331B83"/>
    <w:rsid w:val="003320B6"/>
    <w:rsid w:val="003324D8"/>
    <w:rsid w:val="00332863"/>
    <w:rsid w:val="00332A38"/>
    <w:rsid w:val="00332FC3"/>
    <w:rsid w:val="0033312E"/>
    <w:rsid w:val="00333D94"/>
    <w:rsid w:val="00334233"/>
    <w:rsid w:val="00334864"/>
    <w:rsid w:val="00334D08"/>
    <w:rsid w:val="00335D75"/>
    <w:rsid w:val="003367C9"/>
    <w:rsid w:val="0033684D"/>
    <w:rsid w:val="00337A28"/>
    <w:rsid w:val="00337A3F"/>
    <w:rsid w:val="00337B42"/>
    <w:rsid w:val="00337DC2"/>
    <w:rsid w:val="00340454"/>
    <w:rsid w:val="00340A07"/>
    <w:rsid w:val="0034111E"/>
    <w:rsid w:val="003412B3"/>
    <w:rsid w:val="00341B42"/>
    <w:rsid w:val="0034224C"/>
    <w:rsid w:val="003422B6"/>
    <w:rsid w:val="00342DCE"/>
    <w:rsid w:val="00342E2D"/>
    <w:rsid w:val="0034319B"/>
    <w:rsid w:val="00343285"/>
    <w:rsid w:val="0034348F"/>
    <w:rsid w:val="0034495F"/>
    <w:rsid w:val="00344A65"/>
    <w:rsid w:val="003450FD"/>
    <w:rsid w:val="0034560C"/>
    <w:rsid w:val="003469D3"/>
    <w:rsid w:val="00346DAC"/>
    <w:rsid w:val="0034785A"/>
    <w:rsid w:val="00347E1E"/>
    <w:rsid w:val="0035009C"/>
    <w:rsid w:val="00350A6E"/>
    <w:rsid w:val="00350A87"/>
    <w:rsid w:val="003520AB"/>
    <w:rsid w:val="0035229F"/>
    <w:rsid w:val="0035276F"/>
    <w:rsid w:val="00352DDB"/>
    <w:rsid w:val="00353048"/>
    <w:rsid w:val="00353BE1"/>
    <w:rsid w:val="00353E0E"/>
    <w:rsid w:val="003549C6"/>
    <w:rsid w:val="00354CD3"/>
    <w:rsid w:val="003551FD"/>
    <w:rsid w:val="00355232"/>
    <w:rsid w:val="00355626"/>
    <w:rsid w:val="0035563E"/>
    <w:rsid w:val="00355AEE"/>
    <w:rsid w:val="00356653"/>
    <w:rsid w:val="00356EC5"/>
    <w:rsid w:val="0035743F"/>
    <w:rsid w:val="00357BE2"/>
    <w:rsid w:val="00360E38"/>
    <w:rsid w:val="0036170C"/>
    <w:rsid w:val="00361967"/>
    <w:rsid w:val="00361CFF"/>
    <w:rsid w:val="0036251A"/>
    <w:rsid w:val="00362A8D"/>
    <w:rsid w:val="00362E72"/>
    <w:rsid w:val="00363107"/>
    <w:rsid w:val="003636FC"/>
    <w:rsid w:val="00363B4B"/>
    <w:rsid w:val="00363DA8"/>
    <w:rsid w:val="003642C7"/>
    <w:rsid w:val="0036446B"/>
    <w:rsid w:val="0036454A"/>
    <w:rsid w:val="00364E39"/>
    <w:rsid w:val="00364F15"/>
    <w:rsid w:val="00365076"/>
    <w:rsid w:val="0036558A"/>
    <w:rsid w:val="00365DC4"/>
    <w:rsid w:val="00366112"/>
    <w:rsid w:val="00366E0F"/>
    <w:rsid w:val="00366F2C"/>
    <w:rsid w:val="00370007"/>
    <w:rsid w:val="0037157C"/>
    <w:rsid w:val="00371769"/>
    <w:rsid w:val="00371840"/>
    <w:rsid w:val="00372761"/>
    <w:rsid w:val="00373389"/>
    <w:rsid w:val="003739EB"/>
    <w:rsid w:val="00374783"/>
    <w:rsid w:val="00374A7E"/>
    <w:rsid w:val="00374AE2"/>
    <w:rsid w:val="00374D2D"/>
    <w:rsid w:val="00374F60"/>
    <w:rsid w:val="003751CE"/>
    <w:rsid w:val="00375384"/>
    <w:rsid w:val="003756A7"/>
    <w:rsid w:val="00376E7D"/>
    <w:rsid w:val="003777C8"/>
    <w:rsid w:val="00377B4F"/>
    <w:rsid w:val="00377EFD"/>
    <w:rsid w:val="003804B0"/>
    <w:rsid w:val="00380EAE"/>
    <w:rsid w:val="003819B7"/>
    <w:rsid w:val="00381A72"/>
    <w:rsid w:val="0038206C"/>
    <w:rsid w:val="003824BE"/>
    <w:rsid w:val="00382EFC"/>
    <w:rsid w:val="0038302B"/>
    <w:rsid w:val="003831AC"/>
    <w:rsid w:val="00383299"/>
    <w:rsid w:val="003835AC"/>
    <w:rsid w:val="00383700"/>
    <w:rsid w:val="00384676"/>
    <w:rsid w:val="003848D6"/>
    <w:rsid w:val="00384B47"/>
    <w:rsid w:val="00384C19"/>
    <w:rsid w:val="00384DCA"/>
    <w:rsid w:val="00385E33"/>
    <w:rsid w:val="003861B9"/>
    <w:rsid w:val="003862EC"/>
    <w:rsid w:val="00386816"/>
    <w:rsid w:val="0038704B"/>
    <w:rsid w:val="00387E8C"/>
    <w:rsid w:val="00387F2D"/>
    <w:rsid w:val="003900CF"/>
    <w:rsid w:val="003905CB"/>
    <w:rsid w:val="003907B9"/>
    <w:rsid w:val="00390857"/>
    <w:rsid w:val="00390DC6"/>
    <w:rsid w:val="00390E02"/>
    <w:rsid w:val="00391043"/>
    <w:rsid w:val="0039123C"/>
    <w:rsid w:val="00391350"/>
    <w:rsid w:val="003915B8"/>
    <w:rsid w:val="00391A61"/>
    <w:rsid w:val="00391B96"/>
    <w:rsid w:val="00391DCE"/>
    <w:rsid w:val="00391EBF"/>
    <w:rsid w:val="00392A86"/>
    <w:rsid w:val="00392E58"/>
    <w:rsid w:val="00393527"/>
    <w:rsid w:val="0039499A"/>
    <w:rsid w:val="003955F6"/>
    <w:rsid w:val="0039692F"/>
    <w:rsid w:val="00396E27"/>
    <w:rsid w:val="0039701E"/>
    <w:rsid w:val="00397180"/>
    <w:rsid w:val="003A008E"/>
    <w:rsid w:val="003A08B2"/>
    <w:rsid w:val="003A08D2"/>
    <w:rsid w:val="003A0E9E"/>
    <w:rsid w:val="003A170B"/>
    <w:rsid w:val="003A2476"/>
    <w:rsid w:val="003A24A7"/>
    <w:rsid w:val="003A31A4"/>
    <w:rsid w:val="003A4BF3"/>
    <w:rsid w:val="003A5CA0"/>
    <w:rsid w:val="003A6159"/>
    <w:rsid w:val="003A63E5"/>
    <w:rsid w:val="003A6EA8"/>
    <w:rsid w:val="003A6EFB"/>
    <w:rsid w:val="003A76B0"/>
    <w:rsid w:val="003A7EDE"/>
    <w:rsid w:val="003B062E"/>
    <w:rsid w:val="003B16C3"/>
    <w:rsid w:val="003B284D"/>
    <w:rsid w:val="003B3768"/>
    <w:rsid w:val="003B39A7"/>
    <w:rsid w:val="003B403A"/>
    <w:rsid w:val="003B4106"/>
    <w:rsid w:val="003B420D"/>
    <w:rsid w:val="003B499A"/>
    <w:rsid w:val="003B54ED"/>
    <w:rsid w:val="003B559D"/>
    <w:rsid w:val="003B5998"/>
    <w:rsid w:val="003B6565"/>
    <w:rsid w:val="003B6A58"/>
    <w:rsid w:val="003B6AED"/>
    <w:rsid w:val="003B6CC8"/>
    <w:rsid w:val="003C0A1B"/>
    <w:rsid w:val="003C0EF3"/>
    <w:rsid w:val="003C16A9"/>
    <w:rsid w:val="003C1FCE"/>
    <w:rsid w:val="003C2404"/>
    <w:rsid w:val="003C2695"/>
    <w:rsid w:val="003C27C5"/>
    <w:rsid w:val="003C29B0"/>
    <w:rsid w:val="003C2D42"/>
    <w:rsid w:val="003C30FE"/>
    <w:rsid w:val="003C332F"/>
    <w:rsid w:val="003C4ADC"/>
    <w:rsid w:val="003C519F"/>
    <w:rsid w:val="003C5DBE"/>
    <w:rsid w:val="003C6AB8"/>
    <w:rsid w:val="003C6BB7"/>
    <w:rsid w:val="003C6BDF"/>
    <w:rsid w:val="003C6C16"/>
    <w:rsid w:val="003C77E2"/>
    <w:rsid w:val="003C7C19"/>
    <w:rsid w:val="003D07D4"/>
    <w:rsid w:val="003D0905"/>
    <w:rsid w:val="003D090E"/>
    <w:rsid w:val="003D197E"/>
    <w:rsid w:val="003D1B1B"/>
    <w:rsid w:val="003D1D94"/>
    <w:rsid w:val="003D1F87"/>
    <w:rsid w:val="003D2E52"/>
    <w:rsid w:val="003D316F"/>
    <w:rsid w:val="003D3329"/>
    <w:rsid w:val="003D37B4"/>
    <w:rsid w:val="003D44EE"/>
    <w:rsid w:val="003D457C"/>
    <w:rsid w:val="003D5626"/>
    <w:rsid w:val="003D661A"/>
    <w:rsid w:val="003D794D"/>
    <w:rsid w:val="003E03AE"/>
    <w:rsid w:val="003E0FEB"/>
    <w:rsid w:val="003E1330"/>
    <w:rsid w:val="003E14E4"/>
    <w:rsid w:val="003E24FE"/>
    <w:rsid w:val="003E2B11"/>
    <w:rsid w:val="003E3058"/>
    <w:rsid w:val="003E3467"/>
    <w:rsid w:val="003E3F5F"/>
    <w:rsid w:val="003E42EF"/>
    <w:rsid w:val="003E4C67"/>
    <w:rsid w:val="003E54E5"/>
    <w:rsid w:val="003E5704"/>
    <w:rsid w:val="003E6225"/>
    <w:rsid w:val="003E6F5A"/>
    <w:rsid w:val="003E76A9"/>
    <w:rsid w:val="003E7B0C"/>
    <w:rsid w:val="003F0809"/>
    <w:rsid w:val="003F25AA"/>
    <w:rsid w:val="003F2BDD"/>
    <w:rsid w:val="003F3E50"/>
    <w:rsid w:val="003F4726"/>
    <w:rsid w:val="003F4B1B"/>
    <w:rsid w:val="003F5087"/>
    <w:rsid w:val="003F541B"/>
    <w:rsid w:val="003F5A12"/>
    <w:rsid w:val="003F6A8C"/>
    <w:rsid w:val="003F711B"/>
    <w:rsid w:val="003F755C"/>
    <w:rsid w:val="003F7916"/>
    <w:rsid w:val="004001CD"/>
    <w:rsid w:val="00400371"/>
    <w:rsid w:val="00400576"/>
    <w:rsid w:val="00400D45"/>
    <w:rsid w:val="0040138C"/>
    <w:rsid w:val="004016F6"/>
    <w:rsid w:val="00401CD4"/>
    <w:rsid w:val="004032FA"/>
    <w:rsid w:val="004038C4"/>
    <w:rsid w:val="004051AA"/>
    <w:rsid w:val="00405C00"/>
    <w:rsid w:val="00405E6F"/>
    <w:rsid w:val="0040621F"/>
    <w:rsid w:val="004063EA"/>
    <w:rsid w:val="00406EE7"/>
    <w:rsid w:val="00406F01"/>
    <w:rsid w:val="00410314"/>
    <w:rsid w:val="00410664"/>
    <w:rsid w:val="00410C13"/>
    <w:rsid w:val="00410ED6"/>
    <w:rsid w:val="00411273"/>
    <w:rsid w:val="00411AD2"/>
    <w:rsid w:val="00411B2A"/>
    <w:rsid w:val="00412B8D"/>
    <w:rsid w:val="00412DA9"/>
    <w:rsid w:val="0041366A"/>
    <w:rsid w:val="00413BDC"/>
    <w:rsid w:val="00414549"/>
    <w:rsid w:val="004149B8"/>
    <w:rsid w:val="00414AC0"/>
    <w:rsid w:val="00414F10"/>
    <w:rsid w:val="004150D3"/>
    <w:rsid w:val="004164E4"/>
    <w:rsid w:val="004168FA"/>
    <w:rsid w:val="00416D50"/>
    <w:rsid w:val="00416FD5"/>
    <w:rsid w:val="00417772"/>
    <w:rsid w:val="00417D50"/>
    <w:rsid w:val="004206DF"/>
    <w:rsid w:val="00420CB0"/>
    <w:rsid w:val="00420D3F"/>
    <w:rsid w:val="00420E6A"/>
    <w:rsid w:val="0042105E"/>
    <w:rsid w:val="004216DC"/>
    <w:rsid w:val="00421D1D"/>
    <w:rsid w:val="00424BC5"/>
    <w:rsid w:val="00425A9E"/>
    <w:rsid w:val="00425CA1"/>
    <w:rsid w:val="00426D6B"/>
    <w:rsid w:val="00427522"/>
    <w:rsid w:val="004306F8"/>
    <w:rsid w:val="00430820"/>
    <w:rsid w:val="00430CF2"/>
    <w:rsid w:val="00431E6C"/>
    <w:rsid w:val="00431E87"/>
    <w:rsid w:val="00432308"/>
    <w:rsid w:val="00432E1C"/>
    <w:rsid w:val="00432EEE"/>
    <w:rsid w:val="004338C4"/>
    <w:rsid w:val="00433908"/>
    <w:rsid w:val="00433CE7"/>
    <w:rsid w:val="00433CE8"/>
    <w:rsid w:val="00433E11"/>
    <w:rsid w:val="0043426B"/>
    <w:rsid w:val="00434E66"/>
    <w:rsid w:val="00435A10"/>
    <w:rsid w:val="0043655A"/>
    <w:rsid w:val="00436B75"/>
    <w:rsid w:val="00437BCE"/>
    <w:rsid w:val="004414EB"/>
    <w:rsid w:val="00441702"/>
    <w:rsid w:val="00442114"/>
    <w:rsid w:val="004423D0"/>
    <w:rsid w:val="00442FD9"/>
    <w:rsid w:val="004430A1"/>
    <w:rsid w:val="004431C8"/>
    <w:rsid w:val="00443CE1"/>
    <w:rsid w:val="00444B2E"/>
    <w:rsid w:val="004451DE"/>
    <w:rsid w:val="00445399"/>
    <w:rsid w:val="00445D89"/>
    <w:rsid w:val="004470B2"/>
    <w:rsid w:val="0044719C"/>
    <w:rsid w:val="0044772B"/>
    <w:rsid w:val="00451313"/>
    <w:rsid w:val="00451446"/>
    <w:rsid w:val="00452085"/>
    <w:rsid w:val="004526CA"/>
    <w:rsid w:val="00452738"/>
    <w:rsid w:val="004530E0"/>
    <w:rsid w:val="004531F7"/>
    <w:rsid w:val="004549C5"/>
    <w:rsid w:val="00455224"/>
    <w:rsid w:val="00456091"/>
    <w:rsid w:val="0045618F"/>
    <w:rsid w:val="0045671D"/>
    <w:rsid w:val="00456EFA"/>
    <w:rsid w:val="0045728D"/>
    <w:rsid w:val="00457AA3"/>
    <w:rsid w:val="00460430"/>
    <w:rsid w:val="00460A06"/>
    <w:rsid w:val="00460A08"/>
    <w:rsid w:val="00461801"/>
    <w:rsid w:val="00462A11"/>
    <w:rsid w:val="00462FDA"/>
    <w:rsid w:val="00463C65"/>
    <w:rsid w:val="004646A5"/>
    <w:rsid w:val="004648B5"/>
    <w:rsid w:val="004649FB"/>
    <w:rsid w:val="00464A19"/>
    <w:rsid w:val="0046510E"/>
    <w:rsid w:val="00465886"/>
    <w:rsid w:val="00465C03"/>
    <w:rsid w:val="00466321"/>
    <w:rsid w:val="00466DBE"/>
    <w:rsid w:val="00466FC6"/>
    <w:rsid w:val="00470073"/>
    <w:rsid w:val="004702FE"/>
    <w:rsid w:val="00470AFF"/>
    <w:rsid w:val="00470FAA"/>
    <w:rsid w:val="00471F36"/>
    <w:rsid w:val="00472C37"/>
    <w:rsid w:val="004737D1"/>
    <w:rsid w:val="004738D4"/>
    <w:rsid w:val="00473E8A"/>
    <w:rsid w:val="00474DDC"/>
    <w:rsid w:val="00474E5E"/>
    <w:rsid w:val="00475297"/>
    <w:rsid w:val="0047551A"/>
    <w:rsid w:val="00475C88"/>
    <w:rsid w:val="00476E13"/>
    <w:rsid w:val="004774C4"/>
    <w:rsid w:val="004802C0"/>
    <w:rsid w:val="00480572"/>
    <w:rsid w:val="00480A56"/>
    <w:rsid w:val="00480D2A"/>
    <w:rsid w:val="004822FD"/>
    <w:rsid w:val="004824B2"/>
    <w:rsid w:val="00482994"/>
    <w:rsid w:val="00482EBC"/>
    <w:rsid w:val="004833DC"/>
    <w:rsid w:val="00483CD9"/>
    <w:rsid w:val="00484866"/>
    <w:rsid w:val="00484B9B"/>
    <w:rsid w:val="00484C2F"/>
    <w:rsid w:val="004855F6"/>
    <w:rsid w:val="00485A4B"/>
    <w:rsid w:val="0048631F"/>
    <w:rsid w:val="0048661E"/>
    <w:rsid w:val="00486A87"/>
    <w:rsid w:val="0048760E"/>
    <w:rsid w:val="00487B88"/>
    <w:rsid w:val="00487FD6"/>
    <w:rsid w:val="00490396"/>
    <w:rsid w:val="00490AEE"/>
    <w:rsid w:val="00490E29"/>
    <w:rsid w:val="004919D7"/>
    <w:rsid w:val="0049230E"/>
    <w:rsid w:val="00493173"/>
    <w:rsid w:val="004932C3"/>
    <w:rsid w:val="00493467"/>
    <w:rsid w:val="0049418B"/>
    <w:rsid w:val="00494670"/>
    <w:rsid w:val="004947B4"/>
    <w:rsid w:val="0049493D"/>
    <w:rsid w:val="00496E64"/>
    <w:rsid w:val="004A08EC"/>
    <w:rsid w:val="004A0934"/>
    <w:rsid w:val="004A1DF3"/>
    <w:rsid w:val="004A1E0A"/>
    <w:rsid w:val="004A2592"/>
    <w:rsid w:val="004A3823"/>
    <w:rsid w:val="004A46A8"/>
    <w:rsid w:val="004A48EC"/>
    <w:rsid w:val="004A53F5"/>
    <w:rsid w:val="004A57FD"/>
    <w:rsid w:val="004A652B"/>
    <w:rsid w:val="004A69D7"/>
    <w:rsid w:val="004A726B"/>
    <w:rsid w:val="004A7750"/>
    <w:rsid w:val="004A7B45"/>
    <w:rsid w:val="004A7F41"/>
    <w:rsid w:val="004B0366"/>
    <w:rsid w:val="004B04BE"/>
    <w:rsid w:val="004B0654"/>
    <w:rsid w:val="004B0D2B"/>
    <w:rsid w:val="004B0F9E"/>
    <w:rsid w:val="004B1D99"/>
    <w:rsid w:val="004B25EB"/>
    <w:rsid w:val="004B25F2"/>
    <w:rsid w:val="004B2B42"/>
    <w:rsid w:val="004B2B5C"/>
    <w:rsid w:val="004B3086"/>
    <w:rsid w:val="004B326C"/>
    <w:rsid w:val="004B56EA"/>
    <w:rsid w:val="004B6728"/>
    <w:rsid w:val="004C0F0A"/>
    <w:rsid w:val="004C146E"/>
    <w:rsid w:val="004C21BE"/>
    <w:rsid w:val="004C2553"/>
    <w:rsid w:val="004C255F"/>
    <w:rsid w:val="004C2F0D"/>
    <w:rsid w:val="004C45FC"/>
    <w:rsid w:val="004C48A5"/>
    <w:rsid w:val="004C4B69"/>
    <w:rsid w:val="004C6B0A"/>
    <w:rsid w:val="004C6C1F"/>
    <w:rsid w:val="004C77B3"/>
    <w:rsid w:val="004C7A90"/>
    <w:rsid w:val="004D027C"/>
    <w:rsid w:val="004D02E8"/>
    <w:rsid w:val="004D1101"/>
    <w:rsid w:val="004D1BB2"/>
    <w:rsid w:val="004D26A6"/>
    <w:rsid w:val="004D2F60"/>
    <w:rsid w:val="004D3A5A"/>
    <w:rsid w:val="004D46A1"/>
    <w:rsid w:val="004D46B5"/>
    <w:rsid w:val="004D5460"/>
    <w:rsid w:val="004D5D36"/>
    <w:rsid w:val="004D5DA9"/>
    <w:rsid w:val="004D654A"/>
    <w:rsid w:val="004D664C"/>
    <w:rsid w:val="004D72A9"/>
    <w:rsid w:val="004D7AAE"/>
    <w:rsid w:val="004D7B3B"/>
    <w:rsid w:val="004E0EE5"/>
    <w:rsid w:val="004E0F12"/>
    <w:rsid w:val="004E17D1"/>
    <w:rsid w:val="004E1C75"/>
    <w:rsid w:val="004E2CD6"/>
    <w:rsid w:val="004E2DE1"/>
    <w:rsid w:val="004E364F"/>
    <w:rsid w:val="004E4CEB"/>
    <w:rsid w:val="004E4CF4"/>
    <w:rsid w:val="004E50CC"/>
    <w:rsid w:val="004E6088"/>
    <w:rsid w:val="004E62A9"/>
    <w:rsid w:val="004E66EA"/>
    <w:rsid w:val="004E6877"/>
    <w:rsid w:val="004E691A"/>
    <w:rsid w:val="004E6946"/>
    <w:rsid w:val="004E69AE"/>
    <w:rsid w:val="004E6FE7"/>
    <w:rsid w:val="004E73EE"/>
    <w:rsid w:val="004E7629"/>
    <w:rsid w:val="004E7C4F"/>
    <w:rsid w:val="004E7CF3"/>
    <w:rsid w:val="004F03AA"/>
    <w:rsid w:val="004F0C76"/>
    <w:rsid w:val="004F1AD8"/>
    <w:rsid w:val="004F1BC7"/>
    <w:rsid w:val="004F21E0"/>
    <w:rsid w:val="004F2425"/>
    <w:rsid w:val="004F3F0B"/>
    <w:rsid w:val="004F431F"/>
    <w:rsid w:val="004F45D2"/>
    <w:rsid w:val="004F478A"/>
    <w:rsid w:val="004F56E2"/>
    <w:rsid w:val="004F6294"/>
    <w:rsid w:val="004F6BC0"/>
    <w:rsid w:val="004F72F0"/>
    <w:rsid w:val="004F74C5"/>
    <w:rsid w:val="004F75F0"/>
    <w:rsid w:val="00501E04"/>
    <w:rsid w:val="005025B0"/>
    <w:rsid w:val="005032C4"/>
    <w:rsid w:val="005039CB"/>
    <w:rsid w:val="00503D2F"/>
    <w:rsid w:val="00504492"/>
    <w:rsid w:val="00504527"/>
    <w:rsid w:val="00504617"/>
    <w:rsid w:val="0050462C"/>
    <w:rsid w:val="00504F53"/>
    <w:rsid w:val="0050558F"/>
    <w:rsid w:val="00505AF4"/>
    <w:rsid w:val="00505C3F"/>
    <w:rsid w:val="00505EEC"/>
    <w:rsid w:val="00506286"/>
    <w:rsid w:val="0050647F"/>
    <w:rsid w:val="00506BFB"/>
    <w:rsid w:val="00507358"/>
    <w:rsid w:val="005075B7"/>
    <w:rsid w:val="00507861"/>
    <w:rsid w:val="00510371"/>
    <w:rsid w:val="0051058F"/>
    <w:rsid w:val="00510813"/>
    <w:rsid w:val="00510C79"/>
    <w:rsid w:val="00510EC2"/>
    <w:rsid w:val="00511990"/>
    <w:rsid w:val="005119A4"/>
    <w:rsid w:val="00511DE0"/>
    <w:rsid w:val="00512A90"/>
    <w:rsid w:val="00512E66"/>
    <w:rsid w:val="00512F09"/>
    <w:rsid w:val="0051381E"/>
    <w:rsid w:val="00514870"/>
    <w:rsid w:val="00514B9B"/>
    <w:rsid w:val="00514E22"/>
    <w:rsid w:val="00515410"/>
    <w:rsid w:val="0051544F"/>
    <w:rsid w:val="0051546B"/>
    <w:rsid w:val="00515CFF"/>
    <w:rsid w:val="0051601A"/>
    <w:rsid w:val="005165A7"/>
    <w:rsid w:val="00516931"/>
    <w:rsid w:val="00516AE7"/>
    <w:rsid w:val="00516D30"/>
    <w:rsid w:val="00516EF2"/>
    <w:rsid w:val="005175C4"/>
    <w:rsid w:val="00517F02"/>
    <w:rsid w:val="00520391"/>
    <w:rsid w:val="00520678"/>
    <w:rsid w:val="00521CB8"/>
    <w:rsid w:val="00522213"/>
    <w:rsid w:val="0052334B"/>
    <w:rsid w:val="00523A7E"/>
    <w:rsid w:val="00523CA1"/>
    <w:rsid w:val="00523CDA"/>
    <w:rsid w:val="00523F3D"/>
    <w:rsid w:val="00523F74"/>
    <w:rsid w:val="00523FE0"/>
    <w:rsid w:val="00524303"/>
    <w:rsid w:val="00524561"/>
    <w:rsid w:val="00524C57"/>
    <w:rsid w:val="0052548C"/>
    <w:rsid w:val="005258A2"/>
    <w:rsid w:val="00525992"/>
    <w:rsid w:val="00525D22"/>
    <w:rsid w:val="00526423"/>
    <w:rsid w:val="00526589"/>
    <w:rsid w:val="005267B2"/>
    <w:rsid w:val="00527A00"/>
    <w:rsid w:val="00530265"/>
    <w:rsid w:val="00530643"/>
    <w:rsid w:val="0053081C"/>
    <w:rsid w:val="0053101D"/>
    <w:rsid w:val="005312C6"/>
    <w:rsid w:val="00531366"/>
    <w:rsid w:val="00531852"/>
    <w:rsid w:val="005321AB"/>
    <w:rsid w:val="005321F0"/>
    <w:rsid w:val="00532616"/>
    <w:rsid w:val="00532BBC"/>
    <w:rsid w:val="00532D5A"/>
    <w:rsid w:val="00532ED6"/>
    <w:rsid w:val="005338D6"/>
    <w:rsid w:val="00533A97"/>
    <w:rsid w:val="00534511"/>
    <w:rsid w:val="00534D40"/>
    <w:rsid w:val="00535A2E"/>
    <w:rsid w:val="0053694B"/>
    <w:rsid w:val="005369C0"/>
    <w:rsid w:val="005401AE"/>
    <w:rsid w:val="00540539"/>
    <w:rsid w:val="00540928"/>
    <w:rsid w:val="005417C1"/>
    <w:rsid w:val="00542041"/>
    <w:rsid w:val="005425E8"/>
    <w:rsid w:val="005426B0"/>
    <w:rsid w:val="00542E07"/>
    <w:rsid w:val="00543265"/>
    <w:rsid w:val="005446AA"/>
    <w:rsid w:val="00544C3F"/>
    <w:rsid w:val="00544C74"/>
    <w:rsid w:val="00544CEB"/>
    <w:rsid w:val="00545309"/>
    <w:rsid w:val="00545424"/>
    <w:rsid w:val="005458B7"/>
    <w:rsid w:val="005462BB"/>
    <w:rsid w:val="00546806"/>
    <w:rsid w:val="005475B9"/>
    <w:rsid w:val="00550775"/>
    <w:rsid w:val="005509F7"/>
    <w:rsid w:val="00550E0F"/>
    <w:rsid w:val="00551059"/>
    <w:rsid w:val="00551281"/>
    <w:rsid w:val="00551312"/>
    <w:rsid w:val="0055140C"/>
    <w:rsid w:val="00551C29"/>
    <w:rsid w:val="00552293"/>
    <w:rsid w:val="00552670"/>
    <w:rsid w:val="00554518"/>
    <w:rsid w:val="00554A7B"/>
    <w:rsid w:val="00554ED6"/>
    <w:rsid w:val="00555379"/>
    <w:rsid w:val="0055572C"/>
    <w:rsid w:val="00556324"/>
    <w:rsid w:val="00557ECA"/>
    <w:rsid w:val="00560DEF"/>
    <w:rsid w:val="0056106A"/>
    <w:rsid w:val="005618C5"/>
    <w:rsid w:val="005619B2"/>
    <w:rsid w:val="00561A70"/>
    <w:rsid w:val="00561C43"/>
    <w:rsid w:val="00561EEA"/>
    <w:rsid w:val="005627A4"/>
    <w:rsid w:val="00563A02"/>
    <w:rsid w:val="00564B06"/>
    <w:rsid w:val="005650C3"/>
    <w:rsid w:val="00566FB0"/>
    <w:rsid w:val="005670BD"/>
    <w:rsid w:val="00567282"/>
    <w:rsid w:val="0057025F"/>
    <w:rsid w:val="005706F8"/>
    <w:rsid w:val="00571704"/>
    <w:rsid w:val="0057202B"/>
    <w:rsid w:val="005720AE"/>
    <w:rsid w:val="00572136"/>
    <w:rsid w:val="00572DA9"/>
    <w:rsid w:val="00572F1C"/>
    <w:rsid w:val="00573C5B"/>
    <w:rsid w:val="00573D58"/>
    <w:rsid w:val="005741E6"/>
    <w:rsid w:val="00575459"/>
    <w:rsid w:val="00575B37"/>
    <w:rsid w:val="00575C0D"/>
    <w:rsid w:val="0057605E"/>
    <w:rsid w:val="005763CF"/>
    <w:rsid w:val="0057675B"/>
    <w:rsid w:val="00577153"/>
    <w:rsid w:val="00577555"/>
    <w:rsid w:val="00577C5C"/>
    <w:rsid w:val="0058007B"/>
    <w:rsid w:val="00580142"/>
    <w:rsid w:val="00580722"/>
    <w:rsid w:val="005816B5"/>
    <w:rsid w:val="00581A5C"/>
    <w:rsid w:val="00581C7D"/>
    <w:rsid w:val="00581EDC"/>
    <w:rsid w:val="005828F1"/>
    <w:rsid w:val="00583DBD"/>
    <w:rsid w:val="00584607"/>
    <w:rsid w:val="0058495D"/>
    <w:rsid w:val="0058528D"/>
    <w:rsid w:val="005858B1"/>
    <w:rsid w:val="0058656F"/>
    <w:rsid w:val="0058746A"/>
    <w:rsid w:val="00587AC2"/>
    <w:rsid w:val="00590495"/>
    <w:rsid w:val="005906DD"/>
    <w:rsid w:val="00590DD0"/>
    <w:rsid w:val="0059102A"/>
    <w:rsid w:val="00591300"/>
    <w:rsid w:val="00591ED6"/>
    <w:rsid w:val="00591FC4"/>
    <w:rsid w:val="005922A1"/>
    <w:rsid w:val="0059264F"/>
    <w:rsid w:val="00592774"/>
    <w:rsid w:val="0059327D"/>
    <w:rsid w:val="00593766"/>
    <w:rsid w:val="00594D77"/>
    <w:rsid w:val="00594EBB"/>
    <w:rsid w:val="005953A7"/>
    <w:rsid w:val="00595A80"/>
    <w:rsid w:val="005967DA"/>
    <w:rsid w:val="005969E4"/>
    <w:rsid w:val="00597B11"/>
    <w:rsid w:val="00597F5E"/>
    <w:rsid w:val="005A03B0"/>
    <w:rsid w:val="005A06B7"/>
    <w:rsid w:val="005A06CD"/>
    <w:rsid w:val="005A144B"/>
    <w:rsid w:val="005A1759"/>
    <w:rsid w:val="005A1914"/>
    <w:rsid w:val="005A2A75"/>
    <w:rsid w:val="005A2F44"/>
    <w:rsid w:val="005A31C7"/>
    <w:rsid w:val="005A366C"/>
    <w:rsid w:val="005A3B32"/>
    <w:rsid w:val="005A3E00"/>
    <w:rsid w:val="005A414A"/>
    <w:rsid w:val="005A435D"/>
    <w:rsid w:val="005A44B2"/>
    <w:rsid w:val="005A4684"/>
    <w:rsid w:val="005A496C"/>
    <w:rsid w:val="005A537E"/>
    <w:rsid w:val="005A54F6"/>
    <w:rsid w:val="005A5FE9"/>
    <w:rsid w:val="005A68A7"/>
    <w:rsid w:val="005A68D9"/>
    <w:rsid w:val="005A7B47"/>
    <w:rsid w:val="005B0527"/>
    <w:rsid w:val="005B0DBE"/>
    <w:rsid w:val="005B106C"/>
    <w:rsid w:val="005B11DA"/>
    <w:rsid w:val="005B1965"/>
    <w:rsid w:val="005B23AF"/>
    <w:rsid w:val="005B23BF"/>
    <w:rsid w:val="005B2597"/>
    <w:rsid w:val="005B3784"/>
    <w:rsid w:val="005B3EE7"/>
    <w:rsid w:val="005B44C7"/>
    <w:rsid w:val="005B4A81"/>
    <w:rsid w:val="005B54F3"/>
    <w:rsid w:val="005B5A35"/>
    <w:rsid w:val="005B5A63"/>
    <w:rsid w:val="005B5DA2"/>
    <w:rsid w:val="005B6381"/>
    <w:rsid w:val="005B6867"/>
    <w:rsid w:val="005B6D83"/>
    <w:rsid w:val="005B772B"/>
    <w:rsid w:val="005B7991"/>
    <w:rsid w:val="005B7ABE"/>
    <w:rsid w:val="005B7E08"/>
    <w:rsid w:val="005C0172"/>
    <w:rsid w:val="005C0257"/>
    <w:rsid w:val="005C0397"/>
    <w:rsid w:val="005C08E6"/>
    <w:rsid w:val="005C0BB2"/>
    <w:rsid w:val="005C1A9B"/>
    <w:rsid w:val="005C3C00"/>
    <w:rsid w:val="005C4632"/>
    <w:rsid w:val="005C5BC7"/>
    <w:rsid w:val="005C5C2A"/>
    <w:rsid w:val="005C6140"/>
    <w:rsid w:val="005C6BF6"/>
    <w:rsid w:val="005D0C5B"/>
    <w:rsid w:val="005D0C78"/>
    <w:rsid w:val="005D12F8"/>
    <w:rsid w:val="005D1436"/>
    <w:rsid w:val="005D198B"/>
    <w:rsid w:val="005D1CF4"/>
    <w:rsid w:val="005D1DF7"/>
    <w:rsid w:val="005D29B2"/>
    <w:rsid w:val="005D34ED"/>
    <w:rsid w:val="005D36AB"/>
    <w:rsid w:val="005D41B7"/>
    <w:rsid w:val="005D4A06"/>
    <w:rsid w:val="005D56EC"/>
    <w:rsid w:val="005D588A"/>
    <w:rsid w:val="005D6101"/>
    <w:rsid w:val="005D7B85"/>
    <w:rsid w:val="005E0498"/>
    <w:rsid w:val="005E05AB"/>
    <w:rsid w:val="005E0660"/>
    <w:rsid w:val="005E07DD"/>
    <w:rsid w:val="005E0B5E"/>
    <w:rsid w:val="005E1222"/>
    <w:rsid w:val="005E142A"/>
    <w:rsid w:val="005E20FB"/>
    <w:rsid w:val="005E25BF"/>
    <w:rsid w:val="005E279C"/>
    <w:rsid w:val="005E2BBD"/>
    <w:rsid w:val="005E2EBC"/>
    <w:rsid w:val="005E375A"/>
    <w:rsid w:val="005E3C5F"/>
    <w:rsid w:val="005E4017"/>
    <w:rsid w:val="005E4515"/>
    <w:rsid w:val="005E4A05"/>
    <w:rsid w:val="005E508D"/>
    <w:rsid w:val="005E531A"/>
    <w:rsid w:val="005E59AD"/>
    <w:rsid w:val="005E5A51"/>
    <w:rsid w:val="005E5DD5"/>
    <w:rsid w:val="005E62C1"/>
    <w:rsid w:val="005E6EA8"/>
    <w:rsid w:val="005E70E5"/>
    <w:rsid w:val="005E715D"/>
    <w:rsid w:val="005E7536"/>
    <w:rsid w:val="005E7878"/>
    <w:rsid w:val="005E7BC9"/>
    <w:rsid w:val="005E7C2C"/>
    <w:rsid w:val="005F0318"/>
    <w:rsid w:val="005F045A"/>
    <w:rsid w:val="005F0F9F"/>
    <w:rsid w:val="005F0FE4"/>
    <w:rsid w:val="005F3724"/>
    <w:rsid w:val="005F37AC"/>
    <w:rsid w:val="005F421E"/>
    <w:rsid w:val="005F43F8"/>
    <w:rsid w:val="005F550E"/>
    <w:rsid w:val="005F5AEC"/>
    <w:rsid w:val="005F5DCD"/>
    <w:rsid w:val="005F6C33"/>
    <w:rsid w:val="005F6CF9"/>
    <w:rsid w:val="005F7409"/>
    <w:rsid w:val="005F7809"/>
    <w:rsid w:val="005F7DDC"/>
    <w:rsid w:val="005F7DEE"/>
    <w:rsid w:val="005F7E6A"/>
    <w:rsid w:val="006003C2"/>
    <w:rsid w:val="00601094"/>
    <w:rsid w:val="00601866"/>
    <w:rsid w:val="006028BA"/>
    <w:rsid w:val="006034EE"/>
    <w:rsid w:val="00603755"/>
    <w:rsid w:val="0060463D"/>
    <w:rsid w:val="00605214"/>
    <w:rsid w:val="00605238"/>
    <w:rsid w:val="00605C92"/>
    <w:rsid w:val="00605F6A"/>
    <w:rsid w:val="0060685B"/>
    <w:rsid w:val="006073D4"/>
    <w:rsid w:val="00607CA4"/>
    <w:rsid w:val="00610E63"/>
    <w:rsid w:val="00611109"/>
    <w:rsid w:val="0061144A"/>
    <w:rsid w:val="00612125"/>
    <w:rsid w:val="00612355"/>
    <w:rsid w:val="00612A2A"/>
    <w:rsid w:val="006138AA"/>
    <w:rsid w:val="00613947"/>
    <w:rsid w:val="00613CCE"/>
    <w:rsid w:val="00614BEA"/>
    <w:rsid w:val="00615EEF"/>
    <w:rsid w:val="00616B3F"/>
    <w:rsid w:val="006179AF"/>
    <w:rsid w:val="00617CC3"/>
    <w:rsid w:val="00617D1B"/>
    <w:rsid w:val="006204AF"/>
    <w:rsid w:val="0062051B"/>
    <w:rsid w:val="006205AD"/>
    <w:rsid w:val="006207A5"/>
    <w:rsid w:val="006211A1"/>
    <w:rsid w:val="006217C5"/>
    <w:rsid w:val="00621A34"/>
    <w:rsid w:val="00621B9A"/>
    <w:rsid w:val="00622C48"/>
    <w:rsid w:val="006239D2"/>
    <w:rsid w:val="00623CD7"/>
    <w:rsid w:val="00624740"/>
    <w:rsid w:val="006254B3"/>
    <w:rsid w:val="00625748"/>
    <w:rsid w:val="00625973"/>
    <w:rsid w:val="00625EBE"/>
    <w:rsid w:val="0062613E"/>
    <w:rsid w:val="00626D56"/>
    <w:rsid w:val="00626EF7"/>
    <w:rsid w:val="00627352"/>
    <w:rsid w:val="00627554"/>
    <w:rsid w:val="006305CE"/>
    <w:rsid w:val="00630B07"/>
    <w:rsid w:val="00630B6C"/>
    <w:rsid w:val="00630F4E"/>
    <w:rsid w:val="0063251E"/>
    <w:rsid w:val="0063290A"/>
    <w:rsid w:val="0063299B"/>
    <w:rsid w:val="00633D2E"/>
    <w:rsid w:val="0063405D"/>
    <w:rsid w:val="0063454B"/>
    <w:rsid w:val="00635992"/>
    <w:rsid w:val="006362C4"/>
    <w:rsid w:val="00636904"/>
    <w:rsid w:val="00636B15"/>
    <w:rsid w:val="006371A6"/>
    <w:rsid w:val="00637277"/>
    <w:rsid w:val="006377A6"/>
    <w:rsid w:val="00637A3D"/>
    <w:rsid w:val="00637E2E"/>
    <w:rsid w:val="00637F76"/>
    <w:rsid w:val="006405AB"/>
    <w:rsid w:val="006411EF"/>
    <w:rsid w:val="00641F41"/>
    <w:rsid w:val="00642CE7"/>
    <w:rsid w:val="006435F1"/>
    <w:rsid w:val="00643968"/>
    <w:rsid w:val="00644713"/>
    <w:rsid w:val="006451F8"/>
    <w:rsid w:val="006455BE"/>
    <w:rsid w:val="006458F6"/>
    <w:rsid w:val="00646550"/>
    <w:rsid w:val="00646659"/>
    <w:rsid w:val="00646EDA"/>
    <w:rsid w:val="00647196"/>
    <w:rsid w:val="00647E5E"/>
    <w:rsid w:val="0065148E"/>
    <w:rsid w:val="00651775"/>
    <w:rsid w:val="006518E2"/>
    <w:rsid w:val="00651C2C"/>
    <w:rsid w:val="00651C62"/>
    <w:rsid w:val="00652296"/>
    <w:rsid w:val="00652E29"/>
    <w:rsid w:val="00653DE0"/>
    <w:rsid w:val="0065476E"/>
    <w:rsid w:val="0065509D"/>
    <w:rsid w:val="00655311"/>
    <w:rsid w:val="0065559A"/>
    <w:rsid w:val="00655E38"/>
    <w:rsid w:val="00656824"/>
    <w:rsid w:val="00657345"/>
    <w:rsid w:val="00660556"/>
    <w:rsid w:val="006606EA"/>
    <w:rsid w:val="00660D97"/>
    <w:rsid w:val="00660F94"/>
    <w:rsid w:val="006613E9"/>
    <w:rsid w:val="0066193A"/>
    <w:rsid w:val="0066257B"/>
    <w:rsid w:val="00662E07"/>
    <w:rsid w:val="006635D9"/>
    <w:rsid w:val="00663AC8"/>
    <w:rsid w:val="00664175"/>
    <w:rsid w:val="006650AD"/>
    <w:rsid w:val="00665621"/>
    <w:rsid w:val="00665D05"/>
    <w:rsid w:val="006662DD"/>
    <w:rsid w:val="0066646C"/>
    <w:rsid w:val="006670BA"/>
    <w:rsid w:val="00667ADE"/>
    <w:rsid w:val="00667F25"/>
    <w:rsid w:val="0067089F"/>
    <w:rsid w:val="00670A73"/>
    <w:rsid w:val="00671872"/>
    <w:rsid w:val="00671D31"/>
    <w:rsid w:val="00671FD5"/>
    <w:rsid w:val="006728F3"/>
    <w:rsid w:val="006730C5"/>
    <w:rsid w:val="0067379D"/>
    <w:rsid w:val="00673B9D"/>
    <w:rsid w:val="00674632"/>
    <w:rsid w:val="006748B8"/>
    <w:rsid w:val="00675E16"/>
    <w:rsid w:val="006767F3"/>
    <w:rsid w:val="006775C3"/>
    <w:rsid w:val="00681331"/>
    <w:rsid w:val="006817D7"/>
    <w:rsid w:val="00681907"/>
    <w:rsid w:val="00681E98"/>
    <w:rsid w:val="0068212C"/>
    <w:rsid w:val="006823D1"/>
    <w:rsid w:val="0068254A"/>
    <w:rsid w:val="006826B8"/>
    <w:rsid w:val="00682A7F"/>
    <w:rsid w:val="006846B7"/>
    <w:rsid w:val="006846C5"/>
    <w:rsid w:val="0068481E"/>
    <w:rsid w:val="00684CB3"/>
    <w:rsid w:val="0068530C"/>
    <w:rsid w:val="00685557"/>
    <w:rsid w:val="00685677"/>
    <w:rsid w:val="00685EE9"/>
    <w:rsid w:val="00686005"/>
    <w:rsid w:val="006862D6"/>
    <w:rsid w:val="006865D2"/>
    <w:rsid w:val="00686E3F"/>
    <w:rsid w:val="006870AC"/>
    <w:rsid w:val="006873A2"/>
    <w:rsid w:val="00687893"/>
    <w:rsid w:val="0069044F"/>
    <w:rsid w:val="006913F1"/>
    <w:rsid w:val="00692030"/>
    <w:rsid w:val="006920D4"/>
    <w:rsid w:val="006921CD"/>
    <w:rsid w:val="006922F5"/>
    <w:rsid w:val="0069290A"/>
    <w:rsid w:val="0069357C"/>
    <w:rsid w:val="00693AAB"/>
    <w:rsid w:val="00694378"/>
    <w:rsid w:val="00694612"/>
    <w:rsid w:val="00695B41"/>
    <w:rsid w:val="00696387"/>
    <w:rsid w:val="0069711B"/>
    <w:rsid w:val="0069775A"/>
    <w:rsid w:val="00697813"/>
    <w:rsid w:val="006A1FBE"/>
    <w:rsid w:val="006A2313"/>
    <w:rsid w:val="006A2622"/>
    <w:rsid w:val="006A2A42"/>
    <w:rsid w:val="006A2E73"/>
    <w:rsid w:val="006A31C2"/>
    <w:rsid w:val="006A327E"/>
    <w:rsid w:val="006A35E4"/>
    <w:rsid w:val="006A3D58"/>
    <w:rsid w:val="006A3EE8"/>
    <w:rsid w:val="006A4046"/>
    <w:rsid w:val="006A4285"/>
    <w:rsid w:val="006A4490"/>
    <w:rsid w:val="006A45A7"/>
    <w:rsid w:val="006A487D"/>
    <w:rsid w:val="006A492E"/>
    <w:rsid w:val="006A5311"/>
    <w:rsid w:val="006A53E7"/>
    <w:rsid w:val="006A5C9E"/>
    <w:rsid w:val="006A6A96"/>
    <w:rsid w:val="006A6B71"/>
    <w:rsid w:val="006A72BF"/>
    <w:rsid w:val="006A774C"/>
    <w:rsid w:val="006B02CC"/>
    <w:rsid w:val="006B03F2"/>
    <w:rsid w:val="006B0A79"/>
    <w:rsid w:val="006B0CC0"/>
    <w:rsid w:val="006B0F2F"/>
    <w:rsid w:val="006B17CB"/>
    <w:rsid w:val="006B2B04"/>
    <w:rsid w:val="006B2EA6"/>
    <w:rsid w:val="006B37DC"/>
    <w:rsid w:val="006B439D"/>
    <w:rsid w:val="006B4C59"/>
    <w:rsid w:val="006B4F68"/>
    <w:rsid w:val="006B521C"/>
    <w:rsid w:val="006B5312"/>
    <w:rsid w:val="006B6098"/>
    <w:rsid w:val="006B6917"/>
    <w:rsid w:val="006B6A2F"/>
    <w:rsid w:val="006B6B68"/>
    <w:rsid w:val="006B6CE3"/>
    <w:rsid w:val="006B6EBE"/>
    <w:rsid w:val="006B6FAF"/>
    <w:rsid w:val="006B6FDD"/>
    <w:rsid w:val="006B7100"/>
    <w:rsid w:val="006B7F31"/>
    <w:rsid w:val="006C0592"/>
    <w:rsid w:val="006C0DCB"/>
    <w:rsid w:val="006C0E66"/>
    <w:rsid w:val="006C1BFF"/>
    <w:rsid w:val="006C1C3C"/>
    <w:rsid w:val="006C250A"/>
    <w:rsid w:val="006C272E"/>
    <w:rsid w:val="006C2B44"/>
    <w:rsid w:val="006C2F94"/>
    <w:rsid w:val="006C2FFE"/>
    <w:rsid w:val="006C3E78"/>
    <w:rsid w:val="006C42DB"/>
    <w:rsid w:val="006C4454"/>
    <w:rsid w:val="006C490D"/>
    <w:rsid w:val="006C5479"/>
    <w:rsid w:val="006C5DC5"/>
    <w:rsid w:val="006C7161"/>
    <w:rsid w:val="006C76E3"/>
    <w:rsid w:val="006C788B"/>
    <w:rsid w:val="006C79CE"/>
    <w:rsid w:val="006D02D4"/>
    <w:rsid w:val="006D11A3"/>
    <w:rsid w:val="006D13B5"/>
    <w:rsid w:val="006D1868"/>
    <w:rsid w:val="006D2539"/>
    <w:rsid w:val="006D2550"/>
    <w:rsid w:val="006D2DD2"/>
    <w:rsid w:val="006D31B4"/>
    <w:rsid w:val="006D3370"/>
    <w:rsid w:val="006D33F5"/>
    <w:rsid w:val="006D3B6C"/>
    <w:rsid w:val="006D3BEA"/>
    <w:rsid w:val="006D4BB6"/>
    <w:rsid w:val="006D548E"/>
    <w:rsid w:val="006D6565"/>
    <w:rsid w:val="006D691D"/>
    <w:rsid w:val="006D6ECB"/>
    <w:rsid w:val="006D76CA"/>
    <w:rsid w:val="006D79FC"/>
    <w:rsid w:val="006D7F45"/>
    <w:rsid w:val="006E0CC7"/>
    <w:rsid w:val="006E0E49"/>
    <w:rsid w:val="006E12FF"/>
    <w:rsid w:val="006E1918"/>
    <w:rsid w:val="006E1C55"/>
    <w:rsid w:val="006E20A7"/>
    <w:rsid w:val="006E2B1A"/>
    <w:rsid w:val="006E30E2"/>
    <w:rsid w:val="006E37FB"/>
    <w:rsid w:val="006E394D"/>
    <w:rsid w:val="006E552B"/>
    <w:rsid w:val="006E5D04"/>
    <w:rsid w:val="006E5DA3"/>
    <w:rsid w:val="006E607E"/>
    <w:rsid w:val="006E6156"/>
    <w:rsid w:val="006E7BD7"/>
    <w:rsid w:val="006F23DC"/>
    <w:rsid w:val="006F276A"/>
    <w:rsid w:val="006F297A"/>
    <w:rsid w:val="006F2B88"/>
    <w:rsid w:val="006F3486"/>
    <w:rsid w:val="006F38B1"/>
    <w:rsid w:val="006F561C"/>
    <w:rsid w:val="006F5F10"/>
    <w:rsid w:val="006F6E5D"/>
    <w:rsid w:val="006F7E98"/>
    <w:rsid w:val="007005A9"/>
    <w:rsid w:val="00700CC6"/>
    <w:rsid w:val="00701126"/>
    <w:rsid w:val="0070125F"/>
    <w:rsid w:val="00701394"/>
    <w:rsid w:val="0070209C"/>
    <w:rsid w:val="007024F6"/>
    <w:rsid w:val="00702545"/>
    <w:rsid w:val="00702DC1"/>
    <w:rsid w:val="0070316B"/>
    <w:rsid w:val="007037C2"/>
    <w:rsid w:val="00703ACC"/>
    <w:rsid w:val="00703D80"/>
    <w:rsid w:val="00705224"/>
    <w:rsid w:val="00705B18"/>
    <w:rsid w:val="00705FC2"/>
    <w:rsid w:val="0070613E"/>
    <w:rsid w:val="0070623C"/>
    <w:rsid w:val="007067FA"/>
    <w:rsid w:val="00706C5D"/>
    <w:rsid w:val="00706CCF"/>
    <w:rsid w:val="00707482"/>
    <w:rsid w:val="00710203"/>
    <w:rsid w:val="0071046F"/>
    <w:rsid w:val="00710D53"/>
    <w:rsid w:val="00710FF4"/>
    <w:rsid w:val="007112CD"/>
    <w:rsid w:val="007114EF"/>
    <w:rsid w:val="00712504"/>
    <w:rsid w:val="0071278F"/>
    <w:rsid w:val="00712A43"/>
    <w:rsid w:val="00712A6A"/>
    <w:rsid w:val="0071385D"/>
    <w:rsid w:val="0071434E"/>
    <w:rsid w:val="00714820"/>
    <w:rsid w:val="007148F8"/>
    <w:rsid w:val="00715550"/>
    <w:rsid w:val="00715605"/>
    <w:rsid w:val="00715DEB"/>
    <w:rsid w:val="00715E0E"/>
    <w:rsid w:val="00715F15"/>
    <w:rsid w:val="00717BB5"/>
    <w:rsid w:val="00720374"/>
    <w:rsid w:val="007206EB"/>
    <w:rsid w:val="007207DE"/>
    <w:rsid w:val="00720E9A"/>
    <w:rsid w:val="00721FAC"/>
    <w:rsid w:val="00722426"/>
    <w:rsid w:val="00722AD0"/>
    <w:rsid w:val="00722F93"/>
    <w:rsid w:val="00724326"/>
    <w:rsid w:val="00724F8D"/>
    <w:rsid w:val="0072533E"/>
    <w:rsid w:val="00725633"/>
    <w:rsid w:val="007257F5"/>
    <w:rsid w:val="0072689C"/>
    <w:rsid w:val="007268B3"/>
    <w:rsid w:val="0072698A"/>
    <w:rsid w:val="00726CCC"/>
    <w:rsid w:val="0072700F"/>
    <w:rsid w:val="00730904"/>
    <w:rsid w:val="00730A4C"/>
    <w:rsid w:val="0073193B"/>
    <w:rsid w:val="00732231"/>
    <w:rsid w:val="00732922"/>
    <w:rsid w:val="00732A6B"/>
    <w:rsid w:val="00732C5B"/>
    <w:rsid w:val="00733545"/>
    <w:rsid w:val="00733682"/>
    <w:rsid w:val="00733B1F"/>
    <w:rsid w:val="00733C1B"/>
    <w:rsid w:val="00733D52"/>
    <w:rsid w:val="00734118"/>
    <w:rsid w:val="00734655"/>
    <w:rsid w:val="007347BC"/>
    <w:rsid w:val="0073491B"/>
    <w:rsid w:val="00734DCB"/>
    <w:rsid w:val="00734F39"/>
    <w:rsid w:val="007350ED"/>
    <w:rsid w:val="0073524B"/>
    <w:rsid w:val="0073541D"/>
    <w:rsid w:val="00735D56"/>
    <w:rsid w:val="00735ED1"/>
    <w:rsid w:val="00735FC3"/>
    <w:rsid w:val="007363D7"/>
    <w:rsid w:val="00736E9F"/>
    <w:rsid w:val="0073703C"/>
    <w:rsid w:val="00737F13"/>
    <w:rsid w:val="0074028A"/>
    <w:rsid w:val="00740461"/>
    <w:rsid w:val="00740CAC"/>
    <w:rsid w:val="00740D4E"/>
    <w:rsid w:val="007416D7"/>
    <w:rsid w:val="00742302"/>
    <w:rsid w:val="00742A56"/>
    <w:rsid w:val="007431A6"/>
    <w:rsid w:val="0074357B"/>
    <w:rsid w:val="00744394"/>
    <w:rsid w:val="007444FE"/>
    <w:rsid w:val="0074452A"/>
    <w:rsid w:val="00744815"/>
    <w:rsid w:val="00744E4F"/>
    <w:rsid w:val="00746CA7"/>
    <w:rsid w:val="00747098"/>
    <w:rsid w:val="007470AA"/>
    <w:rsid w:val="00747163"/>
    <w:rsid w:val="0074754E"/>
    <w:rsid w:val="00747980"/>
    <w:rsid w:val="00747F57"/>
    <w:rsid w:val="0075135D"/>
    <w:rsid w:val="0075162E"/>
    <w:rsid w:val="00752CC4"/>
    <w:rsid w:val="0075301E"/>
    <w:rsid w:val="0075363B"/>
    <w:rsid w:val="00753713"/>
    <w:rsid w:val="00754034"/>
    <w:rsid w:val="00754F1F"/>
    <w:rsid w:val="00755212"/>
    <w:rsid w:val="0075617A"/>
    <w:rsid w:val="00756556"/>
    <w:rsid w:val="00756EC0"/>
    <w:rsid w:val="00757269"/>
    <w:rsid w:val="007572BE"/>
    <w:rsid w:val="007579D8"/>
    <w:rsid w:val="00757FF7"/>
    <w:rsid w:val="00760E7F"/>
    <w:rsid w:val="007617C8"/>
    <w:rsid w:val="007618C4"/>
    <w:rsid w:val="00761EFB"/>
    <w:rsid w:val="0076355F"/>
    <w:rsid w:val="00763A47"/>
    <w:rsid w:val="0076475B"/>
    <w:rsid w:val="00764F0D"/>
    <w:rsid w:val="00765FF2"/>
    <w:rsid w:val="00766407"/>
    <w:rsid w:val="0076696A"/>
    <w:rsid w:val="00767980"/>
    <w:rsid w:val="007709BC"/>
    <w:rsid w:val="00770A1B"/>
    <w:rsid w:val="00770B19"/>
    <w:rsid w:val="00772B78"/>
    <w:rsid w:val="00772E4F"/>
    <w:rsid w:val="007731F7"/>
    <w:rsid w:val="007745E8"/>
    <w:rsid w:val="0077463F"/>
    <w:rsid w:val="00774D9E"/>
    <w:rsid w:val="00774FC6"/>
    <w:rsid w:val="007750F3"/>
    <w:rsid w:val="0077517D"/>
    <w:rsid w:val="00775727"/>
    <w:rsid w:val="00775BEF"/>
    <w:rsid w:val="00775F94"/>
    <w:rsid w:val="00776800"/>
    <w:rsid w:val="00776BBA"/>
    <w:rsid w:val="00776D33"/>
    <w:rsid w:val="007772CF"/>
    <w:rsid w:val="00780930"/>
    <w:rsid w:val="00781371"/>
    <w:rsid w:val="00781577"/>
    <w:rsid w:val="007835B7"/>
    <w:rsid w:val="007836EA"/>
    <w:rsid w:val="007837B0"/>
    <w:rsid w:val="00783EC5"/>
    <w:rsid w:val="00783F4C"/>
    <w:rsid w:val="00784B27"/>
    <w:rsid w:val="00784BD1"/>
    <w:rsid w:val="00784CDA"/>
    <w:rsid w:val="00785445"/>
    <w:rsid w:val="00787A4A"/>
    <w:rsid w:val="00787B67"/>
    <w:rsid w:val="007906C4"/>
    <w:rsid w:val="00791304"/>
    <w:rsid w:val="00793E15"/>
    <w:rsid w:val="00794005"/>
    <w:rsid w:val="007940EA"/>
    <w:rsid w:val="0079419D"/>
    <w:rsid w:val="00794258"/>
    <w:rsid w:val="00795328"/>
    <w:rsid w:val="00795372"/>
    <w:rsid w:val="007967E8"/>
    <w:rsid w:val="00796A6C"/>
    <w:rsid w:val="007971A0"/>
    <w:rsid w:val="007976C7"/>
    <w:rsid w:val="00797DC9"/>
    <w:rsid w:val="007A02DC"/>
    <w:rsid w:val="007A0ACB"/>
    <w:rsid w:val="007A2170"/>
    <w:rsid w:val="007A22BF"/>
    <w:rsid w:val="007A2409"/>
    <w:rsid w:val="007A2466"/>
    <w:rsid w:val="007A2B35"/>
    <w:rsid w:val="007A3117"/>
    <w:rsid w:val="007A3323"/>
    <w:rsid w:val="007A3999"/>
    <w:rsid w:val="007A43E4"/>
    <w:rsid w:val="007A4F2C"/>
    <w:rsid w:val="007A5DDE"/>
    <w:rsid w:val="007A613D"/>
    <w:rsid w:val="007A68E2"/>
    <w:rsid w:val="007A7416"/>
    <w:rsid w:val="007A74A9"/>
    <w:rsid w:val="007B097B"/>
    <w:rsid w:val="007B183A"/>
    <w:rsid w:val="007B1B6D"/>
    <w:rsid w:val="007B1D15"/>
    <w:rsid w:val="007B1E9E"/>
    <w:rsid w:val="007B1F40"/>
    <w:rsid w:val="007B252B"/>
    <w:rsid w:val="007B3C3D"/>
    <w:rsid w:val="007B4A17"/>
    <w:rsid w:val="007B4A8C"/>
    <w:rsid w:val="007B5603"/>
    <w:rsid w:val="007B72B8"/>
    <w:rsid w:val="007B76BD"/>
    <w:rsid w:val="007B77DA"/>
    <w:rsid w:val="007B7A58"/>
    <w:rsid w:val="007C0778"/>
    <w:rsid w:val="007C098C"/>
    <w:rsid w:val="007C1235"/>
    <w:rsid w:val="007C17DF"/>
    <w:rsid w:val="007C215E"/>
    <w:rsid w:val="007C21B5"/>
    <w:rsid w:val="007C2537"/>
    <w:rsid w:val="007C2B7E"/>
    <w:rsid w:val="007C2DD1"/>
    <w:rsid w:val="007C2F6A"/>
    <w:rsid w:val="007C3EFE"/>
    <w:rsid w:val="007C4514"/>
    <w:rsid w:val="007C49C6"/>
    <w:rsid w:val="007C4C68"/>
    <w:rsid w:val="007C6246"/>
    <w:rsid w:val="007C6FE5"/>
    <w:rsid w:val="007C71B8"/>
    <w:rsid w:val="007C724D"/>
    <w:rsid w:val="007C72E2"/>
    <w:rsid w:val="007C78E0"/>
    <w:rsid w:val="007C7C94"/>
    <w:rsid w:val="007D0558"/>
    <w:rsid w:val="007D2A80"/>
    <w:rsid w:val="007D332C"/>
    <w:rsid w:val="007D456B"/>
    <w:rsid w:val="007D4587"/>
    <w:rsid w:val="007D479C"/>
    <w:rsid w:val="007D5B4D"/>
    <w:rsid w:val="007D5C3E"/>
    <w:rsid w:val="007D5D20"/>
    <w:rsid w:val="007D5E39"/>
    <w:rsid w:val="007D6018"/>
    <w:rsid w:val="007D613B"/>
    <w:rsid w:val="007D68F8"/>
    <w:rsid w:val="007D6B6D"/>
    <w:rsid w:val="007D7BE8"/>
    <w:rsid w:val="007E04BA"/>
    <w:rsid w:val="007E06FE"/>
    <w:rsid w:val="007E07CE"/>
    <w:rsid w:val="007E2282"/>
    <w:rsid w:val="007E26CD"/>
    <w:rsid w:val="007E3174"/>
    <w:rsid w:val="007E3239"/>
    <w:rsid w:val="007E3FC8"/>
    <w:rsid w:val="007E4545"/>
    <w:rsid w:val="007E4707"/>
    <w:rsid w:val="007E4BD2"/>
    <w:rsid w:val="007E5095"/>
    <w:rsid w:val="007E56E8"/>
    <w:rsid w:val="007E668C"/>
    <w:rsid w:val="007E675A"/>
    <w:rsid w:val="007E6AA6"/>
    <w:rsid w:val="007E7AB0"/>
    <w:rsid w:val="007E7AF5"/>
    <w:rsid w:val="007F0BE7"/>
    <w:rsid w:val="007F184A"/>
    <w:rsid w:val="007F2326"/>
    <w:rsid w:val="007F2A85"/>
    <w:rsid w:val="007F2D23"/>
    <w:rsid w:val="007F393D"/>
    <w:rsid w:val="007F4912"/>
    <w:rsid w:val="007F4AE4"/>
    <w:rsid w:val="007F4E64"/>
    <w:rsid w:val="007F51FF"/>
    <w:rsid w:val="007F5FE8"/>
    <w:rsid w:val="007F6CBA"/>
    <w:rsid w:val="007F6E8E"/>
    <w:rsid w:val="00801393"/>
    <w:rsid w:val="00802990"/>
    <w:rsid w:val="00802BFD"/>
    <w:rsid w:val="00802F0C"/>
    <w:rsid w:val="00802F88"/>
    <w:rsid w:val="00803687"/>
    <w:rsid w:val="00804E2A"/>
    <w:rsid w:val="008062E0"/>
    <w:rsid w:val="008063B7"/>
    <w:rsid w:val="0080646B"/>
    <w:rsid w:val="0080655E"/>
    <w:rsid w:val="008066F8"/>
    <w:rsid w:val="0080682C"/>
    <w:rsid w:val="00806AC4"/>
    <w:rsid w:val="008072CD"/>
    <w:rsid w:val="00807EBC"/>
    <w:rsid w:val="00810B08"/>
    <w:rsid w:val="00810F4F"/>
    <w:rsid w:val="008112E7"/>
    <w:rsid w:val="00811408"/>
    <w:rsid w:val="00812925"/>
    <w:rsid w:val="0081293E"/>
    <w:rsid w:val="00812943"/>
    <w:rsid w:val="0081333D"/>
    <w:rsid w:val="00813879"/>
    <w:rsid w:val="00813F76"/>
    <w:rsid w:val="0081458E"/>
    <w:rsid w:val="00814DB1"/>
    <w:rsid w:val="008152EE"/>
    <w:rsid w:val="00815465"/>
    <w:rsid w:val="00815BE8"/>
    <w:rsid w:val="0081631F"/>
    <w:rsid w:val="00816563"/>
    <w:rsid w:val="008165FB"/>
    <w:rsid w:val="0081702C"/>
    <w:rsid w:val="00817BD7"/>
    <w:rsid w:val="00817E9A"/>
    <w:rsid w:val="00817EC3"/>
    <w:rsid w:val="00817FB3"/>
    <w:rsid w:val="00817FFB"/>
    <w:rsid w:val="00820191"/>
    <w:rsid w:val="0082071B"/>
    <w:rsid w:val="00820A53"/>
    <w:rsid w:val="00820E41"/>
    <w:rsid w:val="0082143E"/>
    <w:rsid w:val="00822AFE"/>
    <w:rsid w:val="00822CFF"/>
    <w:rsid w:val="00824F1B"/>
    <w:rsid w:val="0082544C"/>
    <w:rsid w:val="008260C6"/>
    <w:rsid w:val="00826A56"/>
    <w:rsid w:val="00826F26"/>
    <w:rsid w:val="0082703F"/>
    <w:rsid w:val="008272E2"/>
    <w:rsid w:val="0082737E"/>
    <w:rsid w:val="00827DC2"/>
    <w:rsid w:val="00827F90"/>
    <w:rsid w:val="008306BD"/>
    <w:rsid w:val="00830BA5"/>
    <w:rsid w:val="00831719"/>
    <w:rsid w:val="00831977"/>
    <w:rsid w:val="00831A80"/>
    <w:rsid w:val="00831CAB"/>
    <w:rsid w:val="00831E50"/>
    <w:rsid w:val="008320CD"/>
    <w:rsid w:val="00833140"/>
    <w:rsid w:val="00833743"/>
    <w:rsid w:val="008340A4"/>
    <w:rsid w:val="008346F2"/>
    <w:rsid w:val="008352CD"/>
    <w:rsid w:val="00835487"/>
    <w:rsid w:val="00835B32"/>
    <w:rsid w:val="00835C0E"/>
    <w:rsid w:val="00835F82"/>
    <w:rsid w:val="0083600D"/>
    <w:rsid w:val="0083615C"/>
    <w:rsid w:val="00836BB0"/>
    <w:rsid w:val="008374A4"/>
    <w:rsid w:val="00841D73"/>
    <w:rsid w:val="008439EF"/>
    <w:rsid w:val="00843D87"/>
    <w:rsid w:val="00843F92"/>
    <w:rsid w:val="0084446F"/>
    <w:rsid w:val="00844A0E"/>
    <w:rsid w:val="00845AE9"/>
    <w:rsid w:val="00845C53"/>
    <w:rsid w:val="0084683E"/>
    <w:rsid w:val="00851BF2"/>
    <w:rsid w:val="00852792"/>
    <w:rsid w:val="0085340A"/>
    <w:rsid w:val="00853415"/>
    <w:rsid w:val="00853721"/>
    <w:rsid w:val="00855248"/>
    <w:rsid w:val="008553F8"/>
    <w:rsid w:val="00855C86"/>
    <w:rsid w:val="00855CE2"/>
    <w:rsid w:val="00856461"/>
    <w:rsid w:val="008564B8"/>
    <w:rsid w:val="0085695C"/>
    <w:rsid w:val="00861D1A"/>
    <w:rsid w:val="00861E14"/>
    <w:rsid w:val="008623FA"/>
    <w:rsid w:val="00863830"/>
    <w:rsid w:val="0086388F"/>
    <w:rsid w:val="008639F9"/>
    <w:rsid w:val="00863F1D"/>
    <w:rsid w:val="00863FFF"/>
    <w:rsid w:val="008640DF"/>
    <w:rsid w:val="0086439E"/>
    <w:rsid w:val="00865131"/>
    <w:rsid w:val="008655DE"/>
    <w:rsid w:val="00865652"/>
    <w:rsid w:val="00865D32"/>
    <w:rsid w:val="00865DDB"/>
    <w:rsid w:val="0086693E"/>
    <w:rsid w:val="00866C28"/>
    <w:rsid w:val="00866DB2"/>
    <w:rsid w:val="008678AB"/>
    <w:rsid w:val="008700B8"/>
    <w:rsid w:val="00870917"/>
    <w:rsid w:val="0087135F"/>
    <w:rsid w:val="008717BF"/>
    <w:rsid w:val="00871C24"/>
    <w:rsid w:val="008724BE"/>
    <w:rsid w:val="00872C79"/>
    <w:rsid w:val="00872D94"/>
    <w:rsid w:val="008734A2"/>
    <w:rsid w:val="00873F67"/>
    <w:rsid w:val="00874293"/>
    <w:rsid w:val="008749ED"/>
    <w:rsid w:val="00874C17"/>
    <w:rsid w:val="008764D7"/>
    <w:rsid w:val="00876A9D"/>
    <w:rsid w:val="00876F34"/>
    <w:rsid w:val="00877497"/>
    <w:rsid w:val="00877590"/>
    <w:rsid w:val="00877C24"/>
    <w:rsid w:val="00877C9A"/>
    <w:rsid w:val="00877DB8"/>
    <w:rsid w:val="00880364"/>
    <w:rsid w:val="00880468"/>
    <w:rsid w:val="0088054E"/>
    <w:rsid w:val="00880E68"/>
    <w:rsid w:val="008812D6"/>
    <w:rsid w:val="008816B5"/>
    <w:rsid w:val="00881D51"/>
    <w:rsid w:val="00881E00"/>
    <w:rsid w:val="0088261D"/>
    <w:rsid w:val="00883D22"/>
    <w:rsid w:val="00883E49"/>
    <w:rsid w:val="008842D3"/>
    <w:rsid w:val="00884D8D"/>
    <w:rsid w:val="008856D5"/>
    <w:rsid w:val="00885852"/>
    <w:rsid w:val="00886ED8"/>
    <w:rsid w:val="00887E45"/>
    <w:rsid w:val="008909D5"/>
    <w:rsid w:val="00890CD3"/>
    <w:rsid w:val="00890F25"/>
    <w:rsid w:val="008910DC"/>
    <w:rsid w:val="008911EC"/>
    <w:rsid w:val="00891592"/>
    <w:rsid w:val="00891643"/>
    <w:rsid w:val="00891872"/>
    <w:rsid w:val="00891A4F"/>
    <w:rsid w:val="00891E9E"/>
    <w:rsid w:val="00892905"/>
    <w:rsid w:val="00892D80"/>
    <w:rsid w:val="00892FA4"/>
    <w:rsid w:val="0089524E"/>
    <w:rsid w:val="00895D68"/>
    <w:rsid w:val="00896C3F"/>
    <w:rsid w:val="00896CE6"/>
    <w:rsid w:val="00896DBA"/>
    <w:rsid w:val="00897C08"/>
    <w:rsid w:val="00897E1E"/>
    <w:rsid w:val="00897FF1"/>
    <w:rsid w:val="008A0851"/>
    <w:rsid w:val="008A0E5D"/>
    <w:rsid w:val="008A1452"/>
    <w:rsid w:val="008A1D6D"/>
    <w:rsid w:val="008A2692"/>
    <w:rsid w:val="008A28F4"/>
    <w:rsid w:val="008A2D4F"/>
    <w:rsid w:val="008A2F68"/>
    <w:rsid w:val="008A3D9E"/>
    <w:rsid w:val="008A3D9F"/>
    <w:rsid w:val="008A4BE4"/>
    <w:rsid w:val="008A5569"/>
    <w:rsid w:val="008A62EF"/>
    <w:rsid w:val="008A690D"/>
    <w:rsid w:val="008A6B8C"/>
    <w:rsid w:val="008A783E"/>
    <w:rsid w:val="008B01FE"/>
    <w:rsid w:val="008B03BE"/>
    <w:rsid w:val="008B051B"/>
    <w:rsid w:val="008B0608"/>
    <w:rsid w:val="008B1A1E"/>
    <w:rsid w:val="008B1B4C"/>
    <w:rsid w:val="008B269C"/>
    <w:rsid w:val="008B2BFB"/>
    <w:rsid w:val="008B33DC"/>
    <w:rsid w:val="008B3558"/>
    <w:rsid w:val="008B375D"/>
    <w:rsid w:val="008B3892"/>
    <w:rsid w:val="008B4408"/>
    <w:rsid w:val="008B4972"/>
    <w:rsid w:val="008B4DC4"/>
    <w:rsid w:val="008B4FA6"/>
    <w:rsid w:val="008B5282"/>
    <w:rsid w:val="008B582E"/>
    <w:rsid w:val="008B5D6C"/>
    <w:rsid w:val="008B6D3C"/>
    <w:rsid w:val="008B7C17"/>
    <w:rsid w:val="008C07BF"/>
    <w:rsid w:val="008C156C"/>
    <w:rsid w:val="008C1990"/>
    <w:rsid w:val="008C2D01"/>
    <w:rsid w:val="008C33AA"/>
    <w:rsid w:val="008C34E9"/>
    <w:rsid w:val="008C3E03"/>
    <w:rsid w:val="008C40E6"/>
    <w:rsid w:val="008C40E7"/>
    <w:rsid w:val="008C42C2"/>
    <w:rsid w:val="008C4A63"/>
    <w:rsid w:val="008C4E7E"/>
    <w:rsid w:val="008C64AC"/>
    <w:rsid w:val="008C653D"/>
    <w:rsid w:val="008C6734"/>
    <w:rsid w:val="008C69E8"/>
    <w:rsid w:val="008C7931"/>
    <w:rsid w:val="008C7C46"/>
    <w:rsid w:val="008C7D2B"/>
    <w:rsid w:val="008D0536"/>
    <w:rsid w:val="008D08B1"/>
    <w:rsid w:val="008D0F7A"/>
    <w:rsid w:val="008D233F"/>
    <w:rsid w:val="008D3087"/>
    <w:rsid w:val="008D4279"/>
    <w:rsid w:val="008D4442"/>
    <w:rsid w:val="008D4D01"/>
    <w:rsid w:val="008D5505"/>
    <w:rsid w:val="008D556E"/>
    <w:rsid w:val="008D56B0"/>
    <w:rsid w:val="008D5DF4"/>
    <w:rsid w:val="008D6771"/>
    <w:rsid w:val="008D68E4"/>
    <w:rsid w:val="008D77CE"/>
    <w:rsid w:val="008D7A79"/>
    <w:rsid w:val="008E0506"/>
    <w:rsid w:val="008E0CFF"/>
    <w:rsid w:val="008E1DD5"/>
    <w:rsid w:val="008E26E8"/>
    <w:rsid w:val="008E28DD"/>
    <w:rsid w:val="008E2970"/>
    <w:rsid w:val="008E4222"/>
    <w:rsid w:val="008E47B4"/>
    <w:rsid w:val="008E4E2F"/>
    <w:rsid w:val="008E5051"/>
    <w:rsid w:val="008E563A"/>
    <w:rsid w:val="008E56E5"/>
    <w:rsid w:val="008E5984"/>
    <w:rsid w:val="008E5D6B"/>
    <w:rsid w:val="008E7301"/>
    <w:rsid w:val="008E76F0"/>
    <w:rsid w:val="008E78B4"/>
    <w:rsid w:val="008F00A8"/>
    <w:rsid w:val="008F0D56"/>
    <w:rsid w:val="008F1056"/>
    <w:rsid w:val="008F15FE"/>
    <w:rsid w:val="008F1656"/>
    <w:rsid w:val="008F2D29"/>
    <w:rsid w:val="008F3EBE"/>
    <w:rsid w:val="008F4ECA"/>
    <w:rsid w:val="008F5187"/>
    <w:rsid w:val="008F58C8"/>
    <w:rsid w:val="008F60D8"/>
    <w:rsid w:val="008F65E3"/>
    <w:rsid w:val="008F6859"/>
    <w:rsid w:val="008F730D"/>
    <w:rsid w:val="008F7DE3"/>
    <w:rsid w:val="0090057B"/>
    <w:rsid w:val="00900623"/>
    <w:rsid w:val="00900CE7"/>
    <w:rsid w:val="00901DB3"/>
    <w:rsid w:val="00902727"/>
    <w:rsid w:val="00902B32"/>
    <w:rsid w:val="00902C04"/>
    <w:rsid w:val="0090312B"/>
    <w:rsid w:val="0090367B"/>
    <w:rsid w:val="009047EB"/>
    <w:rsid w:val="00905187"/>
    <w:rsid w:val="009053EE"/>
    <w:rsid w:val="00907980"/>
    <w:rsid w:val="00907ADE"/>
    <w:rsid w:val="00907C7A"/>
    <w:rsid w:val="00907CD2"/>
    <w:rsid w:val="0091049C"/>
    <w:rsid w:val="009116F2"/>
    <w:rsid w:val="00911842"/>
    <w:rsid w:val="009119BB"/>
    <w:rsid w:val="00912870"/>
    <w:rsid w:val="009129BC"/>
    <w:rsid w:val="00913229"/>
    <w:rsid w:val="009135BE"/>
    <w:rsid w:val="00913707"/>
    <w:rsid w:val="00913747"/>
    <w:rsid w:val="00914414"/>
    <w:rsid w:val="00915672"/>
    <w:rsid w:val="00915708"/>
    <w:rsid w:val="00915C7C"/>
    <w:rsid w:val="00915E6A"/>
    <w:rsid w:val="00915FE6"/>
    <w:rsid w:val="009167F3"/>
    <w:rsid w:val="0091736D"/>
    <w:rsid w:val="00917662"/>
    <w:rsid w:val="009176DE"/>
    <w:rsid w:val="009177F6"/>
    <w:rsid w:val="0092016F"/>
    <w:rsid w:val="009202A0"/>
    <w:rsid w:val="009203ED"/>
    <w:rsid w:val="0092078A"/>
    <w:rsid w:val="00921A8F"/>
    <w:rsid w:val="00922442"/>
    <w:rsid w:val="00922AA2"/>
    <w:rsid w:val="00922B40"/>
    <w:rsid w:val="00922E2C"/>
    <w:rsid w:val="009232D4"/>
    <w:rsid w:val="00923B62"/>
    <w:rsid w:val="0092498C"/>
    <w:rsid w:val="00924BB3"/>
    <w:rsid w:val="00924EF7"/>
    <w:rsid w:val="009250CA"/>
    <w:rsid w:val="00927762"/>
    <w:rsid w:val="00927E84"/>
    <w:rsid w:val="0093037A"/>
    <w:rsid w:val="00930919"/>
    <w:rsid w:val="00930DC0"/>
    <w:rsid w:val="00931D4B"/>
    <w:rsid w:val="009320E4"/>
    <w:rsid w:val="009332E3"/>
    <w:rsid w:val="00936C87"/>
    <w:rsid w:val="009371CA"/>
    <w:rsid w:val="009374C3"/>
    <w:rsid w:val="00937DD5"/>
    <w:rsid w:val="00940797"/>
    <w:rsid w:val="009411D4"/>
    <w:rsid w:val="0094154D"/>
    <w:rsid w:val="009426B0"/>
    <w:rsid w:val="00942C20"/>
    <w:rsid w:val="00942E67"/>
    <w:rsid w:val="00945772"/>
    <w:rsid w:val="009457EE"/>
    <w:rsid w:val="00945F18"/>
    <w:rsid w:val="00946294"/>
    <w:rsid w:val="00946623"/>
    <w:rsid w:val="009468C5"/>
    <w:rsid w:val="009468F4"/>
    <w:rsid w:val="00947C03"/>
    <w:rsid w:val="00947FF2"/>
    <w:rsid w:val="009508B9"/>
    <w:rsid w:val="00950AA0"/>
    <w:rsid w:val="0095126D"/>
    <w:rsid w:val="0095155F"/>
    <w:rsid w:val="00952948"/>
    <w:rsid w:val="0095313F"/>
    <w:rsid w:val="009537E8"/>
    <w:rsid w:val="00954429"/>
    <w:rsid w:val="009552C5"/>
    <w:rsid w:val="009563CE"/>
    <w:rsid w:val="00956572"/>
    <w:rsid w:val="0095679E"/>
    <w:rsid w:val="009569DD"/>
    <w:rsid w:val="00956DDD"/>
    <w:rsid w:val="00956E2E"/>
    <w:rsid w:val="009576D2"/>
    <w:rsid w:val="009577F6"/>
    <w:rsid w:val="00957BC7"/>
    <w:rsid w:val="00960107"/>
    <w:rsid w:val="0096051D"/>
    <w:rsid w:val="0096072A"/>
    <w:rsid w:val="00960740"/>
    <w:rsid w:val="00960DB9"/>
    <w:rsid w:val="00961498"/>
    <w:rsid w:val="009621A1"/>
    <w:rsid w:val="009626D9"/>
    <w:rsid w:val="009629A1"/>
    <w:rsid w:val="00963B03"/>
    <w:rsid w:val="00964871"/>
    <w:rsid w:val="00964B49"/>
    <w:rsid w:val="00964BFC"/>
    <w:rsid w:val="009660EA"/>
    <w:rsid w:val="009669B4"/>
    <w:rsid w:val="00967700"/>
    <w:rsid w:val="00967731"/>
    <w:rsid w:val="009677A2"/>
    <w:rsid w:val="00967BEE"/>
    <w:rsid w:val="00971B23"/>
    <w:rsid w:val="009725E4"/>
    <w:rsid w:val="00973813"/>
    <w:rsid w:val="00973ACE"/>
    <w:rsid w:val="00973F59"/>
    <w:rsid w:val="0097417A"/>
    <w:rsid w:val="00974260"/>
    <w:rsid w:val="00975D1F"/>
    <w:rsid w:val="00976328"/>
    <w:rsid w:val="0097680D"/>
    <w:rsid w:val="00976DD9"/>
    <w:rsid w:val="00977229"/>
    <w:rsid w:val="00977353"/>
    <w:rsid w:val="0097745B"/>
    <w:rsid w:val="00980438"/>
    <w:rsid w:val="00980DD0"/>
    <w:rsid w:val="00980DE2"/>
    <w:rsid w:val="00980F33"/>
    <w:rsid w:val="009815B6"/>
    <w:rsid w:val="00982438"/>
    <w:rsid w:val="0098255B"/>
    <w:rsid w:val="009825D3"/>
    <w:rsid w:val="00982871"/>
    <w:rsid w:val="009828EC"/>
    <w:rsid w:val="00982DBC"/>
    <w:rsid w:val="00982F05"/>
    <w:rsid w:val="0098404C"/>
    <w:rsid w:val="00984E8C"/>
    <w:rsid w:val="00985283"/>
    <w:rsid w:val="009858C7"/>
    <w:rsid w:val="00985CDC"/>
    <w:rsid w:val="00985F63"/>
    <w:rsid w:val="00985FEC"/>
    <w:rsid w:val="009870F0"/>
    <w:rsid w:val="009873E4"/>
    <w:rsid w:val="009902FA"/>
    <w:rsid w:val="00990703"/>
    <w:rsid w:val="009909CC"/>
    <w:rsid w:val="00990B52"/>
    <w:rsid w:val="00990DAC"/>
    <w:rsid w:val="009910AA"/>
    <w:rsid w:val="009910B9"/>
    <w:rsid w:val="00991687"/>
    <w:rsid w:val="009927F8"/>
    <w:rsid w:val="00993324"/>
    <w:rsid w:val="00993482"/>
    <w:rsid w:val="00993BFA"/>
    <w:rsid w:val="00993E0D"/>
    <w:rsid w:val="00994240"/>
    <w:rsid w:val="0099549C"/>
    <w:rsid w:val="00995992"/>
    <w:rsid w:val="009963E1"/>
    <w:rsid w:val="0099704E"/>
    <w:rsid w:val="00997989"/>
    <w:rsid w:val="009A03E5"/>
    <w:rsid w:val="009A05C9"/>
    <w:rsid w:val="009A06DF"/>
    <w:rsid w:val="009A0F3B"/>
    <w:rsid w:val="009A0FE8"/>
    <w:rsid w:val="009A1492"/>
    <w:rsid w:val="009A1B4E"/>
    <w:rsid w:val="009A1BB4"/>
    <w:rsid w:val="009A1EA1"/>
    <w:rsid w:val="009A23C4"/>
    <w:rsid w:val="009A2557"/>
    <w:rsid w:val="009A2628"/>
    <w:rsid w:val="009A2D0C"/>
    <w:rsid w:val="009A3200"/>
    <w:rsid w:val="009A33C3"/>
    <w:rsid w:val="009A383C"/>
    <w:rsid w:val="009A3F25"/>
    <w:rsid w:val="009A4347"/>
    <w:rsid w:val="009A478A"/>
    <w:rsid w:val="009A4913"/>
    <w:rsid w:val="009A4C31"/>
    <w:rsid w:val="009A51F7"/>
    <w:rsid w:val="009A5CF7"/>
    <w:rsid w:val="009A60F3"/>
    <w:rsid w:val="009A6A94"/>
    <w:rsid w:val="009A7608"/>
    <w:rsid w:val="009B0897"/>
    <w:rsid w:val="009B157F"/>
    <w:rsid w:val="009B2540"/>
    <w:rsid w:val="009B25CE"/>
    <w:rsid w:val="009B2908"/>
    <w:rsid w:val="009B2A85"/>
    <w:rsid w:val="009B32BE"/>
    <w:rsid w:val="009B345F"/>
    <w:rsid w:val="009B357D"/>
    <w:rsid w:val="009B36BA"/>
    <w:rsid w:val="009B3C41"/>
    <w:rsid w:val="009B49CD"/>
    <w:rsid w:val="009B49DB"/>
    <w:rsid w:val="009B4A01"/>
    <w:rsid w:val="009B6447"/>
    <w:rsid w:val="009B71FE"/>
    <w:rsid w:val="009B7279"/>
    <w:rsid w:val="009B7575"/>
    <w:rsid w:val="009B7BD9"/>
    <w:rsid w:val="009C032A"/>
    <w:rsid w:val="009C04BF"/>
    <w:rsid w:val="009C04FC"/>
    <w:rsid w:val="009C0AC4"/>
    <w:rsid w:val="009C0EC1"/>
    <w:rsid w:val="009C1C1D"/>
    <w:rsid w:val="009C41C7"/>
    <w:rsid w:val="009C50FD"/>
    <w:rsid w:val="009C5121"/>
    <w:rsid w:val="009C53BF"/>
    <w:rsid w:val="009C5649"/>
    <w:rsid w:val="009C5BA6"/>
    <w:rsid w:val="009C5EBB"/>
    <w:rsid w:val="009C604E"/>
    <w:rsid w:val="009C6385"/>
    <w:rsid w:val="009C7247"/>
    <w:rsid w:val="009C7733"/>
    <w:rsid w:val="009C7DD5"/>
    <w:rsid w:val="009D00D8"/>
    <w:rsid w:val="009D0822"/>
    <w:rsid w:val="009D11CB"/>
    <w:rsid w:val="009D191E"/>
    <w:rsid w:val="009D2592"/>
    <w:rsid w:val="009D2777"/>
    <w:rsid w:val="009D2B3E"/>
    <w:rsid w:val="009D3440"/>
    <w:rsid w:val="009D3D73"/>
    <w:rsid w:val="009D3E21"/>
    <w:rsid w:val="009D40A9"/>
    <w:rsid w:val="009D4C00"/>
    <w:rsid w:val="009D5245"/>
    <w:rsid w:val="009D6A80"/>
    <w:rsid w:val="009D6DEA"/>
    <w:rsid w:val="009D7399"/>
    <w:rsid w:val="009E0189"/>
    <w:rsid w:val="009E1139"/>
    <w:rsid w:val="009E227D"/>
    <w:rsid w:val="009E28B1"/>
    <w:rsid w:val="009E2F08"/>
    <w:rsid w:val="009E428C"/>
    <w:rsid w:val="009E5019"/>
    <w:rsid w:val="009E5172"/>
    <w:rsid w:val="009E543F"/>
    <w:rsid w:val="009E6CDA"/>
    <w:rsid w:val="009E760E"/>
    <w:rsid w:val="009E77E4"/>
    <w:rsid w:val="009F0388"/>
    <w:rsid w:val="009F0788"/>
    <w:rsid w:val="009F0A31"/>
    <w:rsid w:val="009F0D1E"/>
    <w:rsid w:val="009F1039"/>
    <w:rsid w:val="009F1435"/>
    <w:rsid w:val="009F14E9"/>
    <w:rsid w:val="009F3C52"/>
    <w:rsid w:val="009F3EE3"/>
    <w:rsid w:val="009F4315"/>
    <w:rsid w:val="009F4C3D"/>
    <w:rsid w:val="009F6887"/>
    <w:rsid w:val="009F6F7A"/>
    <w:rsid w:val="009F7415"/>
    <w:rsid w:val="009F7F13"/>
    <w:rsid w:val="00A0071A"/>
    <w:rsid w:val="00A00872"/>
    <w:rsid w:val="00A01A43"/>
    <w:rsid w:val="00A02C44"/>
    <w:rsid w:val="00A03688"/>
    <w:rsid w:val="00A03709"/>
    <w:rsid w:val="00A04F1B"/>
    <w:rsid w:val="00A0501B"/>
    <w:rsid w:val="00A059BE"/>
    <w:rsid w:val="00A05D44"/>
    <w:rsid w:val="00A0797C"/>
    <w:rsid w:val="00A119BD"/>
    <w:rsid w:val="00A1213A"/>
    <w:rsid w:val="00A125CE"/>
    <w:rsid w:val="00A136A1"/>
    <w:rsid w:val="00A13801"/>
    <w:rsid w:val="00A13EB2"/>
    <w:rsid w:val="00A14308"/>
    <w:rsid w:val="00A14947"/>
    <w:rsid w:val="00A14B88"/>
    <w:rsid w:val="00A1554E"/>
    <w:rsid w:val="00A15BB1"/>
    <w:rsid w:val="00A16685"/>
    <w:rsid w:val="00A16FF9"/>
    <w:rsid w:val="00A17746"/>
    <w:rsid w:val="00A178A0"/>
    <w:rsid w:val="00A209C7"/>
    <w:rsid w:val="00A20A5A"/>
    <w:rsid w:val="00A20B1F"/>
    <w:rsid w:val="00A216DF"/>
    <w:rsid w:val="00A219DF"/>
    <w:rsid w:val="00A226D1"/>
    <w:rsid w:val="00A22F6C"/>
    <w:rsid w:val="00A238DD"/>
    <w:rsid w:val="00A23C38"/>
    <w:rsid w:val="00A24942"/>
    <w:rsid w:val="00A26242"/>
    <w:rsid w:val="00A26322"/>
    <w:rsid w:val="00A26D2E"/>
    <w:rsid w:val="00A277FB"/>
    <w:rsid w:val="00A27C91"/>
    <w:rsid w:val="00A27D36"/>
    <w:rsid w:val="00A27F67"/>
    <w:rsid w:val="00A3034E"/>
    <w:rsid w:val="00A30554"/>
    <w:rsid w:val="00A311EA"/>
    <w:rsid w:val="00A312A2"/>
    <w:rsid w:val="00A32602"/>
    <w:rsid w:val="00A32977"/>
    <w:rsid w:val="00A32A83"/>
    <w:rsid w:val="00A32D49"/>
    <w:rsid w:val="00A32F9D"/>
    <w:rsid w:val="00A33CB5"/>
    <w:rsid w:val="00A34732"/>
    <w:rsid w:val="00A34EAD"/>
    <w:rsid w:val="00A35203"/>
    <w:rsid w:val="00A358C2"/>
    <w:rsid w:val="00A35963"/>
    <w:rsid w:val="00A35F72"/>
    <w:rsid w:val="00A36036"/>
    <w:rsid w:val="00A3628C"/>
    <w:rsid w:val="00A368DB"/>
    <w:rsid w:val="00A368E4"/>
    <w:rsid w:val="00A3704A"/>
    <w:rsid w:val="00A371C4"/>
    <w:rsid w:val="00A371FF"/>
    <w:rsid w:val="00A372E4"/>
    <w:rsid w:val="00A405FD"/>
    <w:rsid w:val="00A4067B"/>
    <w:rsid w:val="00A423AA"/>
    <w:rsid w:val="00A42D9B"/>
    <w:rsid w:val="00A43193"/>
    <w:rsid w:val="00A43DF2"/>
    <w:rsid w:val="00A440D2"/>
    <w:rsid w:val="00A44C06"/>
    <w:rsid w:val="00A4503C"/>
    <w:rsid w:val="00A4519D"/>
    <w:rsid w:val="00A454C9"/>
    <w:rsid w:val="00A4585E"/>
    <w:rsid w:val="00A45A12"/>
    <w:rsid w:val="00A45B2B"/>
    <w:rsid w:val="00A462FA"/>
    <w:rsid w:val="00A46579"/>
    <w:rsid w:val="00A46C01"/>
    <w:rsid w:val="00A4796D"/>
    <w:rsid w:val="00A50161"/>
    <w:rsid w:val="00A508A6"/>
    <w:rsid w:val="00A50ABE"/>
    <w:rsid w:val="00A51576"/>
    <w:rsid w:val="00A5216B"/>
    <w:rsid w:val="00A5254D"/>
    <w:rsid w:val="00A5362B"/>
    <w:rsid w:val="00A537DE"/>
    <w:rsid w:val="00A53EC6"/>
    <w:rsid w:val="00A53FD8"/>
    <w:rsid w:val="00A54263"/>
    <w:rsid w:val="00A548D5"/>
    <w:rsid w:val="00A549C2"/>
    <w:rsid w:val="00A55C0F"/>
    <w:rsid w:val="00A5684B"/>
    <w:rsid w:val="00A56C2A"/>
    <w:rsid w:val="00A56CA6"/>
    <w:rsid w:val="00A5773E"/>
    <w:rsid w:val="00A57823"/>
    <w:rsid w:val="00A578AF"/>
    <w:rsid w:val="00A6032F"/>
    <w:rsid w:val="00A605DC"/>
    <w:rsid w:val="00A608A6"/>
    <w:rsid w:val="00A610DF"/>
    <w:rsid w:val="00A6249F"/>
    <w:rsid w:val="00A62B1D"/>
    <w:rsid w:val="00A62DF6"/>
    <w:rsid w:val="00A62E73"/>
    <w:rsid w:val="00A64986"/>
    <w:rsid w:val="00A65900"/>
    <w:rsid w:val="00A6655B"/>
    <w:rsid w:val="00A67119"/>
    <w:rsid w:val="00A6730B"/>
    <w:rsid w:val="00A67CCA"/>
    <w:rsid w:val="00A70028"/>
    <w:rsid w:val="00A701E0"/>
    <w:rsid w:val="00A7106C"/>
    <w:rsid w:val="00A734B6"/>
    <w:rsid w:val="00A73536"/>
    <w:rsid w:val="00A73B7C"/>
    <w:rsid w:val="00A73E20"/>
    <w:rsid w:val="00A74747"/>
    <w:rsid w:val="00A74A36"/>
    <w:rsid w:val="00A756D2"/>
    <w:rsid w:val="00A75DD1"/>
    <w:rsid w:val="00A76193"/>
    <w:rsid w:val="00A768A9"/>
    <w:rsid w:val="00A77175"/>
    <w:rsid w:val="00A771CD"/>
    <w:rsid w:val="00A806D4"/>
    <w:rsid w:val="00A809E7"/>
    <w:rsid w:val="00A81599"/>
    <w:rsid w:val="00A8173F"/>
    <w:rsid w:val="00A81B2E"/>
    <w:rsid w:val="00A81F36"/>
    <w:rsid w:val="00A823B3"/>
    <w:rsid w:val="00A82BAA"/>
    <w:rsid w:val="00A82BC9"/>
    <w:rsid w:val="00A82E7F"/>
    <w:rsid w:val="00A83424"/>
    <w:rsid w:val="00A83655"/>
    <w:rsid w:val="00A8497E"/>
    <w:rsid w:val="00A85274"/>
    <w:rsid w:val="00A8713F"/>
    <w:rsid w:val="00A87402"/>
    <w:rsid w:val="00A87E53"/>
    <w:rsid w:val="00A90BA1"/>
    <w:rsid w:val="00A90D21"/>
    <w:rsid w:val="00A90E27"/>
    <w:rsid w:val="00A91675"/>
    <w:rsid w:val="00A91F03"/>
    <w:rsid w:val="00A91FDE"/>
    <w:rsid w:val="00A92026"/>
    <w:rsid w:val="00A92543"/>
    <w:rsid w:val="00A9311E"/>
    <w:rsid w:val="00A9399F"/>
    <w:rsid w:val="00A93A9B"/>
    <w:rsid w:val="00A93D61"/>
    <w:rsid w:val="00A94A0A"/>
    <w:rsid w:val="00A96205"/>
    <w:rsid w:val="00A963A9"/>
    <w:rsid w:val="00A966FD"/>
    <w:rsid w:val="00A96A6E"/>
    <w:rsid w:val="00A96D9C"/>
    <w:rsid w:val="00A97727"/>
    <w:rsid w:val="00A978E0"/>
    <w:rsid w:val="00A97A9A"/>
    <w:rsid w:val="00AA0671"/>
    <w:rsid w:val="00AA10ED"/>
    <w:rsid w:val="00AA1289"/>
    <w:rsid w:val="00AA162D"/>
    <w:rsid w:val="00AA1BC6"/>
    <w:rsid w:val="00AA1C1A"/>
    <w:rsid w:val="00AA20C1"/>
    <w:rsid w:val="00AA20EC"/>
    <w:rsid w:val="00AA24EB"/>
    <w:rsid w:val="00AA2531"/>
    <w:rsid w:val="00AA274B"/>
    <w:rsid w:val="00AA27E0"/>
    <w:rsid w:val="00AA2B2A"/>
    <w:rsid w:val="00AA3273"/>
    <w:rsid w:val="00AA3C7D"/>
    <w:rsid w:val="00AA412D"/>
    <w:rsid w:val="00AA4DB0"/>
    <w:rsid w:val="00AA5C8C"/>
    <w:rsid w:val="00AA6A94"/>
    <w:rsid w:val="00AA6D7B"/>
    <w:rsid w:val="00AA7547"/>
    <w:rsid w:val="00AA79CE"/>
    <w:rsid w:val="00AB1382"/>
    <w:rsid w:val="00AB18B2"/>
    <w:rsid w:val="00AB1ABC"/>
    <w:rsid w:val="00AB1E09"/>
    <w:rsid w:val="00AB1F29"/>
    <w:rsid w:val="00AB24C2"/>
    <w:rsid w:val="00AB2AA5"/>
    <w:rsid w:val="00AB3525"/>
    <w:rsid w:val="00AB3FFE"/>
    <w:rsid w:val="00AB4473"/>
    <w:rsid w:val="00AB5330"/>
    <w:rsid w:val="00AB61D5"/>
    <w:rsid w:val="00AB6A23"/>
    <w:rsid w:val="00AB7747"/>
    <w:rsid w:val="00AC0679"/>
    <w:rsid w:val="00AC0A38"/>
    <w:rsid w:val="00AC12E0"/>
    <w:rsid w:val="00AC1350"/>
    <w:rsid w:val="00AC14CE"/>
    <w:rsid w:val="00AC1501"/>
    <w:rsid w:val="00AC1B60"/>
    <w:rsid w:val="00AC21A1"/>
    <w:rsid w:val="00AC2A16"/>
    <w:rsid w:val="00AC2A56"/>
    <w:rsid w:val="00AC2C7F"/>
    <w:rsid w:val="00AC2E4D"/>
    <w:rsid w:val="00AC3ACF"/>
    <w:rsid w:val="00AC4066"/>
    <w:rsid w:val="00AC4188"/>
    <w:rsid w:val="00AC4BB6"/>
    <w:rsid w:val="00AC4DA2"/>
    <w:rsid w:val="00AC504A"/>
    <w:rsid w:val="00AC5170"/>
    <w:rsid w:val="00AC5FA3"/>
    <w:rsid w:val="00AC639E"/>
    <w:rsid w:val="00AC67FE"/>
    <w:rsid w:val="00AC72AA"/>
    <w:rsid w:val="00AC7665"/>
    <w:rsid w:val="00AD055E"/>
    <w:rsid w:val="00AD0CA3"/>
    <w:rsid w:val="00AD1556"/>
    <w:rsid w:val="00AD1D64"/>
    <w:rsid w:val="00AD220E"/>
    <w:rsid w:val="00AD26F8"/>
    <w:rsid w:val="00AD2EF4"/>
    <w:rsid w:val="00AD3786"/>
    <w:rsid w:val="00AD47A7"/>
    <w:rsid w:val="00AD4CE3"/>
    <w:rsid w:val="00AD5402"/>
    <w:rsid w:val="00AD633B"/>
    <w:rsid w:val="00AD665B"/>
    <w:rsid w:val="00AD68B7"/>
    <w:rsid w:val="00AD6EC4"/>
    <w:rsid w:val="00AD7C08"/>
    <w:rsid w:val="00AE137F"/>
    <w:rsid w:val="00AE1584"/>
    <w:rsid w:val="00AE15F9"/>
    <w:rsid w:val="00AE2BC1"/>
    <w:rsid w:val="00AE2F87"/>
    <w:rsid w:val="00AE3242"/>
    <w:rsid w:val="00AE45FC"/>
    <w:rsid w:val="00AE546F"/>
    <w:rsid w:val="00AE694D"/>
    <w:rsid w:val="00AE6988"/>
    <w:rsid w:val="00AE6A85"/>
    <w:rsid w:val="00AE7111"/>
    <w:rsid w:val="00AE733D"/>
    <w:rsid w:val="00AE76D7"/>
    <w:rsid w:val="00AE7BDE"/>
    <w:rsid w:val="00AE7C21"/>
    <w:rsid w:val="00AF09A9"/>
    <w:rsid w:val="00AF0CBF"/>
    <w:rsid w:val="00AF11C8"/>
    <w:rsid w:val="00AF1BA7"/>
    <w:rsid w:val="00AF1F64"/>
    <w:rsid w:val="00AF23C1"/>
    <w:rsid w:val="00AF23FE"/>
    <w:rsid w:val="00AF257F"/>
    <w:rsid w:val="00AF2FB7"/>
    <w:rsid w:val="00AF33CF"/>
    <w:rsid w:val="00AF3448"/>
    <w:rsid w:val="00AF3C4D"/>
    <w:rsid w:val="00AF434B"/>
    <w:rsid w:val="00AF46AC"/>
    <w:rsid w:val="00AF4D50"/>
    <w:rsid w:val="00AF5309"/>
    <w:rsid w:val="00AF5FDC"/>
    <w:rsid w:val="00AF6179"/>
    <w:rsid w:val="00AF6F9E"/>
    <w:rsid w:val="00B002B3"/>
    <w:rsid w:val="00B0088A"/>
    <w:rsid w:val="00B00971"/>
    <w:rsid w:val="00B00996"/>
    <w:rsid w:val="00B02971"/>
    <w:rsid w:val="00B03357"/>
    <w:rsid w:val="00B037AE"/>
    <w:rsid w:val="00B038EA"/>
    <w:rsid w:val="00B03921"/>
    <w:rsid w:val="00B044D2"/>
    <w:rsid w:val="00B0599C"/>
    <w:rsid w:val="00B06627"/>
    <w:rsid w:val="00B06641"/>
    <w:rsid w:val="00B0664A"/>
    <w:rsid w:val="00B06CC8"/>
    <w:rsid w:val="00B07E13"/>
    <w:rsid w:val="00B1055A"/>
    <w:rsid w:val="00B11174"/>
    <w:rsid w:val="00B11176"/>
    <w:rsid w:val="00B11837"/>
    <w:rsid w:val="00B122FD"/>
    <w:rsid w:val="00B12800"/>
    <w:rsid w:val="00B1295A"/>
    <w:rsid w:val="00B12B66"/>
    <w:rsid w:val="00B13276"/>
    <w:rsid w:val="00B136E0"/>
    <w:rsid w:val="00B1370B"/>
    <w:rsid w:val="00B13B3F"/>
    <w:rsid w:val="00B155AD"/>
    <w:rsid w:val="00B16627"/>
    <w:rsid w:val="00B1738B"/>
    <w:rsid w:val="00B1773B"/>
    <w:rsid w:val="00B17A26"/>
    <w:rsid w:val="00B20A45"/>
    <w:rsid w:val="00B2100E"/>
    <w:rsid w:val="00B216BE"/>
    <w:rsid w:val="00B22C5C"/>
    <w:rsid w:val="00B2316E"/>
    <w:rsid w:val="00B232A1"/>
    <w:rsid w:val="00B23F9C"/>
    <w:rsid w:val="00B24F30"/>
    <w:rsid w:val="00B25695"/>
    <w:rsid w:val="00B256DA"/>
    <w:rsid w:val="00B2576A"/>
    <w:rsid w:val="00B25F9E"/>
    <w:rsid w:val="00B26C88"/>
    <w:rsid w:val="00B27DB0"/>
    <w:rsid w:val="00B30A43"/>
    <w:rsid w:val="00B30CC8"/>
    <w:rsid w:val="00B31930"/>
    <w:rsid w:val="00B31ABF"/>
    <w:rsid w:val="00B324BE"/>
    <w:rsid w:val="00B3282C"/>
    <w:rsid w:val="00B32C47"/>
    <w:rsid w:val="00B32EA9"/>
    <w:rsid w:val="00B33602"/>
    <w:rsid w:val="00B336E0"/>
    <w:rsid w:val="00B33BE3"/>
    <w:rsid w:val="00B3463A"/>
    <w:rsid w:val="00B354C4"/>
    <w:rsid w:val="00B35760"/>
    <w:rsid w:val="00B3586D"/>
    <w:rsid w:val="00B3595F"/>
    <w:rsid w:val="00B3603C"/>
    <w:rsid w:val="00B36567"/>
    <w:rsid w:val="00B369CD"/>
    <w:rsid w:val="00B36F43"/>
    <w:rsid w:val="00B373D6"/>
    <w:rsid w:val="00B37AF4"/>
    <w:rsid w:val="00B40136"/>
    <w:rsid w:val="00B4073A"/>
    <w:rsid w:val="00B41438"/>
    <w:rsid w:val="00B415B2"/>
    <w:rsid w:val="00B41955"/>
    <w:rsid w:val="00B4279D"/>
    <w:rsid w:val="00B43209"/>
    <w:rsid w:val="00B43F0A"/>
    <w:rsid w:val="00B44253"/>
    <w:rsid w:val="00B44710"/>
    <w:rsid w:val="00B449AA"/>
    <w:rsid w:val="00B44CB8"/>
    <w:rsid w:val="00B44F87"/>
    <w:rsid w:val="00B461C6"/>
    <w:rsid w:val="00B46C71"/>
    <w:rsid w:val="00B4759A"/>
    <w:rsid w:val="00B50C6C"/>
    <w:rsid w:val="00B51AF0"/>
    <w:rsid w:val="00B52690"/>
    <w:rsid w:val="00B528A5"/>
    <w:rsid w:val="00B53B5D"/>
    <w:rsid w:val="00B5400D"/>
    <w:rsid w:val="00B54096"/>
    <w:rsid w:val="00B54457"/>
    <w:rsid w:val="00B54A67"/>
    <w:rsid w:val="00B555FA"/>
    <w:rsid w:val="00B556FA"/>
    <w:rsid w:val="00B55AB8"/>
    <w:rsid w:val="00B560BD"/>
    <w:rsid w:val="00B561B5"/>
    <w:rsid w:val="00B5682C"/>
    <w:rsid w:val="00B570C7"/>
    <w:rsid w:val="00B60338"/>
    <w:rsid w:val="00B603B2"/>
    <w:rsid w:val="00B6055E"/>
    <w:rsid w:val="00B61336"/>
    <w:rsid w:val="00B619C6"/>
    <w:rsid w:val="00B62192"/>
    <w:rsid w:val="00B623D7"/>
    <w:rsid w:val="00B6317D"/>
    <w:rsid w:val="00B6320F"/>
    <w:rsid w:val="00B63854"/>
    <w:rsid w:val="00B6437F"/>
    <w:rsid w:val="00B64D9F"/>
    <w:rsid w:val="00B6507B"/>
    <w:rsid w:val="00B6525C"/>
    <w:rsid w:val="00B65651"/>
    <w:rsid w:val="00B66C6D"/>
    <w:rsid w:val="00B66F25"/>
    <w:rsid w:val="00B670AA"/>
    <w:rsid w:val="00B67FF4"/>
    <w:rsid w:val="00B7242A"/>
    <w:rsid w:val="00B72CF7"/>
    <w:rsid w:val="00B72DBA"/>
    <w:rsid w:val="00B739D9"/>
    <w:rsid w:val="00B742C2"/>
    <w:rsid w:val="00B7481E"/>
    <w:rsid w:val="00B74925"/>
    <w:rsid w:val="00B755F4"/>
    <w:rsid w:val="00B7578D"/>
    <w:rsid w:val="00B76D75"/>
    <w:rsid w:val="00B7723F"/>
    <w:rsid w:val="00B7754B"/>
    <w:rsid w:val="00B80534"/>
    <w:rsid w:val="00B8092E"/>
    <w:rsid w:val="00B80DD1"/>
    <w:rsid w:val="00B80F53"/>
    <w:rsid w:val="00B81589"/>
    <w:rsid w:val="00B81D98"/>
    <w:rsid w:val="00B8201C"/>
    <w:rsid w:val="00B82026"/>
    <w:rsid w:val="00B83053"/>
    <w:rsid w:val="00B83070"/>
    <w:rsid w:val="00B83312"/>
    <w:rsid w:val="00B8351C"/>
    <w:rsid w:val="00B837C7"/>
    <w:rsid w:val="00B83B06"/>
    <w:rsid w:val="00B8433C"/>
    <w:rsid w:val="00B844FE"/>
    <w:rsid w:val="00B8456C"/>
    <w:rsid w:val="00B84B61"/>
    <w:rsid w:val="00B85087"/>
    <w:rsid w:val="00B85860"/>
    <w:rsid w:val="00B85FDE"/>
    <w:rsid w:val="00B861B4"/>
    <w:rsid w:val="00B864FF"/>
    <w:rsid w:val="00B86771"/>
    <w:rsid w:val="00B86AC1"/>
    <w:rsid w:val="00B86B8E"/>
    <w:rsid w:val="00B86DD0"/>
    <w:rsid w:val="00B87319"/>
    <w:rsid w:val="00B87491"/>
    <w:rsid w:val="00B8749E"/>
    <w:rsid w:val="00B87E8F"/>
    <w:rsid w:val="00B9032B"/>
    <w:rsid w:val="00B90A3D"/>
    <w:rsid w:val="00B90D82"/>
    <w:rsid w:val="00B91232"/>
    <w:rsid w:val="00B912D8"/>
    <w:rsid w:val="00B91484"/>
    <w:rsid w:val="00B9173F"/>
    <w:rsid w:val="00B91C12"/>
    <w:rsid w:val="00B92A3A"/>
    <w:rsid w:val="00B92D52"/>
    <w:rsid w:val="00B933C2"/>
    <w:rsid w:val="00B938B0"/>
    <w:rsid w:val="00B93D53"/>
    <w:rsid w:val="00B94615"/>
    <w:rsid w:val="00B94D59"/>
    <w:rsid w:val="00BA0C47"/>
    <w:rsid w:val="00BA1A6C"/>
    <w:rsid w:val="00BA29E9"/>
    <w:rsid w:val="00BA38EB"/>
    <w:rsid w:val="00BA4EFF"/>
    <w:rsid w:val="00BA52DC"/>
    <w:rsid w:val="00BA58F2"/>
    <w:rsid w:val="00BA5C50"/>
    <w:rsid w:val="00BA5E0E"/>
    <w:rsid w:val="00BA67EE"/>
    <w:rsid w:val="00BA6A0D"/>
    <w:rsid w:val="00BA7142"/>
    <w:rsid w:val="00BA7EAB"/>
    <w:rsid w:val="00BB055E"/>
    <w:rsid w:val="00BB15AC"/>
    <w:rsid w:val="00BB16F5"/>
    <w:rsid w:val="00BB19B7"/>
    <w:rsid w:val="00BB237C"/>
    <w:rsid w:val="00BB2B2A"/>
    <w:rsid w:val="00BB335C"/>
    <w:rsid w:val="00BB397D"/>
    <w:rsid w:val="00BB41A3"/>
    <w:rsid w:val="00BB41CC"/>
    <w:rsid w:val="00BB4831"/>
    <w:rsid w:val="00BB4DA4"/>
    <w:rsid w:val="00BB4E60"/>
    <w:rsid w:val="00BB5F08"/>
    <w:rsid w:val="00BB6237"/>
    <w:rsid w:val="00BB641E"/>
    <w:rsid w:val="00BB74E0"/>
    <w:rsid w:val="00BB7853"/>
    <w:rsid w:val="00BB7A90"/>
    <w:rsid w:val="00BB7C28"/>
    <w:rsid w:val="00BB7F98"/>
    <w:rsid w:val="00BC043A"/>
    <w:rsid w:val="00BC0656"/>
    <w:rsid w:val="00BC0BB1"/>
    <w:rsid w:val="00BC0E32"/>
    <w:rsid w:val="00BC13F7"/>
    <w:rsid w:val="00BC1FC0"/>
    <w:rsid w:val="00BC26C6"/>
    <w:rsid w:val="00BC32DC"/>
    <w:rsid w:val="00BC3420"/>
    <w:rsid w:val="00BC35B6"/>
    <w:rsid w:val="00BC5BB0"/>
    <w:rsid w:val="00BC5C79"/>
    <w:rsid w:val="00BC7312"/>
    <w:rsid w:val="00BC7316"/>
    <w:rsid w:val="00BD0F8B"/>
    <w:rsid w:val="00BD1240"/>
    <w:rsid w:val="00BD1B51"/>
    <w:rsid w:val="00BD2426"/>
    <w:rsid w:val="00BD26C5"/>
    <w:rsid w:val="00BD4596"/>
    <w:rsid w:val="00BD5873"/>
    <w:rsid w:val="00BD5BAB"/>
    <w:rsid w:val="00BD68A6"/>
    <w:rsid w:val="00BD6CE5"/>
    <w:rsid w:val="00BD7081"/>
    <w:rsid w:val="00BD7DFB"/>
    <w:rsid w:val="00BD7F97"/>
    <w:rsid w:val="00BE1405"/>
    <w:rsid w:val="00BE1557"/>
    <w:rsid w:val="00BE2461"/>
    <w:rsid w:val="00BE2A6D"/>
    <w:rsid w:val="00BE2F38"/>
    <w:rsid w:val="00BE2F46"/>
    <w:rsid w:val="00BE312D"/>
    <w:rsid w:val="00BE3C63"/>
    <w:rsid w:val="00BE3CBB"/>
    <w:rsid w:val="00BE557F"/>
    <w:rsid w:val="00BE58A9"/>
    <w:rsid w:val="00BE66E6"/>
    <w:rsid w:val="00BE66F1"/>
    <w:rsid w:val="00BE6CED"/>
    <w:rsid w:val="00BE6EFC"/>
    <w:rsid w:val="00BE7FF9"/>
    <w:rsid w:val="00BF004E"/>
    <w:rsid w:val="00BF047E"/>
    <w:rsid w:val="00BF0721"/>
    <w:rsid w:val="00BF0815"/>
    <w:rsid w:val="00BF1C20"/>
    <w:rsid w:val="00BF26EE"/>
    <w:rsid w:val="00BF2CA2"/>
    <w:rsid w:val="00BF2E5A"/>
    <w:rsid w:val="00BF53FA"/>
    <w:rsid w:val="00BF65C4"/>
    <w:rsid w:val="00BF6ED8"/>
    <w:rsid w:val="00BF7062"/>
    <w:rsid w:val="00C000A5"/>
    <w:rsid w:val="00C0086F"/>
    <w:rsid w:val="00C0099C"/>
    <w:rsid w:val="00C020C9"/>
    <w:rsid w:val="00C02BED"/>
    <w:rsid w:val="00C030CD"/>
    <w:rsid w:val="00C043E8"/>
    <w:rsid w:val="00C048E1"/>
    <w:rsid w:val="00C054C5"/>
    <w:rsid w:val="00C05BB6"/>
    <w:rsid w:val="00C05BDA"/>
    <w:rsid w:val="00C06D63"/>
    <w:rsid w:val="00C07A05"/>
    <w:rsid w:val="00C07E90"/>
    <w:rsid w:val="00C10337"/>
    <w:rsid w:val="00C10578"/>
    <w:rsid w:val="00C106A6"/>
    <w:rsid w:val="00C10CC0"/>
    <w:rsid w:val="00C11738"/>
    <w:rsid w:val="00C11F1B"/>
    <w:rsid w:val="00C12129"/>
    <w:rsid w:val="00C12464"/>
    <w:rsid w:val="00C12EE1"/>
    <w:rsid w:val="00C1336F"/>
    <w:rsid w:val="00C135BC"/>
    <w:rsid w:val="00C13EDC"/>
    <w:rsid w:val="00C14FFA"/>
    <w:rsid w:val="00C1525F"/>
    <w:rsid w:val="00C15C95"/>
    <w:rsid w:val="00C161E9"/>
    <w:rsid w:val="00C16688"/>
    <w:rsid w:val="00C16E61"/>
    <w:rsid w:val="00C17121"/>
    <w:rsid w:val="00C1773B"/>
    <w:rsid w:val="00C20A0B"/>
    <w:rsid w:val="00C20A4C"/>
    <w:rsid w:val="00C20E04"/>
    <w:rsid w:val="00C22039"/>
    <w:rsid w:val="00C224FD"/>
    <w:rsid w:val="00C22D78"/>
    <w:rsid w:val="00C23286"/>
    <w:rsid w:val="00C2412C"/>
    <w:rsid w:val="00C245BF"/>
    <w:rsid w:val="00C2596A"/>
    <w:rsid w:val="00C25FB1"/>
    <w:rsid w:val="00C2603B"/>
    <w:rsid w:val="00C261A1"/>
    <w:rsid w:val="00C262A4"/>
    <w:rsid w:val="00C26809"/>
    <w:rsid w:val="00C27537"/>
    <w:rsid w:val="00C30DA8"/>
    <w:rsid w:val="00C31160"/>
    <w:rsid w:val="00C32101"/>
    <w:rsid w:val="00C328FE"/>
    <w:rsid w:val="00C32EFD"/>
    <w:rsid w:val="00C33507"/>
    <w:rsid w:val="00C338DF"/>
    <w:rsid w:val="00C33D5A"/>
    <w:rsid w:val="00C34188"/>
    <w:rsid w:val="00C34F4B"/>
    <w:rsid w:val="00C357BD"/>
    <w:rsid w:val="00C3580C"/>
    <w:rsid w:val="00C366F0"/>
    <w:rsid w:val="00C36D0B"/>
    <w:rsid w:val="00C37485"/>
    <w:rsid w:val="00C40142"/>
    <w:rsid w:val="00C41202"/>
    <w:rsid w:val="00C412D1"/>
    <w:rsid w:val="00C41E12"/>
    <w:rsid w:val="00C41E83"/>
    <w:rsid w:val="00C423FD"/>
    <w:rsid w:val="00C4349A"/>
    <w:rsid w:val="00C4369C"/>
    <w:rsid w:val="00C436B7"/>
    <w:rsid w:val="00C4409D"/>
    <w:rsid w:val="00C44588"/>
    <w:rsid w:val="00C44E5F"/>
    <w:rsid w:val="00C44E72"/>
    <w:rsid w:val="00C44F86"/>
    <w:rsid w:val="00C45338"/>
    <w:rsid w:val="00C45A06"/>
    <w:rsid w:val="00C45F73"/>
    <w:rsid w:val="00C470BD"/>
    <w:rsid w:val="00C47152"/>
    <w:rsid w:val="00C47E5B"/>
    <w:rsid w:val="00C50A7A"/>
    <w:rsid w:val="00C50E60"/>
    <w:rsid w:val="00C513E2"/>
    <w:rsid w:val="00C51714"/>
    <w:rsid w:val="00C5195E"/>
    <w:rsid w:val="00C5256D"/>
    <w:rsid w:val="00C52B93"/>
    <w:rsid w:val="00C52BBB"/>
    <w:rsid w:val="00C52D51"/>
    <w:rsid w:val="00C532D6"/>
    <w:rsid w:val="00C53B11"/>
    <w:rsid w:val="00C53D1A"/>
    <w:rsid w:val="00C54321"/>
    <w:rsid w:val="00C54891"/>
    <w:rsid w:val="00C564FD"/>
    <w:rsid w:val="00C56740"/>
    <w:rsid w:val="00C5709E"/>
    <w:rsid w:val="00C57319"/>
    <w:rsid w:val="00C575D9"/>
    <w:rsid w:val="00C57B7B"/>
    <w:rsid w:val="00C60B82"/>
    <w:rsid w:val="00C61989"/>
    <w:rsid w:val="00C61E4B"/>
    <w:rsid w:val="00C62239"/>
    <w:rsid w:val="00C623BF"/>
    <w:rsid w:val="00C641EB"/>
    <w:rsid w:val="00C6468D"/>
    <w:rsid w:val="00C64BFF"/>
    <w:rsid w:val="00C65627"/>
    <w:rsid w:val="00C65693"/>
    <w:rsid w:val="00C65B61"/>
    <w:rsid w:val="00C66B62"/>
    <w:rsid w:val="00C66BA9"/>
    <w:rsid w:val="00C66CA8"/>
    <w:rsid w:val="00C67BBA"/>
    <w:rsid w:val="00C67BDE"/>
    <w:rsid w:val="00C704E9"/>
    <w:rsid w:val="00C7067D"/>
    <w:rsid w:val="00C709E1"/>
    <w:rsid w:val="00C70BEB"/>
    <w:rsid w:val="00C71086"/>
    <w:rsid w:val="00C71090"/>
    <w:rsid w:val="00C7112D"/>
    <w:rsid w:val="00C720E0"/>
    <w:rsid w:val="00C721D7"/>
    <w:rsid w:val="00C72857"/>
    <w:rsid w:val="00C72C0E"/>
    <w:rsid w:val="00C72E5A"/>
    <w:rsid w:val="00C72FD7"/>
    <w:rsid w:val="00C737CF"/>
    <w:rsid w:val="00C74CAF"/>
    <w:rsid w:val="00C757A6"/>
    <w:rsid w:val="00C75874"/>
    <w:rsid w:val="00C75EC5"/>
    <w:rsid w:val="00C763C9"/>
    <w:rsid w:val="00C76731"/>
    <w:rsid w:val="00C76959"/>
    <w:rsid w:val="00C80057"/>
    <w:rsid w:val="00C81213"/>
    <w:rsid w:val="00C8163C"/>
    <w:rsid w:val="00C81DA1"/>
    <w:rsid w:val="00C82232"/>
    <w:rsid w:val="00C82913"/>
    <w:rsid w:val="00C829C3"/>
    <w:rsid w:val="00C83602"/>
    <w:rsid w:val="00C8379D"/>
    <w:rsid w:val="00C83E96"/>
    <w:rsid w:val="00C84D9B"/>
    <w:rsid w:val="00C859E5"/>
    <w:rsid w:val="00C85CE1"/>
    <w:rsid w:val="00C85F61"/>
    <w:rsid w:val="00C8641B"/>
    <w:rsid w:val="00C8644C"/>
    <w:rsid w:val="00C86FF7"/>
    <w:rsid w:val="00C87363"/>
    <w:rsid w:val="00C87478"/>
    <w:rsid w:val="00C90119"/>
    <w:rsid w:val="00C90594"/>
    <w:rsid w:val="00C9173B"/>
    <w:rsid w:val="00C927DA"/>
    <w:rsid w:val="00C92A64"/>
    <w:rsid w:val="00C92C38"/>
    <w:rsid w:val="00C93B6B"/>
    <w:rsid w:val="00C9481A"/>
    <w:rsid w:val="00C94C48"/>
    <w:rsid w:val="00C966F4"/>
    <w:rsid w:val="00C96994"/>
    <w:rsid w:val="00C972B1"/>
    <w:rsid w:val="00C97EB8"/>
    <w:rsid w:val="00CA05BB"/>
    <w:rsid w:val="00CA0E06"/>
    <w:rsid w:val="00CA2377"/>
    <w:rsid w:val="00CA2CCE"/>
    <w:rsid w:val="00CA2F74"/>
    <w:rsid w:val="00CA371A"/>
    <w:rsid w:val="00CA383B"/>
    <w:rsid w:val="00CA43FD"/>
    <w:rsid w:val="00CA4F62"/>
    <w:rsid w:val="00CA517B"/>
    <w:rsid w:val="00CA5509"/>
    <w:rsid w:val="00CA6227"/>
    <w:rsid w:val="00CA6BC4"/>
    <w:rsid w:val="00CA782E"/>
    <w:rsid w:val="00CA7EF8"/>
    <w:rsid w:val="00CB0079"/>
    <w:rsid w:val="00CB17C9"/>
    <w:rsid w:val="00CB2571"/>
    <w:rsid w:val="00CB26C3"/>
    <w:rsid w:val="00CB298A"/>
    <w:rsid w:val="00CB3189"/>
    <w:rsid w:val="00CB36FC"/>
    <w:rsid w:val="00CB379C"/>
    <w:rsid w:val="00CB3DBC"/>
    <w:rsid w:val="00CB4055"/>
    <w:rsid w:val="00CB457F"/>
    <w:rsid w:val="00CB486B"/>
    <w:rsid w:val="00CB4A67"/>
    <w:rsid w:val="00CB4B7B"/>
    <w:rsid w:val="00CB5430"/>
    <w:rsid w:val="00CB622C"/>
    <w:rsid w:val="00CB65F7"/>
    <w:rsid w:val="00CB688B"/>
    <w:rsid w:val="00CB699F"/>
    <w:rsid w:val="00CB6EEF"/>
    <w:rsid w:val="00CB7079"/>
    <w:rsid w:val="00CC02F5"/>
    <w:rsid w:val="00CC0372"/>
    <w:rsid w:val="00CC13A3"/>
    <w:rsid w:val="00CC2121"/>
    <w:rsid w:val="00CC35A3"/>
    <w:rsid w:val="00CC426C"/>
    <w:rsid w:val="00CC461E"/>
    <w:rsid w:val="00CC489B"/>
    <w:rsid w:val="00CC5E46"/>
    <w:rsid w:val="00CC679D"/>
    <w:rsid w:val="00CC6F18"/>
    <w:rsid w:val="00CD1000"/>
    <w:rsid w:val="00CD103C"/>
    <w:rsid w:val="00CD1094"/>
    <w:rsid w:val="00CD121F"/>
    <w:rsid w:val="00CD1C89"/>
    <w:rsid w:val="00CD2BC5"/>
    <w:rsid w:val="00CD2BCD"/>
    <w:rsid w:val="00CD3179"/>
    <w:rsid w:val="00CD3613"/>
    <w:rsid w:val="00CD37AD"/>
    <w:rsid w:val="00CD3A4C"/>
    <w:rsid w:val="00CD3C00"/>
    <w:rsid w:val="00CD3D7B"/>
    <w:rsid w:val="00CD4158"/>
    <w:rsid w:val="00CD4395"/>
    <w:rsid w:val="00CD4818"/>
    <w:rsid w:val="00CD4B37"/>
    <w:rsid w:val="00CD4BD1"/>
    <w:rsid w:val="00CD4DB0"/>
    <w:rsid w:val="00CD4DEA"/>
    <w:rsid w:val="00CD5B91"/>
    <w:rsid w:val="00CD6C1B"/>
    <w:rsid w:val="00CD7325"/>
    <w:rsid w:val="00CE02D4"/>
    <w:rsid w:val="00CE0478"/>
    <w:rsid w:val="00CE10E9"/>
    <w:rsid w:val="00CE2910"/>
    <w:rsid w:val="00CE2A1F"/>
    <w:rsid w:val="00CE3383"/>
    <w:rsid w:val="00CE34E9"/>
    <w:rsid w:val="00CE3C81"/>
    <w:rsid w:val="00CE4E15"/>
    <w:rsid w:val="00CE5393"/>
    <w:rsid w:val="00CE5ADF"/>
    <w:rsid w:val="00CE628C"/>
    <w:rsid w:val="00CE686D"/>
    <w:rsid w:val="00CE6ADF"/>
    <w:rsid w:val="00CE742D"/>
    <w:rsid w:val="00CE7CFD"/>
    <w:rsid w:val="00CE7D3E"/>
    <w:rsid w:val="00CE7DB1"/>
    <w:rsid w:val="00CF03AD"/>
    <w:rsid w:val="00CF0784"/>
    <w:rsid w:val="00CF15AB"/>
    <w:rsid w:val="00CF1A65"/>
    <w:rsid w:val="00CF1AD6"/>
    <w:rsid w:val="00CF23CB"/>
    <w:rsid w:val="00CF28D4"/>
    <w:rsid w:val="00CF28DD"/>
    <w:rsid w:val="00CF29C1"/>
    <w:rsid w:val="00CF30EF"/>
    <w:rsid w:val="00CF3194"/>
    <w:rsid w:val="00CF36BE"/>
    <w:rsid w:val="00CF38EA"/>
    <w:rsid w:val="00CF397D"/>
    <w:rsid w:val="00CF3A15"/>
    <w:rsid w:val="00CF4031"/>
    <w:rsid w:val="00CF44CF"/>
    <w:rsid w:val="00CF4DB1"/>
    <w:rsid w:val="00CF52D4"/>
    <w:rsid w:val="00CF59FB"/>
    <w:rsid w:val="00CF6000"/>
    <w:rsid w:val="00CF62B2"/>
    <w:rsid w:val="00CF6860"/>
    <w:rsid w:val="00CF75FD"/>
    <w:rsid w:val="00CF7601"/>
    <w:rsid w:val="00CF7F16"/>
    <w:rsid w:val="00D003F3"/>
    <w:rsid w:val="00D00565"/>
    <w:rsid w:val="00D00721"/>
    <w:rsid w:val="00D01A99"/>
    <w:rsid w:val="00D01B32"/>
    <w:rsid w:val="00D02027"/>
    <w:rsid w:val="00D023A1"/>
    <w:rsid w:val="00D0242E"/>
    <w:rsid w:val="00D02522"/>
    <w:rsid w:val="00D02C09"/>
    <w:rsid w:val="00D0352E"/>
    <w:rsid w:val="00D0364F"/>
    <w:rsid w:val="00D03805"/>
    <w:rsid w:val="00D0381F"/>
    <w:rsid w:val="00D03AB0"/>
    <w:rsid w:val="00D0536F"/>
    <w:rsid w:val="00D06615"/>
    <w:rsid w:val="00D06834"/>
    <w:rsid w:val="00D07EF4"/>
    <w:rsid w:val="00D107BD"/>
    <w:rsid w:val="00D12029"/>
    <w:rsid w:val="00D12108"/>
    <w:rsid w:val="00D135A2"/>
    <w:rsid w:val="00D14E67"/>
    <w:rsid w:val="00D1550F"/>
    <w:rsid w:val="00D1644B"/>
    <w:rsid w:val="00D1757D"/>
    <w:rsid w:val="00D1759D"/>
    <w:rsid w:val="00D17E0D"/>
    <w:rsid w:val="00D20292"/>
    <w:rsid w:val="00D2167F"/>
    <w:rsid w:val="00D22185"/>
    <w:rsid w:val="00D223B8"/>
    <w:rsid w:val="00D229C5"/>
    <w:rsid w:val="00D22B35"/>
    <w:rsid w:val="00D2302B"/>
    <w:rsid w:val="00D2358E"/>
    <w:rsid w:val="00D23D5C"/>
    <w:rsid w:val="00D24BBE"/>
    <w:rsid w:val="00D2660F"/>
    <w:rsid w:val="00D268BA"/>
    <w:rsid w:val="00D27960"/>
    <w:rsid w:val="00D27C4B"/>
    <w:rsid w:val="00D27FDB"/>
    <w:rsid w:val="00D3068F"/>
    <w:rsid w:val="00D308ED"/>
    <w:rsid w:val="00D30B4B"/>
    <w:rsid w:val="00D30E1F"/>
    <w:rsid w:val="00D31445"/>
    <w:rsid w:val="00D31532"/>
    <w:rsid w:val="00D31752"/>
    <w:rsid w:val="00D32729"/>
    <w:rsid w:val="00D32D2F"/>
    <w:rsid w:val="00D32D4C"/>
    <w:rsid w:val="00D3384F"/>
    <w:rsid w:val="00D3433D"/>
    <w:rsid w:val="00D35502"/>
    <w:rsid w:val="00D357AA"/>
    <w:rsid w:val="00D35E7E"/>
    <w:rsid w:val="00D36D86"/>
    <w:rsid w:val="00D36F9A"/>
    <w:rsid w:val="00D407B8"/>
    <w:rsid w:val="00D40C57"/>
    <w:rsid w:val="00D41B00"/>
    <w:rsid w:val="00D41D42"/>
    <w:rsid w:val="00D41EF5"/>
    <w:rsid w:val="00D42620"/>
    <w:rsid w:val="00D428AA"/>
    <w:rsid w:val="00D4300E"/>
    <w:rsid w:val="00D4334C"/>
    <w:rsid w:val="00D43796"/>
    <w:rsid w:val="00D43BAB"/>
    <w:rsid w:val="00D44385"/>
    <w:rsid w:val="00D4510D"/>
    <w:rsid w:val="00D4574F"/>
    <w:rsid w:val="00D45B68"/>
    <w:rsid w:val="00D45DF4"/>
    <w:rsid w:val="00D46D88"/>
    <w:rsid w:val="00D475B2"/>
    <w:rsid w:val="00D475D2"/>
    <w:rsid w:val="00D47617"/>
    <w:rsid w:val="00D47B0E"/>
    <w:rsid w:val="00D47E70"/>
    <w:rsid w:val="00D50A34"/>
    <w:rsid w:val="00D50EF1"/>
    <w:rsid w:val="00D527A8"/>
    <w:rsid w:val="00D5341D"/>
    <w:rsid w:val="00D53EFA"/>
    <w:rsid w:val="00D55401"/>
    <w:rsid w:val="00D554B9"/>
    <w:rsid w:val="00D56608"/>
    <w:rsid w:val="00D576F0"/>
    <w:rsid w:val="00D578B8"/>
    <w:rsid w:val="00D57C1F"/>
    <w:rsid w:val="00D61651"/>
    <w:rsid w:val="00D61A96"/>
    <w:rsid w:val="00D620B4"/>
    <w:rsid w:val="00D6242A"/>
    <w:rsid w:val="00D634CD"/>
    <w:rsid w:val="00D6366E"/>
    <w:rsid w:val="00D63D0F"/>
    <w:rsid w:val="00D64003"/>
    <w:rsid w:val="00D6434D"/>
    <w:rsid w:val="00D65B00"/>
    <w:rsid w:val="00D66685"/>
    <w:rsid w:val="00D66A2F"/>
    <w:rsid w:val="00D67344"/>
    <w:rsid w:val="00D6795A"/>
    <w:rsid w:val="00D67B73"/>
    <w:rsid w:val="00D70A98"/>
    <w:rsid w:val="00D71622"/>
    <w:rsid w:val="00D71C67"/>
    <w:rsid w:val="00D7233E"/>
    <w:rsid w:val="00D72752"/>
    <w:rsid w:val="00D72AE4"/>
    <w:rsid w:val="00D72DB8"/>
    <w:rsid w:val="00D72E6E"/>
    <w:rsid w:val="00D73929"/>
    <w:rsid w:val="00D73A61"/>
    <w:rsid w:val="00D73C62"/>
    <w:rsid w:val="00D74D90"/>
    <w:rsid w:val="00D74EF8"/>
    <w:rsid w:val="00D75BC0"/>
    <w:rsid w:val="00D75F0E"/>
    <w:rsid w:val="00D76613"/>
    <w:rsid w:val="00D77609"/>
    <w:rsid w:val="00D8003C"/>
    <w:rsid w:val="00D8147C"/>
    <w:rsid w:val="00D82CA2"/>
    <w:rsid w:val="00D830A5"/>
    <w:rsid w:val="00D83B9A"/>
    <w:rsid w:val="00D84156"/>
    <w:rsid w:val="00D845CC"/>
    <w:rsid w:val="00D848E8"/>
    <w:rsid w:val="00D85523"/>
    <w:rsid w:val="00D859EE"/>
    <w:rsid w:val="00D85D32"/>
    <w:rsid w:val="00D85F7B"/>
    <w:rsid w:val="00D86140"/>
    <w:rsid w:val="00D86527"/>
    <w:rsid w:val="00D86670"/>
    <w:rsid w:val="00D86688"/>
    <w:rsid w:val="00D8772F"/>
    <w:rsid w:val="00D90490"/>
    <w:rsid w:val="00D9074D"/>
    <w:rsid w:val="00D912AA"/>
    <w:rsid w:val="00D917EE"/>
    <w:rsid w:val="00D9186D"/>
    <w:rsid w:val="00D9189C"/>
    <w:rsid w:val="00D92182"/>
    <w:rsid w:val="00D921DD"/>
    <w:rsid w:val="00D92459"/>
    <w:rsid w:val="00D92DEF"/>
    <w:rsid w:val="00D93E3B"/>
    <w:rsid w:val="00D94092"/>
    <w:rsid w:val="00D9422B"/>
    <w:rsid w:val="00D9481E"/>
    <w:rsid w:val="00D94A7C"/>
    <w:rsid w:val="00D94DC2"/>
    <w:rsid w:val="00D94F0C"/>
    <w:rsid w:val="00D94F86"/>
    <w:rsid w:val="00D95896"/>
    <w:rsid w:val="00D96503"/>
    <w:rsid w:val="00D96728"/>
    <w:rsid w:val="00D9742E"/>
    <w:rsid w:val="00DA13D4"/>
    <w:rsid w:val="00DA304C"/>
    <w:rsid w:val="00DA32F3"/>
    <w:rsid w:val="00DA335C"/>
    <w:rsid w:val="00DA36EE"/>
    <w:rsid w:val="00DA3926"/>
    <w:rsid w:val="00DA3F08"/>
    <w:rsid w:val="00DA41C0"/>
    <w:rsid w:val="00DA497B"/>
    <w:rsid w:val="00DA51C2"/>
    <w:rsid w:val="00DA51F4"/>
    <w:rsid w:val="00DA5DBC"/>
    <w:rsid w:val="00DA6790"/>
    <w:rsid w:val="00DA691B"/>
    <w:rsid w:val="00DB047F"/>
    <w:rsid w:val="00DB0AA3"/>
    <w:rsid w:val="00DB14B0"/>
    <w:rsid w:val="00DB151B"/>
    <w:rsid w:val="00DB2749"/>
    <w:rsid w:val="00DB2983"/>
    <w:rsid w:val="00DB2AD1"/>
    <w:rsid w:val="00DB3029"/>
    <w:rsid w:val="00DB372B"/>
    <w:rsid w:val="00DB4E77"/>
    <w:rsid w:val="00DB5532"/>
    <w:rsid w:val="00DB5762"/>
    <w:rsid w:val="00DB66E3"/>
    <w:rsid w:val="00DB6C0B"/>
    <w:rsid w:val="00DB774E"/>
    <w:rsid w:val="00DC006E"/>
    <w:rsid w:val="00DC0253"/>
    <w:rsid w:val="00DC03CD"/>
    <w:rsid w:val="00DC0D9B"/>
    <w:rsid w:val="00DC1089"/>
    <w:rsid w:val="00DC1257"/>
    <w:rsid w:val="00DC144F"/>
    <w:rsid w:val="00DC20BD"/>
    <w:rsid w:val="00DC3DC0"/>
    <w:rsid w:val="00DC4187"/>
    <w:rsid w:val="00DC42E5"/>
    <w:rsid w:val="00DC4A7B"/>
    <w:rsid w:val="00DC4C44"/>
    <w:rsid w:val="00DC4D77"/>
    <w:rsid w:val="00DC5692"/>
    <w:rsid w:val="00DC57EA"/>
    <w:rsid w:val="00DC5B2B"/>
    <w:rsid w:val="00DC5B64"/>
    <w:rsid w:val="00DD044D"/>
    <w:rsid w:val="00DD04E7"/>
    <w:rsid w:val="00DD0FEC"/>
    <w:rsid w:val="00DD1372"/>
    <w:rsid w:val="00DD1D90"/>
    <w:rsid w:val="00DD24CD"/>
    <w:rsid w:val="00DD2B1C"/>
    <w:rsid w:val="00DD318D"/>
    <w:rsid w:val="00DD35B4"/>
    <w:rsid w:val="00DD3CFC"/>
    <w:rsid w:val="00DD3D63"/>
    <w:rsid w:val="00DD5555"/>
    <w:rsid w:val="00DD61DC"/>
    <w:rsid w:val="00DD7113"/>
    <w:rsid w:val="00DD755D"/>
    <w:rsid w:val="00DD7C99"/>
    <w:rsid w:val="00DE0BCE"/>
    <w:rsid w:val="00DE0CBA"/>
    <w:rsid w:val="00DE1A4F"/>
    <w:rsid w:val="00DE278A"/>
    <w:rsid w:val="00DE2D63"/>
    <w:rsid w:val="00DE6657"/>
    <w:rsid w:val="00DF0210"/>
    <w:rsid w:val="00DF0579"/>
    <w:rsid w:val="00DF0B35"/>
    <w:rsid w:val="00DF17CE"/>
    <w:rsid w:val="00DF1EF6"/>
    <w:rsid w:val="00DF20B2"/>
    <w:rsid w:val="00DF231A"/>
    <w:rsid w:val="00DF2668"/>
    <w:rsid w:val="00DF2E12"/>
    <w:rsid w:val="00DF34E7"/>
    <w:rsid w:val="00DF439D"/>
    <w:rsid w:val="00DF43D1"/>
    <w:rsid w:val="00DF514A"/>
    <w:rsid w:val="00DF5B16"/>
    <w:rsid w:val="00DF6690"/>
    <w:rsid w:val="00DF6804"/>
    <w:rsid w:val="00DF6EE9"/>
    <w:rsid w:val="00E00184"/>
    <w:rsid w:val="00E026EE"/>
    <w:rsid w:val="00E0358D"/>
    <w:rsid w:val="00E039DB"/>
    <w:rsid w:val="00E04323"/>
    <w:rsid w:val="00E04C9E"/>
    <w:rsid w:val="00E04ED3"/>
    <w:rsid w:val="00E0520E"/>
    <w:rsid w:val="00E06324"/>
    <w:rsid w:val="00E067F9"/>
    <w:rsid w:val="00E06952"/>
    <w:rsid w:val="00E070A2"/>
    <w:rsid w:val="00E105FF"/>
    <w:rsid w:val="00E10D0D"/>
    <w:rsid w:val="00E119D1"/>
    <w:rsid w:val="00E11F82"/>
    <w:rsid w:val="00E12449"/>
    <w:rsid w:val="00E13117"/>
    <w:rsid w:val="00E133A8"/>
    <w:rsid w:val="00E13A9D"/>
    <w:rsid w:val="00E13FE6"/>
    <w:rsid w:val="00E1568C"/>
    <w:rsid w:val="00E16041"/>
    <w:rsid w:val="00E1628E"/>
    <w:rsid w:val="00E16CB3"/>
    <w:rsid w:val="00E205DB"/>
    <w:rsid w:val="00E20AA9"/>
    <w:rsid w:val="00E2188D"/>
    <w:rsid w:val="00E22361"/>
    <w:rsid w:val="00E2242E"/>
    <w:rsid w:val="00E2348B"/>
    <w:rsid w:val="00E238DD"/>
    <w:rsid w:val="00E23E2F"/>
    <w:rsid w:val="00E24353"/>
    <w:rsid w:val="00E2483A"/>
    <w:rsid w:val="00E24A02"/>
    <w:rsid w:val="00E251E9"/>
    <w:rsid w:val="00E253BA"/>
    <w:rsid w:val="00E258A2"/>
    <w:rsid w:val="00E25AFB"/>
    <w:rsid w:val="00E2656A"/>
    <w:rsid w:val="00E26A74"/>
    <w:rsid w:val="00E270FC"/>
    <w:rsid w:val="00E27E90"/>
    <w:rsid w:val="00E301BA"/>
    <w:rsid w:val="00E304D0"/>
    <w:rsid w:val="00E3054C"/>
    <w:rsid w:val="00E30987"/>
    <w:rsid w:val="00E3111F"/>
    <w:rsid w:val="00E315AC"/>
    <w:rsid w:val="00E315C8"/>
    <w:rsid w:val="00E32307"/>
    <w:rsid w:val="00E32E05"/>
    <w:rsid w:val="00E331D1"/>
    <w:rsid w:val="00E34783"/>
    <w:rsid w:val="00E34C59"/>
    <w:rsid w:val="00E351BF"/>
    <w:rsid w:val="00E36600"/>
    <w:rsid w:val="00E3697B"/>
    <w:rsid w:val="00E37786"/>
    <w:rsid w:val="00E40585"/>
    <w:rsid w:val="00E410F3"/>
    <w:rsid w:val="00E412D0"/>
    <w:rsid w:val="00E417D5"/>
    <w:rsid w:val="00E41EBE"/>
    <w:rsid w:val="00E4219F"/>
    <w:rsid w:val="00E43124"/>
    <w:rsid w:val="00E43DE2"/>
    <w:rsid w:val="00E43ECA"/>
    <w:rsid w:val="00E440BE"/>
    <w:rsid w:val="00E44156"/>
    <w:rsid w:val="00E45378"/>
    <w:rsid w:val="00E4565D"/>
    <w:rsid w:val="00E4575C"/>
    <w:rsid w:val="00E462C2"/>
    <w:rsid w:val="00E465B2"/>
    <w:rsid w:val="00E46913"/>
    <w:rsid w:val="00E47631"/>
    <w:rsid w:val="00E47C4F"/>
    <w:rsid w:val="00E50088"/>
    <w:rsid w:val="00E503D1"/>
    <w:rsid w:val="00E50B0F"/>
    <w:rsid w:val="00E50B37"/>
    <w:rsid w:val="00E50E17"/>
    <w:rsid w:val="00E51310"/>
    <w:rsid w:val="00E51D5F"/>
    <w:rsid w:val="00E52180"/>
    <w:rsid w:val="00E5336C"/>
    <w:rsid w:val="00E53815"/>
    <w:rsid w:val="00E5391E"/>
    <w:rsid w:val="00E539AC"/>
    <w:rsid w:val="00E55CE3"/>
    <w:rsid w:val="00E55F0F"/>
    <w:rsid w:val="00E56322"/>
    <w:rsid w:val="00E56F00"/>
    <w:rsid w:val="00E56FC0"/>
    <w:rsid w:val="00E57085"/>
    <w:rsid w:val="00E57F9E"/>
    <w:rsid w:val="00E60837"/>
    <w:rsid w:val="00E60982"/>
    <w:rsid w:val="00E60E40"/>
    <w:rsid w:val="00E61BD9"/>
    <w:rsid w:val="00E61F92"/>
    <w:rsid w:val="00E62309"/>
    <w:rsid w:val="00E62334"/>
    <w:rsid w:val="00E623CB"/>
    <w:rsid w:val="00E62B94"/>
    <w:rsid w:val="00E62C62"/>
    <w:rsid w:val="00E63579"/>
    <w:rsid w:val="00E635F0"/>
    <w:rsid w:val="00E63817"/>
    <w:rsid w:val="00E63A08"/>
    <w:rsid w:val="00E63CE0"/>
    <w:rsid w:val="00E63D01"/>
    <w:rsid w:val="00E640F8"/>
    <w:rsid w:val="00E6417A"/>
    <w:rsid w:val="00E64D9E"/>
    <w:rsid w:val="00E65105"/>
    <w:rsid w:val="00E653AB"/>
    <w:rsid w:val="00E654C1"/>
    <w:rsid w:val="00E65D97"/>
    <w:rsid w:val="00E65EEB"/>
    <w:rsid w:val="00E6652C"/>
    <w:rsid w:val="00E6668F"/>
    <w:rsid w:val="00E67B11"/>
    <w:rsid w:val="00E67E1B"/>
    <w:rsid w:val="00E70064"/>
    <w:rsid w:val="00E7156D"/>
    <w:rsid w:val="00E72626"/>
    <w:rsid w:val="00E72A5A"/>
    <w:rsid w:val="00E72A5C"/>
    <w:rsid w:val="00E72F5F"/>
    <w:rsid w:val="00E73354"/>
    <w:rsid w:val="00E74054"/>
    <w:rsid w:val="00E749D9"/>
    <w:rsid w:val="00E76A85"/>
    <w:rsid w:val="00E76EDB"/>
    <w:rsid w:val="00E7736A"/>
    <w:rsid w:val="00E77B02"/>
    <w:rsid w:val="00E80306"/>
    <w:rsid w:val="00E80C8B"/>
    <w:rsid w:val="00E80EE3"/>
    <w:rsid w:val="00E8156E"/>
    <w:rsid w:val="00E81A2C"/>
    <w:rsid w:val="00E841BA"/>
    <w:rsid w:val="00E84EDB"/>
    <w:rsid w:val="00E8516B"/>
    <w:rsid w:val="00E8577D"/>
    <w:rsid w:val="00E857B0"/>
    <w:rsid w:val="00E85867"/>
    <w:rsid w:val="00E85E20"/>
    <w:rsid w:val="00E86BE8"/>
    <w:rsid w:val="00E86C4B"/>
    <w:rsid w:val="00E87976"/>
    <w:rsid w:val="00E90D0A"/>
    <w:rsid w:val="00E90D30"/>
    <w:rsid w:val="00E92248"/>
    <w:rsid w:val="00E9242D"/>
    <w:rsid w:val="00E9262E"/>
    <w:rsid w:val="00E927FD"/>
    <w:rsid w:val="00E93058"/>
    <w:rsid w:val="00E94076"/>
    <w:rsid w:val="00E94B49"/>
    <w:rsid w:val="00E94E9D"/>
    <w:rsid w:val="00E95A56"/>
    <w:rsid w:val="00E95B87"/>
    <w:rsid w:val="00E95FA7"/>
    <w:rsid w:val="00E97545"/>
    <w:rsid w:val="00E97734"/>
    <w:rsid w:val="00E97A1A"/>
    <w:rsid w:val="00EA0108"/>
    <w:rsid w:val="00EA1BAC"/>
    <w:rsid w:val="00EA23E4"/>
    <w:rsid w:val="00EA2D38"/>
    <w:rsid w:val="00EA3ECF"/>
    <w:rsid w:val="00EA4137"/>
    <w:rsid w:val="00EA4614"/>
    <w:rsid w:val="00EA5678"/>
    <w:rsid w:val="00EA5B0F"/>
    <w:rsid w:val="00EA6394"/>
    <w:rsid w:val="00EA7E6E"/>
    <w:rsid w:val="00EB01BF"/>
    <w:rsid w:val="00EB1A99"/>
    <w:rsid w:val="00EB1D92"/>
    <w:rsid w:val="00EB267F"/>
    <w:rsid w:val="00EB2838"/>
    <w:rsid w:val="00EB3FF2"/>
    <w:rsid w:val="00EB41C8"/>
    <w:rsid w:val="00EB5255"/>
    <w:rsid w:val="00EB5B02"/>
    <w:rsid w:val="00EB5C47"/>
    <w:rsid w:val="00EB5E2B"/>
    <w:rsid w:val="00EB6C34"/>
    <w:rsid w:val="00EB6E80"/>
    <w:rsid w:val="00EB719A"/>
    <w:rsid w:val="00EB794B"/>
    <w:rsid w:val="00EB7EF6"/>
    <w:rsid w:val="00EC1269"/>
    <w:rsid w:val="00EC13F0"/>
    <w:rsid w:val="00EC1E15"/>
    <w:rsid w:val="00EC322F"/>
    <w:rsid w:val="00EC3D93"/>
    <w:rsid w:val="00EC3DD1"/>
    <w:rsid w:val="00EC3E67"/>
    <w:rsid w:val="00EC3FE1"/>
    <w:rsid w:val="00EC48CB"/>
    <w:rsid w:val="00EC5045"/>
    <w:rsid w:val="00EC5BDA"/>
    <w:rsid w:val="00EC5EC6"/>
    <w:rsid w:val="00EC61F3"/>
    <w:rsid w:val="00EC6712"/>
    <w:rsid w:val="00EC6815"/>
    <w:rsid w:val="00EC6998"/>
    <w:rsid w:val="00EC75AD"/>
    <w:rsid w:val="00EC79C4"/>
    <w:rsid w:val="00EC7E39"/>
    <w:rsid w:val="00ED0639"/>
    <w:rsid w:val="00ED0FBA"/>
    <w:rsid w:val="00ED2299"/>
    <w:rsid w:val="00ED2C55"/>
    <w:rsid w:val="00ED4144"/>
    <w:rsid w:val="00ED53DB"/>
    <w:rsid w:val="00ED590C"/>
    <w:rsid w:val="00ED68D8"/>
    <w:rsid w:val="00ED6E2C"/>
    <w:rsid w:val="00ED6ED9"/>
    <w:rsid w:val="00ED7833"/>
    <w:rsid w:val="00ED7952"/>
    <w:rsid w:val="00ED7A4F"/>
    <w:rsid w:val="00ED7D59"/>
    <w:rsid w:val="00EE0B5A"/>
    <w:rsid w:val="00EE1089"/>
    <w:rsid w:val="00EE111A"/>
    <w:rsid w:val="00EE1EF2"/>
    <w:rsid w:val="00EE235F"/>
    <w:rsid w:val="00EE2421"/>
    <w:rsid w:val="00EE249C"/>
    <w:rsid w:val="00EE2669"/>
    <w:rsid w:val="00EE2799"/>
    <w:rsid w:val="00EE29E4"/>
    <w:rsid w:val="00EE2C4E"/>
    <w:rsid w:val="00EE2F73"/>
    <w:rsid w:val="00EE318F"/>
    <w:rsid w:val="00EE35DD"/>
    <w:rsid w:val="00EE3BCE"/>
    <w:rsid w:val="00EE3D0C"/>
    <w:rsid w:val="00EE3D49"/>
    <w:rsid w:val="00EE3F16"/>
    <w:rsid w:val="00EE3F33"/>
    <w:rsid w:val="00EE44E3"/>
    <w:rsid w:val="00EE4947"/>
    <w:rsid w:val="00EE5286"/>
    <w:rsid w:val="00EE6E8A"/>
    <w:rsid w:val="00EE6FFA"/>
    <w:rsid w:val="00EE7D89"/>
    <w:rsid w:val="00EF0C8C"/>
    <w:rsid w:val="00EF1AF4"/>
    <w:rsid w:val="00EF2633"/>
    <w:rsid w:val="00EF29E2"/>
    <w:rsid w:val="00EF346F"/>
    <w:rsid w:val="00EF4755"/>
    <w:rsid w:val="00EF4857"/>
    <w:rsid w:val="00EF5DCC"/>
    <w:rsid w:val="00EF649F"/>
    <w:rsid w:val="00EF6F1C"/>
    <w:rsid w:val="00EF702F"/>
    <w:rsid w:val="00EF7135"/>
    <w:rsid w:val="00EF7D2B"/>
    <w:rsid w:val="00EF7E37"/>
    <w:rsid w:val="00F00D5E"/>
    <w:rsid w:val="00F01145"/>
    <w:rsid w:val="00F01331"/>
    <w:rsid w:val="00F0145A"/>
    <w:rsid w:val="00F02731"/>
    <w:rsid w:val="00F02771"/>
    <w:rsid w:val="00F027DB"/>
    <w:rsid w:val="00F02DE4"/>
    <w:rsid w:val="00F0308A"/>
    <w:rsid w:val="00F03183"/>
    <w:rsid w:val="00F0485F"/>
    <w:rsid w:val="00F048BC"/>
    <w:rsid w:val="00F049E2"/>
    <w:rsid w:val="00F04D01"/>
    <w:rsid w:val="00F0662F"/>
    <w:rsid w:val="00F066B5"/>
    <w:rsid w:val="00F06BB4"/>
    <w:rsid w:val="00F0721D"/>
    <w:rsid w:val="00F07619"/>
    <w:rsid w:val="00F076CB"/>
    <w:rsid w:val="00F078F7"/>
    <w:rsid w:val="00F07B5D"/>
    <w:rsid w:val="00F1033B"/>
    <w:rsid w:val="00F11354"/>
    <w:rsid w:val="00F115D3"/>
    <w:rsid w:val="00F11870"/>
    <w:rsid w:val="00F12153"/>
    <w:rsid w:val="00F12258"/>
    <w:rsid w:val="00F12368"/>
    <w:rsid w:val="00F12390"/>
    <w:rsid w:val="00F14A7A"/>
    <w:rsid w:val="00F14FA4"/>
    <w:rsid w:val="00F153D4"/>
    <w:rsid w:val="00F16BCD"/>
    <w:rsid w:val="00F16E6B"/>
    <w:rsid w:val="00F176A8"/>
    <w:rsid w:val="00F17BDB"/>
    <w:rsid w:val="00F22985"/>
    <w:rsid w:val="00F2299F"/>
    <w:rsid w:val="00F22B71"/>
    <w:rsid w:val="00F22B76"/>
    <w:rsid w:val="00F22D07"/>
    <w:rsid w:val="00F22D16"/>
    <w:rsid w:val="00F22F94"/>
    <w:rsid w:val="00F22F9D"/>
    <w:rsid w:val="00F2337A"/>
    <w:rsid w:val="00F239C3"/>
    <w:rsid w:val="00F25870"/>
    <w:rsid w:val="00F25AF3"/>
    <w:rsid w:val="00F25D18"/>
    <w:rsid w:val="00F25D80"/>
    <w:rsid w:val="00F26649"/>
    <w:rsid w:val="00F26C16"/>
    <w:rsid w:val="00F26EAD"/>
    <w:rsid w:val="00F27521"/>
    <w:rsid w:val="00F30AA2"/>
    <w:rsid w:val="00F31639"/>
    <w:rsid w:val="00F319DC"/>
    <w:rsid w:val="00F32103"/>
    <w:rsid w:val="00F329BD"/>
    <w:rsid w:val="00F32D38"/>
    <w:rsid w:val="00F32DB0"/>
    <w:rsid w:val="00F33354"/>
    <w:rsid w:val="00F3383E"/>
    <w:rsid w:val="00F34756"/>
    <w:rsid w:val="00F347B3"/>
    <w:rsid w:val="00F34838"/>
    <w:rsid w:val="00F35A2E"/>
    <w:rsid w:val="00F35E81"/>
    <w:rsid w:val="00F36100"/>
    <w:rsid w:val="00F36CB4"/>
    <w:rsid w:val="00F36E04"/>
    <w:rsid w:val="00F37227"/>
    <w:rsid w:val="00F37337"/>
    <w:rsid w:val="00F37B9B"/>
    <w:rsid w:val="00F400FD"/>
    <w:rsid w:val="00F41CAA"/>
    <w:rsid w:val="00F42580"/>
    <w:rsid w:val="00F42B90"/>
    <w:rsid w:val="00F42BFB"/>
    <w:rsid w:val="00F43CC7"/>
    <w:rsid w:val="00F43DE3"/>
    <w:rsid w:val="00F43F63"/>
    <w:rsid w:val="00F44FDB"/>
    <w:rsid w:val="00F4528F"/>
    <w:rsid w:val="00F45CB6"/>
    <w:rsid w:val="00F465A7"/>
    <w:rsid w:val="00F4667D"/>
    <w:rsid w:val="00F47421"/>
    <w:rsid w:val="00F47E34"/>
    <w:rsid w:val="00F50B7C"/>
    <w:rsid w:val="00F511D3"/>
    <w:rsid w:val="00F5181A"/>
    <w:rsid w:val="00F5199E"/>
    <w:rsid w:val="00F52AC8"/>
    <w:rsid w:val="00F539D9"/>
    <w:rsid w:val="00F5405D"/>
    <w:rsid w:val="00F54A46"/>
    <w:rsid w:val="00F550E6"/>
    <w:rsid w:val="00F55289"/>
    <w:rsid w:val="00F555B3"/>
    <w:rsid w:val="00F55742"/>
    <w:rsid w:val="00F55A68"/>
    <w:rsid w:val="00F55F9F"/>
    <w:rsid w:val="00F56C86"/>
    <w:rsid w:val="00F5766F"/>
    <w:rsid w:val="00F57759"/>
    <w:rsid w:val="00F600EE"/>
    <w:rsid w:val="00F61964"/>
    <w:rsid w:val="00F63263"/>
    <w:rsid w:val="00F63583"/>
    <w:rsid w:val="00F639AA"/>
    <w:rsid w:val="00F63DE0"/>
    <w:rsid w:val="00F64410"/>
    <w:rsid w:val="00F6454A"/>
    <w:rsid w:val="00F647DF"/>
    <w:rsid w:val="00F64C94"/>
    <w:rsid w:val="00F650D9"/>
    <w:rsid w:val="00F6548C"/>
    <w:rsid w:val="00F65605"/>
    <w:rsid w:val="00F6618F"/>
    <w:rsid w:val="00F67123"/>
    <w:rsid w:val="00F6713C"/>
    <w:rsid w:val="00F6731D"/>
    <w:rsid w:val="00F67AA3"/>
    <w:rsid w:val="00F708C4"/>
    <w:rsid w:val="00F70ECD"/>
    <w:rsid w:val="00F7133C"/>
    <w:rsid w:val="00F71EEC"/>
    <w:rsid w:val="00F72414"/>
    <w:rsid w:val="00F72E4B"/>
    <w:rsid w:val="00F72E90"/>
    <w:rsid w:val="00F732D5"/>
    <w:rsid w:val="00F732FE"/>
    <w:rsid w:val="00F74345"/>
    <w:rsid w:val="00F74ABA"/>
    <w:rsid w:val="00F75120"/>
    <w:rsid w:val="00F75744"/>
    <w:rsid w:val="00F75889"/>
    <w:rsid w:val="00F75C79"/>
    <w:rsid w:val="00F75D20"/>
    <w:rsid w:val="00F760D8"/>
    <w:rsid w:val="00F76807"/>
    <w:rsid w:val="00F77144"/>
    <w:rsid w:val="00F771AC"/>
    <w:rsid w:val="00F7725C"/>
    <w:rsid w:val="00F7755C"/>
    <w:rsid w:val="00F801DA"/>
    <w:rsid w:val="00F80A0A"/>
    <w:rsid w:val="00F80CD8"/>
    <w:rsid w:val="00F818A7"/>
    <w:rsid w:val="00F8198C"/>
    <w:rsid w:val="00F81AF1"/>
    <w:rsid w:val="00F82183"/>
    <w:rsid w:val="00F821D8"/>
    <w:rsid w:val="00F825EA"/>
    <w:rsid w:val="00F82B19"/>
    <w:rsid w:val="00F82C93"/>
    <w:rsid w:val="00F82E47"/>
    <w:rsid w:val="00F8305D"/>
    <w:rsid w:val="00F84368"/>
    <w:rsid w:val="00F852F7"/>
    <w:rsid w:val="00F8571C"/>
    <w:rsid w:val="00F86837"/>
    <w:rsid w:val="00F86ADE"/>
    <w:rsid w:val="00F907A7"/>
    <w:rsid w:val="00F90AEB"/>
    <w:rsid w:val="00F914A0"/>
    <w:rsid w:val="00F9212D"/>
    <w:rsid w:val="00F9213E"/>
    <w:rsid w:val="00F927BB"/>
    <w:rsid w:val="00F927E0"/>
    <w:rsid w:val="00F93358"/>
    <w:rsid w:val="00F937DF"/>
    <w:rsid w:val="00F94097"/>
    <w:rsid w:val="00F94383"/>
    <w:rsid w:val="00F948D4"/>
    <w:rsid w:val="00F94A3A"/>
    <w:rsid w:val="00F960B9"/>
    <w:rsid w:val="00F965DA"/>
    <w:rsid w:val="00F96756"/>
    <w:rsid w:val="00F96914"/>
    <w:rsid w:val="00F96ACD"/>
    <w:rsid w:val="00F96C0A"/>
    <w:rsid w:val="00F96C1B"/>
    <w:rsid w:val="00F96E14"/>
    <w:rsid w:val="00F9723E"/>
    <w:rsid w:val="00FA060A"/>
    <w:rsid w:val="00FA14AB"/>
    <w:rsid w:val="00FA14D6"/>
    <w:rsid w:val="00FA19AD"/>
    <w:rsid w:val="00FA1EEC"/>
    <w:rsid w:val="00FA1F59"/>
    <w:rsid w:val="00FA212C"/>
    <w:rsid w:val="00FA2E1D"/>
    <w:rsid w:val="00FA2ED4"/>
    <w:rsid w:val="00FA320A"/>
    <w:rsid w:val="00FA406A"/>
    <w:rsid w:val="00FA4DA6"/>
    <w:rsid w:val="00FA4FF4"/>
    <w:rsid w:val="00FA556C"/>
    <w:rsid w:val="00FA56F9"/>
    <w:rsid w:val="00FA5D65"/>
    <w:rsid w:val="00FA6D7F"/>
    <w:rsid w:val="00FA73FE"/>
    <w:rsid w:val="00FA7417"/>
    <w:rsid w:val="00FA7821"/>
    <w:rsid w:val="00FA7BA3"/>
    <w:rsid w:val="00FA7D98"/>
    <w:rsid w:val="00FA7FB1"/>
    <w:rsid w:val="00FB0DFF"/>
    <w:rsid w:val="00FB13F4"/>
    <w:rsid w:val="00FB1B8F"/>
    <w:rsid w:val="00FB1D5B"/>
    <w:rsid w:val="00FB20F8"/>
    <w:rsid w:val="00FB368A"/>
    <w:rsid w:val="00FB3865"/>
    <w:rsid w:val="00FB3B09"/>
    <w:rsid w:val="00FB40A1"/>
    <w:rsid w:val="00FB4590"/>
    <w:rsid w:val="00FB4C4C"/>
    <w:rsid w:val="00FB503A"/>
    <w:rsid w:val="00FB5121"/>
    <w:rsid w:val="00FB516C"/>
    <w:rsid w:val="00FB69FD"/>
    <w:rsid w:val="00FB6D70"/>
    <w:rsid w:val="00FB6EAF"/>
    <w:rsid w:val="00FC036E"/>
    <w:rsid w:val="00FC05BF"/>
    <w:rsid w:val="00FC0F63"/>
    <w:rsid w:val="00FC1518"/>
    <w:rsid w:val="00FC163F"/>
    <w:rsid w:val="00FC204B"/>
    <w:rsid w:val="00FC22F4"/>
    <w:rsid w:val="00FC268B"/>
    <w:rsid w:val="00FC26BD"/>
    <w:rsid w:val="00FC3783"/>
    <w:rsid w:val="00FC3BCE"/>
    <w:rsid w:val="00FC3C58"/>
    <w:rsid w:val="00FC3DE2"/>
    <w:rsid w:val="00FC4073"/>
    <w:rsid w:val="00FC71B5"/>
    <w:rsid w:val="00FC7448"/>
    <w:rsid w:val="00FC795C"/>
    <w:rsid w:val="00FC7B11"/>
    <w:rsid w:val="00FD0236"/>
    <w:rsid w:val="00FD07BB"/>
    <w:rsid w:val="00FD0D3E"/>
    <w:rsid w:val="00FD1495"/>
    <w:rsid w:val="00FD18F4"/>
    <w:rsid w:val="00FD21C1"/>
    <w:rsid w:val="00FD23BA"/>
    <w:rsid w:val="00FD255B"/>
    <w:rsid w:val="00FD2AA5"/>
    <w:rsid w:val="00FD3448"/>
    <w:rsid w:val="00FD476C"/>
    <w:rsid w:val="00FD4FDD"/>
    <w:rsid w:val="00FD54DB"/>
    <w:rsid w:val="00FD6069"/>
    <w:rsid w:val="00FD6088"/>
    <w:rsid w:val="00FD619F"/>
    <w:rsid w:val="00FD6324"/>
    <w:rsid w:val="00FD655C"/>
    <w:rsid w:val="00FD7588"/>
    <w:rsid w:val="00FE007C"/>
    <w:rsid w:val="00FE0202"/>
    <w:rsid w:val="00FE022E"/>
    <w:rsid w:val="00FE02D2"/>
    <w:rsid w:val="00FE045E"/>
    <w:rsid w:val="00FE1514"/>
    <w:rsid w:val="00FE1BF2"/>
    <w:rsid w:val="00FE2176"/>
    <w:rsid w:val="00FE3323"/>
    <w:rsid w:val="00FE370E"/>
    <w:rsid w:val="00FE437C"/>
    <w:rsid w:val="00FE4B54"/>
    <w:rsid w:val="00FE51E4"/>
    <w:rsid w:val="00FE52B8"/>
    <w:rsid w:val="00FE566F"/>
    <w:rsid w:val="00FE58ED"/>
    <w:rsid w:val="00FE5F39"/>
    <w:rsid w:val="00FE602B"/>
    <w:rsid w:val="00FE62A7"/>
    <w:rsid w:val="00FE6DB5"/>
    <w:rsid w:val="00FF0166"/>
    <w:rsid w:val="00FF143C"/>
    <w:rsid w:val="00FF175B"/>
    <w:rsid w:val="00FF1908"/>
    <w:rsid w:val="00FF1DEA"/>
    <w:rsid w:val="00FF2F8B"/>
    <w:rsid w:val="00FF382C"/>
    <w:rsid w:val="00FF4362"/>
    <w:rsid w:val="00FF498C"/>
    <w:rsid w:val="00FF5E43"/>
    <w:rsid w:val="00FF65D3"/>
    <w:rsid w:val="00FF67E7"/>
    <w:rsid w:val="00FF6828"/>
    <w:rsid w:val="00FF6E58"/>
    <w:rsid w:val="00FF6FE0"/>
    <w:rsid w:val="01207B0A"/>
    <w:rsid w:val="01290F7E"/>
    <w:rsid w:val="0155681E"/>
    <w:rsid w:val="015D1E09"/>
    <w:rsid w:val="01CC326A"/>
    <w:rsid w:val="01D52994"/>
    <w:rsid w:val="01D63A59"/>
    <w:rsid w:val="01FC41B7"/>
    <w:rsid w:val="02697903"/>
    <w:rsid w:val="02732641"/>
    <w:rsid w:val="02EB4F25"/>
    <w:rsid w:val="02F96569"/>
    <w:rsid w:val="03250A8A"/>
    <w:rsid w:val="032D4F3C"/>
    <w:rsid w:val="03C74BB5"/>
    <w:rsid w:val="03EA7B21"/>
    <w:rsid w:val="04071455"/>
    <w:rsid w:val="04100F5F"/>
    <w:rsid w:val="04672101"/>
    <w:rsid w:val="04673C1B"/>
    <w:rsid w:val="04695C6C"/>
    <w:rsid w:val="049974D6"/>
    <w:rsid w:val="04DE58C9"/>
    <w:rsid w:val="050A7013"/>
    <w:rsid w:val="05983B60"/>
    <w:rsid w:val="059A71AE"/>
    <w:rsid w:val="05D82C33"/>
    <w:rsid w:val="05F83EAE"/>
    <w:rsid w:val="06385815"/>
    <w:rsid w:val="063E7D85"/>
    <w:rsid w:val="067C5011"/>
    <w:rsid w:val="06D01B82"/>
    <w:rsid w:val="06FA03A0"/>
    <w:rsid w:val="07293586"/>
    <w:rsid w:val="07295285"/>
    <w:rsid w:val="07421A61"/>
    <w:rsid w:val="07636392"/>
    <w:rsid w:val="07770C56"/>
    <w:rsid w:val="079D563B"/>
    <w:rsid w:val="07DB29DD"/>
    <w:rsid w:val="07E0464A"/>
    <w:rsid w:val="08152C1D"/>
    <w:rsid w:val="086F4E42"/>
    <w:rsid w:val="08817EC6"/>
    <w:rsid w:val="08FA493A"/>
    <w:rsid w:val="090A3FD6"/>
    <w:rsid w:val="092217DD"/>
    <w:rsid w:val="092E1232"/>
    <w:rsid w:val="093A7294"/>
    <w:rsid w:val="093D5CE5"/>
    <w:rsid w:val="09627EE0"/>
    <w:rsid w:val="09AE2BF1"/>
    <w:rsid w:val="09D571A7"/>
    <w:rsid w:val="09FE29B2"/>
    <w:rsid w:val="0A1B3F65"/>
    <w:rsid w:val="0A1D5173"/>
    <w:rsid w:val="0A263993"/>
    <w:rsid w:val="0A2D3AC2"/>
    <w:rsid w:val="0A3415E3"/>
    <w:rsid w:val="0A420C58"/>
    <w:rsid w:val="0A662B64"/>
    <w:rsid w:val="0AA755DF"/>
    <w:rsid w:val="0AC32B55"/>
    <w:rsid w:val="0AD62534"/>
    <w:rsid w:val="0ADB6883"/>
    <w:rsid w:val="0ADC6725"/>
    <w:rsid w:val="0B120D44"/>
    <w:rsid w:val="0BA36699"/>
    <w:rsid w:val="0BBF6171"/>
    <w:rsid w:val="0BD27BF6"/>
    <w:rsid w:val="0BE40293"/>
    <w:rsid w:val="0C3B3C7D"/>
    <w:rsid w:val="0C514188"/>
    <w:rsid w:val="0C570A35"/>
    <w:rsid w:val="0C6F22BD"/>
    <w:rsid w:val="0C7704BC"/>
    <w:rsid w:val="0C972DB0"/>
    <w:rsid w:val="0CA120CE"/>
    <w:rsid w:val="0CAB2EAE"/>
    <w:rsid w:val="0CB235EC"/>
    <w:rsid w:val="0D007C3F"/>
    <w:rsid w:val="0D621C7D"/>
    <w:rsid w:val="0D6618DB"/>
    <w:rsid w:val="0D842492"/>
    <w:rsid w:val="0D9A1476"/>
    <w:rsid w:val="0DDE1A94"/>
    <w:rsid w:val="0E312CD7"/>
    <w:rsid w:val="0E3C1BE9"/>
    <w:rsid w:val="0E583EA2"/>
    <w:rsid w:val="0E6C24E1"/>
    <w:rsid w:val="0E73034D"/>
    <w:rsid w:val="0EC45D4C"/>
    <w:rsid w:val="0F13775A"/>
    <w:rsid w:val="0F212417"/>
    <w:rsid w:val="0F39623B"/>
    <w:rsid w:val="0F5F45FE"/>
    <w:rsid w:val="0F9A112B"/>
    <w:rsid w:val="0FDF47A4"/>
    <w:rsid w:val="1005790A"/>
    <w:rsid w:val="101E45FF"/>
    <w:rsid w:val="10550324"/>
    <w:rsid w:val="105A48E7"/>
    <w:rsid w:val="106D2F64"/>
    <w:rsid w:val="107939AD"/>
    <w:rsid w:val="10841B6C"/>
    <w:rsid w:val="10B63710"/>
    <w:rsid w:val="10C455C5"/>
    <w:rsid w:val="10F10820"/>
    <w:rsid w:val="111C2F7A"/>
    <w:rsid w:val="11665CA1"/>
    <w:rsid w:val="11950ECF"/>
    <w:rsid w:val="11CB5870"/>
    <w:rsid w:val="12073578"/>
    <w:rsid w:val="12381E09"/>
    <w:rsid w:val="124350FD"/>
    <w:rsid w:val="12774ADE"/>
    <w:rsid w:val="12A755D0"/>
    <w:rsid w:val="13197A92"/>
    <w:rsid w:val="13205D1E"/>
    <w:rsid w:val="132B1A77"/>
    <w:rsid w:val="136D1839"/>
    <w:rsid w:val="13951726"/>
    <w:rsid w:val="13B03E3A"/>
    <w:rsid w:val="13FB06AB"/>
    <w:rsid w:val="142179C9"/>
    <w:rsid w:val="14396509"/>
    <w:rsid w:val="145B6548"/>
    <w:rsid w:val="147B2D30"/>
    <w:rsid w:val="14A479A4"/>
    <w:rsid w:val="14DD2C3C"/>
    <w:rsid w:val="150E7A7F"/>
    <w:rsid w:val="15EF3AF7"/>
    <w:rsid w:val="16005D04"/>
    <w:rsid w:val="16087E1D"/>
    <w:rsid w:val="16420E0F"/>
    <w:rsid w:val="16872F1D"/>
    <w:rsid w:val="17344037"/>
    <w:rsid w:val="17614F1B"/>
    <w:rsid w:val="17701D14"/>
    <w:rsid w:val="17735226"/>
    <w:rsid w:val="177B78A2"/>
    <w:rsid w:val="17BD3E21"/>
    <w:rsid w:val="17D15BAA"/>
    <w:rsid w:val="17D70553"/>
    <w:rsid w:val="17DD6442"/>
    <w:rsid w:val="180814AB"/>
    <w:rsid w:val="180D5E5B"/>
    <w:rsid w:val="182416CC"/>
    <w:rsid w:val="185C3C34"/>
    <w:rsid w:val="188036B6"/>
    <w:rsid w:val="189F624C"/>
    <w:rsid w:val="18B7569D"/>
    <w:rsid w:val="190D3FDE"/>
    <w:rsid w:val="192F0512"/>
    <w:rsid w:val="19377E9C"/>
    <w:rsid w:val="196406ED"/>
    <w:rsid w:val="19693763"/>
    <w:rsid w:val="19734E4A"/>
    <w:rsid w:val="19A21C23"/>
    <w:rsid w:val="19A524CC"/>
    <w:rsid w:val="19D77B36"/>
    <w:rsid w:val="19FB032A"/>
    <w:rsid w:val="1A1C66C0"/>
    <w:rsid w:val="1A42393B"/>
    <w:rsid w:val="1A85136E"/>
    <w:rsid w:val="1A857346"/>
    <w:rsid w:val="1AA60AA2"/>
    <w:rsid w:val="1AAD45DE"/>
    <w:rsid w:val="1AC45287"/>
    <w:rsid w:val="1AD022ED"/>
    <w:rsid w:val="1B030EBA"/>
    <w:rsid w:val="1B046F80"/>
    <w:rsid w:val="1B3267B5"/>
    <w:rsid w:val="1B347EAC"/>
    <w:rsid w:val="1B40161D"/>
    <w:rsid w:val="1B441859"/>
    <w:rsid w:val="1B6606B1"/>
    <w:rsid w:val="1B844C07"/>
    <w:rsid w:val="1BEB5129"/>
    <w:rsid w:val="1C016EC9"/>
    <w:rsid w:val="1C01741A"/>
    <w:rsid w:val="1C4617A8"/>
    <w:rsid w:val="1C5E7925"/>
    <w:rsid w:val="1C67088B"/>
    <w:rsid w:val="1C9F6A52"/>
    <w:rsid w:val="1CA707BF"/>
    <w:rsid w:val="1CCB21E5"/>
    <w:rsid w:val="1CFD070F"/>
    <w:rsid w:val="1D056E19"/>
    <w:rsid w:val="1D143B87"/>
    <w:rsid w:val="1D153346"/>
    <w:rsid w:val="1D5F6196"/>
    <w:rsid w:val="1D6132A5"/>
    <w:rsid w:val="1D8E56D5"/>
    <w:rsid w:val="1DAE50E9"/>
    <w:rsid w:val="1DF064B5"/>
    <w:rsid w:val="1E6F4494"/>
    <w:rsid w:val="1E7A43DA"/>
    <w:rsid w:val="1EEC558B"/>
    <w:rsid w:val="1FB86255"/>
    <w:rsid w:val="1FE7539E"/>
    <w:rsid w:val="20176124"/>
    <w:rsid w:val="20671BE0"/>
    <w:rsid w:val="207712C9"/>
    <w:rsid w:val="207900A2"/>
    <w:rsid w:val="20963CB8"/>
    <w:rsid w:val="20A81A1B"/>
    <w:rsid w:val="20B07FB6"/>
    <w:rsid w:val="20B646FB"/>
    <w:rsid w:val="21157E5C"/>
    <w:rsid w:val="213B74B1"/>
    <w:rsid w:val="214E3EFA"/>
    <w:rsid w:val="215A2310"/>
    <w:rsid w:val="21DE318A"/>
    <w:rsid w:val="21EF5B80"/>
    <w:rsid w:val="2241392C"/>
    <w:rsid w:val="22576990"/>
    <w:rsid w:val="225904AE"/>
    <w:rsid w:val="22656C65"/>
    <w:rsid w:val="2275654A"/>
    <w:rsid w:val="227F0837"/>
    <w:rsid w:val="22F47480"/>
    <w:rsid w:val="232839DC"/>
    <w:rsid w:val="232E00B4"/>
    <w:rsid w:val="234809A7"/>
    <w:rsid w:val="23822B70"/>
    <w:rsid w:val="23A06908"/>
    <w:rsid w:val="23C7544D"/>
    <w:rsid w:val="23CD0B5E"/>
    <w:rsid w:val="23DE1C48"/>
    <w:rsid w:val="240210CD"/>
    <w:rsid w:val="240A10E9"/>
    <w:rsid w:val="244F2618"/>
    <w:rsid w:val="246B22E6"/>
    <w:rsid w:val="24A7211E"/>
    <w:rsid w:val="24AF71D8"/>
    <w:rsid w:val="24BF09F7"/>
    <w:rsid w:val="24CD2E70"/>
    <w:rsid w:val="24E94DF7"/>
    <w:rsid w:val="24EF29EC"/>
    <w:rsid w:val="252B360F"/>
    <w:rsid w:val="252D53FE"/>
    <w:rsid w:val="254A60E7"/>
    <w:rsid w:val="254D058D"/>
    <w:rsid w:val="25525AF8"/>
    <w:rsid w:val="259213C2"/>
    <w:rsid w:val="25EC2D81"/>
    <w:rsid w:val="267D78EA"/>
    <w:rsid w:val="269C593E"/>
    <w:rsid w:val="26A74BEF"/>
    <w:rsid w:val="26BE6B98"/>
    <w:rsid w:val="26C66B21"/>
    <w:rsid w:val="26E25249"/>
    <w:rsid w:val="270D3E41"/>
    <w:rsid w:val="2732048E"/>
    <w:rsid w:val="27526221"/>
    <w:rsid w:val="277057A2"/>
    <w:rsid w:val="277F21C5"/>
    <w:rsid w:val="280B656E"/>
    <w:rsid w:val="28115F44"/>
    <w:rsid w:val="283830DC"/>
    <w:rsid w:val="286639F4"/>
    <w:rsid w:val="289362F4"/>
    <w:rsid w:val="28DC5CED"/>
    <w:rsid w:val="28F6029D"/>
    <w:rsid w:val="292015D9"/>
    <w:rsid w:val="29206EB8"/>
    <w:rsid w:val="29595666"/>
    <w:rsid w:val="298732F7"/>
    <w:rsid w:val="29874881"/>
    <w:rsid w:val="29891CAC"/>
    <w:rsid w:val="29E325E0"/>
    <w:rsid w:val="29E456BE"/>
    <w:rsid w:val="2A0A54EF"/>
    <w:rsid w:val="2A452503"/>
    <w:rsid w:val="2AAB66CD"/>
    <w:rsid w:val="2AC866B6"/>
    <w:rsid w:val="2B3F4C14"/>
    <w:rsid w:val="2B5D612B"/>
    <w:rsid w:val="2B770F9F"/>
    <w:rsid w:val="2B9D6226"/>
    <w:rsid w:val="2BA936A8"/>
    <w:rsid w:val="2BAB2F4F"/>
    <w:rsid w:val="2BB727F7"/>
    <w:rsid w:val="2C231AB5"/>
    <w:rsid w:val="2C315A5A"/>
    <w:rsid w:val="2C4B1C25"/>
    <w:rsid w:val="2CA37CF9"/>
    <w:rsid w:val="2CD930DF"/>
    <w:rsid w:val="2D3A3778"/>
    <w:rsid w:val="2D834E0C"/>
    <w:rsid w:val="2D9E56F5"/>
    <w:rsid w:val="2DA8336F"/>
    <w:rsid w:val="2DB6197C"/>
    <w:rsid w:val="2E667F96"/>
    <w:rsid w:val="2E8226AB"/>
    <w:rsid w:val="2EAF2111"/>
    <w:rsid w:val="2EC146D8"/>
    <w:rsid w:val="2EEF14B5"/>
    <w:rsid w:val="2F0401BB"/>
    <w:rsid w:val="2F434055"/>
    <w:rsid w:val="2FC64C11"/>
    <w:rsid w:val="2FD065E6"/>
    <w:rsid w:val="2FD96870"/>
    <w:rsid w:val="2FF204C7"/>
    <w:rsid w:val="301306B6"/>
    <w:rsid w:val="30580BC9"/>
    <w:rsid w:val="30930278"/>
    <w:rsid w:val="309E1AE4"/>
    <w:rsid w:val="30C46E16"/>
    <w:rsid w:val="30E54E80"/>
    <w:rsid w:val="30F4087C"/>
    <w:rsid w:val="311E2ED7"/>
    <w:rsid w:val="314A64F7"/>
    <w:rsid w:val="315619EE"/>
    <w:rsid w:val="315C449C"/>
    <w:rsid w:val="31AC71E2"/>
    <w:rsid w:val="31B82709"/>
    <w:rsid w:val="31D05482"/>
    <w:rsid w:val="321E75CB"/>
    <w:rsid w:val="32400B34"/>
    <w:rsid w:val="327B0702"/>
    <w:rsid w:val="328B51DB"/>
    <w:rsid w:val="329E6876"/>
    <w:rsid w:val="32CE6B16"/>
    <w:rsid w:val="32D85CBE"/>
    <w:rsid w:val="32DA76EF"/>
    <w:rsid w:val="331B7BCF"/>
    <w:rsid w:val="333015F2"/>
    <w:rsid w:val="33357F01"/>
    <w:rsid w:val="334B6320"/>
    <w:rsid w:val="335A4E62"/>
    <w:rsid w:val="33685EEE"/>
    <w:rsid w:val="337640FF"/>
    <w:rsid w:val="338B0226"/>
    <w:rsid w:val="33A95121"/>
    <w:rsid w:val="33AC24F5"/>
    <w:rsid w:val="33BE5A07"/>
    <w:rsid w:val="33D934D4"/>
    <w:rsid w:val="33E54DB7"/>
    <w:rsid w:val="33FE2F6A"/>
    <w:rsid w:val="340E07E5"/>
    <w:rsid w:val="34235BF7"/>
    <w:rsid w:val="344211B7"/>
    <w:rsid w:val="34F75C5C"/>
    <w:rsid w:val="351D35F8"/>
    <w:rsid w:val="358C5FA8"/>
    <w:rsid w:val="358D4A67"/>
    <w:rsid w:val="358D50EF"/>
    <w:rsid w:val="35AA08EF"/>
    <w:rsid w:val="35C15DF1"/>
    <w:rsid w:val="36074A7F"/>
    <w:rsid w:val="36603123"/>
    <w:rsid w:val="36923549"/>
    <w:rsid w:val="36B75FBF"/>
    <w:rsid w:val="36BD0C45"/>
    <w:rsid w:val="36D96A36"/>
    <w:rsid w:val="373F27E5"/>
    <w:rsid w:val="37AB7841"/>
    <w:rsid w:val="37B60B8E"/>
    <w:rsid w:val="37C6373D"/>
    <w:rsid w:val="37E00298"/>
    <w:rsid w:val="38104E74"/>
    <w:rsid w:val="38175393"/>
    <w:rsid w:val="384C4F68"/>
    <w:rsid w:val="38526934"/>
    <w:rsid w:val="38702297"/>
    <w:rsid w:val="38727D36"/>
    <w:rsid w:val="389F616B"/>
    <w:rsid w:val="38B302F9"/>
    <w:rsid w:val="38C14378"/>
    <w:rsid w:val="38C5276A"/>
    <w:rsid w:val="38F12CD3"/>
    <w:rsid w:val="38F94775"/>
    <w:rsid w:val="392971ED"/>
    <w:rsid w:val="39325651"/>
    <w:rsid w:val="393C288A"/>
    <w:rsid w:val="393C79DA"/>
    <w:rsid w:val="39762B7F"/>
    <w:rsid w:val="39D2513E"/>
    <w:rsid w:val="39D9355A"/>
    <w:rsid w:val="3A606BEE"/>
    <w:rsid w:val="3A872856"/>
    <w:rsid w:val="3B102115"/>
    <w:rsid w:val="3B3763D1"/>
    <w:rsid w:val="3B7616D4"/>
    <w:rsid w:val="3B7E29F9"/>
    <w:rsid w:val="3BAC70CB"/>
    <w:rsid w:val="3BF7789C"/>
    <w:rsid w:val="3C2F6E1E"/>
    <w:rsid w:val="3C4F64BA"/>
    <w:rsid w:val="3C504A40"/>
    <w:rsid w:val="3C7563E4"/>
    <w:rsid w:val="3C786D4A"/>
    <w:rsid w:val="3C8659A0"/>
    <w:rsid w:val="3C9C1932"/>
    <w:rsid w:val="3CA1529C"/>
    <w:rsid w:val="3CA554EE"/>
    <w:rsid w:val="3CDA245A"/>
    <w:rsid w:val="3CFB005D"/>
    <w:rsid w:val="3D1E06B7"/>
    <w:rsid w:val="3D282AAA"/>
    <w:rsid w:val="3D3F0AB4"/>
    <w:rsid w:val="3D51281E"/>
    <w:rsid w:val="3D6111DC"/>
    <w:rsid w:val="3DF71B97"/>
    <w:rsid w:val="3E8004D4"/>
    <w:rsid w:val="3E952F81"/>
    <w:rsid w:val="3ECB4F72"/>
    <w:rsid w:val="3EDA0523"/>
    <w:rsid w:val="3EFB37A8"/>
    <w:rsid w:val="3F157200"/>
    <w:rsid w:val="3F925675"/>
    <w:rsid w:val="3FC4790E"/>
    <w:rsid w:val="3FE87DA6"/>
    <w:rsid w:val="407A6407"/>
    <w:rsid w:val="40ED08DF"/>
    <w:rsid w:val="410E61A2"/>
    <w:rsid w:val="41240DA4"/>
    <w:rsid w:val="41504F52"/>
    <w:rsid w:val="41552ACE"/>
    <w:rsid w:val="416B7245"/>
    <w:rsid w:val="41856BAA"/>
    <w:rsid w:val="41AA233E"/>
    <w:rsid w:val="41CC4671"/>
    <w:rsid w:val="41F03BE6"/>
    <w:rsid w:val="41FB58E5"/>
    <w:rsid w:val="4200449D"/>
    <w:rsid w:val="420912C5"/>
    <w:rsid w:val="423A3BCC"/>
    <w:rsid w:val="424E57D2"/>
    <w:rsid w:val="42A92A72"/>
    <w:rsid w:val="42B26C49"/>
    <w:rsid w:val="42C02CF4"/>
    <w:rsid w:val="42C910A8"/>
    <w:rsid w:val="433019F1"/>
    <w:rsid w:val="433A6FE6"/>
    <w:rsid w:val="43480868"/>
    <w:rsid w:val="4350713C"/>
    <w:rsid w:val="435505B0"/>
    <w:rsid w:val="436653E0"/>
    <w:rsid w:val="43AA5F76"/>
    <w:rsid w:val="43B503B6"/>
    <w:rsid w:val="43C23EB2"/>
    <w:rsid w:val="43C4431A"/>
    <w:rsid w:val="43EC6770"/>
    <w:rsid w:val="441A7E0D"/>
    <w:rsid w:val="448313FE"/>
    <w:rsid w:val="44B44210"/>
    <w:rsid w:val="44B951CC"/>
    <w:rsid w:val="44CD14E0"/>
    <w:rsid w:val="44F20B0B"/>
    <w:rsid w:val="450C054F"/>
    <w:rsid w:val="452E5F4C"/>
    <w:rsid w:val="453D711F"/>
    <w:rsid w:val="45431A13"/>
    <w:rsid w:val="454A5DE1"/>
    <w:rsid w:val="45612018"/>
    <w:rsid w:val="458946E9"/>
    <w:rsid w:val="45A47C0E"/>
    <w:rsid w:val="45C06138"/>
    <w:rsid w:val="45DD3A82"/>
    <w:rsid w:val="45F64C48"/>
    <w:rsid w:val="463D7DE3"/>
    <w:rsid w:val="464E0F64"/>
    <w:rsid w:val="46577FD6"/>
    <w:rsid w:val="46A87991"/>
    <w:rsid w:val="46B44944"/>
    <w:rsid w:val="46D955A7"/>
    <w:rsid w:val="47133957"/>
    <w:rsid w:val="471E7FD1"/>
    <w:rsid w:val="47221A21"/>
    <w:rsid w:val="47363CE2"/>
    <w:rsid w:val="47586D49"/>
    <w:rsid w:val="47601941"/>
    <w:rsid w:val="476D0973"/>
    <w:rsid w:val="47A07E0C"/>
    <w:rsid w:val="47C47E23"/>
    <w:rsid w:val="480B03BD"/>
    <w:rsid w:val="4828457B"/>
    <w:rsid w:val="486B6AF6"/>
    <w:rsid w:val="4870272E"/>
    <w:rsid w:val="48CE5C79"/>
    <w:rsid w:val="48FC72B6"/>
    <w:rsid w:val="493373F1"/>
    <w:rsid w:val="4968785B"/>
    <w:rsid w:val="498F4A3E"/>
    <w:rsid w:val="49DC7715"/>
    <w:rsid w:val="49DE368B"/>
    <w:rsid w:val="49F1349E"/>
    <w:rsid w:val="4A023139"/>
    <w:rsid w:val="4A7B576F"/>
    <w:rsid w:val="4AD7736C"/>
    <w:rsid w:val="4AE70C5C"/>
    <w:rsid w:val="4AF561A9"/>
    <w:rsid w:val="4B186AC3"/>
    <w:rsid w:val="4B7734E1"/>
    <w:rsid w:val="4B984413"/>
    <w:rsid w:val="4BA6467C"/>
    <w:rsid w:val="4BB84B2D"/>
    <w:rsid w:val="4BDB0732"/>
    <w:rsid w:val="4C1D6108"/>
    <w:rsid w:val="4C2832E3"/>
    <w:rsid w:val="4C4A0649"/>
    <w:rsid w:val="4C7E5ECA"/>
    <w:rsid w:val="4C876AA5"/>
    <w:rsid w:val="4C8E5CBE"/>
    <w:rsid w:val="4C9363B3"/>
    <w:rsid w:val="4C9E3923"/>
    <w:rsid w:val="4CAE2595"/>
    <w:rsid w:val="4CC22AFE"/>
    <w:rsid w:val="4D0E00FB"/>
    <w:rsid w:val="4D176606"/>
    <w:rsid w:val="4D474F22"/>
    <w:rsid w:val="4D9643D3"/>
    <w:rsid w:val="4DA86428"/>
    <w:rsid w:val="4DBD1325"/>
    <w:rsid w:val="4DEC4FB0"/>
    <w:rsid w:val="4E075D8A"/>
    <w:rsid w:val="4EC00FAD"/>
    <w:rsid w:val="4EC41D18"/>
    <w:rsid w:val="4ED60DD5"/>
    <w:rsid w:val="4ED9579E"/>
    <w:rsid w:val="4EEA0D24"/>
    <w:rsid w:val="4F4F7DBD"/>
    <w:rsid w:val="4F7D115B"/>
    <w:rsid w:val="4F7D2AF9"/>
    <w:rsid w:val="4F9843DC"/>
    <w:rsid w:val="4FAD422A"/>
    <w:rsid w:val="4FC62A8C"/>
    <w:rsid w:val="4FE20F0D"/>
    <w:rsid w:val="4FE51552"/>
    <w:rsid w:val="4FFA5983"/>
    <w:rsid w:val="500B71A4"/>
    <w:rsid w:val="50504C4B"/>
    <w:rsid w:val="505A147C"/>
    <w:rsid w:val="5093605F"/>
    <w:rsid w:val="509C6E7C"/>
    <w:rsid w:val="510A6FE7"/>
    <w:rsid w:val="511C7909"/>
    <w:rsid w:val="5162104E"/>
    <w:rsid w:val="516F7264"/>
    <w:rsid w:val="516F736B"/>
    <w:rsid w:val="51E207B2"/>
    <w:rsid w:val="5287595D"/>
    <w:rsid w:val="52942F07"/>
    <w:rsid w:val="52B42038"/>
    <w:rsid w:val="52D969EE"/>
    <w:rsid w:val="52DE72C4"/>
    <w:rsid w:val="53366D6D"/>
    <w:rsid w:val="53530A94"/>
    <w:rsid w:val="53762B86"/>
    <w:rsid w:val="5383359D"/>
    <w:rsid w:val="5399357B"/>
    <w:rsid w:val="53A039CC"/>
    <w:rsid w:val="53A1505A"/>
    <w:rsid w:val="53A659AC"/>
    <w:rsid w:val="53C73212"/>
    <w:rsid w:val="53D61C1E"/>
    <w:rsid w:val="540524C1"/>
    <w:rsid w:val="54063E08"/>
    <w:rsid w:val="540A1EBD"/>
    <w:rsid w:val="543437E8"/>
    <w:rsid w:val="54771023"/>
    <w:rsid w:val="54C2146D"/>
    <w:rsid w:val="54CA318A"/>
    <w:rsid w:val="54D12987"/>
    <w:rsid w:val="54F73313"/>
    <w:rsid w:val="54F80955"/>
    <w:rsid w:val="555170A7"/>
    <w:rsid w:val="5587536D"/>
    <w:rsid w:val="558A6D4D"/>
    <w:rsid w:val="559B174B"/>
    <w:rsid w:val="55CE0CF4"/>
    <w:rsid w:val="56163164"/>
    <w:rsid w:val="56B22A9C"/>
    <w:rsid w:val="56D61477"/>
    <w:rsid w:val="570A5ABF"/>
    <w:rsid w:val="57126111"/>
    <w:rsid w:val="572D2219"/>
    <w:rsid w:val="574E56BB"/>
    <w:rsid w:val="576A52D3"/>
    <w:rsid w:val="5794182D"/>
    <w:rsid w:val="57991EDF"/>
    <w:rsid w:val="57B72A76"/>
    <w:rsid w:val="57C3426C"/>
    <w:rsid w:val="57CE1F93"/>
    <w:rsid w:val="57FA017F"/>
    <w:rsid w:val="58281433"/>
    <w:rsid w:val="585D3491"/>
    <w:rsid w:val="587A2935"/>
    <w:rsid w:val="587C3EEC"/>
    <w:rsid w:val="588743D1"/>
    <w:rsid w:val="5887701A"/>
    <w:rsid w:val="589E6C5F"/>
    <w:rsid w:val="58D95574"/>
    <w:rsid w:val="58F4335C"/>
    <w:rsid w:val="58F96FE9"/>
    <w:rsid w:val="592721AE"/>
    <w:rsid w:val="59C0439F"/>
    <w:rsid w:val="59EA4E8D"/>
    <w:rsid w:val="5A3A4BF5"/>
    <w:rsid w:val="5A4B03A3"/>
    <w:rsid w:val="5A557EAC"/>
    <w:rsid w:val="5A6B3AE9"/>
    <w:rsid w:val="5A720AE7"/>
    <w:rsid w:val="5A982811"/>
    <w:rsid w:val="5AA423A2"/>
    <w:rsid w:val="5ABE2233"/>
    <w:rsid w:val="5AC25915"/>
    <w:rsid w:val="5B565703"/>
    <w:rsid w:val="5B5E0554"/>
    <w:rsid w:val="5B5E462C"/>
    <w:rsid w:val="5BCC099F"/>
    <w:rsid w:val="5BDF5D95"/>
    <w:rsid w:val="5BE72F4E"/>
    <w:rsid w:val="5BF76673"/>
    <w:rsid w:val="5BF8579F"/>
    <w:rsid w:val="5BFE7528"/>
    <w:rsid w:val="5C2811B0"/>
    <w:rsid w:val="5C3C0713"/>
    <w:rsid w:val="5C75412F"/>
    <w:rsid w:val="5CE20BE0"/>
    <w:rsid w:val="5D48486E"/>
    <w:rsid w:val="5DED49B8"/>
    <w:rsid w:val="5DFC012C"/>
    <w:rsid w:val="5E027579"/>
    <w:rsid w:val="5E133E89"/>
    <w:rsid w:val="5E23390B"/>
    <w:rsid w:val="5E2467F1"/>
    <w:rsid w:val="5E387BB5"/>
    <w:rsid w:val="5E857ECA"/>
    <w:rsid w:val="5F1A2B43"/>
    <w:rsid w:val="5F3B27EB"/>
    <w:rsid w:val="5F3D4D4A"/>
    <w:rsid w:val="5F404B70"/>
    <w:rsid w:val="5F41098E"/>
    <w:rsid w:val="5F5127FA"/>
    <w:rsid w:val="5FB837BB"/>
    <w:rsid w:val="5FBC75F9"/>
    <w:rsid w:val="5FCD3483"/>
    <w:rsid w:val="603746A0"/>
    <w:rsid w:val="60571272"/>
    <w:rsid w:val="609152DC"/>
    <w:rsid w:val="60CC405A"/>
    <w:rsid w:val="60DF29F9"/>
    <w:rsid w:val="61081EBC"/>
    <w:rsid w:val="61794A1B"/>
    <w:rsid w:val="61E215D8"/>
    <w:rsid w:val="61F412BA"/>
    <w:rsid w:val="6210533C"/>
    <w:rsid w:val="621B3775"/>
    <w:rsid w:val="623266FC"/>
    <w:rsid w:val="62364782"/>
    <w:rsid w:val="62703EB2"/>
    <w:rsid w:val="627F7722"/>
    <w:rsid w:val="628C128E"/>
    <w:rsid w:val="62BD7466"/>
    <w:rsid w:val="62DD0453"/>
    <w:rsid w:val="62DF025D"/>
    <w:rsid w:val="62F3227C"/>
    <w:rsid w:val="62F34CBA"/>
    <w:rsid w:val="633B16F7"/>
    <w:rsid w:val="634700D1"/>
    <w:rsid w:val="636623F9"/>
    <w:rsid w:val="636B1D94"/>
    <w:rsid w:val="638B7A5B"/>
    <w:rsid w:val="6394356A"/>
    <w:rsid w:val="639A01CB"/>
    <w:rsid w:val="639D5F79"/>
    <w:rsid w:val="63B514A9"/>
    <w:rsid w:val="63C61B2C"/>
    <w:rsid w:val="63D40BE9"/>
    <w:rsid w:val="64102431"/>
    <w:rsid w:val="646F74F1"/>
    <w:rsid w:val="6474444F"/>
    <w:rsid w:val="64A5243A"/>
    <w:rsid w:val="64A609E5"/>
    <w:rsid w:val="64D80572"/>
    <w:rsid w:val="64E30312"/>
    <w:rsid w:val="64F531DE"/>
    <w:rsid w:val="65373578"/>
    <w:rsid w:val="6558033E"/>
    <w:rsid w:val="65E22808"/>
    <w:rsid w:val="667579EE"/>
    <w:rsid w:val="66863A1C"/>
    <w:rsid w:val="669058B5"/>
    <w:rsid w:val="669177B9"/>
    <w:rsid w:val="66E321C6"/>
    <w:rsid w:val="671F124A"/>
    <w:rsid w:val="67200715"/>
    <w:rsid w:val="6738669B"/>
    <w:rsid w:val="677A33C6"/>
    <w:rsid w:val="6799567F"/>
    <w:rsid w:val="6816784F"/>
    <w:rsid w:val="681F6961"/>
    <w:rsid w:val="683536BE"/>
    <w:rsid w:val="684C511E"/>
    <w:rsid w:val="68610A2F"/>
    <w:rsid w:val="68805514"/>
    <w:rsid w:val="68C426F0"/>
    <w:rsid w:val="68F930A6"/>
    <w:rsid w:val="691E0A6D"/>
    <w:rsid w:val="69316E2F"/>
    <w:rsid w:val="694E2071"/>
    <w:rsid w:val="69766163"/>
    <w:rsid w:val="697A3B33"/>
    <w:rsid w:val="69821FAB"/>
    <w:rsid w:val="69D44760"/>
    <w:rsid w:val="69D871E3"/>
    <w:rsid w:val="6A2C2BDF"/>
    <w:rsid w:val="6A341A09"/>
    <w:rsid w:val="6A520EC7"/>
    <w:rsid w:val="6A6E5309"/>
    <w:rsid w:val="6A6F4FCE"/>
    <w:rsid w:val="6A7944FC"/>
    <w:rsid w:val="6ABC5591"/>
    <w:rsid w:val="6ACB7AC3"/>
    <w:rsid w:val="6AF87E20"/>
    <w:rsid w:val="6B322639"/>
    <w:rsid w:val="6BDC5CA0"/>
    <w:rsid w:val="6C636C38"/>
    <w:rsid w:val="6D9D4743"/>
    <w:rsid w:val="6DB34098"/>
    <w:rsid w:val="6DB545B6"/>
    <w:rsid w:val="6DCC3677"/>
    <w:rsid w:val="6DD34E62"/>
    <w:rsid w:val="6DD55C0F"/>
    <w:rsid w:val="6DE02FB4"/>
    <w:rsid w:val="6DF332FA"/>
    <w:rsid w:val="6E514CED"/>
    <w:rsid w:val="6E760CBA"/>
    <w:rsid w:val="6E821920"/>
    <w:rsid w:val="6EB563D5"/>
    <w:rsid w:val="6EC23B21"/>
    <w:rsid w:val="6ED31776"/>
    <w:rsid w:val="6ED92677"/>
    <w:rsid w:val="6F225983"/>
    <w:rsid w:val="6F373317"/>
    <w:rsid w:val="6F821483"/>
    <w:rsid w:val="6FFA7582"/>
    <w:rsid w:val="6FFC5590"/>
    <w:rsid w:val="705D1564"/>
    <w:rsid w:val="705E7A08"/>
    <w:rsid w:val="706D1DD0"/>
    <w:rsid w:val="70757D37"/>
    <w:rsid w:val="70856B87"/>
    <w:rsid w:val="7089584F"/>
    <w:rsid w:val="70D527EE"/>
    <w:rsid w:val="710A5C30"/>
    <w:rsid w:val="712778BC"/>
    <w:rsid w:val="71524118"/>
    <w:rsid w:val="715B5300"/>
    <w:rsid w:val="719C6AB7"/>
    <w:rsid w:val="71C27356"/>
    <w:rsid w:val="71CC2EC4"/>
    <w:rsid w:val="71D27F8A"/>
    <w:rsid w:val="723C5283"/>
    <w:rsid w:val="72553024"/>
    <w:rsid w:val="727A7B45"/>
    <w:rsid w:val="72FC1E76"/>
    <w:rsid w:val="73011A48"/>
    <w:rsid w:val="73117856"/>
    <w:rsid w:val="73122968"/>
    <w:rsid w:val="731F5D5E"/>
    <w:rsid w:val="73267B18"/>
    <w:rsid w:val="73B4215D"/>
    <w:rsid w:val="73B75FEC"/>
    <w:rsid w:val="73C51AD5"/>
    <w:rsid w:val="73DC7364"/>
    <w:rsid w:val="74167E34"/>
    <w:rsid w:val="741E793C"/>
    <w:rsid w:val="74337736"/>
    <w:rsid w:val="745E3944"/>
    <w:rsid w:val="74EB47D3"/>
    <w:rsid w:val="74ED3975"/>
    <w:rsid w:val="753A6D9B"/>
    <w:rsid w:val="75711E57"/>
    <w:rsid w:val="75AD3D5B"/>
    <w:rsid w:val="75D03267"/>
    <w:rsid w:val="7635099D"/>
    <w:rsid w:val="76A773BA"/>
    <w:rsid w:val="76CB40D8"/>
    <w:rsid w:val="7731383A"/>
    <w:rsid w:val="773B272A"/>
    <w:rsid w:val="77611F59"/>
    <w:rsid w:val="77762421"/>
    <w:rsid w:val="77B56B1F"/>
    <w:rsid w:val="77ED41D0"/>
    <w:rsid w:val="780F09F4"/>
    <w:rsid w:val="782B31EF"/>
    <w:rsid w:val="78382328"/>
    <w:rsid w:val="78482494"/>
    <w:rsid w:val="788A3A22"/>
    <w:rsid w:val="78A206E8"/>
    <w:rsid w:val="78A90480"/>
    <w:rsid w:val="79733D3F"/>
    <w:rsid w:val="79D56C3E"/>
    <w:rsid w:val="7A297AEC"/>
    <w:rsid w:val="7A2B12D4"/>
    <w:rsid w:val="7A360D29"/>
    <w:rsid w:val="7A364017"/>
    <w:rsid w:val="7A46164C"/>
    <w:rsid w:val="7A8265E1"/>
    <w:rsid w:val="7A8A1EB2"/>
    <w:rsid w:val="7B5904DB"/>
    <w:rsid w:val="7B5B603A"/>
    <w:rsid w:val="7B6435FD"/>
    <w:rsid w:val="7B686D42"/>
    <w:rsid w:val="7B841746"/>
    <w:rsid w:val="7B95063F"/>
    <w:rsid w:val="7BC962E3"/>
    <w:rsid w:val="7C6C5AC7"/>
    <w:rsid w:val="7C9B3ABA"/>
    <w:rsid w:val="7CC6544B"/>
    <w:rsid w:val="7D0239FF"/>
    <w:rsid w:val="7D066506"/>
    <w:rsid w:val="7D362ED3"/>
    <w:rsid w:val="7D497463"/>
    <w:rsid w:val="7D5E40CD"/>
    <w:rsid w:val="7DA365CB"/>
    <w:rsid w:val="7DCD56F2"/>
    <w:rsid w:val="7E0724A9"/>
    <w:rsid w:val="7E3D33EA"/>
    <w:rsid w:val="7E7F530E"/>
    <w:rsid w:val="7ECD23B3"/>
    <w:rsid w:val="7F001CE7"/>
    <w:rsid w:val="7F004B4E"/>
    <w:rsid w:val="7F127358"/>
    <w:rsid w:val="7F201A75"/>
    <w:rsid w:val="7F340B6B"/>
    <w:rsid w:val="7F5D45C2"/>
    <w:rsid w:val="7FBE03B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rPr>
      <w:rFonts w:ascii="宋体" w:hAnsi="Times New Roman" w:eastAsia="宋体" w:cs="Times New Roman"/>
      <w:kern w:val="2"/>
      <w:sz w:val="21"/>
      <w:szCs w:val="21"/>
      <w:lang w:val="en-US" w:eastAsia="zh-CN" w:bidi="ar-SA"/>
    </w:rPr>
  </w:style>
  <w:style w:type="paragraph" w:styleId="4">
    <w:name w:val="heading 1"/>
    <w:basedOn w:val="1"/>
    <w:next w:val="1"/>
    <w:link w:val="97"/>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98"/>
    <w:autoRedefine/>
    <w:qFormat/>
    <w:uiPriority w:val="0"/>
    <w:pPr>
      <w:widowControl w:val="0"/>
      <w:tabs>
        <w:tab w:val="left" w:pos="1320"/>
      </w:tabs>
      <w:adjustRightInd w:val="0"/>
      <w:spacing w:beforeLines="50" w:line="360" w:lineRule="auto"/>
      <w:jc w:val="both"/>
      <w:textAlignment w:val="baseline"/>
      <w:outlineLvl w:val="1"/>
    </w:pPr>
    <w:rPr>
      <w:rFonts w:ascii="仿宋_GB2312" w:eastAsia="仿宋_GB2312"/>
      <w:b/>
      <w:bCs/>
      <w:snapToGrid w:val="0"/>
      <w:kern w:val="28"/>
      <w:sz w:val="30"/>
      <w:szCs w:val="30"/>
    </w:rPr>
  </w:style>
  <w:style w:type="paragraph" w:styleId="6">
    <w:name w:val="heading 3"/>
    <w:basedOn w:val="1"/>
    <w:next w:val="1"/>
    <w:link w:val="62"/>
    <w:autoRedefine/>
    <w:qFormat/>
    <w:uiPriority w:val="0"/>
    <w:pPr>
      <w:keepNext/>
      <w:keepLines/>
      <w:spacing w:before="260" w:after="260" w:line="416" w:lineRule="auto"/>
      <w:outlineLvl w:val="2"/>
    </w:pPr>
    <w:rPr>
      <w:b/>
      <w:bCs/>
      <w:sz w:val="32"/>
      <w:szCs w:val="32"/>
    </w:rPr>
  </w:style>
  <w:style w:type="paragraph" w:styleId="3">
    <w:name w:val="heading 4"/>
    <w:basedOn w:val="1"/>
    <w:next w:val="1"/>
    <w:link w:val="91"/>
    <w:autoRedefine/>
    <w:qFormat/>
    <w:uiPriority w:val="0"/>
    <w:pPr>
      <w:widowControl w:val="0"/>
      <w:tabs>
        <w:tab w:val="left" w:pos="1320"/>
      </w:tabs>
      <w:adjustRightInd w:val="0"/>
      <w:spacing w:line="360" w:lineRule="auto"/>
      <w:textAlignment w:val="baseline"/>
      <w:outlineLvl w:val="3"/>
    </w:pPr>
    <w:rPr>
      <w:rFonts w:ascii="Arial" w:hAnsi="Arial"/>
      <w:kern w:val="0"/>
      <w:sz w:val="20"/>
      <w:szCs w:val="20"/>
    </w:rPr>
  </w:style>
  <w:style w:type="paragraph" w:styleId="7">
    <w:name w:val="heading 5"/>
    <w:basedOn w:val="1"/>
    <w:next w:val="2"/>
    <w:link w:val="92"/>
    <w:autoRedefine/>
    <w:qFormat/>
    <w:uiPriority w:val="0"/>
    <w:pPr>
      <w:keepNext/>
      <w:widowControl w:val="0"/>
      <w:tabs>
        <w:tab w:val="left" w:pos="0"/>
      </w:tabs>
      <w:autoSpaceDE w:val="0"/>
      <w:autoSpaceDN w:val="0"/>
      <w:adjustRightInd w:val="0"/>
      <w:spacing w:line="360" w:lineRule="auto"/>
      <w:jc w:val="both"/>
      <w:textAlignment w:val="baseline"/>
      <w:outlineLvl w:val="4"/>
    </w:pPr>
    <w:rPr>
      <w:rFonts w:ascii="Times New Roman"/>
      <w:b/>
      <w:color w:val="000000"/>
      <w:sz w:val="28"/>
      <w:szCs w:val="20"/>
    </w:rPr>
  </w:style>
  <w:style w:type="paragraph" w:styleId="8">
    <w:name w:val="heading 6"/>
    <w:basedOn w:val="1"/>
    <w:next w:val="1"/>
    <w:link w:val="93"/>
    <w:autoRedefine/>
    <w:qFormat/>
    <w:uiPriority w:val="0"/>
    <w:pPr>
      <w:keepNext/>
      <w:keepLines/>
      <w:widowControl w:val="0"/>
      <w:tabs>
        <w:tab w:val="left" w:pos="0"/>
      </w:tabs>
      <w:adjustRightInd w:val="0"/>
      <w:spacing w:before="240" w:after="64" w:line="320" w:lineRule="atLeast"/>
      <w:textAlignment w:val="baseline"/>
      <w:outlineLvl w:val="5"/>
    </w:pPr>
    <w:rPr>
      <w:rFonts w:ascii="Arial" w:hAnsi="Arial" w:eastAsia="黑体"/>
      <w:b/>
      <w:bCs/>
      <w:kern w:val="0"/>
      <w:sz w:val="24"/>
      <w:szCs w:val="24"/>
    </w:rPr>
  </w:style>
  <w:style w:type="paragraph" w:styleId="9">
    <w:name w:val="heading 7"/>
    <w:basedOn w:val="1"/>
    <w:next w:val="1"/>
    <w:link w:val="94"/>
    <w:autoRedefine/>
    <w:qFormat/>
    <w:uiPriority w:val="0"/>
    <w:pPr>
      <w:keepNext/>
      <w:keepLines/>
      <w:widowControl w:val="0"/>
      <w:tabs>
        <w:tab w:val="left" w:pos="0"/>
      </w:tabs>
      <w:adjustRightInd w:val="0"/>
      <w:spacing w:before="240" w:after="64" w:line="320" w:lineRule="atLeast"/>
      <w:textAlignment w:val="baseline"/>
      <w:outlineLvl w:val="6"/>
    </w:pPr>
    <w:rPr>
      <w:rFonts w:ascii="Times New Roman"/>
      <w:b/>
      <w:bCs/>
      <w:kern w:val="0"/>
      <w:sz w:val="24"/>
      <w:szCs w:val="24"/>
    </w:rPr>
  </w:style>
  <w:style w:type="paragraph" w:styleId="10">
    <w:name w:val="heading 8"/>
    <w:basedOn w:val="1"/>
    <w:next w:val="1"/>
    <w:link w:val="95"/>
    <w:autoRedefine/>
    <w:qFormat/>
    <w:uiPriority w:val="0"/>
    <w:pPr>
      <w:keepNext/>
      <w:keepLines/>
      <w:widowControl w:val="0"/>
      <w:tabs>
        <w:tab w:val="left" w:pos="0"/>
      </w:tabs>
      <w:adjustRightInd w:val="0"/>
      <w:spacing w:before="240" w:after="64" w:line="320" w:lineRule="atLeast"/>
      <w:textAlignment w:val="baseline"/>
      <w:outlineLvl w:val="7"/>
    </w:pPr>
    <w:rPr>
      <w:rFonts w:ascii="Arial" w:hAnsi="Arial" w:eastAsia="黑体"/>
      <w:kern w:val="0"/>
      <w:sz w:val="24"/>
      <w:szCs w:val="24"/>
    </w:rPr>
  </w:style>
  <w:style w:type="paragraph" w:styleId="11">
    <w:name w:val="heading 9"/>
    <w:basedOn w:val="1"/>
    <w:next w:val="1"/>
    <w:link w:val="96"/>
    <w:autoRedefine/>
    <w:qFormat/>
    <w:uiPriority w:val="0"/>
    <w:pPr>
      <w:keepNext/>
      <w:keepLines/>
      <w:widowControl w:val="0"/>
      <w:tabs>
        <w:tab w:val="left" w:pos="0"/>
      </w:tabs>
      <w:adjustRightInd w:val="0"/>
      <w:spacing w:before="240" w:after="64" w:line="320" w:lineRule="atLeast"/>
      <w:textAlignment w:val="baseline"/>
      <w:outlineLvl w:val="8"/>
    </w:pPr>
    <w:rPr>
      <w:rFonts w:ascii="Arial" w:hAnsi="Arial" w:eastAsia="黑体"/>
      <w:kern w:val="0"/>
    </w:rPr>
  </w:style>
  <w:style w:type="character" w:default="1" w:styleId="55">
    <w:name w:val="Default Paragraph Font"/>
    <w:autoRedefine/>
    <w:semiHidden/>
    <w:unhideWhenUsed/>
    <w:qFormat/>
    <w:uiPriority w:val="1"/>
  </w:style>
  <w:style w:type="table" w:default="1" w:styleId="53">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3"/>
    <w:autoRedefine/>
    <w:qFormat/>
    <w:uiPriority w:val="0"/>
    <w:pPr>
      <w:widowControl w:val="0"/>
      <w:autoSpaceDE w:val="0"/>
      <w:autoSpaceDN w:val="0"/>
      <w:adjustRightInd w:val="0"/>
      <w:ind w:firstLine="420"/>
      <w:jc w:val="both"/>
      <w:textAlignment w:val="baseline"/>
    </w:pPr>
    <w:rPr>
      <w:rFonts w:ascii="Times New Roman"/>
      <w:szCs w:val="20"/>
    </w:rPr>
  </w:style>
  <w:style w:type="paragraph" w:styleId="12">
    <w:name w:val="List 3"/>
    <w:basedOn w:val="1"/>
    <w:autoRedefine/>
    <w:qFormat/>
    <w:uiPriority w:val="0"/>
    <w:pPr>
      <w:widowControl w:val="0"/>
      <w:ind w:left="100" w:leftChars="400" w:hanging="200" w:hangingChars="200"/>
      <w:jc w:val="both"/>
    </w:pPr>
    <w:rPr>
      <w:rFonts w:ascii="Times New Roman"/>
      <w:szCs w:val="24"/>
    </w:rPr>
  </w:style>
  <w:style w:type="paragraph" w:styleId="13">
    <w:name w:val="toc 7"/>
    <w:basedOn w:val="1"/>
    <w:next w:val="1"/>
    <w:autoRedefine/>
    <w:qFormat/>
    <w:uiPriority w:val="0"/>
    <w:pPr>
      <w:widowControl w:val="0"/>
      <w:adjustRightInd w:val="0"/>
      <w:spacing w:line="360" w:lineRule="atLeast"/>
      <w:ind w:left="1440"/>
      <w:textAlignment w:val="baseline"/>
    </w:pPr>
    <w:rPr>
      <w:rFonts w:ascii="Times New Roman"/>
      <w:kern w:val="0"/>
      <w:sz w:val="24"/>
    </w:rPr>
  </w:style>
  <w:style w:type="paragraph" w:styleId="14">
    <w:name w:val="table of authorities"/>
    <w:basedOn w:val="1"/>
    <w:next w:val="1"/>
    <w:autoRedefine/>
    <w:unhideWhenUsed/>
    <w:qFormat/>
    <w:uiPriority w:val="99"/>
    <w:pPr>
      <w:widowControl w:val="0"/>
      <w:adjustRightInd w:val="0"/>
      <w:spacing w:line="360" w:lineRule="atLeast"/>
      <w:ind w:left="420" w:leftChars="200"/>
      <w:textAlignment w:val="baseline"/>
    </w:pPr>
    <w:rPr>
      <w:rFonts w:ascii="Times New Roman"/>
      <w:kern w:val="0"/>
      <w:sz w:val="24"/>
      <w:szCs w:val="20"/>
    </w:rPr>
  </w:style>
  <w:style w:type="paragraph" w:styleId="15">
    <w:name w:val="caption"/>
    <w:basedOn w:val="1"/>
    <w:next w:val="1"/>
    <w:autoRedefine/>
    <w:qFormat/>
    <w:uiPriority w:val="0"/>
    <w:rPr>
      <w:rFonts w:ascii="Arial" w:hAnsi="Arial" w:eastAsia="黑体" w:cs="Arial"/>
      <w:sz w:val="20"/>
      <w:szCs w:val="20"/>
    </w:rPr>
  </w:style>
  <w:style w:type="paragraph" w:styleId="16">
    <w:name w:val="Document Map"/>
    <w:basedOn w:val="1"/>
    <w:link w:val="99"/>
    <w:autoRedefine/>
    <w:qFormat/>
    <w:uiPriority w:val="0"/>
    <w:pPr>
      <w:widowControl w:val="0"/>
      <w:shd w:val="clear" w:color="auto" w:fill="000080"/>
      <w:autoSpaceDE w:val="0"/>
      <w:autoSpaceDN w:val="0"/>
      <w:adjustRightInd w:val="0"/>
      <w:spacing w:line="360" w:lineRule="atLeast"/>
      <w:textAlignment w:val="baseline"/>
    </w:pPr>
    <w:rPr>
      <w:rFonts w:ascii="Times New Roman"/>
      <w:kern w:val="0"/>
      <w:sz w:val="24"/>
      <w:szCs w:val="20"/>
    </w:rPr>
  </w:style>
  <w:style w:type="paragraph" w:styleId="17">
    <w:name w:val="annotation text"/>
    <w:basedOn w:val="1"/>
    <w:link w:val="63"/>
    <w:autoRedefine/>
    <w:semiHidden/>
    <w:qFormat/>
    <w:uiPriority w:val="0"/>
    <w:rPr>
      <w:rFonts w:ascii="Times New Roman"/>
      <w:kern w:val="0"/>
      <w:sz w:val="24"/>
      <w:szCs w:val="20"/>
    </w:rPr>
  </w:style>
  <w:style w:type="paragraph" w:styleId="18">
    <w:name w:val="Body Text 3"/>
    <w:basedOn w:val="1"/>
    <w:link w:val="100"/>
    <w:autoRedefine/>
    <w:qFormat/>
    <w:uiPriority w:val="0"/>
    <w:pPr>
      <w:widowControl w:val="0"/>
      <w:jc w:val="both"/>
    </w:pPr>
    <w:rPr>
      <w:rFonts w:ascii="黑体" w:hAnsi="宋体" w:eastAsia="黑体"/>
      <w:b/>
      <w:bCs/>
      <w:sz w:val="30"/>
      <w:szCs w:val="24"/>
    </w:rPr>
  </w:style>
  <w:style w:type="paragraph" w:styleId="19">
    <w:name w:val="Body Text"/>
    <w:basedOn w:val="1"/>
    <w:next w:val="1"/>
    <w:link w:val="223"/>
    <w:autoRedefine/>
    <w:qFormat/>
    <w:uiPriority w:val="0"/>
    <w:pPr>
      <w:snapToGrid w:val="0"/>
      <w:spacing w:before="60" w:after="160" w:line="259" w:lineRule="auto"/>
      <w:ind w:right="113"/>
    </w:pPr>
    <w:rPr>
      <w:rFonts w:ascii="Times New Roman"/>
      <w:kern w:val="0"/>
      <w:sz w:val="18"/>
      <w:szCs w:val="20"/>
    </w:rPr>
  </w:style>
  <w:style w:type="paragraph" w:styleId="20">
    <w:name w:val="Body Text Indent"/>
    <w:basedOn w:val="1"/>
    <w:next w:val="21"/>
    <w:link w:val="221"/>
    <w:autoRedefine/>
    <w:qFormat/>
    <w:uiPriority w:val="0"/>
    <w:pPr>
      <w:spacing w:after="120"/>
      <w:ind w:left="420" w:leftChars="200"/>
    </w:pPr>
    <w:rPr>
      <w:rFonts w:ascii="Times New Roman"/>
      <w:kern w:val="0"/>
      <w:sz w:val="24"/>
      <w:szCs w:val="20"/>
    </w:rPr>
  </w:style>
  <w:style w:type="paragraph" w:styleId="21">
    <w:name w:val="Body Text Indent 2"/>
    <w:basedOn w:val="1"/>
    <w:link w:val="101"/>
    <w:autoRedefine/>
    <w:qFormat/>
    <w:uiPriority w:val="0"/>
    <w:pPr>
      <w:widowControl w:val="0"/>
      <w:adjustRightInd w:val="0"/>
      <w:spacing w:line="312" w:lineRule="atLeast"/>
      <w:ind w:firstLine="480"/>
      <w:jc w:val="both"/>
      <w:textAlignment w:val="baseline"/>
    </w:pPr>
    <w:rPr>
      <w:rFonts w:ascii="仿宋体"/>
      <w:kern w:val="0"/>
      <w:sz w:val="28"/>
      <w:szCs w:val="20"/>
    </w:rPr>
  </w:style>
  <w:style w:type="paragraph" w:styleId="22">
    <w:name w:val="List 2"/>
    <w:basedOn w:val="1"/>
    <w:autoRedefine/>
    <w:qFormat/>
    <w:uiPriority w:val="0"/>
    <w:pPr>
      <w:widowControl w:val="0"/>
      <w:ind w:left="100" w:leftChars="200" w:hanging="200" w:hangingChars="200"/>
      <w:jc w:val="both"/>
    </w:pPr>
    <w:rPr>
      <w:rFonts w:ascii="Times New Roman"/>
      <w:szCs w:val="24"/>
    </w:rPr>
  </w:style>
  <w:style w:type="paragraph" w:styleId="23">
    <w:name w:val="Block Text"/>
    <w:basedOn w:val="1"/>
    <w:autoRedefine/>
    <w:qFormat/>
    <w:uiPriority w:val="0"/>
    <w:pPr>
      <w:widowControl w:val="0"/>
      <w:spacing w:line="500" w:lineRule="exact"/>
      <w:ind w:left="-3" w:leftChars="-1" w:right="20" w:firstLine="517" w:firstLineChars="200"/>
      <w:jc w:val="both"/>
    </w:pPr>
    <w:rPr>
      <w:rFonts w:hAnsi="宋体"/>
      <w:sz w:val="24"/>
      <w:szCs w:val="24"/>
    </w:rPr>
  </w:style>
  <w:style w:type="paragraph" w:styleId="24">
    <w:name w:val="toc 5"/>
    <w:basedOn w:val="1"/>
    <w:next w:val="1"/>
    <w:autoRedefine/>
    <w:qFormat/>
    <w:uiPriority w:val="0"/>
    <w:pPr>
      <w:widowControl w:val="0"/>
      <w:adjustRightInd w:val="0"/>
      <w:spacing w:line="360" w:lineRule="atLeast"/>
      <w:ind w:left="960"/>
      <w:textAlignment w:val="baseline"/>
    </w:pPr>
    <w:rPr>
      <w:rFonts w:ascii="Times New Roman"/>
      <w:kern w:val="0"/>
      <w:sz w:val="24"/>
    </w:rPr>
  </w:style>
  <w:style w:type="paragraph" w:styleId="25">
    <w:name w:val="toc 3"/>
    <w:basedOn w:val="1"/>
    <w:next w:val="1"/>
    <w:autoRedefine/>
    <w:qFormat/>
    <w:uiPriority w:val="0"/>
    <w:pPr>
      <w:ind w:left="840" w:leftChars="400"/>
    </w:pPr>
    <w:rPr>
      <w:rFonts w:ascii="Calibri"/>
    </w:rPr>
  </w:style>
  <w:style w:type="paragraph" w:styleId="26">
    <w:name w:val="Plain Text"/>
    <w:basedOn w:val="1"/>
    <w:link w:val="66"/>
    <w:autoRedefine/>
    <w:qFormat/>
    <w:uiPriority w:val="0"/>
    <w:rPr>
      <w:rFonts w:hAnsi="Courier New"/>
      <w:spacing w:val="5"/>
      <w:sz w:val="25"/>
      <w:szCs w:val="25"/>
    </w:rPr>
  </w:style>
  <w:style w:type="paragraph" w:styleId="27">
    <w:name w:val="toc 8"/>
    <w:basedOn w:val="1"/>
    <w:next w:val="1"/>
    <w:autoRedefine/>
    <w:qFormat/>
    <w:uiPriority w:val="0"/>
    <w:pPr>
      <w:widowControl w:val="0"/>
      <w:adjustRightInd w:val="0"/>
      <w:spacing w:line="360" w:lineRule="atLeast"/>
      <w:ind w:left="1680"/>
      <w:textAlignment w:val="baseline"/>
    </w:pPr>
    <w:rPr>
      <w:rFonts w:ascii="Times New Roman"/>
      <w:kern w:val="0"/>
      <w:sz w:val="24"/>
    </w:rPr>
  </w:style>
  <w:style w:type="paragraph" w:styleId="28">
    <w:name w:val="Date"/>
    <w:basedOn w:val="1"/>
    <w:next w:val="1"/>
    <w:link w:val="67"/>
    <w:autoRedefine/>
    <w:qFormat/>
    <w:uiPriority w:val="0"/>
    <w:pPr>
      <w:ind w:left="100" w:leftChars="2500"/>
    </w:pPr>
    <w:rPr>
      <w:rFonts w:ascii="Times New Roman"/>
      <w:kern w:val="0"/>
      <w:sz w:val="24"/>
      <w:szCs w:val="20"/>
    </w:rPr>
  </w:style>
  <w:style w:type="paragraph" w:styleId="29">
    <w:name w:val="Balloon Text"/>
    <w:basedOn w:val="1"/>
    <w:link w:val="68"/>
    <w:autoRedefine/>
    <w:qFormat/>
    <w:uiPriority w:val="0"/>
    <w:rPr>
      <w:rFonts w:ascii="Times New Roman"/>
      <w:kern w:val="0"/>
      <w:sz w:val="18"/>
      <w:szCs w:val="20"/>
    </w:rPr>
  </w:style>
  <w:style w:type="paragraph" w:styleId="30">
    <w:name w:val="footer"/>
    <w:basedOn w:val="1"/>
    <w:link w:val="69"/>
    <w:autoRedefine/>
    <w:qFormat/>
    <w:uiPriority w:val="99"/>
    <w:pPr>
      <w:tabs>
        <w:tab w:val="center" w:pos="4153"/>
        <w:tab w:val="right" w:pos="8306"/>
      </w:tabs>
      <w:snapToGrid w:val="0"/>
    </w:pPr>
    <w:rPr>
      <w:rFonts w:ascii="Times New Roman"/>
      <w:kern w:val="0"/>
      <w:sz w:val="18"/>
      <w:szCs w:val="20"/>
    </w:rPr>
  </w:style>
  <w:style w:type="paragraph" w:styleId="31">
    <w:name w:val="header"/>
    <w:basedOn w:val="1"/>
    <w:link w:val="70"/>
    <w:autoRedefine/>
    <w:qFormat/>
    <w:uiPriority w:val="99"/>
    <w:pPr>
      <w:pBdr>
        <w:bottom w:val="single" w:color="auto" w:sz="6" w:space="1"/>
      </w:pBdr>
      <w:tabs>
        <w:tab w:val="center" w:pos="4153"/>
        <w:tab w:val="right" w:pos="8306"/>
      </w:tabs>
      <w:snapToGrid w:val="0"/>
      <w:jc w:val="center"/>
    </w:pPr>
    <w:rPr>
      <w:rFonts w:ascii="Times New Roman"/>
      <w:kern w:val="0"/>
      <w:sz w:val="18"/>
      <w:szCs w:val="20"/>
    </w:rPr>
  </w:style>
  <w:style w:type="paragraph" w:styleId="32">
    <w:name w:val="toc 1"/>
    <w:basedOn w:val="1"/>
    <w:next w:val="1"/>
    <w:autoRedefine/>
    <w:unhideWhenUsed/>
    <w:qFormat/>
    <w:uiPriority w:val="39"/>
    <w:pPr>
      <w:spacing w:after="100" w:line="259" w:lineRule="auto"/>
    </w:pPr>
    <w:rPr>
      <w:rFonts w:ascii="等线" w:hAnsi="等线" w:eastAsia="等线"/>
      <w:kern w:val="0"/>
      <w:sz w:val="22"/>
      <w:szCs w:val="22"/>
    </w:rPr>
  </w:style>
  <w:style w:type="paragraph" w:styleId="33">
    <w:name w:val="toc 4"/>
    <w:basedOn w:val="1"/>
    <w:next w:val="1"/>
    <w:autoRedefine/>
    <w:qFormat/>
    <w:uiPriority w:val="0"/>
    <w:pPr>
      <w:widowControl w:val="0"/>
      <w:adjustRightInd w:val="0"/>
      <w:spacing w:line="360" w:lineRule="atLeast"/>
      <w:ind w:left="720"/>
      <w:textAlignment w:val="baseline"/>
    </w:pPr>
    <w:rPr>
      <w:rFonts w:ascii="Times New Roman"/>
      <w:kern w:val="0"/>
      <w:sz w:val="24"/>
    </w:rPr>
  </w:style>
  <w:style w:type="paragraph" w:styleId="34">
    <w:name w:val="index heading"/>
    <w:basedOn w:val="1"/>
    <w:next w:val="35"/>
    <w:autoRedefine/>
    <w:qFormat/>
    <w:uiPriority w:val="0"/>
    <w:pPr>
      <w:widowControl w:val="0"/>
      <w:adjustRightInd w:val="0"/>
      <w:spacing w:line="312" w:lineRule="atLeast"/>
      <w:jc w:val="both"/>
      <w:textAlignment w:val="baseline"/>
    </w:pPr>
    <w:rPr>
      <w:rFonts w:ascii="Times New Roman"/>
      <w:kern w:val="0"/>
      <w:sz w:val="24"/>
      <w:szCs w:val="20"/>
    </w:rPr>
  </w:style>
  <w:style w:type="paragraph" w:styleId="35">
    <w:name w:val="index 1"/>
    <w:basedOn w:val="1"/>
    <w:next w:val="1"/>
    <w:autoRedefine/>
    <w:unhideWhenUsed/>
    <w:qFormat/>
    <w:uiPriority w:val="0"/>
    <w:pPr>
      <w:widowControl w:val="0"/>
      <w:adjustRightInd w:val="0"/>
      <w:spacing w:line="360" w:lineRule="atLeast"/>
      <w:textAlignment w:val="baseline"/>
    </w:pPr>
    <w:rPr>
      <w:rFonts w:ascii="Times New Roman"/>
      <w:kern w:val="0"/>
      <w:sz w:val="24"/>
      <w:szCs w:val="20"/>
    </w:rPr>
  </w:style>
  <w:style w:type="paragraph" w:styleId="36">
    <w:name w:val="Subtitle"/>
    <w:basedOn w:val="1"/>
    <w:next w:val="1"/>
    <w:link w:val="103"/>
    <w:autoRedefine/>
    <w:qFormat/>
    <w:uiPriority w:val="0"/>
    <w:pPr>
      <w:widowControl w:val="0"/>
      <w:adjustRightInd w:val="0"/>
      <w:spacing w:before="240" w:after="60" w:line="312" w:lineRule="atLeast"/>
      <w:jc w:val="center"/>
      <w:textAlignment w:val="baseline"/>
      <w:outlineLvl w:val="1"/>
    </w:pPr>
    <w:rPr>
      <w:rFonts w:ascii="Cambria" w:hAnsi="Cambria"/>
      <w:b/>
      <w:bCs/>
      <w:kern w:val="28"/>
      <w:sz w:val="32"/>
      <w:szCs w:val="32"/>
    </w:rPr>
  </w:style>
  <w:style w:type="paragraph" w:styleId="37">
    <w:name w:val="List"/>
    <w:basedOn w:val="1"/>
    <w:autoRedefine/>
    <w:qFormat/>
    <w:uiPriority w:val="0"/>
    <w:pPr>
      <w:widowControl w:val="0"/>
      <w:ind w:left="420" w:hanging="420"/>
      <w:jc w:val="both"/>
    </w:pPr>
    <w:rPr>
      <w:rFonts w:ascii="Times New Roman"/>
      <w:sz w:val="24"/>
      <w:szCs w:val="20"/>
    </w:rPr>
  </w:style>
  <w:style w:type="paragraph" w:styleId="38">
    <w:name w:val="toc 6"/>
    <w:basedOn w:val="1"/>
    <w:next w:val="1"/>
    <w:autoRedefine/>
    <w:qFormat/>
    <w:uiPriority w:val="0"/>
    <w:pPr>
      <w:widowControl w:val="0"/>
      <w:adjustRightInd w:val="0"/>
      <w:spacing w:line="360" w:lineRule="atLeast"/>
      <w:ind w:left="1200"/>
      <w:textAlignment w:val="baseline"/>
    </w:pPr>
    <w:rPr>
      <w:rFonts w:ascii="Times New Roman"/>
      <w:kern w:val="0"/>
      <w:sz w:val="24"/>
    </w:rPr>
  </w:style>
  <w:style w:type="paragraph" w:styleId="39">
    <w:name w:val="Body Text Indent 3"/>
    <w:basedOn w:val="1"/>
    <w:link w:val="104"/>
    <w:autoRedefine/>
    <w:qFormat/>
    <w:uiPriority w:val="0"/>
    <w:pPr>
      <w:widowControl w:val="0"/>
      <w:adjustRightInd w:val="0"/>
      <w:spacing w:line="312" w:lineRule="atLeast"/>
      <w:ind w:firstLine="567"/>
      <w:jc w:val="both"/>
      <w:textAlignment w:val="baseline"/>
    </w:pPr>
    <w:rPr>
      <w:rFonts w:ascii="仿宋体"/>
      <w:kern w:val="0"/>
      <w:sz w:val="28"/>
      <w:szCs w:val="20"/>
    </w:rPr>
  </w:style>
  <w:style w:type="paragraph" w:styleId="40">
    <w:name w:val="table of figures"/>
    <w:basedOn w:val="1"/>
    <w:next w:val="1"/>
    <w:autoRedefine/>
    <w:qFormat/>
    <w:uiPriority w:val="0"/>
    <w:pPr>
      <w:widowControl w:val="0"/>
      <w:ind w:left="420" w:hanging="420"/>
    </w:pPr>
    <w:rPr>
      <w:rFonts w:ascii="Times New Roman"/>
      <w:smallCaps/>
      <w:szCs w:val="24"/>
    </w:rPr>
  </w:style>
  <w:style w:type="paragraph" w:styleId="41">
    <w:name w:val="toc 2"/>
    <w:basedOn w:val="1"/>
    <w:next w:val="1"/>
    <w:autoRedefine/>
    <w:qFormat/>
    <w:uiPriority w:val="39"/>
    <w:pPr>
      <w:ind w:left="420" w:leftChars="200"/>
    </w:pPr>
  </w:style>
  <w:style w:type="paragraph" w:styleId="42">
    <w:name w:val="toc 9"/>
    <w:basedOn w:val="1"/>
    <w:next w:val="1"/>
    <w:autoRedefine/>
    <w:qFormat/>
    <w:uiPriority w:val="0"/>
    <w:pPr>
      <w:widowControl w:val="0"/>
      <w:adjustRightInd w:val="0"/>
      <w:spacing w:line="360" w:lineRule="atLeast"/>
      <w:ind w:left="1920"/>
      <w:textAlignment w:val="baseline"/>
    </w:pPr>
    <w:rPr>
      <w:rFonts w:ascii="Times New Roman"/>
      <w:kern w:val="0"/>
      <w:sz w:val="24"/>
    </w:rPr>
  </w:style>
  <w:style w:type="paragraph" w:styleId="43">
    <w:name w:val="Body Text 2"/>
    <w:basedOn w:val="1"/>
    <w:link w:val="105"/>
    <w:autoRedefine/>
    <w:qFormat/>
    <w:uiPriority w:val="0"/>
    <w:pPr>
      <w:widowControl w:val="0"/>
      <w:jc w:val="both"/>
    </w:pPr>
    <w:rPr>
      <w:rFonts w:ascii="Times New Roman"/>
      <w:szCs w:val="20"/>
    </w:rPr>
  </w:style>
  <w:style w:type="paragraph" w:styleId="44">
    <w:name w:val="List 4"/>
    <w:basedOn w:val="1"/>
    <w:autoRedefine/>
    <w:qFormat/>
    <w:uiPriority w:val="0"/>
    <w:pPr>
      <w:widowControl w:val="0"/>
      <w:ind w:left="100" w:leftChars="600" w:hanging="200" w:hangingChars="200"/>
      <w:jc w:val="both"/>
    </w:pPr>
    <w:rPr>
      <w:rFonts w:ascii="Times New Roman"/>
      <w:szCs w:val="24"/>
    </w:rPr>
  </w:style>
  <w:style w:type="paragraph" w:styleId="45">
    <w:name w:val="HTML Preformatted"/>
    <w:basedOn w:val="1"/>
    <w:link w:val="106"/>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hAnsi="宋体" w:cs="宋体"/>
      <w:kern w:val="0"/>
      <w:sz w:val="24"/>
      <w:szCs w:val="24"/>
    </w:rPr>
  </w:style>
  <w:style w:type="paragraph" w:styleId="46">
    <w:name w:val="Normal (Web)"/>
    <w:basedOn w:val="1"/>
    <w:link w:val="224"/>
    <w:autoRedefine/>
    <w:qFormat/>
    <w:uiPriority w:val="0"/>
    <w:pPr>
      <w:spacing w:before="100" w:beforeAutospacing="1" w:after="100" w:afterAutospacing="1"/>
    </w:pPr>
    <w:rPr>
      <w:rFonts w:hAnsi="宋体"/>
      <w:kern w:val="0"/>
      <w:sz w:val="24"/>
      <w:szCs w:val="20"/>
    </w:rPr>
  </w:style>
  <w:style w:type="paragraph" w:styleId="47">
    <w:name w:val="index 2"/>
    <w:basedOn w:val="1"/>
    <w:next w:val="1"/>
    <w:autoRedefine/>
    <w:qFormat/>
    <w:uiPriority w:val="0"/>
    <w:pPr>
      <w:widowControl w:val="0"/>
      <w:ind w:left="420" w:hanging="210"/>
    </w:pPr>
    <w:rPr>
      <w:rFonts w:ascii="Times New Roman"/>
      <w:sz w:val="20"/>
      <w:szCs w:val="20"/>
    </w:rPr>
  </w:style>
  <w:style w:type="paragraph" w:styleId="48">
    <w:name w:val="Title"/>
    <w:basedOn w:val="1"/>
    <w:next w:val="1"/>
    <w:link w:val="107"/>
    <w:autoRedefine/>
    <w:qFormat/>
    <w:uiPriority w:val="0"/>
    <w:pPr>
      <w:widowControl w:val="0"/>
      <w:adjustRightInd w:val="0"/>
      <w:spacing w:before="240" w:after="60" w:line="360" w:lineRule="atLeast"/>
      <w:jc w:val="center"/>
      <w:textAlignment w:val="baseline"/>
      <w:outlineLvl w:val="0"/>
    </w:pPr>
    <w:rPr>
      <w:rFonts w:ascii="Cambria" w:hAnsi="Cambria"/>
      <w:b/>
      <w:bCs/>
      <w:kern w:val="0"/>
      <w:sz w:val="32"/>
      <w:szCs w:val="32"/>
    </w:rPr>
  </w:style>
  <w:style w:type="paragraph" w:styleId="49">
    <w:name w:val="annotation subject"/>
    <w:basedOn w:val="17"/>
    <w:next w:val="17"/>
    <w:link w:val="72"/>
    <w:autoRedefine/>
    <w:qFormat/>
    <w:uiPriority w:val="0"/>
    <w:rPr>
      <w:b/>
      <w:kern w:val="2"/>
    </w:rPr>
  </w:style>
  <w:style w:type="paragraph" w:styleId="50">
    <w:name w:val="Body Text First Indent 2"/>
    <w:basedOn w:val="20"/>
    <w:next w:val="51"/>
    <w:link w:val="220"/>
    <w:autoRedefine/>
    <w:qFormat/>
    <w:uiPriority w:val="0"/>
    <w:pPr>
      <w:widowControl w:val="0"/>
      <w:spacing w:after="0" w:line="360" w:lineRule="auto"/>
      <w:ind w:left="675" w:leftChars="0"/>
      <w:jc w:val="both"/>
    </w:pPr>
    <w:rPr>
      <w:rFonts w:ascii="宋体"/>
      <w:kern w:val="2"/>
      <w:sz w:val="28"/>
    </w:rPr>
  </w:style>
  <w:style w:type="paragraph" w:customStyle="1" w:styleId="51">
    <w:name w:val="Default"/>
    <w:basedOn w:val="52"/>
    <w:next w:val="1"/>
    <w:autoRedefine/>
    <w:qFormat/>
    <w:uiPriority w:val="0"/>
    <w:pPr>
      <w:widowControl w:val="0"/>
      <w:adjustRightInd w:val="0"/>
    </w:pPr>
    <w:rPr>
      <w:color w:val="000000"/>
      <w:sz w:val="24"/>
      <w:lang w:val="en-US"/>
    </w:rPr>
  </w:style>
  <w:style w:type="paragraph" w:customStyle="1" w:styleId="52">
    <w:name w:val="文本"/>
    <w:basedOn w:val="1"/>
    <w:next w:val="1"/>
    <w:autoRedefine/>
    <w:qFormat/>
    <w:uiPriority w:val="0"/>
    <w:pPr>
      <w:autoSpaceDE w:val="0"/>
      <w:autoSpaceDN w:val="0"/>
      <w:ind w:firstLine="480"/>
    </w:pPr>
    <w:rPr>
      <w:szCs w:val="24"/>
      <w:lang w:val="zh-CN"/>
    </w:rPr>
  </w:style>
  <w:style w:type="table" w:styleId="54">
    <w:name w:val="Table Grid"/>
    <w:basedOn w:val="5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autoRedefine/>
    <w:qFormat/>
    <w:uiPriority w:val="0"/>
    <w:rPr>
      <w:b/>
      <w:bCs/>
    </w:rPr>
  </w:style>
  <w:style w:type="character" w:styleId="57">
    <w:name w:val="page number"/>
    <w:autoRedefine/>
    <w:qFormat/>
    <w:uiPriority w:val="0"/>
  </w:style>
  <w:style w:type="character" w:styleId="58">
    <w:name w:val="FollowedHyperlink"/>
    <w:autoRedefine/>
    <w:qFormat/>
    <w:uiPriority w:val="0"/>
    <w:rPr>
      <w:color w:val="005C81"/>
      <w:u w:val="none"/>
    </w:rPr>
  </w:style>
  <w:style w:type="character" w:styleId="59">
    <w:name w:val="Emphasis"/>
    <w:autoRedefine/>
    <w:qFormat/>
    <w:uiPriority w:val="0"/>
    <w:rPr>
      <w:i/>
      <w:iCs/>
    </w:rPr>
  </w:style>
  <w:style w:type="character" w:styleId="60">
    <w:name w:val="Hyperlink"/>
    <w:autoRedefine/>
    <w:unhideWhenUsed/>
    <w:qFormat/>
    <w:uiPriority w:val="99"/>
    <w:rPr>
      <w:color w:val="0563C1"/>
      <w:u w:val="single"/>
    </w:rPr>
  </w:style>
  <w:style w:type="character" w:styleId="61">
    <w:name w:val="annotation reference"/>
    <w:basedOn w:val="55"/>
    <w:autoRedefine/>
    <w:semiHidden/>
    <w:qFormat/>
    <w:uiPriority w:val="0"/>
    <w:rPr>
      <w:sz w:val="21"/>
      <w:szCs w:val="21"/>
    </w:rPr>
  </w:style>
  <w:style w:type="character" w:customStyle="1" w:styleId="62">
    <w:name w:val="标题 3 字符"/>
    <w:link w:val="6"/>
    <w:autoRedefine/>
    <w:qFormat/>
    <w:uiPriority w:val="0"/>
    <w:rPr>
      <w:rFonts w:ascii="宋体"/>
      <w:b/>
      <w:bCs/>
      <w:kern w:val="2"/>
      <w:sz w:val="32"/>
      <w:szCs w:val="32"/>
    </w:rPr>
  </w:style>
  <w:style w:type="character" w:customStyle="1" w:styleId="63">
    <w:name w:val="批注文字 字符"/>
    <w:link w:val="17"/>
    <w:autoRedefine/>
    <w:semiHidden/>
    <w:qFormat/>
    <w:uiPriority w:val="0"/>
    <w:rPr>
      <w:sz w:val="24"/>
    </w:rPr>
  </w:style>
  <w:style w:type="character" w:customStyle="1" w:styleId="64">
    <w:name w:val="正文文本 字符"/>
    <w:autoRedefine/>
    <w:qFormat/>
    <w:uiPriority w:val="0"/>
    <w:rPr>
      <w:sz w:val="18"/>
    </w:rPr>
  </w:style>
  <w:style w:type="character" w:customStyle="1" w:styleId="65">
    <w:name w:val="正文文本缩进 字符"/>
    <w:autoRedefine/>
    <w:qFormat/>
    <w:uiPriority w:val="0"/>
    <w:rPr>
      <w:rFonts w:ascii="Times New Roman" w:hAnsi="Times New Roman" w:eastAsia="宋体"/>
      <w:sz w:val="24"/>
    </w:rPr>
  </w:style>
  <w:style w:type="character" w:customStyle="1" w:styleId="66">
    <w:name w:val="纯文本 字符"/>
    <w:link w:val="26"/>
    <w:autoRedefine/>
    <w:qFormat/>
    <w:uiPriority w:val="0"/>
    <w:rPr>
      <w:rFonts w:ascii="宋体" w:hAnsi="Courier New"/>
      <w:spacing w:val="5"/>
      <w:kern w:val="2"/>
      <w:sz w:val="25"/>
      <w:szCs w:val="25"/>
    </w:rPr>
  </w:style>
  <w:style w:type="character" w:customStyle="1" w:styleId="67">
    <w:name w:val="日期 字符1"/>
    <w:link w:val="28"/>
    <w:autoRedefine/>
    <w:qFormat/>
    <w:uiPriority w:val="0"/>
    <w:rPr>
      <w:rFonts w:ascii="Times New Roman" w:hAnsi="Times New Roman" w:eastAsia="宋体"/>
      <w:sz w:val="24"/>
    </w:rPr>
  </w:style>
  <w:style w:type="character" w:customStyle="1" w:styleId="68">
    <w:name w:val="批注框文本 字符"/>
    <w:link w:val="29"/>
    <w:autoRedefine/>
    <w:qFormat/>
    <w:uiPriority w:val="0"/>
    <w:rPr>
      <w:rFonts w:ascii="Times New Roman" w:hAnsi="Times New Roman" w:eastAsia="宋体"/>
      <w:sz w:val="18"/>
    </w:rPr>
  </w:style>
  <w:style w:type="character" w:customStyle="1" w:styleId="69">
    <w:name w:val="页脚 字符1"/>
    <w:link w:val="30"/>
    <w:autoRedefine/>
    <w:qFormat/>
    <w:uiPriority w:val="99"/>
    <w:rPr>
      <w:sz w:val="18"/>
    </w:rPr>
  </w:style>
  <w:style w:type="character" w:customStyle="1" w:styleId="70">
    <w:name w:val="页眉 字符"/>
    <w:link w:val="31"/>
    <w:autoRedefine/>
    <w:qFormat/>
    <w:uiPriority w:val="99"/>
    <w:rPr>
      <w:sz w:val="18"/>
    </w:rPr>
  </w:style>
  <w:style w:type="character" w:customStyle="1" w:styleId="71">
    <w:name w:val="普通(网站) 字符"/>
    <w:autoRedefine/>
    <w:qFormat/>
    <w:uiPriority w:val="0"/>
    <w:rPr>
      <w:rFonts w:ascii="宋体" w:hAnsi="宋体" w:eastAsia="宋体"/>
      <w:sz w:val="24"/>
    </w:rPr>
  </w:style>
  <w:style w:type="character" w:customStyle="1" w:styleId="72">
    <w:name w:val="批注主题 字符"/>
    <w:link w:val="49"/>
    <w:autoRedefine/>
    <w:qFormat/>
    <w:uiPriority w:val="0"/>
    <w:rPr>
      <w:rFonts w:ascii="Times New Roman" w:hAnsi="Times New Roman" w:eastAsia="宋体"/>
      <w:b/>
      <w:kern w:val="2"/>
      <w:sz w:val="24"/>
    </w:rPr>
  </w:style>
  <w:style w:type="character" w:customStyle="1" w:styleId="73">
    <w:name w:val="页脚 字符"/>
    <w:autoRedefine/>
    <w:qFormat/>
    <w:uiPriority w:val="99"/>
  </w:style>
  <w:style w:type="character" w:customStyle="1" w:styleId="74">
    <w:name w:val="正文文本 字符1"/>
    <w:autoRedefine/>
    <w:semiHidden/>
    <w:qFormat/>
    <w:uiPriority w:val="0"/>
    <w:rPr>
      <w:rFonts w:ascii="Times New Roman" w:hAnsi="Times New Roman" w:eastAsia="宋体"/>
      <w:sz w:val="24"/>
    </w:rPr>
  </w:style>
  <w:style w:type="character" w:customStyle="1" w:styleId="75">
    <w:name w:val="表格 Char"/>
    <w:link w:val="76"/>
    <w:autoRedefine/>
    <w:qFormat/>
    <w:uiPriority w:val="0"/>
    <w:rPr>
      <w:rFonts w:ascii="宋体"/>
      <w:sz w:val="21"/>
    </w:rPr>
  </w:style>
  <w:style w:type="paragraph" w:customStyle="1" w:styleId="76">
    <w:name w:val="表格"/>
    <w:basedOn w:val="1"/>
    <w:next w:val="1"/>
    <w:link w:val="75"/>
    <w:autoRedefine/>
    <w:qFormat/>
    <w:uiPriority w:val="0"/>
    <w:pPr>
      <w:adjustRightInd w:val="0"/>
      <w:snapToGrid w:val="0"/>
      <w:spacing w:beforeLines="10" w:afterLines="10" w:line="259" w:lineRule="auto"/>
      <w:jc w:val="center"/>
    </w:pPr>
    <w:rPr>
      <w:kern w:val="0"/>
      <w:szCs w:val="20"/>
    </w:rPr>
  </w:style>
  <w:style w:type="character" w:customStyle="1" w:styleId="77">
    <w:name w:val="日期 字符"/>
    <w:autoRedefine/>
    <w:qFormat/>
    <w:uiPriority w:val="0"/>
    <w:rPr>
      <w:rFonts w:ascii="Times New Roman" w:hAnsi="Times New Roman" w:eastAsia="宋体"/>
      <w:sz w:val="24"/>
    </w:rPr>
  </w:style>
  <w:style w:type="character" w:customStyle="1" w:styleId="78">
    <w:name w:val="批注文字 字符1"/>
    <w:autoRedefine/>
    <w:semiHidden/>
    <w:qFormat/>
    <w:uiPriority w:val="0"/>
    <w:rPr>
      <w:rFonts w:ascii="Times New Roman" w:hAnsi="Times New Roman" w:eastAsia="宋体"/>
      <w:sz w:val="24"/>
    </w:rPr>
  </w:style>
  <w:style w:type="paragraph" w:customStyle="1" w:styleId="79">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0">
    <w:name w:val="普通(网站)2"/>
    <w:basedOn w:val="1"/>
    <w:autoRedefine/>
    <w:qFormat/>
    <w:uiPriority w:val="0"/>
    <w:pPr>
      <w:spacing w:before="100" w:beforeAutospacing="1" w:after="100" w:afterAutospacing="1"/>
    </w:pPr>
    <w:rPr>
      <w:rFonts w:hAnsi="宋体"/>
      <w:sz w:val="24"/>
      <w:szCs w:val="20"/>
    </w:rPr>
  </w:style>
  <w:style w:type="character" w:customStyle="1" w:styleId="81">
    <w:name w:val="报告书 正文 Char"/>
    <w:link w:val="82"/>
    <w:autoRedefine/>
    <w:qFormat/>
    <w:uiPriority w:val="0"/>
    <w:rPr>
      <w:rFonts w:hAnsi="宋体"/>
      <w:spacing w:val="5"/>
      <w:kern w:val="2"/>
      <w:sz w:val="25"/>
      <w:szCs w:val="25"/>
    </w:rPr>
  </w:style>
  <w:style w:type="paragraph" w:customStyle="1" w:styleId="82">
    <w:name w:val="报告书 正文"/>
    <w:basedOn w:val="1"/>
    <w:link w:val="81"/>
    <w:autoRedefine/>
    <w:qFormat/>
    <w:uiPriority w:val="0"/>
    <w:pPr>
      <w:spacing w:line="250" w:lineRule="auto"/>
      <w:ind w:firstLine="527" w:firstLineChars="200"/>
    </w:pPr>
    <w:rPr>
      <w:rFonts w:ascii="Times New Roman" w:hAnsi="宋体"/>
      <w:spacing w:val="5"/>
      <w:sz w:val="25"/>
      <w:szCs w:val="25"/>
    </w:rPr>
  </w:style>
  <w:style w:type="paragraph" w:customStyle="1" w:styleId="83">
    <w:name w:val="Char Char4 Char Char"/>
    <w:basedOn w:val="1"/>
    <w:autoRedefine/>
    <w:qFormat/>
    <w:uiPriority w:val="0"/>
    <w:rPr>
      <w:spacing w:val="5"/>
      <w:sz w:val="25"/>
      <w:szCs w:val="20"/>
    </w:rPr>
  </w:style>
  <w:style w:type="paragraph" w:customStyle="1" w:styleId="84">
    <w:name w:val="正文 新"/>
    <w:basedOn w:val="1"/>
    <w:autoRedefine/>
    <w:qFormat/>
    <w:uiPriority w:val="0"/>
    <w:pPr>
      <w:spacing w:line="440" w:lineRule="exact"/>
      <w:ind w:firstLine="200" w:firstLineChars="200"/>
    </w:pPr>
    <w:rPr>
      <w:sz w:val="25"/>
    </w:rPr>
  </w:style>
  <w:style w:type="table" w:customStyle="1" w:styleId="85">
    <w:name w:val="Table Normal"/>
    <w:autoRedefine/>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paragraph" w:customStyle="1" w:styleId="86">
    <w:name w:val="Table Paragraph"/>
    <w:basedOn w:val="1"/>
    <w:autoRedefine/>
    <w:qFormat/>
    <w:uiPriority w:val="1"/>
    <w:pPr>
      <w:autoSpaceDE w:val="0"/>
      <w:autoSpaceDN w:val="0"/>
    </w:pPr>
    <w:rPr>
      <w:rFonts w:hAnsi="宋体" w:cs="宋体"/>
      <w:kern w:val="0"/>
      <w:sz w:val="22"/>
      <w:szCs w:val="22"/>
      <w:lang w:eastAsia="en-US"/>
    </w:rPr>
  </w:style>
  <w:style w:type="paragraph" w:customStyle="1" w:styleId="87">
    <w:name w:val="TOC 标题1"/>
    <w:basedOn w:val="4"/>
    <w:next w:val="1"/>
    <w:autoRedefine/>
    <w:unhideWhenUsed/>
    <w:qFormat/>
    <w:uiPriority w:val="39"/>
    <w:pPr>
      <w:keepLines/>
      <w:overflowPunct/>
      <w:snapToGrid/>
      <w:spacing w:before="240" w:after="0"/>
      <w:ind w:left="0" w:firstLine="0"/>
      <w:outlineLvl w:val="9"/>
    </w:pPr>
    <w:rPr>
      <w:rFonts w:ascii="等线 Light" w:hAnsi="等线 Light" w:eastAsia="等线 Light"/>
      <w:b w:val="0"/>
      <w:bCs w:val="0"/>
      <w:color w:val="2F5496"/>
      <w:kern w:val="0"/>
      <w:sz w:val="32"/>
      <w:szCs w:val="32"/>
    </w:rPr>
  </w:style>
  <w:style w:type="paragraph" w:customStyle="1" w:styleId="88">
    <w:name w:val="TOC 标题2"/>
    <w:basedOn w:val="4"/>
    <w:next w:val="1"/>
    <w:autoRedefine/>
    <w:qFormat/>
    <w:uiPriority w:val="39"/>
    <w:pPr>
      <w:keepLines/>
      <w:overflowPunct/>
      <w:snapToGrid/>
      <w:spacing w:before="240" w:after="0"/>
      <w:ind w:left="0" w:firstLine="0"/>
      <w:outlineLvl w:val="9"/>
    </w:pPr>
    <w:rPr>
      <w:rFonts w:ascii="等线 Light" w:hAnsi="等线 Light" w:eastAsia="等线 Light"/>
      <w:b w:val="0"/>
      <w:bCs w:val="0"/>
      <w:color w:val="2E74B5"/>
      <w:kern w:val="0"/>
      <w:sz w:val="32"/>
      <w:szCs w:val="32"/>
    </w:rPr>
  </w:style>
  <w:style w:type="paragraph" w:customStyle="1" w:styleId="89">
    <w:name w:val="样式5"/>
    <w:basedOn w:val="1"/>
    <w:autoRedefine/>
    <w:qFormat/>
    <w:uiPriority w:val="0"/>
    <w:pPr>
      <w:spacing w:line="360" w:lineRule="auto"/>
      <w:ind w:firstLine="560" w:firstLineChars="200"/>
    </w:pPr>
    <w:rPr>
      <w:rFonts w:hAnsi="宋体"/>
      <w:sz w:val="28"/>
      <w:szCs w:val="24"/>
    </w:rPr>
  </w:style>
  <w:style w:type="character" w:customStyle="1" w:styleId="90">
    <w:name w:val="标题 2 字符"/>
    <w:autoRedefine/>
    <w:qFormat/>
    <w:uiPriority w:val="0"/>
    <w:rPr>
      <w:rFonts w:ascii="等线 Light" w:hAnsi="等线 Light" w:eastAsia="等线 Light" w:cs="Times New Roman"/>
      <w:b/>
      <w:bCs/>
      <w:kern w:val="2"/>
      <w:sz w:val="32"/>
      <w:szCs w:val="32"/>
    </w:rPr>
  </w:style>
  <w:style w:type="character" w:customStyle="1" w:styleId="91">
    <w:name w:val="标题 4 字符"/>
    <w:link w:val="3"/>
    <w:autoRedefine/>
    <w:qFormat/>
    <w:uiPriority w:val="0"/>
    <w:rPr>
      <w:rFonts w:ascii="Arial" w:hAnsi="Arial"/>
    </w:rPr>
  </w:style>
  <w:style w:type="character" w:customStyle="1" w:styleId="92">
    <w:name w:val="标题 5 字符"/>
    <w:link w:val="7"/>
    <w:autoRedefine/>
    <w:qFormat/>
    <w:uiPriority w:val="0"/>
    <w:rPr>
      <w:b/>
      <w:color w:val="000000"/>
      <w:kern w:val="2"/>
      <w:sz w:val="28"/>
    </w:rPr>
  </w:style>
  <w:style w:type="character" w:customStyle="1" w:styleId="93">
    <w:name w:val="标题 6 字符"/>
    <w:link w:val="8"/>
    <w:autoRedefine/>
    <w:qFormat/>
    <w:uiPriority w:val="0"/>
    <w:rPr>
      <w:rFonts w:ascii="Arial" w:hAnsi="Arial" w:eastAsia="黑体"/>
      <w:b/>
      <w:bCs/>
      <w:sz w:val="24"/>
      <w:szCs w:val="24"/>
    </w:rPr>
  </w:style>
  <w:style w:type="character" w:customStyle="1" w:styleId="94">
    <w:name w:val="标题 7 字符"/>
    <w:link w:val="9"/>
    <w:autoRedefine/>
    <w:qFormat/>
    <w:uiPriority w:val="0"/>
    <w:rPr>
      <w:b/>
      <w:bCs/>
      <w:sz w:val="24"/>
      <w:szCs w:val="24"/>
    </w:rPr>
  </w:style>
  <w:style w:type="character" w:customStyle="1" w:styleId="95">
    <w:name w:val="标题 8 字符"/>
    <w:link w:val="10"/>
    <w:autoRedefine/>
    <w:qFormat/>
    <w:uiPriority w:val="0"/>
    <w:rPr>
      <w:rFonts w:ascii="Arial" w:hAnsi="Arial" w:eastAsia="黑体"/>
      <w:sz w:val="24"/>
      <w:szCs w:val="24"/>
    </w:rPr>
  </w:style>
  <w:style w:type="character" w:customStyle="1" w:styleId="96">
    <w:name w:val="标题 9 字符"/>
    <w:link w:val="11"/>
    <w:autoRedefine/>
    <w:qFormat/>
    <w:uiPriority w:val="0"/>
    <w:rPr>
      <w:rFonts w:ascii="Arial" w:hAnsi="Arial" w:eastAsia="黑体"/>
      <w:sz w:val="21"/>
      <w:szCs w:val="21"/>
    </w:rPr>
  </w:style>
  <w:style w:type="character" w:customStyle="1" w:styleId="97">
    <w:name w:val="标题 1 字符"/>
    <w:link w:val="4"/>
    <w:autoRedefine/>
    <w:qFormat/>
    <w:uiPriority w:val="0"/>
    <w:rPr>
      <w:rFonts w:ascii="宋体" w:eastAsia="黑体"/>
      <w:b/>
      <w:bCs/>
      <w:color w:val="000000"/>
      <w:kern w:val="44"/>
      <w:sz w:val="30"/>
      <w:szCs w:val="30"/>
    </w:rPr>
  </w:style>
  <w:style w:type="character" w:customStyle="1" w:styleId="98">
    <w:name w:val="标题 2 字符1"/>
    <w:link w:val="5"/>
    <w:autoRedefine/>
    <w:qFormat/>
    <w:uiPriority w:val="0"/>
    <w:rPr>
      <w:rFonts w:ascii="仿宋_GB2312" w:eastAsia="仿宋_GB2312"/>
      <w:b/>
      <w:bCs/>
      <w:snapToGrid w:val="0"/>
      <w:kern w:val="28"/>
      <w:sz w:val="30"/>
      <w:szCs w:val="30"/>
    </w:rPr>
  </w:style>
  <w:style w:type="character" w:customStyle="1" w:styleId="99">
    <w:name w:val="文档结构图 字符"/>
    <w:link w:val="16"/>
    <w:autoRedefine/>
    <w:qFormat/>
    <w:uiPriority w:val="0"/>
    <w:rPr>
      <w:sz w:val="24"/>
      <w:shd w:val="clear" w:color="auto" w:fill="000080"/>
    </w:rPr>
  </w:style>
  <w:style w:type="character" w:customStyle="1" w:styleId="100">
    <w:name w:val="正文文本 3 字符"/>
    <w:link w:val="18"/>
    <w:autoRedefine/>
    <w:qFormat/>
    <w:uiPriority w:val="0"/>
    <w:rPr>
      <w:rFonts w:ascii="黑体" w:hAnsi="宋体" w:eastAsia="黑体"/>
      <w:b/>
      <w:bCs/>
      <w:kern w:val="2"/>
      <w:sz w:val="30"/>
      <w:szCs w:val="24"/>
    </w:rPr>
  </w:style>
  <w:style w:type="character" w:customStyle="1" w:styleId="101">
    <w:name w:val="正文文本缩进 2 字符"/>
    <w:link w:val="21"/>
    <w:autoRedefine/>
    <w:qFormat/>
    <w:uiPriority w:val="0"/>
    <w:rPr>
      <w:rFonts w:ascii="仿宋体"/>
      <w:sz w:val="28"/>
    </w:rPr>
  </w:style>
  <w:style w:type="paragraph" w:customStyle="1" w:styleId="102">
    <w:name w:val="样式1"/>
    <w:basedOn w:val="1"/>
    <w:autoRedefine/>
    <w:qFormat/>
    <w:uiPriority w:val="0"/>
    <w:pPr>
      <w:widowControl w:val="0"/>
      <w:adjustRightInd w:val="0"/>
      <w:spacing w:before="120" w:line="360" w:lineRule="auto"/>
      <w:jc w:val="both"/>
      <w:textAlignment w:val="baseline"/>
    </w:pPr>
    <w:rPr>
      <w:rFonts w:ascii="Times New Roman"/>
      <w:kern w:val="0"/>
      <w:sz w:val="24"/>
      <w:szCs w:val="20"/>
    </w:rPr>
  </w:style>
  <w:style w:type="character" w:customStyle="1" w:styleId="103">
    <w:name w:val="副标题 字符"/>
    <w:link w:val="36"/>
    <w:autoRedefine/>
    <w:qFormat/>
    <w:uiPriority w:val="0"/>
    <w:rPr>
      <w:rFonts w:ascii="Cambria" w:hAnsi="Cambria"/>
      <w:b/>
      <w:bCs/>
      <w:kern w:val="28"/>
      <w:sz w:val="32"/>
      <w:szCs w:val="32"/>
    </w:rPr>
  </w:style>
  <w:style w:type="character" w:customStyle="1" w:styleId="104">
    <w:name w:val="正文文本缩进 3 字符"/>
    <w:link w:val="39"/>
    <w:autoRedefine/>
    <w:qFormat/>
    <w:uiPriority w:val="0"/>
    <w:rPr>
      <w:rFonts w:ascii="仿宋体"/>
      <w:sz w:val="28"/>
    </w:rPr>
  </w:style>
  <w:style w:type="character" w:customStyle="1" w:styleId="105">
    <w:name w:val="正文文本 2 字符"/>
    <w:link w:val="43"/>
    <w:autoRedefine/>
    <w:qFormat/>
    <w:uiPriority w:val="0"/>
    <w:rPr>
      <w:kern w:val="2"/>
      <w:sz w:val="21"/>
    </w:rPr>
  </w:style>
  <w:style w:type="character" w:customStyle="1" w:styleId="106">
    <w:name w:val="HTML 预设格式 字符"/>
    <w:link w:val="45"/>
    <w:autoRedefine/>
    <w:qFormat/>
    <w:uiPriority w:val="0"/>
    <w:rPr>
      <w:rFonts w:ascii="宋体" w:hAnsi="宋体" w:cs="宋体"/>
      <w:sz w:val="24"/>
      <w:szCs w:val="24"/>
    </w:rPr>
  </w:style>
  <w:style w:type="character" w:customStyle="1" w:styleId="107">
    <w:name w:val="标题 字符"/>
    <w:link w:val="48"/>
    <w:autoRedefine/>
    <w:qFormat/>
    <w:uiPriority w:val="0"/>
    <w:rPr>
      <w:rFonts w:ascii="Cambria" w:hAnsi="Cambria"/>
      <w:b/>
      <w:bCs/>
      <w:sz w:val="32"/>
      <w:szCs w:val="32"/>
    </w:rPr>
  </w:style>
  <w:style w:type="character" w:customStyle="1" w:styleId="108">
    <w:name w:val="正文文本首行缩进 2 字符"/>
    <w:autoRedefine/>
    <w:qFormat/>
    <w:uiPriority w:val="0"/>
    <w:rPr>
      <w:rFonts w:ascii="宋体" w:hAnsi="Times New Roman" w:eastAsia="宋体"/>
      <w:kern w:val="2"/>
      <w:sz w:val="28"/>
    </w:rPr>
  </w:style>
  <w:style w:type="paragraph" w:customStyle="1" w:styleId="109">
    <w:name w:val="正文文本1"/>
    <w:basedOn w:val="1"/>
    <w:autoRedefine/>
    <w:qFormat/>
    <w:uiPriority w:val="0"/>
    <w:pPr>
      <w:widowControl w:val="0"/>
      <w:adjustRightInd w:val="0"/>
      <w:spacing w:line="360" w:lineRule="atLeast"/>
      <w:jc w:val="right"/>
      <w:textAlignment w:val="baseline"/>
    </w:pPr>
    <w:rPr>
      <w:kern w:val="0"/>
      <w:sz w:val="28"/>
      <w:szCs w:val="20"/>
    </w:rPr>
  </w:style>
  <w:style w:type="character" w:customStyle="1" w:styleId="110">
    <w:name w:val="hei141"/>
    <w:autoRedefine/>
    <w:qFormat/>
    <w:uiPriority w:val="0"/>
    <w:rPr>
      <w:color w:val="000000"/>
      <w:sz w:val="23"/>
      <w:szCs w:val="23"/>
    </w:rPr>
  </w:style>
  <w:style w:type="character" w:customStyle="1" w:styleId="111">
    <w:name w:val="明显强调1"/>
    <w:autoRedefine/>
    <w:qFormat/>
    <w:uiPriority w:val="21"/>
    <w:rPr>
      <w:i/>
      <w:iCs/>
      <w:color w:val="5B9BD5"/>
    </w:rPr>
  </w:style>
  <w:style w:type="character" w:customStyle="1" w:styleId="112">
    <w:name w:val="font31"/>
    <w:autoRedefine/>
    <w:qFormat/>
    <w:uiPriority w:val="0"/>
    <w:rPr>
      <w:rFonts w:hint="default" w:ascii="Times New Roman" w:hAnsi="Times New Roman" w:cs="Times New Roman"/>
      <w:b/>
      <w:color w:val="000000"/>
      <w:sz w:val="20"/>
      <w:szCs w:val="20"/>
      <w:u w:val="none"/>
    </w:rPr>
  </w:style>
  <w:style w:type="character" w:customStyle="1" w:styleId="113">
    <w:name w:val="+正文 Char"/>
    <w:link w:val="114"/>
    <w:autoRedefine/>
    <w:qFormat/>
    <w:uiPriority w:val="0"/>
    <w:rPr>
      <w:sz w:val="24"/>
      <w:szCs w:val="28"/>
    </w:rPr>
  </w:style>
  <w:style w:type="paragraph" w:customStyle="1" w:styleId="114">
    <w:name w:val="+正文"/>
    <w:basedOn w:val="1"/>
    <w:link w:val="113"/>
    <w:autoRedefine/>
    <w:qFormat/>
    <w:uiPriority w:val="0"/>
    <w:pPr>
      <w:widowControl w:val="0"/>
      <w:spacing w:line="360" w:lineRule="auto"/>
      <w:ind w:firstLine="200" w:firstLineChars="200"/>
      <w:jc w:val="both"/>
    </w:pPr>
    <w:rPr>
      <w:rFonts w:ascii="Times New Roman"/>
      <w:kern w:val="0"/>
      <w:sz w:val="24"/>
      <w:szCs w:val="28"/>
    </w:rPr>
  </w:style>
  <w:style w:type="character" w:customStyle="1" w:styleId="115">
    <w:name w:val="text11"/>
    <w:autoRedefine/>
    <w:qFormat/>
    <w:uiPriority w:val="0"/>
    <w:rPr>
      <w:sz w:val="20"/>
      <w:szCs w:val="20"/>
    </w:rPr>
  </w:style>
  <w:style w:type="character" w:customStyle="1" w:styleId="116">
    <w:name w:val="font01"/>
    <w:autoRedefine/>
    <w:qFormat/>
    <w:uiPriority w:val="0"/>
    <w:rPr>
      <w:rFonts w:hint="eastAsia" w:ascii="宋体" w:hAnsi="宋体" w:eastAsia="宋体" w:cs="宋体"/>
      <w:color w:val="000000"/>
      <w:sz w:val="22"/>
      <w:szCs w:val="22"/>
      <w:u w:val="none"/>
    </w:rPr>
  </w:style>
  <w:style w:type="character" w:customStyle="1" w:styleId="117">
    <w:name w:val="font21"/>
    <w:autoRedefine/>
    <w:qFormat/>
    <w:uiPriority w:val="0"/>
    <w:rPr>
      <w:rFonts w:hint="eastAsia" w:ascii="宋体" w:hAnsi="宋体" w:eastAsia="宋体" w:cs="宋体"/>
      <w:b/>
      <w:color w:val="000000"/>
      <w:sz w:val="20"/>
      <w:szCs w:val="20"/>
      <w:u w:val="none"/>
    </w:rPr>
  </w:style>
  <w:style w:type="character" w:customStyle="1" w:styleId="118">
    <w:name w:val="表号 Char"/>
    <w:link w:val="119"/>
    <w:autoRedefine/>
    <w:qFormat/>
    <w:uiPriority w:val="0"/>
    <w:rPr>
      <w:rFonts w:cs="宋体"/>
      <w:sz w:val="24"/>
      <w:szCs w:val="24"/>
    </w:rPr>
  </w:style>
  <w:style w:type="paragraph" w:customStyle="1" w:styleId="119">
    <w:name w:val="表号"/>
    <w:basedOn w:val="1"/>
    <w:link w:val="118"/>
    <w:autoRedefine/>
    <w:qFormat/>
    <w:uiPriority w:val="0"/>
    <w:pPr>
      <w:widowControl w:val="0"/>
      <w:spacing w:after="100" w:line="320" w:lineRule="exact"/>
      <w:ind w:firstLine="100" w:firstLineChars="100"/>
    </w:pPr>
    <w:rPr>
      <w:rFonts w:ascii="Times New Roman" w:cs="宋体"/>
      <w:kern w:val="0"/>
      <w:sz w:val="24"/>
      <w:szCs w:val="24"/>
    </w:rPr>
  </w:style>
  <w:style w:type="character" w:customStyle="1" w:styleId="120">
    <w:name w:val="font61"/>
    <w:autoRedefine/>
    <w:qFormat/>
    <w:uiPriority w:val="0"/>
    <w:rPr>
      <w:rFonts w:hint="default" w:ascii="Times New Roman" w:hAnsi="Times New Roman" w:cs="Times New Roman"/>
      <w:color w:val="000000"/>
      <w:sz w:val="36"/>
      <w:szCs w:val="36"/>
      <w:u w:val="none"/>
    </w:rPr>
  </w:style>
  <w:style w:type="character" w:customStyle="1" w:styleId="121">
    <w:name w:val="font11"/>
    <w:autoRedefine/>
    <w:qFormat/>
    <w:uiPriority w:val="0"/>
    <w:rPr>
      <w:rFonts w:ascii="仿宋_GB2312" w:eastAsia="仿宋_GB2312" w:cs="仿宋_GB2312"/>
      <w:color w:val="000000"/>
      <w:sz w:val="24"/>
      <w:szCs w:val="24"/>
      <w:u w:val="none"/>
    </w:rPr>
  </w:style>
  <w:style w:type="character" w:customStyle="1" w:styleId="122">
    <w:name w:val="占位符文本1"/>
    <w:autoRedefine/>
    <w:unhideWhenUsed/>
    <w:qFormat/>
    <w:uiPriority w:val="99"/>
    <w:rPr>
      <w:color w:val="808080"/>
    </w:rPr>
  </w:style>
  <w:style w:type="character" w:customStyle="1" w:styleId="123">
    <w:name w:val="font101"/>
    <w:autoRedefine/>
    <w:qFormat/>
    <w:uiPriority w:val="0"/>
    <w:rPr>
      <w:rFonts w:hint="eastAsia" w:ascii="宋体" w:hAnsi="宋体" w:eastAsia="宋体" w:cs="宋体"/>
      <w:color w:val="000000"/>
      <w:sz w:val="20"/>
      <w:szCs w:val="20"/>
      <w:u w:val="none"/>
    </w:rPr>
  </w:style>
  <w:style w:type="character" w:customStyle="1" w:styleId="124">
    <w:name w:val="font41"/>
    <w:autoRedefine/>
    <w:qFormat/>
    <w:uiPriority w:val="0"/>
    <w:rPr>
      <w:rFonts w:hint="eastAsia" w:ascii="宋体" w:hAnsi="宋体" w:eastAsia="宋体" w:cs="宋体"/>
      <w:color w:val="000000"/>
      <w:sz w:val="36"/>
      <w:szCs w:val="36"/>
      <w:u w:val="none"/>
    </w:rPr>
  </w:style>
  <w:style w:type="character" w:customStyle="1" w:styleId="125">
    <w:name w:val="font71"/>
    <w:autoRedefine/>
    <w:qFormat/>
    <w:uiPriority w:val="0"/>
    <w:rPr>
      <w:rFonts w:hint="default" w:ascii="Times New Roman" w:hAnsi="Times New Roman" w:cs="Times New Roman"/>
      <w:color w:val="000000"/>
      <w:sz w:val="20"/>
      <w:szCs w:val="20"/>
      <w:u w:val="none"/>
    </w:rPr>
  </w:style>
  <w:style w:type="character" w:customStyle="1" w:styleId="126">
    <w:name w:val="font81"/>
    <w:autoRedefine/>
    <w:qFormat/>
    <w:uiPriority w:val="0"/>
    <w:rPr>
      <w:rFonts w:hint="eastAsia" w:ascii="宋体" w:hAnsi="宋体" w:eastAsia="宋体" w:cs="宋体"/>
      <w:color w:val="000000"/>
      <w:sz w:val="20"/>
      <w:szCs w:val="20"/>
      <w:u w:val="none"/>
    </w:rPr>
  </w:style>
  <w:style w:type="paragraph" w:customStyle="1" w:styleId="127">
    <w:name w:val="xl3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28">
    <w:name w:val="xl45"/>
    <w:basedOn w:val="1"/>
    <w:autoRedefine/>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kern w:val="0"/>
      <w:sz w:val="24"/>
      <w:szCs w:val="24"/>
    </w:rPr>
  </w:style>
  <w:style w:type="paragraph" w:customStyle="1" w:styleId="129">
    <w:name w:val="xl56"/>
    <w:basedOn w:val="1"/>
    <w:autoRedefine/>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30">
    <w:name w:val="无间隔1"/>
    <w:autoRedefine/>
    <w:qFormat/>
    <w:uiPriority w:val="1"/>
    <w:pPr>
      <w:widowControl w:val="0"/>
      <w:jc w:val="both"/>
    </w:pPr>
    <w:rPr>
      <w:rFonts w:ascii="宋体" w:hAnsi="宋体" w:eastAsia="宋体" w:cs="Times New Roman"/>
      <w:kern w:val="2"/>
      <w:sz w:val="24"/>
      <w:szCs w:val="22"/>
      <w:lang w:val="en-US" w:eastAsia="zh-CN" w:bidi="ar-SA"/>
    </w:rPr>
  </w:style>
  <w:style w:type="paragraph" w:customStyle="1" w:styleId="131">
    <w:name w:val="xl4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32">
    <w:name w:val="xl35"/>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33">
    <w:name w:val="正文样式3"/>
    <w:basedOn w:val="1"/>
    <w:autoRedefine/>
    <w:qFormat/>
    <w:uiPriority w:val="0"/>
    <w:pPr>
      <w:widowControl w:val="0"/>
      <w:adjustRightInd w:val="0"/>
      <w:spacing w:line="20" w:lineRule="atLeast"/>
      <w:jc w:val="center"/>
      <w:textAlignment w:val="baseline"/>
    </w:pPr>
    <w:rPr>
      <w:rFonts w:ascii="Times New Roman"/>
      <w:kern w:val="0"/>
      <w:sz w:val="24"/>
      <w:szCs w:val="20"/>
    </w:rPr>
  </w:style>
  <w:style w:type="paragraph" w:customStyle="1" w:styleId="134">
    <w:name w:val="样式 A2 + 首行缩进:  0.85 厘米 段前: 0.5 行 段后: 0.5 行"/>
    <w:basedOn w:val="1"/>
    <w:autoRedefine/>
    <w:qFormat/>
    <w:uiPriority w:val="0"/>
    <w:pPr>
      <w:widowControl w:val="0"/>
      <w:snapToGrid w:val="0"/>
      <w:spacing w:beforeLines="50" w:afterLines="50" w:line="360" w:lineRule="auto"/>
      <w:outlineLvl w:val="1"/>
    </w:pPr>
    <w:rPr>
      <w:rFonts w:ascii="Times New Roman" w:cs="宋体"/>
      <w:b/>
      <w:bCs/>
      <w:sz w:val="32"/>
    </w:rPr>
  </w:style>
  <w:style w:type="paragraph" w:customStyle="1" w:styleId="135">
    <w:name w:val="xl58"/>
    <w:basedOn w:val="1"/>
    <w:autoRedefine/>
    <w:qFormat/>
    <w:uiPriority w:val="0"/>
    <w:pPr>
      <w:pBdr>
        <w:top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36">
    <w:name w:val="xl51"/>
    <w:basedOn w:val="1"/>
    <w:autoRedefine/>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kern w:val="0"/>
      <w:sz w:val="24"/>
      <w:szCs w:val="24"/>
    </w:rPr>
  </w:style>
  <w:style w:type="paragraph" w:customStyle="1" w:styleId="137">
    <w:name w:val="_Style 1"/>
    <w:basedOn w:val="1"/>
    <w:autoRedefine/>
    <w:qFormat/>
    <w:uiPriority w:val="34"/>
    <w:pPr>
      <w:widowControl w:val="0"/>
      <w:adjustRightInd w:val="0"/>
      <w:spacing w:line="580" w:lineRule="exact"/>
      <w:ind w:firstLine="420" w:firstLineChars="200"/>
      <w:textAlignment w:val="baseline"/>
    </w:pPr>
    <w:rPr>
      <w:rFonts w:ascii="Calibri" w:hAnsi="Calibri"/>
      <w:kern w:val="0"/>
      <w:sz w:val="24"/>
      <w:szCs w:val="22"/>
    </w:rPr>
  </w:style>
  <w:style w:type="paragraph" w:customStyle="1" w:styleId="138">
    <w:name w:val="font7"/>
    <w:basedOn w:val="1"/>
    <w:autoRedefine/>
    <w:qFormat/>
    <w:uiPriority w:val="0"/>
    <w:pPr>
      <w:spacing w:before="100" w:beforeAutospacing="1" w:after="100" w:afterAutospacing="1"/>
    </w:pPr>
    <w:rPr>
      <w:rFonts w:ascii="Times New Roman"/>
      <w:kern w:val="0"/>
      <w:sz w:val="20"/>
      <w:szCs w:val="20"/>
    </w:rPr>
  </w:style>
  <w:style w:type="paragraph" w:customStyle="1" w:styleId="139">
    <w:name w:val="xl59"/>
    <w:basedOn w:val="1"/>
    <w:autoRedefine/>
    <w:qFormat/>
    <w:uiPriority w:val="0"/>
    <w:pPr>
      <w:pBdr>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40">
    <w:name w:val="A3"/>
    <w:basedOn w:val="114"/>
    <w:next w:val="114"/>
    <w:autoRedefine/>
    <w:qFormat/>
    <w:uiPriority w:val="0"/>
    <w:pPr>
      <w:ind w:firstLine="0" w:firstLineChars="0"/>
      <w:jc w:val="left"/>
      <w:outlineLvl w:val="2"/>
    </w:pPr>
    <w:rPr>
      <w:rFonts w:ascii="等线" w:hAnsi="等线" w:eastAsia="等线"/>
      <w:b/>
      <w:sz w:val="30"/>
      <w:szCs w:val="30"/>
    </w:rPr>
  </w:style>
  <w:style w:type="paragraph" w:customStyle="1" w:styleId="141">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142">
    <w:name w:val="xl31"/>
    <w:basedOn w:val="1"/>
    <w:autoRedefine/>
    <w:qFormat/>
    <w:uiPriority w:val="0"/>
    <w:pP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43">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0"/>
      <w:szCs w:val="20"/>
    </w:rPr>
  </w:style>
  <w:style w:type="paragraph" w:customStyle="1" w:styleId="144">
    <w:name w:val="xl34"/>
    <w:basedOn w:val="1"/>
    <w:autoRedefine/>
    <w:qFormat/>
    <w:uiPriority w:val="0"/>
    <w:pPr>
      <w:pBdr>
        <w:bottom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45">
    <w:name w:val="xl48"/>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46">
    <w:name w:val="xl50"/>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47">
    <w:name w:val="xl4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48">
    <w:name w:val="段落2"/>
    <w:basedOn w:val="149"/>
    <w:autoRedefine/>
    <w:qFormat/>
    <w:uiPriority w:val="0"/>
    <w:pPr>
      <w:spacing w:line="400" w:lineRule="atLeast"/>
      <w:ind w:firstLine="454"/>
    </w:pPr>
    <w:rPr>
      <w:sz w:val="28"/>
    </w:rPr>
  </w:style>
  <w:style w:type="paragraph" w:customStyle="1" w:styleId="149">
    <w:name w:val="段落"/>
    <w:basedOn w:val="1"/>
    <w:autoRedefine/>
    <w:qFormat/>
    <w:uiPriority w:val="0"/>
    <w:pPr>
      <w:widowControl w:val="0"/>
      <w:adjustRightInd w:val="0"/>
      <w:spacing w:line="360" w:lineRule="atLeast"/>
      <w:ind w:firstLine="480"/>
      <w:textAlignment w:val="baseline"/>
    </w:pPr>
    <w:rPr>
      <w:rFonts w:ascii="Times New Roman"/>
      <w:kern w:val="0"/>
      <w:sz w:val="24"/>
      <w:szCs w:val="20"/>
    </w:rPr>
  </w:style>
  <w:style w:type="paragraph" w:customStyle="1" w:styleId="150">
    <w:name w:val="修订1"/>
    <w:autoRedefine/>
    <w:semiHidden/>
    <w:qFormat/>
    <w:uiPriority w:val="99"/>
    <w:rPr>
      <w:rFonts w:ascii="Times New Roman" w:hAnsi="Times New Roman" w:eastAsia="宋体" w:cs="Times New Roman"/>
      <w:sz w:val="24"/>
      <w:lang w:val="en-US" w:eastAsia="zh-CN" w:bidi="ar-SA"/>
    </w:rPr>
  </w:style>
  <w:style w:type="paragraph" w:customStyle="1" w:styleId="151">
    <w:name w:val="正文符号"/>
    <w:basedOn w:val="3"/>
    <w:autoRedefine/>
    <w:qFormat/>
    <w:uiPriority w:val="0"/>
    <w:pPr>
      <w:tabs>
        <w:tab w:val="left" w:pos="420"/>
        <w:tab w:val="clear" w:pos="1320"/>
      </w:tabs>
      <w:adjustRightInd/>
      <w:spacing w:line="240" w:lineRule="auto"/>
      <w:ind w:left="420" w:hanging="420"/>
      <w:textAlignment w:val="auto"/>
      <w:outlineLvl w:val="9"/>
    </w:pPr>
    <w:rPr>
      <w:rFonts w:ascii="Times New Roman" w:hAnsi="Times New Roman"/>
      <w:bCs/>
      <w:spacing w:val="2"/>
      <w:kern w:val="2"/>
      <w:sz w:val="28"/>
      <w:szCs w:val="28"/>
    </w:rPr>
  </w:style>
  <w:style w:type="paragraph" w:customStyle="1" w:styleId="152">
    <w:name w:val="xl4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53">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154">
    <w:name w:val="列出段落1"/>
    <w:basedOn w:val="1"/>
    <w:autoRedefine/>
    <w:qFormat/>
    <w:uiPriority w:val="99"/>
    <w:pPr>
      <w:widowControl w:val="0"/>
      <w:adjustRightInd w:val="0"/>
      <w:spacing w:line="360" w:lineRule="atLeast"/>
      <w:ind w:firstLine="420" w:firstLineChars="200"/>
      <w:textAlignment w:val="baseline"/>
    </w:pPr>
    <w:rPr>
      <w:rFonts w:ascii="Times New Roman"/>
      <w:kern w:val="0"/>
      <w:sz w:val="24"/>
      <w:szCs w:val="20"/>
    </w:rPr>
  </w:style>
  <w:style w:type="paragraph" w:customStyle="1" w:styleId="155">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Arial Unicode MS"/>
      <w:kern w:val="0"/>
      <w:sz w:val="20"/>
      <w:szCs w:val="20"/>
    </w:rPr>
  </w:style>
  <w:style w:type="paragraph" w:customStyle="1" w:styleId="156">
    <w:name w:val="xl60"/>
    <w:basedOn w:val="1"/>
    <w:autoRedefine/>
    <w:qFormat/>
    <w:uiPriority w:val="0"/>
    <w:pPr>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57">
    <w:name w:val="日期1"/>
    <w:basedOn w:val="1"/>
    <w:next w:val="1"/>
    <w:autoRedefine/>
    <w:qFormat/>
    <w:uiPriority w:val="0"/>
    <w:pPr>
      <w:widowControl w:val="0"/>
      <w:autoSpaceDE w:val="0"/>
      <w:autoSpaceDN w:val="0"/>
      <w:adjustRightInd w:val="0"/>
      <w:jc w:val="both"/>
      <w:textAlignment w:val="baseline"/>
    </w:pPr>
    <w:rPr>
      <w:rFonts w:ascii="楷体_GB2312" w:eastAsia="楷体_GB2312"/>
      <w:sz w:val="28"/>
      <w:szCs w:val="20"/>
    </w:rPr>
  </w:style>
  <w:style w:type="paragraph" w:customStyle="1" w:styleId="158">
    <w:name w:val="xl5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59">
    <w:name w:val="简单回函地址"/>
    <w:basedOn w:val="1"/>
    <w:autoRedefine/>
    <w:qFormat/>
    <w:uiPriority w:val="0"/>
    <w:pPr>
      <w:widowControl w:val="0"/>
      <w:jc w:val="both"/>
    </w:pPr>
    <w:rPr>
      <w:rFonts w:ascii="Times New Roman"/>
      <w:szCs w:val="24"/>
    </w:rPr>
  </w:style>
  <w:style w:type="paragraph" w:customStyle="1" w:styleId="160">
    <w:name w:val="xl55"/>
    <w:basedOn w:val="1"/>
    <w:autoRedefine/>
    <w:qFormat/>
    <w:uiPriority w:val="0"/>
    <w:pPr>
      <w:shd w:val="clear" w:color="auto" w:fill="FFFFFF"/>
      <w:spacing w:before="100" w:beforeAutospacing="1" w:after="100" w:afterAutospacing="1"/>
      <w:jc w:val="center"/>
      <w:textAlignment w:val="center"/>
    </w:pPr>
    <w:rPr>
      <w:rFonts w:ascii="Arial Unicode MS" w:hAnsi="Arial Unicode MS"/>
      <w:b/>
      <w:bCs/>
      <w:kern w:val="0"/>
      <w:sz w:val="32"/>
      <w:szCs w:val="32"/>
    </w:rPr>
  </w:style>
  <w:style w:type="paragraph" w:customStyle="1" w:styleId="161">
    <w:name w:val="xl53"/>
    <w:basedOn w:val="1"/>
    <w:autoRedefine/>
    <w:qFormat/>
    <w:uiPriority w:val="0"/>
    <w:pPr>
      <w:spacing w:before="100" w:beforeAutospacing="1" w:after="100" w:afterAutospacing="1"/>
      <w:textAlignment w:val="center"/>
    </w:pPr>
    <w:rPr>
      <w:rFonts w:ascii="Arial Unicode MS" w:hAnsi="Arial Unicode MS"/>
      <w:kern w:val="0"/>
      <w:sz w:val="24"/>
      <w:szCs w:val="24"/>
    </w:rPr>
  </w:style>
  <w:style w:type="paragraph" w:customStyle="1" w:styleId="162">
    <w:name w:val="BodyText1I2"/>
    <w:basedOn w:val="163"/>
    <w:autoRedefine/>
    <w:qFormat/>
    <w:uiPriority w:val="0"/>
    <w:pPr>
      <w:spacing w:after="120" w:line="360" w:lineRule="auto"/>
      <w:ind w:left="420" w:leftChars="200" w:firstLine="420"/>
    </w:pPr>
    <w:rPr>
      <w:sz w:val="21"/>
    </w:rPr>
  </w:style>
  <w:style w:type="paragraph" w:customStyle="1" w:styleId="163">
    <w:name w:val="BodyTextIndent"/>
    <w:basedOn w:val="1"/>
    <w:autoRedefine/>
    <w:qFormat/>
    <w:uiPriority w:val="0"/>
    <w:pPr>
      <w:widowControl w:val="0"/>
      <w:adjustRightInd w:val="0"/>
      <w:spacing w:line="360" w:lineRule="atLeast"/>
      <w:ind w:left="360" w:firstLine="540"/>
      <w:textAlignment w:val="baseline"/>
    </w:pPr>
    <w:rPr>
      <w:rFonts w:ascii="Times New Roman"/>
      <w:color w:val="000000"/>
      <w:kern w:val="0"/>
      <w:sz w:val="28"/>
      <w:szCs w:val="20"/>
    </w:rPr>
  </w:style>
  <w:style w:type="paragraph" w:customStyle="1" w:styleId="164">
    <w:name w:val="xl32"/>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65">
    <w:name w:val="font5"/>
    <w:basedOn w:val="1"/>
    <w:autoRedefine/>
    <w:qFormat/>
    <w:uiPriority w:val="0"/>
    <w:pPr>
      <w:spacing w:before="100" w:beforeAutospacing="1" w:after="100" w:afterAutospacing="1"/>
    </w:pPr>
    <w:rPr>
      <w:rFonts w:hint="eastAsia" w:hAnsi="宋体"/>
      <w:kern w:val="0"/>
      <w:sz w:val="18"/>
      <w:szCs w:val="18"/>
    </w:rPr>
  </w:style>
  <w:style w:type="paragraph" w:customStyle="1" w:styleId="166">
    <w:name w:val="xl57"/>
    <w:basedOn w:val="1"/>
    <w:autoRedefine/>
    <w:qFormat/>
    <w:uiPriority w:val="0"/>
    <w:pPr>
      <w:pBdr>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67">
    <w:name w:val="xl6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kern w:val="0"/>
      <w:sz w:val="24"/>
      <w:szCs w:val="24"/>
    </w:rPr>
  </w:style>
  <w:style w:type="paragraph" w:customStyle="1" w:styleId="168">
    <w:name w:val="xl24"/>
    <w:basedOn w:val="1"/>
    <w:autoRedefine/>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b/>
      <w:bCs/>
      <w:kern w:val="0"/>
      <w:sz w:val="20"/>
      <w:szCs w:val="20"/>
    </w:rPr>
  </w:style>
  <w:style w:type="paragraph" w:customStyle="1" w:styleId="169">
    <w:name w:val="z正文"/>
    <w:basedOn w:val="1"/>
    <w:autoRedefine/>
    <w:qFormat/>
    <w:uiPriority w:val="0"/>
    <w:pPr>
      <w:widowControl w:val="0"/>
      <w:kinsoku w:val="0"/>
      <w:adjustRightInd w:val="0"/>
      <w:snapToGrid w:val="0"/>
      <w:spacing w:line="360" w:lineRule="auto"/>
      <w:jc w:val="both"/>
    </w:pPr>
    <w:rPr>
      <w:rFonts w:ascii="Arial" w:hAnsi="Arial"/>
      <w:b/>
      <w:kern w:val="0"/>
      <w:sz w:val="28"/>
      <w:szCs w:val="20"/>
    </w:rPr>
  </w:style>
  <w:style w:type="paragraph" w:customStyle="1" w:styleId="170">
    <w:name w:val="xl41"/>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71">
    <w:name w:val="xl4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right"/>
      <w:textAlignment w:val="center"/>
    </w:pPr>
    <w:rPr>
      <w:rFonts w:ascii="Arial Unicode MS" w:hAnsi="Arial Unicode MS"/>
      <w:kern w:val="0"/>
      <w:sz w:val="24"/>
      <w:szCs w:val="24"/>
    </w:rPr>
  </w:style>
  <w:style w:type="paragraph" w:customStyle="1" w:styleId="172">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eastAsia="Arial Unicode MS"/>
      <w:kern w:val="0"/>
      <w:sz w:val="20"/>
      <w:szCs w:val="20"/>
    </w:rPr>
  </w:style>
  <w:style w:type="paragraph" w:customStyle="1" w:styleId="173">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hAnsi="宋体"/>
      <w:kern w:val="0"/>
      <w:sz w:val="24"/>
      <w:szCs w:val="24"/>
    </w:rPr>
  </w:style>
  <w:style w:type="paragraph" w:customStyle="1" w:styleId="174">
    <w:name w:val="hH"/>
    <w:basedOn w:val="1"/>
    <w:autoRedefine/>
    <w:qFormat/>
    <w:uiPriority w:val="0"/>
    <w:pPr>
      <w:widowControl w:val="0"/>
      <w:adjustRightInd w:val="0"/>
      <w:spacing w:line="360" w:lineRule="auto"/>
      <w:ind w:firstLine="50" w:firstLineChars="50"/>
      <w:textAlignment w:val="baseline"/>
    </w:pPr>
    <w:rPr>
      <w:rFonts w:ascii="Times New Roman"/>
      <w:kern w:val="0"/>
      <w:sz w:val="24"/>
      <w:szCs w:val="24"/>
    </w:rPr>
  </w:style>
  <w:style w:type="paragraph" w:customStyle="1" w:styleId="175">
    <w:name w:val="xl4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76">
    <w:name w:val="正文文本缩进2"/>
    <w:basedOn w:val="1"/>
    <w:autoRedefine/>
    <w:qFormat/>
    <w:uiPriority w:val="0"/>
    <w:pPr>
      <w:widowControl w:val="0"/>
      <w:adjustRightInd w:val="0"/>
      <w:spacing w:line="360" w:lineRule="auto"/>
      <w:ind w:firstLine="225" w:firstLineChars="225"/>
      <w:textAlignment w:val="baseline"/>
    </w:pPr>
    <w:rPr>
      <w:rFonts w:ascii="仿宋_GB2312" w:eastAsia="仿宋_GB2312"/>
      <w:kern w:val="0"/>
      <w:sz w:val="32"/>
      <w:szCs w:val="20"/>
    </w:rPr>
  </w:style>
  <w:style w:type="paragraph" w:customStyle="1" w:styleId="177">
    <w:name w:val="xl33"/>
    <w:basedOn w:val="1"/>
    <w:autoRedefine/>
    <w:qFormat/>
    <w:uiPriority w:val="0"/>
    <w:pPr>
      <w:pBdr>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styleId="178">
    <w:name w:val="List Paragraph"/>
    <w:basedOn w:val="1"/>
    <w:autoRedefine/>
    <w:qFormat/>
    <w:uiPriority w:val="99"/>
    <w:pPr>
      <w:widowControl w:val="0"/>
      <w:adjustRightInd w:val="0"/>
      <w:spacing w:line="360" w:lineRule="atLeast"/>
      <w:ind w:firstLine="420" w:firstLineChars="200"/>
      <w:textAlignment w:val="baseline"/>
    </w:pPr>
    <w:rPr>
      <w:rFonts w:ascii="Times New Roman"/>
      <w:kern w:val="0"/>
      <w:sz w:val="24"/>
      <w:szCs w:val="20"/>
    </w:rPr>
  </w:style>
  <w:style w:type="paragraph" w:customStyle="1" w:styleId="179">
    <w:name w:val="正文文本 21"/>
    <w:basedOn w:val="1"/>
    <w:autoRedefine/>
    <w:qFormat/>
    <w:uiPriority w:val="0"/>
    <w:pPr>
      <w:widowControl w:val="0"/>
      <w:adjustRightInd w:val="0"/>
      <w:spacing w:line="360" w:lineRule="auto"/>
      <w:ind w:firstLine="525"/>
      <w:jc w:val="both"/>
      <w:textAlignment w:val="baseline"/>
    </w:pPr>
    <w:rPr>
      <w:sz w:val="24"/>
      <w:szCs w:val="20"/>
    </w:rPr>
  </w:style>
  <w:style w:type="paragraph" w:customStyle="1" w:styleId="180">
    <w:name w:val="标题后正文"/>
    <w:basedOn w:val="1"/>
    <w:autoRedefine/>
    <w:qFormat/>
    <w:uiPriority w:val="0"/>
    <w:pPr>
      <w:widowControl w:val="0"/>
      <w:adjustRightInd w:val="0"/>
      <w:spacing w:line="360" w:lineRule="auto"/>
      <w:ind w:firstLine="200" w:firstLineChars="200"/>
      <w:jc w:val="both"/>
      <w:textAlignment w:val="baseline"/>
    </w:pPr>
    <w:rPr>
      <w:rFonts w:ascii="Arial" w:hAnsi="Arial"/>
      <w:snapToGrid w:val="0"/>
      <w:kern w:val="28"/>
      <w:sz w:val="24"/>
      <w:szCs w:val="20"/>
    </w:rPr>
  </w:style>
  <w:style w:type="paragraph" w:customStyle="1" w:styleId="181">
    <w:name w:val="xl36"/>
    <w:basedOn w:val="1"/>
    <w:autoRedefine/>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82">
    <w:name w:val="正文编号"/>
    <w:basedOn w:val="1"/>
    <w:autoRedefine/>
    <w:qFormat/>
    <w:uiPriority w:val="0"/>
    <w:pPr>
      <w:widowControl w:val="0"/>
      <w:tabs>
        <w:tab w:val="left" w:pos="1800"/>
      </w:tabs>
      <w:ind w:left="720"/>
    </w:pPr>
    <w:rPr>
      <w:rFonts w:ascii="Times New Roman"/>
      <w:spacing w:val="2"/>
      <w:sz w:val="28"/>
      <w:szCs w:val="24"/>
    </w:rPr>
  </w:style>
  <w:style w:type="paragraph" w:customStyle="1" w:styleId="183">
    <w:name w:val="正文文本缩进1"/>
    <w:basedOn w:val="1"/>
    <w:autoRedefine/>
    <w:qFormat/>
    <w:uiPriority w:val="0"/>
    <w:pPr>
      <w:widowControl w:val="0"/>
      <w:adjustRightInd w:val="0"/>
      <w:spacing w:line="360" w:lineRule="auto"/>
      <w:ind w:firstLine="720" w:firstLineChars="225"/>
      <w:textAlignment w:val="baseline"/>
    </w:pPr>
    <w:rPr>
      <w:rFonts w:ascii="仿宋_GB2312" w:eastAsia="仿宋_GB2312"/>
      <w:kern w:val="0"/>
      <w:sz w:val="32"/>
      <w:szCs w:val="20"/>
    </w:rPr>
  </w:style>
  <w:style w:type="paragraph" w:customStyle="1" w:styleId="184">
    <w:name w:val="=正文格式"/>
    <w:basedOn w:val="1"/>
    <w:autoRedefine/>
    <w:qFormat/>
    <w:uiPriority w:val="0"/>
    <w:pPr>
      <w:adjustRightInd w:val="0"/>
      <w:snapToGrid w:val="0"/>
      <w:spacing w:line="360" w:lineRule="auto"/>
      <w:ind w:firstLine="560" w:firstLineChars="200"/>
      <w:textAlignment w:val="baseline"/>
    </w:pPr>
    <w:rPr>
      <w:rFonts w:ascii="Cambria Math" w:hAnsi="Cambria Math" w:eastAsia="Tahoma"/>
      <w:color w:val="000000"/>
      <w:kern w:val="0"/>
      <w:sz w:val="28"/>
      <w:szCs w:val="28"/>
    </w:rPr>
  </w:style>
  <w:style w:type="paragraph" w:customStyle="1" w:styleId="185">
    <w:name w:val="xl37"/>
    <w:basedOn w:val="1"/>
    <w:autoRedefine/>
    <w:qFormat/>
    <w:uiPriority w:val="0"/>
    <w:pPr>
      <w:pBdr>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kern w:val="0"/>
      <w:sz w:val="24"/>
      <w:szCs w:val="24"/>
    </w:rPr>
  </w:style>
  <w:style w:type="paragraph" w:customStyle="1" w:styleId="186">
    <w:name w:val="xl46"/>
    <w:basedOn w:val="1"/>
    <w:autoRedefine/>
    <w:qFormat/>
    <w:uiPriority w:val="0"/>
    <w:pPr>
      <w:pBdr>
        <w:top w:val="single" w:color="auto" w:sz="4" w:space="0"/>
        <w:bottom w:val="single" w:color="auto" w:sz="4" w:space="0"/>
        <w:right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87">
    <w:name w:val="font6"/>
    <w:basedOn w:val="1"/>
    <w:autoRedefine/>
    <w:qFormat/>
    <w:uiPriority w:val="0"/>
    <w:pPr>
      <w:spacing w:before="100" w:beforeAutospacing="1" w:after="100" w:afterAutospacing="1"/>
    </w:pPr>
    <w:rPr>
      <w:rFonts w:ascii="Times New Roman"/>
      <w:kern w:val="0"/>
      <w:sz w:val="24"/>
      <w:szCs w:val="24"/>
    </w:rPr>
  </w:style>
  <w:style w:type="paragraph" w:customStyle="1" w:styleId="188">
    <w:name w:val="xl52"/>
    <w:basedOn w:val="1"/>
    <w:autoRedefine/>
    <w:qFormat/>
    <w:uiPriority w:val="0"/>
    <w:pPr>
      <w:pBdr>
        <w:top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kern w:val="0"/>
      <w:sz w:val="24"/>
      <w:szCs w:val="24"/>
    </w:rPr>
  </w:style>
  <w:style w:type="paragraph" w:customStyle="1" w:styleId="189">
    <w:name w:val="font9"/>
    <w:basedOn w:val="1"/>
    <w:autoRedefine/>
    <w:qFormat/>
    <w:uiPriority w:val="0"/>
    <w:pPr>
      <w:spacing w:before="100" w:beforeAutospacing="1" w:after="100" w:afterAutospacing="1"/>
    </w:pPr>
    <w:rPr>
      <w:rFonts w:hint="eastAsia" w:hAnsi="宋体"/>
      <w:b/>
      <w:bCs/>
      <w:color w:val="000000"/>
      <w:kern w:val="0"/>
      <w:sz w:val="18"/>
      <w:szCs w:val="18"/>
    </w:rPr>
  </w:style>
  <w:style w:type="paragraph" w:customStyle="1" w:styleId="190">
    <w:name w:val="Char"/>
    <w:basedOn w:val="1"/>
    <w:autoRedefine/>
    <w:qFormat/>
    <w:uiPriority w:val="0"/>
    <w:pPr>
      <w:widowControl w:val="0"/>
      <w:jc w:val="both"/>
    </w:pPr>
    <w:rPr>
      <w:rFonts w:ascii="Times New Roman"/>
      <w:szCs w:val="24"/>
    </w:rPr>
  </w:style>
  <w:style w:type="paragraph" w:customStyle="1" w:styleId="191">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eastAsia="Arial Unicode MS"/>
      <w:kern w:val="0"/>
      <w:sz w:val="20"/>
      <w:szCs w:val="20"/>
    </w:rPr>
  </w:style>
  <w:style w:type="paragraph" w:customStyle="1" w:styleId="192">
    <w:name w:val="xl40"/>
    <w:basedOn w:val="1"/>
    <w:autoRedefine/>
    <w:qFormat/>
    <w:uiPriority w:val="0"/>
    <w:pPr>
      <w:pBdr>
        <w:top w:val="single" w:color="auto" w:sz="4" w:space="0"/>
        <w:bottom w:val="single" w:color="auto" w:sz="4" w:space="0"/>
      </w:pBdr>
      <w:shd w:val="clear" w:color="auto" w:fill="FFFFFF"/>
      <w:spacing w:before="100" w:beforeAutospacing="1" w:after="100" w:afterAutospacing="1"/>
      <w:textAlignment w:val="center"/>
    </w:pPr>
    <w:rPr>
      <w:rFonts w:ascii="Arial Unicode MS" w:hAnsi="Arial Unicode MS"/>
      <w:kern w:val="0"/>
      <w:sz w:val="24"/>
      <w:szCs w:val="24"/>
    </w:rPr>
  </w:style>
  <w:style w:type="paragraph" w:customStyle="1" w:styleId="193">
    <w:name w:val="font8"/>
    <w:basedOn w:val="1"/>
    <w:autoRedefine/>
    <w:qFormat/>
    <w:uiPriority w:val="0"/>
    <w:pPr>
      <w:spacing w:before="100" w:beforeAutospacing="1" w:after="100" w:afterAutospacing="1"/>
    </w:pPr>
    <w:rPr>
      <w:rFonts w:hint="eastAsia" w:hAnsi="宋体"/>
      <w:color w:val="000000"/>
      <w:kern w:val="0"/>
      <w:sz w:val="18"/>
      <w:szCs w:val="18"/>
    </w:rPr>
  </w:style>
  <w:style w:type="paragraph" w:customStyle="1" w:styleId="194">
    <w:name w:val="页眉1"/>
    <w:basedOn w:val="1"/>
    <w:autoRedefine/>
    <w:qFormat/>
    <w:uiPriority w:val="0"/>
    <w:pPr>
      <w:widowControl w:val="0"/>
      <w:pBdr>
        <w:bottom w:val="single" w:color="auto" w:sz="6" w:space="1"/>
      </w:pBdr>
      <w:tabs>
        <w:tab w:val="center" w:pos="4153"/>
        <w:tab w:val="right" w:pos="8306"/>
      </w:tabs>
      <w:adjustRightInd w:val="0"/>
      <w:snapToGrid w:val="0"/>
      <w:spacing w:line="360" w:lineRule="atLeast"/>
      <w:jc w:val="center"/>
      <w:textAlignment w:val="baseline"/>
    </w:pPr>
    <w:rPr>
      <w:rFonts w:ascii="Times New Roman"/>
      <w:sz w:val="18"/>
      <w:szCs w:val="20"/>
    </w:rPr>
  </w:style>
  <w:style w:type="paragraph" w:customStyle="1" w:styleId="195">
    <w:name w:val="页脚1"/>
    <w:basedOn w:val="1"/>
    <w:autoRedefine/>
    <w:qFormat/>
    <w:uiPriority w:val="0"/>
    <w:pPr>
      <w:widowControl w:val="0"/>
      <w:tabs>
        <w:tab w:val="center" w:pos="4153"/>
        <w:tab w:val="right" w:pos="8306"/>
      </w:tabs>
      <w:adjustRightInd w:val="0"/>
      <w:snapToGrid w:val="0"/>
      <w:spacing w:line="360" w:lineRule="atLeast"/>
      <w:textAlignment w:val="baseline"/>
    </w:pPr>
    <w:rPr>
      <w:rFonts w:ascii="Times New Roman"/>
      <w:sz w:val="18"/>
      <w:szCs w:val="20"/>
    </w:rPr>
  </w:style>
  <w:style w:type="paragraph" w:customStyle="1" w:styleId="196">
    <w:name w:val="正文缩进1"/>
    <w:basedOn w:val="1"/>
    <w:autoRedefine/>
    <w:qFormat/>
    <w:uiPriority w:val="0"/>
    <w:pPr>
      <w:widowControl w:val="0"/>
      <w:autoSpaceDE w:val="0"/>
      <w:autoSpaceDN w:val="0"/>
      <w:adjustRightInd w:val="0"/>
      <w:ind w:firstLine="420"/>
      <w:jc w:val="both"/>
      <w:textAlignment w:val="baseline"/>
    </w:pPr>
    <w:rPr>
      <w:rFonts w:ascii="Times New Roman"/>
      <w:szCs w:val="20"/>
    </w:rPr>
  </w:style>
  <w:style w:type="paragraph" w:customStyle="1" w:styleId="197">
    <w:name w:val="纯文本1"/>
    <w:basedOn w:val="1"/>
    <w:autoRedefine/>
    <w:qFormat/>
    <w:uiPriority w:val="0"/>
    <w:pPr>
      <w:widowControl w:val="0"/>
      <w:pBdr>
        <w:top w:val="none" w:color="auto" w:sz="0" w:space="1"/>
        <w:left w:val="none" w:color="auto" w:sz="0" w:space="4"/>
        <w:bottom w:val="none" w:color="auto" w:sz="0" w:space="1"/>
        <w:right w:val="none" w:color="auto" w:sz="0" w:space="4"/>
      </w:pBdr>
      <w:adjustRightInd w:val="0"/>
      <w:textAlignment w:val="baseline"/>
    </w:pPr>
    <w:rPr>
      <w:rFonts w:hAnsi="宋体"/>
      <w:kern w:val="0"/>
      <w:szCs w:val="20"/>
    </w:rPr>
  </w:style>
  <w:style w:type="character" w:customStyle="1" w:styleId="198">
    <w:name w:val="dbm1o"/>
    <w:autoRedefine/>
    <w:qFormat/>
    <w:uiPriority w:val="0"/>
    <w:rPr>
      <w:color w:val="C2C2C2"/>
    </w:rPr>
  </w:style>
  <w:style w:type="character" w:customStyle="1" w:styleId="199">
    <w:name w:val="curr"/>
    <w:autoRedefine/>
    <w:qFormat/>
    <w:uiPriority w:val="0"/>
    <w:rPr>
      <w:color w:val="336699"/>
      <w:shd w:val="clear" w:color="auto" w:fill="FFFFFF"/>
    </w:rPr>
  </w:style>
  <w:style w:type="character" w:customStyle="1" w:styleId="200">
    <w:name w:val="zucetime"/>
    <w:autoRedefine/>
    <w:qFormat/>
    <w:uiPriority w:val="0"/>
  </w:style>
  <w:style w:type="character" w:customStyle="1" w:styleId="201">
    <w:name w:val="zucebt"/>
    <w:autoRedefine/>
    <w:qFormat/>
    <w:uiPriority w:val="0"/>
  </w:style>
  <w:style w:type="paragraph" w:customStyle="1" w:styleId="202">
    <w:name w:val="正文1"/>
    <w:basedOn w:val="1"/>
    <w:autoRedefine/>
    <w:qFormat/>
    <w:uiPriority w:val="0"/>
    <w:pPr>
      <w:widowControl w:val="0"/>
      <w:adjustRightInd w:val="0"/>
      <w:spacing w:line="318" w:lineRule="atLeast"/>
      <w:ind w:left="369" w:firstLine="369"/>
      <w:textAlignment w:val="baseline"/>
    </w:pPr>
    <w:rPr>
      <w:rFonts w:ascii="Times New Roman"/>
      <w:kern w:val="0"/>
      <w:sz w:val="24"/>
      <w:szCs w:val="20"/>
    </w:rPr>
  </w:style>
  <w:style w:type="paragraph" w:customStyle="1" w:styleId="203">
    <w:name w:val="Body text|1"/>
    <w:basedOn w:val="1"/>
    <w:autoRedefine/>
    <w:qFormat/>
    <w:uiPriority w:val="0"/>
    <w:pPr>
      <w:widowControl w:val="0"/>
      <w:adjustRightInd w:val="0"/>
      <w:spacing w:line="408" w:lineRule="auto"/>
      <w:ind w:firstLine="400"/>
      <w:textAlignment w:val="baseline"/>
    </w:pPr>
    <w:rPr>
      <w:rFonts w:hAnsi="宋体" w:cs="宋体"/>
      <w:kern w:val="0"/>
      <w:sz w:val="24"/>
      <w:szCs w:val="20"/>
      <w:lang w:val="zh-TW" w:eastAsia="zh-TW" w:bidi="zh-TW"/>
    </w:rPr>
  </w:style>
  <w:style w:type="paragraph" w:customStyle="1" w:styleId="204">
    <w:name w:val="Header or footer|2"/>
    <w:basedOn w:val="1"/>
    <w:autoRedefine/>
    <w:qFormat/>
    <w:uiPriority w:val="0"/>
    <w:pPr>
      <w:widowControl w:val="0"/>
      <w:adjustRightInd w:val="0"/>
      <w:spacing w:line="360" w:lineRule="atLeast"/>
      <w:textAlignment w:val="baseline"/>
    </w:pPr>
    <w:rPr>
      <w:rFonts w:ascii="Times New Roman"/>
      <w:kern w:val="0"/>
      <w:sz w:val="20"/>
      <w:szCs w:val="20"/>
      <w:lang w:val="zh-TW" w:eastAsia="zh-TW" w:bidi="zh-TW"/>
    </w:rPr>
  </w:style>
  <w:style w:type="paragraph" w:customStyle="1" w:styleId="205">
    <w:name w:val="Heading #5|1"/>
    <w:basedOn w:val="1"/>
    <w:autoRedefine/>
    <w:qFormat/>
    <w:uiPriority w:val="0"/>
    <w:pPr>
      <w:widowControl w:val="0"/>
      <w:adjustRightInd w:val="0"/>
      <w:spacing w:after="70" w:line="360" w:lineRule="atLeast"/>
      <w:textAlignment w:val="baseline"/>
      <w:outlineLvl w:val="4"/>
    </w:pPr>
    <w:rPr>
      <w:rFonts w:hAnsi="宋体" w:cs="宋体"/>
      <w:kern w:val="0"/>
      <w:sz w:val="28"/>
      <w:szCs w:val="28"/>
      <w:lang w:val="zh-TW" w:eastAsia="zh-TW" w:bidi="zh-TW"/>
    </w:rPr>
  </w:style>
  <w:style w:type="paragraph" w:customStyle="1" w:styleId="206">
    <w:name w:val="Body text|2"/>
    <w:basedOn w:val="1"/>
    <w:autoRedefine/>
    <w:qFormat/>
    <w:uiPriority w:val="0"/>
    <w:pPr>
      <w:widowControl w:val="0"/>
      <w:adjustRightInd w:val="0"/>
      <w:spacing w:after="60" w:line="360" w:lineRule="atLeast"/>
      <w:textAlignment w:val="baseline"/>
    </w:pPr>
    <w:rPr>
      <w:rFonts w:hAnsi="宋体" w:cs="宋体"/>
      <w:kern w:val="0"/>
      <w:sz w:val="20"/>
      <w:szCs w:val="20"/>
      <w:lang w:val="zh-TW" w:eastAsia="zh-TW" w:bidi="zh-TW"/>
    </w:rPr>
  </w:style>
  <w:style w:type="paragraph" w:customStyle="1" w:styleId="207">
    <w:name w:val="Heading #6|1"/>
    <w:basedOn w:val="1"/>
    <w:autoRedefine/>
    <w:qFormat/>
    <w:uiPriority w:val="0"/>
    <w:pPr>
      <w:widowControl w:val="0"/>
      <w:adjustRightInd w:val="0"/>
      <w:spacing w:line="360" w:lineRule="atLeast"/>
      <w:textAlignment w:val="baseline"/>
      <w:outlineLvl w:val="5"/>
    </w:pPr>
    <w:rPr>
      <w:rFonts w:hAnsi="宋体" w:cs="宋体"/>
      <w:kern w:val="0"/>
      <w:sz w:val="28"/>
      <w:szCs w:val="28"/>
      <w:lang w:val="zh-TW" w:eastAsia="zh-TW" w:bidi="zh-TW"/>
    </w:rPr>
  </w:style>
  <w:style w:type="paragraph" w:customStyle="1" w:styleId="208">
    <w:name w:val="Table caption|1"/>
    <w:basedOn w:val="1"/>
    <w:autoRedefine/>
    <w:qFormat/>
    <w:uiPriority w:val="0"/>
    <w:pPr>
      <w:widowControl w:val="0"/>
      <w:adjustRightInd w:val="0"/>
      <w:spacing w:line="360" w:lineRule="atLeast"/>
      <w:textAlignment w:val="baseline"/>
    </w:pPr>
    <w:rPr>
      <w:rFonts w:hAnsi="宋体" w:cs="宋体"/>
      <w:kern w:val="0"/>
      <w:sz w:val="24"/>
      <w:szCs w:val="20"/>
      <w:lang w:val="zh-TW" w:eastAsia="zh-TW" w:bidi="zh-TW"/>
    </w:rPr>
  </w:style>
  <w:style w:type="paragraph" w:customStyle="1" w:styleId="209">
    <w:name w:val="Other|1"/>
    <w:basedOn w:val="1"/>
    <w:autoRedefine/>
    <w:qFormat/>
    <w:uiPriority w:val="0"/>
    <w:pPr>
      <w:widowControl w:val="0"/>
      <w:adjustRightInd w:val="0"/>
      <w:spacing w:line="408" w:lineRule="auto"/>
      <w:ind w:firstLine="400"/>
      <w:textAlignment w:val="baseline"/>
    </w:pPr>
    <w:rPr>
      <w:rFonts w:hAnsi="宋体" w:cs="宋体"/>
      <w:kern w:val="0"/>
      <w:sz w:val="24"/>
      <w:szCs w:val="20"/>
      <w:lang w:val="zh-TW" w:eastAsia="zh-TW" w:bidi="zh-TW"/>
    </w:rPr>
  </w:style>
  <w:style w:type="paragraph" w:customStyle="1" w:styleId="210">
    <w:name w:val="Body text|3"/>
    <w:basedOn w:val="1"/>
    <w:autoRedefine/>
    <w:qFormat/>
    <w:uiPriority w:val="0"/>
    <w:pPr>
      <w:widowControl w:val="0"/>
      <w:adjustRightInd w:val="0"/>
      <w:spacing w:line="360" w:lineRule="atLeast"/>
      <w:textAlignment w:val="baseline"/>
    </w:pPr>
    <w:rPr>
      <w:rFonts w:ascii="Times New Roman"/>
      <w:b/>
      <w:bCs/>
      <w:kern w:val="0"/>
      <w:sz w:val="22"/>
      <w:szCs w:val="22"/>
    </w:rPr>
  </w:style>
  <w:style w:type="paragraph" w:customStyle="1" w:styleId="211">
    <w:name w:val="Heading #7|1"/>
    <w:basedOn w:val="1"/>
    <w:autoRedefine/>
    <w:qFormat/>
    <w:uiPriority w:val="0"/>
    <w:pPr>
      <w:widowControl w:val="0"/>
      <w:adjustRightInd w:val="0"/>
      <w:spacing w:after="180" w:line="360" w:lineRule="atLeast"/>
      <w:textAlignment w:val="baseline"/>
      <w:outlineLvl w:val="6"/>
    </w:pPr>
    <w:rPr>
      <w:rFonts w:hAnsi="宋体" w:cs="宋体"/>
      <w:kern w:val="0"/>
      <w:sz w:val="28"/>
      <w:szCs w:val="28"/>
      <w:lang w:val="zh-TW" w:eastAsia="zh-TW" w:bidi="zh-TW"/>
    </w:rPr>
  </w:style>
  <w:style w:type="paragraph" w:customStyle="1" w:styleId="212">
    <w:name w:val="Header or footer|1"/>
    <w:basedOn w:val="1"/>
    <w:autoRedefine/>
    <w:qFormat/>
    <w:uiPriority w:val="0"/>
    <w:pPr>
      <w:widowControl w:val="0"/>
      <w:adjustRightInd w:val="0"/>
      <w:spacing w:line="360" w:lineRule="atLeast"/>
      <w:textAlignment w:val="baseline"/>
    </w:pPr>
    <w:rPr>
      <w:rFonts w:hAnsi="宋体" w:cs="宋体"/>
      <w:kern w:val="0"/>
      <w:sz w:val="20"/>
      <w:szCs w:val="20"/>
      <w:lang w:val="zh-TW" w:eastAsia="zh-TW" w:bidi="zh-TW"/>
    </w:rPr>
  </w:style>
  <w:style w:type="paragraph" w:customStyle="1" w:styleId="213">
    <w:name w:val="a)初设文字-指标"/>
    <w:basedOn w:val="214"/>
    <w:autoRedefine/>
    <w:qFormat/>
    <w:uiPriority w:val="0"/>
    <w:pPr>
      <w:tabs>
        <w:tab w:val="right" w:pos="7770"/>
      </w:tabs>
      <w:spacing w:line="360" w:lineRule="auto"/>
      <w:ind w:left="630" w:leftChars="300"/>
    </w:pPr>
  </w:style>
  <w:style w:type="paragraph" w:customStyle="1" w:styleId="214">
    <w:name w:val="a)初设正文-段落"/>
    <w:basedOn w:val="1"/>
    <w:autoRedefine/>
    <w:qFormat/>
    <w:uiPriority w:val="0"/>
    <w:pPr>
      <w:widowControl w:val="0"/>
      <w:adjustRightInd w:val="0"/>
      <w:spacing w:line="360" w:lineRule="atLeast"/>
      <w:textAlignment w:val="baseline"/>
    </w:pPr>
    <w:rPr>
      <w:rFonts w:ascii="仿宋_GB2312" w:eastAsia="仿宋_GB2312"/>
      <w:kern w:val="0"/>
      <w:sz w:val="24"/>
      <w:szCs w:val="20"/>
    </w:rPr>
  </w:style>
  <w:style w:type="paragraph" w:customStyle="1" w:styleId="215">
    <w:name w:val="表文字"/>
    <w:basedOn w:val="1"/>
    <w:autoRedefine/>
    <w:qFormat/>
    <w:uiPriority w:val="0"/>
    <w:pPr>
      <w:widowControl w:val="0"/>
      <w:adjustRightInd w:val="0"/>
      <w:textAlignment w:val="baseline"/>
    </w:pPr>
    <w:rPr>
      <w:rFonts w:ascii="Times New Roman"/>
      <w:bCs/>
      <w:kern w:val="0"/>
      <w:sz w:val="24"/>
      <w:szCs w:val="20"/>
    </w:rPr>
  </w:style>
  <w:style w:type="paragraph" w:customStyle="1" w:styleId="216">
    <w:name w:val="m标题 2"/>
    <w:next w:val="1"/>
    <w:autoRedefine/>
    <w:qFormat/>
    <w:uiPriority w:val="0"/>
    <w:pPr>
      <w:keepNext/>
      <w:adjustRightInd w:val="0"/>
      <w:spacing w:line="360" w:lineRule="auto"/>
      <w:outlineLvl w:val="1"/>
    </w:pPr>
    <w:rPr>
      <w:rFonts w:ascii="Cambria" w:hAnsi="Cambria" w:eastAsia="宋体" w:cs="Times New Roman"/>
      <w:b/>
      <w:bCs/>
      <w:kern w:val="2"/>
      <w:sz w:val="28"/>
      <w:szCs w:val="28"/>
      <w:lang w:val="en-US" w:eastAsia="en-US" w:bidi="ar-SA"/>
    </w:rPr>
  </w:style>
  <w:style w:type="paragraph" w:customStyle="1" w:styleId="217">
    <w:name w:val="content"/>
    <w:autoRedefine/>
    <w:qFormat/>
    <w:uiPriority w:val="0"/>
    <w:pPr>
      <w:adjustRightInd w:val="0"/>
      <w:spacing w:line="360" w:lineRule="auto"/>
      <w:ind w:firstLine="480" w:firstLineChars="200"/>
      <w:jc w:val="both"/>
    </w:pPr>
    <w:rPr>
      <w:rFonts w:ascii="Times New Roman" w:hAnsi="Times New Roman" w:eastAsia="宋体" w:cs="Times New Roman"/>
      <w:sz w:val="28"/>
      <w:szCs w:val="24"/>
      <w:lang w:val="en-US" w:eastAsia="zh-CN" w:bidi="ar-SA"/>
    </w:rPr>
  </w:style>
  <w:style w:type="character" w:customStyle="1" w:styleId="218">
    <w:name w:val="font51"/>
    <w:autoRedefine/>
    <w:qFormat/>
    <w:uiPriority w:val="0"/>
    <w:rPr>
      <w:rFonts w:hint="default" w:ascii="Calibri" w:hAnsi="Calibri" w:cs="Calibri"/>
      <w:color w:val="000000"/>
      <w:sz w:val="18"/>
      <w:szCs w:val="18"/>
      <w:u w:val="none"/>
    </w:rPr>
  </w:style>
  <w:style w:type="character" w:customStyle="1" w:styleId="219">
    <w:name w:val="fontstyle01"/>
    <w:basedOn w:val="55"/>
    <w:autoRedefine/>
    <w:qFormat/>
    <w:uiPriority w:val="0"/>
    <w:rPr>
      <w:rFonts w:ascii="宋体" w:hAnsi="宋体" w:eastAsia="宋体" w:cs="宋体"/>
      <w:color w:val="000000"/>
      <w:sz w:val="22"/>
      <w:szCs w:val="22"/>
    </w:rPr>
  </w:style>
  <w:style w:type="character" w:customStyle="1" w:styleId="220">
    <w:name w:val="正文文本首行缩进 2 字符1"/>
    <w:basedOn w:val="221"/>
    <w:link w:val="50"/>
    <w:autoRedefine/>
    <w:qFormat/>
    <w:uiPriority w:val="0"/>
    <w:rPr>
      <w:kern w:val="2"/>
      <w:sz w:val="21"/>
      <w:szCs w:val="24"/>
    </w:rPr>
  </w:style>
  <w:style w:type="character" w:customStyle="1" w:styleId="221">
    <w:name w:val="正文文本缩进 字符1"/>
    <w:basedOn w:val="55"/>
    <w:link w:val="20"/>
    <w:autoRedefine/>
    <w:qFormat/>
    <w:uiPriority w:val="0"/>
    <w:rPr>
      <w:kern w:val="2"/>
      <w:sz w:val="21"/>
      <w:szCs w:val="24"/>
    </w:rPr>
  </w:style>
  <w:style w:type="character" w:customStyle="1" w:styleId="222">
    <w:name w:val="正文文本 Char"/>
    <w:basedOn w:val="55"/>
    <w:autoRedefine/>
    <w:qFormat/>
    <w:uiPriority w:val="0"/>
    <w:rPr>
      <w:kern w:val="2"/>
      <w:sz w:val="21"/>
      <w:szCs w:val="24"/>
    </w:rPr>
  </w:style>
  <w:style w:type="character" w:customStyle="1" w:styleId="223">
    <w:name w:val="正文文本 字符2"/>
    <w:basedOn w:val="55"/>
    <w:link w:val="19"/>
    <w:autoRedefine/>
    <w:qFormat/>
    <w:uiPriority w:val="0"/>
    <w:rPr>
      <w:sz w:val="18"/>
    </w:rPr>
  </w:style>
  <w:style w:type="character" w:customStyle="1" w:styleId="224">
    <w:name w:val="普通(网站) 字符1"/>
    <w:basedOn w:val="55"/>
    <w:link w:val="46"/>
    <w:autoRedefine/>
    <w:qFormat/>
    <w:uiPriority w:val="0"/>
    <w:rPr>
      <w:rFonts w:hint="eastAsia" w:ascii="宋体" w:hAnsi="宋体" w:eastAsia="宋体" w:cs="宋体"/>
      <w:sz w:val="24"/>
    </w:rPr>
  </w:style>
  <w:style w:type="character" w:customStyle="1" w:styleId="225">
    <w:name w:val="fontstyle21"/>
    <w:basedOn w:val="55"/>
    <w:autoRedefine/>
    <w:qFormat/>
    <w:uiPriority w:val="0"/>
    <w:rPr>
      <w:rFonts w:ascii="TimesNewRomanPSMT" w:hAnsi="TimesNewRomanPSMT" w:eastAsia="TimesNewRomanPSMT" w:cs="TimesNewRomanPSMT"/>
      <w:color w:val="000000"/>
      <w:sz w:val="22"/>
      <w:szCs w:val="22"/>
    </w:rPr>
  </w:style>
  <w:style w:type="character" w:customStyle="1" w:styleId="226">
    <w:name w:val="fontstyle11"/>
    <w:basedOn w:val="55"/>
    <w:autoRedefine/>
    <w:qFormat/>
    <w:uiPriority w:val="0"/>
    <w:rPr>
      <w:rFonts w:ascii="TimesNewRomanPSMT" w:hAnsi="TimesNewRomanPSMT" w:eastAsia="TimesNewRomanPSMT" w:cs="TimesNewRomanPSMT"/>
      <w:color w:val="000000"/>
      <w:sz w:val="22"/>
      <w:szCs w:val="22"/>
    </w:rPr>
  </w:style>
  <w:style w:type="character" w:customStyle="1" w:styleId="227">
    <w:name w:val="fontstyle31"/>
    <w:basedOn w:val="55"/>
    <w:autoRedefine/>
    <w:qFormat/>
    <w:uiPriority w:val="0"/>
    <w:rPr>
      <w:rFonts w:ascii="TimesNewRomanPSMT" w:hAnsi="TimesNewRomanPSMT" w:eastAsia="TimesNewRomanPSMT" w:cs="TimesNewRomanPSMT"/>
      <w:color w:val="000000"/>
      <w:sz w:val="22"/>
      <w:szCs w:val="22"/>
    </w:rPr>
  </w:style>
  <w:style w:type="paragraph" w:customStyle="1" w:styleId="228">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29">
    <w:name w:val="g表格标题"/>
    <w:autoRedefine/>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230">
    <w:name w:val="表中文字"/>
    <w:basedOn w:val="1"/>
    <w:autoRedefine/>
    <w:qFormat/>
    <w:uiPriority w:val="0"/>
    <w:pPr>
      <w:adjustRightInd w:val="0"/>
      <w:snapToGrid w:val="0"/>
      <w:spacing w:line="240" w:lineRule="atLeast"/>
      <w:ind w:firstLine="0" w:firstLineChars="0"/>
      <w:jc w:val="center"/>
    </w:pPr>
    <w:rPr>
      <w:rFonts w:eastAsia="宋体"/>
      <w:kern w:val="0"/>
      <w:sz w:val="21"/>
      <w:szCs w:val="24"/>
      <w:lang w:val="zh-CN"/>
    </w:rPr>
  </w:style>
  <w:style w:type="paragraph" w:customStyle="1" w:styleId="231">
    <w:name w:val="表内"/>
    <w:basedOn w:val="1"/>
    <w:autoRedefine/>
    <w:qFormat/>
    <w:uiPriority w:val="0"/>
    <w:pPr>
      <w:adjustRightInd w:val="0"/>
      <w:snapToGrid w:val="0"/>
      <w:ind w:left="-105" w:leftChars="-50" w:right="-105" w:rightChars="-50"/>
      <w:jc w:val="center"/>
    </w:pPr>
    <w:rPr>
      <w:rFonts w:ascii="宋体" w:hAnsi="宋体"/>
      <w:bCs/>
      <w:color w:val="000000"/>
      <w:kern w:val="0"/>
      <w:szCs w:val="21"/>
    </w:rPr>
  </w:style>
  <w:style w:type="paragraph" w:customStyle="1" w:styleId="232">
    <w:name w:val="Table Text"/>
    <w:basedOn w:val="1"/>
    <w:autoRedefine/>
    <w:semiHidden/>
    <w:qFormat/>
    <w:uiPriority w:val="0"/>
    <w:rPr>
      <w:rFonts w:ascii="宋体" w:hAnsi="宋体" w:eastAsia="宋体" w:cs="宋体"/>
      <w:sz w:val="24"/>
      <w:szCs w:val="24"/>
      <w:lang w:val="en-US" w:eastAsia="en-US" w:bidi="ar-SA"/>
    </w:rPr>
  </w:style>
  <w:style w:type="paragraph" w:customStyle="1" w:styleId="233">
    <w:name w:val="...正文"/>
    <w:basedOn w:val="1"/>
    <w:autoRedefine/>
    <w:qFormat/>
    <w:uiPriority w:val="0"/>
    <w:pPr>
      <w:spacing w:line="480" w:lineRule="exact"/>
      <w:ind w:firstLine="560" w:firstLineChars="200"/>
      <w:jc w:val="both"/>
    </w:pPr>
    <w:rPr>
      <w:rFonts w:ascii="Times New Roman" w:hAnsi="Times New Roman" w:eastAsia="宋体" w:cs="Times New Roman"/>
      <w:kern w:val="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17.wmf"/><Relationship Id="rId31" Type="http://schemas.openxmlformats.org/officeDocument/2006/relationships/oleObject" Target="embeddings/oleObject1.bin"/><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image" Target="media/image11.wmf"/><Relationship Id="rId24" Type="http://schemas.openxmlformats.org/officeDocument/2006/relationships/image" Target="media/image10.wmf"/><Relationship Id="rId23" Type="http://schemas.openxmlformats.org/officeDocument/2006/relationships/image" Target="media/image9.wmf"/><Relationship Id="rId22" Type="http://schemas.openxmlformats.org/officeDocument/2006/relationships/image" Target="media/image8.wmf"/><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E91729-D6BC-4A9B-A5F9-95F1058D3D6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73</Pages>
  <Words>41665</Words>
  <Characters>48133</Characters>
  <Lines>401</Lines>
  <Paragraphs>112</Paragraphs>
  <TotalTime>0</TotalTime>
  <ScaleCrop>false</ScaleCrop>
  <LinksUpToDate>false</LinksUpToDate>
  <CharactersWithSpaces>48388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2022-09-21T12:32:00Z</dcterms:created>
  <dc:creator>lpss</dc:creator>
  <cp:lastModifiedBy>幸福小女人</cp:lastModifiedBy>
  <cp:lastPrinted>2024-05-09T06:00:06Z</cp:lastPrinted>
  <dcterms:modified xsi:type="dcterms:W3CDTF">2024-05-09T06:00:32Z</dcterms:modified>
  <dc:title>报告表</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329B620762B142FB830147CB69CDEC04_13</vt:lpwstr>
  </property>
</Properties>
</file>