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highlight w:val="none"/>
          <w14:textFill>
            <w14:solidFill>
              <w14:schemeClr w14:val="tx1"/>
            </w14:solidFill>
          </w14:textFill>
        </w:rPr>
      </w:pPr>
    </w:p>
    <w:p>
      <w:pPr>
        <w:rPr>
          <w:rFonts w:ascii="仿宋_GB2312" w:hAnsi="仿宋_GB2312" w:eastAsia="仿宋_GB2312" w:cs="仿宋_GB2312"/>
          <w:color w:val="000000" w:themeColor="text1"/>
          <w:sz w:val="36"/>
          <w:szCs w:val="36"/>
          <w:highlight w:val="none"/>
          <w14:textFill>
            <w14:solidFill>
              <w14:schemeClr w14:val="tx1"/>
            </w14:solidFill>
          </w14:textFill>
        </w:rPr>
      </w:pPr>
    </w:p>
    <w:p>
      <w:pPr>
        <w:snapToGrid w:val="0"/>
        <w:rPr>
          <w:rFonts w:ascii="仿宋_GB2312" w:hAnsi="仿宋_GB2312" w:eastAsia="仿宋_GB2312" w:cs="仿宋_GB2312"/>
          <w:color w:val="000000" w:themeColor="text1"/>
          <w:sz w:val="36"/>
          <w:szCs w:val="36"/>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ascii="方正小标宋_GBK" w:hAnsi="方正小标宋_GBK" w:eastAsia="方正小标宋_GBK" w:cs="方正小标宋_GBK"/>
          <w:bCs/>
          <w:color w:val="000000" w:themeColor="text1"/>
          <w:sz w:val="72"/>
          <w:szCs w:val="72"/>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72"/>
          <w:szCs w:val="72"/>
          <w:highlight w:val="none"/>
          <w:lang w:bidi="ar"/>
          <w14:textFill>
            <w14:solidFill>
              <w14:schemeClr w14:val="tx1"/>
            </w14:solidFill>
          </w14:textFill>
        </w:rPr>
        <w:t>建设项目环境影响报告表</w:t>
      </w:r>
    </w:p>
    <w:p>
      <w:pPr>
        <w:keepNext w:val="0"/>
        <w:keepLines w:val="0"/>
        <w:pageBreakBefore w:val="0"/>
        <w:widowControl w:val="0"/>
        <w:kinsoku/>
        <w:wordWrap/>
        <w:overflowPunct/>
        <w:topLinePunct w:val="0"/>
        <w:autoSpaceDE/>
        <w:autoSpaceDN/>
        <w:bidi w:val="0"/>
        <w:adjustRightInd w:val="0"/>
        <w:snapToGrid w:val="0"/>
        <w:spacing w:before="249" w:beforeLines="80"/>
        <w:ind w:firstLine="0" w:firstLineChars="0"/>
        <w:jc w:val="center"/>
        <w:textAlignment w:val="auto"/>
        <w:rPr>
          <w:rFonts w:ascii="楷体_GB2312" w:eastAsia="楷体_GB2312" w:cs="楷体_GB2312"/>
          <w:bCs/>
          <w:color w:val="000000" w:themeColor="text1"/>
          <w:sz w:val="48"/>
          <w:szCs w:val="48"/>
          <w:highlight w:val="none"/>
          <w14:textFill>
            <w14:solidFill>
              <w14:schemeClr w14:val="tx1"/>
            </w14:solidFill>
          </w14:textFill>
        </w:rPr>
      </w:pPr>
      <w:r>
        <w:rPr>
          <w:rFonts w:hint="eastAsia" w:ascii="楷体_GB2312" w:hAnsi="Times New Roman" w:eastAsia="楷体_GB2312" w:cs="楷体_GB2312"/>
          <w:bCs/>
          <w:color w:val="000000" w:themeColor="text1"/>
          <w:sz w:val="48"/>
          <w:szCs w:val="48"/>
          <w:highlight w:val="none"/>
          <w:lang w:bidi="ar"/>
          <w14:textFill>
            <w14:solidFill>
              <w14:schemeClr w14:val="tx1"/>
            </w14:solidFill>
          </w14:textFill>
        </w:rPr>
        <w:t>（污染影响类）</w:t>
      </w:r>
    </w:p>
    <w:p>
      <w:pPr>
        <w:adjustRightInd w:val="0"/>
        <w:snapToGrid w:val="0"/>
        <w:spacing w:line="288" w:lineRule="auto"/>
        <w:jc w:val="center"/>
        <w:outlineLvl w:val="0"/>
        <w:rPr>
          <w:rFonts w:hint="eastAsia" w:ascii="华文仿宋" w:hAnsi="华文仿宋" w:eastAsia="华文仿宋" w:cs="华文仿宋"/>
          <w:color w:val="000000" w:themeColor="text1"/>
          <w:kern w:val="44"/>
          <w:sz w:val="44"/>
          <w:szCs w:val="44"/>
          <w:highlight w:val="none"/>
          <w:lang w:eastAsia="zh-CN"/>
          <w14:textFill>
            <w14:solidFill>
              <w14:schemeClr w14:val="tx1"/>
            </w14:solidFill>
          </w14:textFill>
        </w:rPr>
      </w:pPr>
    </w:p>
    <w:p>
      <w:pPr>
        <w:jc w:val="center"/>
        <w:rPr>
          <w:rFonts w:eastAsia="仿宋"/>
          <w:color w:val="000000" w:themeColor="text1"/>
          <w:sz w:val="52"/>
          <w:szCs w:val="52"/>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pStyle w:val="6"/>
        <w:rPr>
          <w:color w:val="000000" w:themeColor="text1"/>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_GB2312" w:hAnsi="Times New Roman" w:eastAsia="仿宋_GB2312" w:cs="仿宋_GB2312"/>
          <w:color w:val="000000" w:themeColor="text1"/>
          <w:sz w:val="36"/>
          <w:szCs w:val="36"/>
          <w:highlight w:val="none"/>
          <w:lang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88" w:lineRule="auto"/>
        <w:ind w:left="2520" w:leftChars="300" w:hanging="1800" w:hangingChars="500"/>
        <w:jc w:val="both"/>
        <w:textAlignment w:val="auto"/>
        <w:rPr>
          <w:rFonts w:hint="default" w:ascii="仿宋_GB2312" w:hAnsi="Times New Roman" w:eastAsia="仿宋_GB2312" w:cs="仿宋_GB2312"/>
          <w:color w:val="000000" w:themeColor="text1"/>
          <w:sz w:val="36"/>
          <w:szCs w:val="36"/>
          <w:highlight w:val="none"/>
          <w:u w:val="single"/>
          <w:lang w:val="en-US" w:eastAsia="zh-CN" w:bidi="ar"/>
          <w14:textFill>
            <w14:solidFill>
              <w14:schemeClr w14:val="tx1"/>
            </w14:solidFill>
          </w14:textFill>
        </w:rPr>
      </w:pPr>
      <w:r>
        <w:rPr>
          <w:rFonts w:hint="eastAsia" w:ascii="仿宋_GB2312" w:hAnsi="Times New Roman" w:eastAsia="仿宋_GB2312" w:cs="仿宋_GB2312"/>
          <w:color w:val="000000" w:themeColor="text1"/>
          <w:sz w:val="36"/>
          <w:szCs w:val="36"/>
          <w:highlight w:val="none"/>
          <w:lang w:bidi="ar"/>
          <w14:textFill>
            <w14:solidFill>
              <w14:schemeClr w14:val="tx1"/>
            </w14:solidFill>
          </w14:textFill>
        </w:rPr>
        <w:t>项目名称：</w:t>
      </w:r>
      <w:r>
        <w:rPr>
          <w:rFonts w:hint="eastAsia" w:ascii="仿宋_GB2312" w:eastAsia="仿宋_GB2312" w:cs="仿宋_GB2312"/>
          <w:color w:val="000000" w:themeColor="text1"/>
          <w:sz w:val="36"/>
          <w:szCs w:val="36"/>
          <w:highlight w:val="none"/>
          <w:u w:val="single"/>
          <w:lang w:eastAsia="zh-CN" w:bidi="ar"/>
          <w14:textFill>
            <w14:solidFill>
              <w14:schemeClr w14:val="tx1"/>
            </w14:solidFill>
          </w14:textFill>
        </w:rPr>
        <w:t>斯科赛斯家具承德有限公司年生产铁制、板式家具</w:t>
      </w:r>
      <w:r>
        <w:rPr>
          <w:rFonts w:hint="eastAsia" w:ascii="仿宋_GB2312" w:eastAsia="仿宋_GB2312" w:cs="仿宋_GB2312"/>
          <w:color w:val="000000" w:themeColor="text1"/>
          <w:sz w:val="36"/>
          <w:szCs w:val="36"/>
          <w:highlight w:val="none"/>
          <w:u w:val="single"/>
          <w:lang w:val="en-US" w:eastAsia="zh-CN" w:bidi="ar"/>
          <w14:textFill>
            <w14:solidFill>
              <w14:schemeClr w14:val="tx1"/>
            </w14:solidFill>
          </w14:textFill>
        </w:rPr>
        <w:t>10万套</w:t>
      </w:r>
      <w:r>
        <w:rPr>
          <w:rFonts w:hint="eastAsia" w:ascii="仿宋_GB2312" w:eastAsia="仿宋_GB2312" w:cs="仿宋_GB2312"/>
          <w:color w:val="000000" w:themeColor="text1"/>
          <w:sz w:val="36"/>
          <w:szCs w:val="36"/>
          <w:highlight w:val="none"/>
          <w:u w:val="single"/>
          <w:lang w:eastAsia="zh-CN" w:bidi="ar"/>
          <w14:textFill>
            <w14:solidFill>
              <w14:schemeClr w14:val="tx1"/>
            </w14:solidFill>
          </w14:textFill>
        </w:rPr>
        <w:t>项目</w:t>
      </w:r>
    </w:p>
    <w:p>
      <w:pPr>
        <w:keepNext w:val="0"/>
        <w:keepLines w:val="0"/>
        <w:pageBreakBefore w:val="0"/>
        <w:widowControl w:val="0"/>
        <w:kinsoku/>
        <w:wordWrap/>
        <w:overflowPunct/>
        <w:topLinePunct w:val="0"/>
        <w:autoSpaceDE/>
        <w:autoSpaceDN/>
        <w:bidi w:val="0"/>
        <w:adjustRightInd w:val="0"/>
        <w:snapToGrid w:val="0"/>
        <w:spacing w:line="288" w:lineRule="auto"/>
        <w:ind w:left="1440" w:leftChars="300" w:hanging="720" w:hangingChars="200"/>
        <w:jc w:val="both"/>
        <w:textAlignment w:val="auto"/>
        <w:rPr>
          <w:rFonts w:hint="default" w:ascii="仿宋_GB2312" w:hAnsi="Times New Roman" w:eastAsia="仿宋_GB2312" w:cs="仿宋_GB2312"/>
          <w:color w:val="000000" w:themeColor="text1"/>
          <w:sz w:val="36"/>
          <w:szCs w:val="36"/>
          <w:highlight w:val="none"/>
          <w:u w:val="single"/>
          <w:lang w:val="en-US" w:eastAsia="zh-CN" w:bidi="ar"/>
          <w14:textFill>
            <w14:solidFill>
              <w14:schemeClr w14:val="tx1"/>
            </w14:solidFill>
          </w14:textFill>
        </w:rPr>
      </w:pPr>
      <w:r>
        <w:rPr>
          <w:rFonts w:hint="eastAsia" w:ascii="仿宋_GB2312" w:hAnsi="Times New Roman" w:eastAsia="仿宋_GB2312" w:cs="仿宋_GB2312"/>
          <w:color w:val="000000" w:themeColor="text1"/>
          <w:sz w:val="36"/>
          <w:szCs w:val="36"/>
          <w:highlight w:val="none"/>
          <w:lang w:bidi="ar"/>
          <w14:textFill>
            <w14:solidFill>
              <w14:schemeClr w14:val="tx1"/>
            </w14:solidFill>
          </w14:textFill>
        </w:rPr>
        <w:t>建设单位（盖章）：</w:t>
      </w:r>
      <w:r>
        <w:rPr>
          <w:rFonts w:hint="eastAsia" w:ascii="仿宋_GB2312" w:eastAsia="仿宋_GB2312" w:cs="仿宋_GB2312"/>
          <w:color w:val="000000" w:themeColor="text1"/>
          <w:sz w:val="36"/>
          <w:szCs w:val="36"/>
          <w:highlight w:val="none"/>
          <w:u w:val="single"/>
          <w:lang w:val="en-US" w:eastAsia="zh-CN" w:bidi="ar"/>
          <w14:textFill>
            <w14:solidFill>
              <w14:schemeClr w14:val="tx1"/>
            </w14:solidFill>
          </w14:textFill>
        </w:rPr>
        <w:t>斯科赛斯家具承德有限公司</w:t>
      </w:r>
    </w:p>
    <w:p>
      <w:pPr>
        <w:keepNext w:val="0"/>
        <w:keepLines w:val="0"/>
        <w:pageBreakBefore w:val="0"/>
        <w:widowControl w:val="0"/>
        <w:kinsoku/>
        <w:wordWrap/>
        <w:overflowPunct/>
        <w:topLinePunct w:val="0"/>
        <w:autoSpaceDE/>
        <w:autoSpaceDN/>
        <w:bidi w:val="0"/>
        <w:adjustRightInd w:val="0"/>
        <w:snapToGrid w:val="0"/>
        <w:spacing w:line="288" w:lineRule="auto"/>
        <w:ind w:left="1440" w:leftChars="300" w:hanging="720" w:hangingChars="200"/>
        <w:jc w:val="both"/>
        <w:textAlignment w:val="auto"/>
        <w:rPr>
          <w:rFonts w:hint="default" w:ascii="仿宋_GB2312" w:eastAsia="仿宋_GB2312" w:cs="仿宋_GB2312"/>
          <w:color w:val="000000" w:themeColor="text1"/>
          <w:sz w:val="36"/>
          <w:szCs w:val="36"/>
          <w:highlight w:val="none"/>
          <w:u w:val="single"/>
          <w:lang w:val="en-US" w:eastAsia="zh-CN"/>
          <w14:textFill>
            <w14:solidFill>
              <w14:schemeClr w14:val="tx1"/>
            </w14:solidFill>
          </w14:textFill>
        </w:rPr>
      </w:pPr>
      <w:r>
        <w:rPr>
          <w:rFonts w:hint="eastAsia" w:ascii="仿宋_GB2312" w:hAnsi="Times New Roman" w:eastAsia="仿宋_GB2312" w:cs="仿宋_GB2312"/>
          <w:color w:val="000000" w:themeColor="text1"/>
          <w:sz w:val="36"/>
          <w:szCs w:val="36"/>
          <w:highlight w:val="none"/>
          <w:lang w:bidi="ar"/>
          <w14:textFill>
            <w14:solidFill>
              <w14:schemeClr w14:val="tx1"/>
            </w14:solidFill>
          </w14:textFill>
        </w:rPr>
        <w:t>编制日期：</w:t>
      </w:r>
      <w:r>
        <w:rPr>
          <w:rFonts w:hint="eastAsia" w:ascii="仿宋_GB2312" w:hAnsi="Times New Roman" w:eastAsia="仿宋_GB2312" w:cs="仿宋_GB2312"/>
          <w:color w:val="000000" w:themeColor="text1"/>
          <w:sz w:val="36"/>
          <w:szCs w:val="36"/>
          <w:highlight w:val="none"/>
          <w:u w:val="single"/>
          <w:lang w:bidi="ar"/>
          <w14:textFill>
            <w14:solidFill>
              <w14:schemeClr w14:val="tx1"/>
            </w14:solidFill>
          </w14:textFill>
        </w:rPr>
        <w:t xml:space="preserve">     </w:t>
      </w:r>
      <w:r>
        <w:rPr>
          <w:rFonts w:hint="eastAsia" w:ascii="仿宋_GB2312" w:hAnsi="Times New Roman" w:eastAsia="仿宋_GB2312" w:cs="仿宋_GB2312"/>
          <w:color w:val="000000" w:themeColor="text1"/>
          <w:sz w:val="36"/>
          <w:szCs w:val="36"/>
          <w:highlight w:val="none"/>
          <w:u w:val="single"/>
          <w:lang w:val="en-US" w:eastAsia="zh-CN" w:bidi="ar"/>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highlight w:val="none"/>
          <w:u w:val="single"/>
          <w:lang w:val="en-US" w:eastAsia="zh-CN" w:bidi="ar"/>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highlight w:val="none"/>
          <w:u w:val="single"/>
          <w:lang w:val="en-US" w:eastAsia="zh-CN" w:bidi="ar"/>
          <w14:textFill>
            <w14:solidFill>
              <w14:schemeClr w14:val="tx1"/>
            </w14:solidFill>
          </w14:textFill>
        </w:rPr>
        <w:t xml:space="preserve">    </w:t>
      </w:r>
      <w:r>
        <w:rPr>
          <w:rFonts w:hint="eastAsia" w:ascii="仿宋_GB2312" w:hAnsi="仿宋_GB2312" w:eastAsia="仿宋_GB2312" w:cs="仿宋_GB2312"/>
          <w:color w:val="000000" w:themeColor="text1"/>
          <w:sz w:val="36"/>
          <w:szCs w:val="36"/>
          <w:highlight w:val="none"/>
          <w:u w:val="single"/>
          <w:lang w:bidi="ar"/>
          <w14:textFill>
            <w14:solidFill>
              <w14:schemeClr w14:val="tx1"/>
            </w14:solidFill>
          </w14:textFill>
        </w:rPr>
        <w:t xml:space="preserve"> 202</w:t>
      </w:r>
      <w:r>
        <w:rPr>
          <w:rFonts w:hint="eastAsia" w:ascii="仿宋_GB2312" w:hAnsi="仿宋_GB2312" w:eastAsia="仿宋_GB2312" w:cs="仿宋_GB2312"/>
          <w:color w:val="000000" w:themeColor="text1"/>
          <w:sz w:val="36"/>
          <w:szCs w:val="36"/>
          <w:highlight w:val="none"/>
          <w:u w:val="single"/>
          <w:lang w:val="en-US" w:eastAsia="zh-CN" w:bidi="ar"/>
          <w14:textFill>
            <w14:solidFill>
              <w14:schemeClr w14:val="tx1"/>
            </w14:solidFill>
          </w14:textFill>
        </w:rPr>
        <w:t>3</w:t>
      </w:r>
      <w:r>
        <w:rPr>
          <w:rFonts w:hint="eastAsia" w:ascii="仿宋_GB2312" w:hAnsi="仿宋_GB2312" w:eastAsia="仿宋_GB2312" w:cs="仿宋_GB2312"/>
          <w:color w:val="000000" w:themeColor="text1"/>
          <w:sz w:val="36"/>
          <w:szCs w:val="36"/>
          <w:highlight w:val="none"/>
          <w:u w:val="single"/>
          <w:lang w:bidi="ar"/>
          <w14:textFill>
            <w14:solidFill>
              <w14:schemeClr w14:val="tx1"/>
            </w14:solidFill>
          </w14:textFill>
        </w:rPr>
        <w:t>年</w:t>
      </w:r>
      <w:r>
        <w:rPr>
          <w:rFonts w:hint="eastAsia" w:ascii="仿宋_GB2312" w:hAnsi="仿宋_GB2312" w:eastAsia="仿宋_GB2312" w:cs="仿宋_GB2312"/>
          <w:color w:val="000000" w:themeColor="text1"/>
          <w:sz w:val="36"/>
          <w:szCs w:val="36"/>
          <w:highlight w:val="none"/>
          <w:u w:val="single"/>
          <w:lang w:val="en-US" w:eastAsia="zh-CN" w:bidi="ar"/>
          <w14:textFill>
            <w14:solidFill>
              <w14:schemeClr w14:val="tx1"/>
            </w14:solidFill>
          </w14:textFill>
        </w:rPr>
        <w:t>11</w:t>
      </w:r>
      <w:r>
        <w:rPr>
          <w:rFonts w:hint="eastAsia" w:ascii="仿宋_GB2312" w:hAnsi="仿宋_GB2312" w:eastAsia="仿宋_GB2312" w:cs="仿宋_GB2312"/>
          <w:color w:val="000000" w:themeColor="text1"/>
          <w:sz w:val="36"/>
          <w:szCs w:val="36"/>
          <w:highlight w:val="none"/>
          <w:u w:val="single"/>
          <w:lang w:bidi="ar"/>
          <w14:textFill>
            <w14:solidFill>
              <w14:schemeClr w14:val="tx1"/>
            </w14:solidFill>
          </w14:textFill>
        </w:rPr>
        <w:t>月</w:t>
      </w:r>
      <w:r>
        <w:rPr>
          <w:rFonts w:hint="eastAsia" w:ascii="仿宋_GB2312" w:hAnsi="仿宋_GB2312" w:eastAsia="仿宋_GB2312" w:cs="仿宋_GB2312"/>
          <w:color w:val="000000" w:themeColor="text1"/>
          <w:sz w:val="36"/>
          <w:szCs w:val="36"/>
          <w:highlight w:val="none"/>
          <w:u w:val="single"/>
          <w:lang w:val="en-US" w:eastAsia="zh-CN" w:bidi="ar"/>
          <w14:textFill>
            <w14:solidFill>
              <w14:schemeClr w14:val="tx1"/>
            </w14:solidFill>
          </w14:textFill>
        </w:rPr>
        <w:t xml:space="preserve">          </w:t>
      </w:r>
    </w:p>
    <w:p>
      <w:pPr>
        <w:adjustRightInd w:val="0"/>
        <w:snapToGrid w:val="0"/>
        <w:spacing w:line="288" w:lineRule="auto"/>
        <w:ind w:firstLine="1040"/>
        <w:jc w:val="center"/>
        <w:rPr>
          <w:rFonts w:ascii="仿宋_GB2312" w:eastAsia="仿宋_GB2312" w:cs="仿宋_GB2312"/>
          <w:color w:val="000000" w:themeColor="text1"/>
          <w:sz w:val="36"/>
          <w:szCs w:val="36"/>
          <w:highlight w:val="none"/>
          <w:u w:val="single"/>
          <w14:textFill>
            <w14:solidFill>
              <w14:schemeClr w14:val="tx1"/>
            </w14:solidFill>
          </w14:textFill>
        </w:rPr>
      </w:pPr>
      <w:bookmarkStart w:id="0" w:name="_Hlk57884087"/>
    </w:p>
    <w:bookmarkEnd w:id="0"/>
    <w:p>
      <w:pPr>
        <w:adjustRightInd w:val="0"/>
        <w:snapToGrid w:val="0"/>
        <w:spacing w:line="288" w:lineRule="auto"/>
        <w:jc w:val="center"/>
        <w:rPr>
          <w:rFonts w:hint="eastAsia" w:ascii="楷体_GB2312" w:hAnsi="Times New Roman" w:eastAsia="楷体_GB2312" w:cs="楷体_GB2312"/>
          <w:color w:val="000000" w:themeColor="text1"/>
          <w:sz w:val="36"/>
          <w:szCs w:val="36"/>
          <w:highlight w:val="none"/>
          <w:lang w:bidi="ar"/>
          <w14:textFill>
            <w14:solidFill>
              <w14:schemeClr w14:val="tx1"/>
            </w14:solidFill>
          </w14:textFill>
        </w:rPr>
      </w:pPr>
    </w:p>
    <w:p>
      <w:pPr>
        <w:adjustRightInd w:val="0"/>
        <w:snapToGrid w:val="0"/>
        <w:spacing w:line="288" w:lineRule="auto"/>
        <w:jc w:val="center"/>
        <w:rPr>
          <w:rFonts w:ascii="楷体_GB2312" w:eastAsia="楷体_GB2312" w:cs="楷体_GB2312"/>
          <w:color w:val="000000" w:themeColor="text1"/>
          <w:sz w:val="36"/>
          <w:szCs w:val="36"/>
          <w:highlight w:val="none"/>
          <w14:textFill>
            <w14:solidFill>
              <w14:schemeClr w14:val="tx1"/>
            </w14:solidFill>
          </w14:textFill>
        </w:rPr>
      </w:pPr>
      <w:r>
        <w:rPr>
          <w:rFonts w:hint="eastAsia" w:ascii="楷体_GB2312" w:hAnsi="Times New Roman" w:eastAsia="楷体_GB2312" w:cs="楷体_GB2312"/>
          <w:color w:val="000000" w:themeColor="text1"/>
          <w:sz w:val="36"/>
          <w:szCs w:val="36"/>
          <w:highlight w:val="none"/>
          <w:lang w:bidi="ar"/>
          <w14:textFill>
            <w14:solidFill>
              <w14:schemeClr w14:val="tx1"/>
            </w14:solidFill>
          </w14:textFill>
        </w:rPr>
        <w:t>中华人民共和国生态环境部制</w:t>
      </w:r>
    </w:p>
    <w:p>
      <w:pPr>
        <w:spacing w:line="288" w:lineRule="auto"/>
        <w:rPr>
          <w:rFonts w:ascii="仿宋_GB2312" w:hAnsi="Times New Roman" w:eastAsia="仿宋_GB2312" w:cs="Times New Roman"/>
          <w:color w:val="000000" w:themeColor="text1"/>
          <w:sz w:val="36"/>
          <w:szCs w:val="36"/>
          <w:highlight w:val="none"/>
          <w:lang w:bidi="ar"/>
          <w14:textFill>
            <w14:solidFill>
              <w14:schemeClr w14:val="tx1"/>
            </w14:solidFill>
          </w14:textFill>
        </w:rPr>
        <w:sectPr>
          <w:pgSz w:w="11906" w:h="16838"/>
          <w:pgMar w:top="1702" w:right="1531" w:bottom="1702" w:left="1531" w:header="851" w:footer="1077" w:gutter="0"/>
          <w:pgNumType w:start="3"/>
          <w:cols w:space="425" w:num="1"/>
          <w:docGrid w:type="lines" w:linePitch="312" w:charSpace="0"/>
        </w:sectPr>
      </w:pPr>
    </w:p>
    <w:p>
      <w:pPr>
        <w:pStyle w:val="32"/>
        <w:rPr>
          <w:color w:val="000000" w:themeColor="text1"/>
          <w:highlight w:val="none"/>
          <w14:textFill>
            <w14:solidFill>
              <w14:schemeClr w14:val="tx1"/>
            </w14:solidFill>
          </w14:textFill>
        </w:rPr>
        <w:sectPr>
          <w:pgSz w:w="11906" w:h="16838"/>
          <w:pgMar w:top="1702" w:right="1531" w:bottom="1702" w:left="1531" w:header="851" w:footer="1077" w:gutter="0"/>
          <w:pgNumType w:start="3"/>
          <w:cols w:space="425" w:num="1"/>
          <w:docGrid w:type="lines" w:linePitch="312" w:charSpace="0"/>
        </w:sectPr>
      </w:pPr>
    </w:p>
    <w:p>
      <w:pPr>
        <w:pStyle w:val="20"/>
        <w:jc w:val="center"/>
        <w:outlineLvl w:val="0"/>
        <w:rPr>
          <w:rFonts w:hint="default" w:ascii="黑体" w:eastAsia="黑体" w:cs="黑体"/>
          <w:color w:val="000000" w:themeColor="text1"/>
          <w:sz w:val="30"/>
          <w:szCs w:val="30"/>
          <w:highlight w:val="none"/>
          <w14:textFill>
            <w14:solidFill>
              <w14:schemeClr w14:val="tx1"/>
            </w14:solidFill>
          </w14:textFill>
        </w:rPr>
      </w:pPr>
      <w:r>
        <w:rPr>
          <w:rFonts w:ascii="黑体" w:eastAsia="黑体" w:cs="黑体"/>
          <w:snapToGrid w:val="0"/>
          <w:color w:val="000000" w:themeColor="text1"/>
          <w:sz w:val="30"/>
          <w:szCs w:val="30"/>
          <w:highlight w:val="none"/>
          <w14:textFill>
            <w14:solidFill>
              <w14:schemeClr w14:val="tx1"/>
            </w14:solidFill>
          </w14:textFill>
        </w:rPr>
        <w:t>一、建设项目基本情况</w:t>
      </w:r>
    </w:p>
    <w:tbl>
      <w:tblPr>
        <w:tblStyle w:val="24"/>
        <w:tblW w:w="546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30"/>
        <w:gridCol w:w="1437"/>
        <w:gridCol w:w="2617"/>
        <w:gridCol w:w="1923"/>
        <w:gridCol w:w="2954"/>
        <w:gridCol w:w="1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680" w:hRule="atLeast"/>
          <w:jc w:val="center"/>
        </w:trPr>
        <w:tc>
          <w:tcPr>
            <w:tcW w:w="1066" w:type="pct"/>
            <w:gridSpan w:val="2"/>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建设项目名称</w:t>
            </w:r>
          </w:p>
        </w:tc>
        <w:tc>
          <w:tcPr>
            <w:tcW w:w="3866" w:type="pct"/>
            <w:gridSpan w:val="3"/>
            <w:tcBorders>
              <w:top w:val="single" w:color="auto" w:sz="8"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斯科赛斯家具承德有限公司年生产铁制、板式家具10万套项目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567"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项目代码</w:t>
            </w:r>
          </w:p>
        </w:tc>
        <w:tc>
          <w:tcPr>
            <w:tcW w:w="3866" w:type="pct"/>
            <w:gridSpan w:val="3"/>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2303-130800-89-01-735309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567"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建设单位联系人</w:t>
            </w:r>
          </w:p>
        </w:tc>
        <w:tc>
          <w:tcPr>
            <w:tcW w:w="13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金大勇</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联系方式</w:t>
            </w:r>
          </w:p>
        </w:tc>
        <w:tc>
          <w:tcPr>
            <w:tcW w:w="1523" w:type="pct"/>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0314-6868969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567"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建设地点</w:t>
            </w:r>
          </w:p>
        </w:tc>
        <w:tc>
          <w:tcPr>
            <w:tcW w:w="3866" w:type="pct"/>
            <w:gridSpan w:val="3"/>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河北</w:t>
            </w:r>
            <w:r>
              <w:rPr>
                <w:rFonts w:hint="default"/>
                <w:color w:val="000000" w:themeColor="text1"/>
                <w:sz w:val="24"/>
                <w:szCs w:val="24"/>
                <w:highlight w:val="none"/>
                <w14:textFill>
                  <w14:solidFill>
                    <w14:schemeClr w14:val="tx1"/>
                  </w14:solidFill>
                </w14:textFill>
              </w:rPr>
              <w:t>省</w:t>
            </w:r>
            <w:r>
              <w:rPr>
                <w:rFonts w:hint="eastAsia"/>
                <w:color w:val="000000" w:themeColor="text1"/>
                <w:sz w:val="24"/>
                <w:szCs w:val="24"/>
                <w:highlight w:val="none"/>
                <w14:textFill>
                  <w14:solidFill>
                    <w14:schemeClr w14:val="tx1"/>
                  </w14:solidFill>
                </w14:textFill>
              </w:rPr>
              <w:t>承德</w:t>
            </w:r>
            <w:r>
              <w:rPr>
                <w:rFonts w:hint="default"/>
                <w:color w:val="000000" w:themeColor="text1"/>
                <w:sz w:val="24"/>
                <w:szCs w:val="24"/>
                <w:highlight w:val="none"/>
                <w14:textFill>
                  <w14:solidFill>
                    <w14:schemeClr w14:val="tx1"/>
                  </w14:solidFill>
                </w14:textFill>
              </w:rPr>
              <w:t>市</w:t>
            </w:r>
            <w:r>
              <w:rPr>
                <w:rFonts w:hint="eastAsia"/>
                <w:color w:val="000000" w:themeColor="text1"/>
                <w:sz w:val="24"/>
                <w:szCs w:val="24"/>
                <w:highlight w:val="none"/>
                <w:lang w:eastAsia="zh-CN"/>
                <w14:textFill>
                  <w14:solidFill>
                    <w14:schemeClr w14:val="tx1"/>
                  </w14:solidFill>
                </w14:textFill>
              </w:rPr>
              <w:t>宽城满族自治县经济开发区龙须门片区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567"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地理坐标</w:t>
            </w:r>
          </w:p>
        </w:tc>
        <w:tc>
          <w:tcPr>
            <w:tcW w:w="3866" w:type="pct"/>
            <w:gridSpan w:val="3"/>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11</w:t>
            </w:r>
            <w:r>
              <w:rPr>
                <w:rFonts w:hint="eastAsia"/>
                <w:color w:val="000000" w:themeColor="text1"/>
                <w:sz w:val="24"/>
                <w:szCs w:val="24"/>
                <w:highlight w:val="none"/>
                <w:lang w:val="en-US" w:eastAsia="zh-CN"/>
                <w14:textFill>
                  <w14:solidFill>
                    <w14:schemeClr w14:val="tx1"/>
                  </w14:solidFill>
                </w14:textFill>
              </w:rPr>
              <w:t>8</w:t>
            </w:r>
            <w:r>
              <w:rPr>
                <w:rFonts w:hint="default"/>
                <w:color w:val="000000" w:themeColor="text1"/>
                <w:sz w:val="24"/>
                <w:szCs w:val="24"/>
                <w:highlight w:val="none"/>
                <w14:textFill>
                  <w14:solidFill>
                    <w14:schemeClr w14:val="tx1"/>
                  </w14:solidFill>
                </w14:textFill>
              </w:rPr>
              <w:t>度</w:t>
            </w:r>
            <w:r>
              <w:rPr>
                <w:rFonts w:hint="eastAsia"/>
                <w:color w:val="000000" w:themeColor="text1"/>
                <w:sz w:val="24"/>
                <w:szCs w:val="24"/>
                <w:highlight w:val="none"/>
                <w:lang w:val="en-US" w:eastAsia="zh-CN"/>
                <w14:textFill>
                  <w14:solidFill>
                    <w14:schemeClr w14:val="tx1"/>
                  </w14:solidFill>
                </w14:textFill>
              </w:rPr>
              <w:t>31</w:t>
            </w:r>
            <w:r>
              <w:rPr>
                <w:rFonts w:hint="default"/>
                <w:color w:val="000000" w:themeColor="text1"/>
                <w:sz w:val="24"/>
                <w:szCs w:val="24"/>
                <w:highlight w:val="none"/>
                <w14:textFill>
                  <w14:solidFill>
                    <w14:schemeClr w14:val="tx1"/>
                  </w14:solidFill>
                </w14:textFill>
              </w:rPr>
              <w:t>分</w:t>
            </w:r>
            <w:r>
              <w:rPr>
                <w:rFonts w:hint="eastAsia"/>
                <w:color w:val="000000" w:themeColor="text1"/>
                <w:sz w:val="24"/>
                <w:szCs w:val="24"/>
                <w:highlight w:val="none"/>
                <w:lang w:val="en-US" w:eastAsia="zh-CN"/>
                <w14:textFill>
                  <w14:solidFill>
                    <w14:schemeClr w14:val="tx1"/>
                  </w14:solidFill>
                </w14:textFill>
              </w:rPr>
              <w:t>23.115</w:t>
            </w:r>
            <w:r>
              <w:rPr>
                <w:rFonts w:hint="default"/>
                <w:color w:val="000000" w:themeColor="text1"/>
                <w:sz w:val="24"/>
                <w:szCs w:val="24"/>
                <w:highlight w:val="none"/>
                <w14:textFill>
                  <w14:solidFill>
                    <w14:schemeClr w14:val="tx1"/>
                  </w14:solidFill>
                </w14:textFill>
              </w:rPr>
              <w:t>秒，</w:t>
            </w:r>
            <w:r>
              <w:rPr>
                <w:rFonts w:hint="eastAsia"/>
                <w:color w:val="000000" w:themeColor="text1"/>
                <w:sz w:val="24"/>
                <w:szCs w:val="24"/>
                <w:highlight w:val="none"/>
                <w14:textFill>
                  <w14:solidFill>
                    <w14:schemeClr w14:val="tx1"/>
                  </w14:solidFill>
                </w14:textFill>
              </w:rPr>
              <w:t>4</w:t>
            </w:r>
            <w:r>
              <w:rPr>
                <w:rFonts w:hint="eastAsia"/>
                <w:color w:val="000000" w:themeColor="text1"/>
                <w:sz w:val="24"/>
                <w:szCs w:val="24"/>
                <w:highlight w:val="none"/>
                <w:lang w:val="en-US" w:eastAsia="zh-CN"/>
                <w14:textFill>
                  <w14:solidFill>
                    <w14:schemeClr w14:val="tx1"/>
                  </w14:solidFill>
                </w14:textFill>
              </w:rPr>
              <w:t>0</w:t>
            </w:r>
            <w:r>
              <w:rPr>
                <w:rFonts w:hint="default"/>
                <w:color w:val="000000" w:themeColor="text1"/>
                <w:sz w:val="24"/>
                <w:szCs w:val="24"/>
                <w:highlight w:val="none"/>
                <w14:textFill>
                  <w14:solidFill>
                    <w14:schemeClr w14:val="tx1"/>
                  </w14:solidFill>
                </w14:textFill>
              </w:rPr>
              <w:t>度</w:t>
            </w:r>
            <w:r>
              <w:rPr>
                <w:rFonts w:hint="eastAsia"/>
                <w:color w:val="000000" w:themeColor="text1"/>
                <w:sz w:val="24"/>
                <w:szCs w:val="24"/>
                <w:highlight w:val="none"/>
                <w:lang w:val="en-US" w:eastAsia="zh-CN"/>
                <w14:textFill>
                  <w14:solidFill>
                    <w14:schemeClr w14:val="tx1"/>
                  </w14:solidFill>
                </w14:textFill>
              </w:rPr>
              <w:t>38</w:t>
            </w:r>
            <w:r>
              <w:rPr>
                <w:rFonts w:hint="default"/>
                <w:color w:val="000000" w:themeColor="text1"/>
                <w:sz w:val="24"/>
                <w:szCs w:val="24"/>
                <w:highlight w:val="none"/>
                <w14:textFill>
                  <w14:solidFill>
                    <w14:schemeClr w14:val="tx1"/>
                  </w14:solidFill>
                </w14:textFill>
              </w:rPr>
              <w:t>分</w:t>
            </w:r>
            <w:r>
              <w:rPr>
                <w:rFonts w:hint="eastAsia"/>
                <w:color w:val="000000" w:themeColor="text1"/>
                <w:sz w:val="24"/>
                <w:szCs w:val="24"/>
                <w:highlight w:val="none"/>
                <w:lang w:val="en-US" w:eastAsia="zh-CN"/>
                <w14:textFill>
                  <w14:solidFill>
                    <w14:schemeClr w14:val="tx1"/>
                  </w14:solidFill>
                </w14:textFill>
              </w:rPr>
              <w:t>32.794</w:t>
            </w:r>
            <w:r>
              <w:rPr>
                <w:rFonts w:hint="default"/>
                <w:color w:val="000000" w:themeColor="text1"/>
                <w:sz w:val="24"/>
                <w:szCs w:val="24"/>
                <w:highlight w:val="none"/>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737"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国民经济</w:t>
            </w:r>
          </w:p>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行业类别</w:t>
            </w:r>
          </w:p>
        </w:tc>
        <w:tc>
          <w:tcPr>
            <w:tcW w:w="13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C2130</w:t>
            </w:r>
            <w:r>
              <w:rPr>
                <w:rFonts w:hint="eastAsia"/>
                <w:color w:val="000000" w:themeColor="text1"/>
                <w:sz w:val="24"/>
                <w:szCs w:val="24"/>
                <w:highlight w:val="none"/>
                <w:lang w:eastAsia="zh-CN"/>
                <w14:textFill>
                  <w14:solidFill>
                    <w14:schemeClr w14:val="tx1"/>
                  </w14:solidFill>
                </w14:textFill>
              </w:rPr>
              <w:t>金属家具制造；</w:t>
            </w:r>
            <w:r>
              <w:rPr>
                <w:rFonts w:hint="eastAsia"/>
                <w:color w:val="000000" w:themeColor="text1"/>
                <w:sz w:val="24"/>
                <w:szCs w:val="24"/>
                <w:highlight w:val="none"/>
                <w:lang w:val="en-US" w:eastAsia="zh-CN"/>
                <w14:textFill>
                  <w14:solidFill>
                    <w14:schemeClr w14:val="tx1"/>
                  </w14:solidFill>
                </w14:textFill>
              </w:rPr>
              <w:t>C2110木质家具制造</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bookmarkStart w:id="1" w:name="_Hlk49843745"/>
            <w:r>
              <w:rPr>
                <w:rFonts w:hint="default"/>
                <w:color w:val="000000" w:themeColor="text1"/>
                <w:sz w:val="24"/>
                <w:szCs w:val="24"/>
                <w:highlight w:val="none"/>
                <w14:textFill>
                  <w14:solidFill>
                    <w14:schemeClr w14:val="tx1"/>
                  </w14:solidFill>
                </w14:textFill>
              </w:rPr>
              <w:t>建设项目</w:t>
            </w:r>
          </w:p>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行业类别</w:t>
            </w:r>
            <w:bookmarkEnd w:id="1"/>
          </w:p>
        </w:tc>
        <w:tc>
          <w:tcPr>
            <w:tcW w:w="1523" w:type="pct"/>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numPr>
                <w:ilvl w:val="0"/>
                <w:numId w:val="1"/>
              </w:numPr>
              <w:suppressLineNumbers w:val="0"/>
              <w:bidi w:val="0"/>
              <w:spacing w:before="0" w:beforeAutospacing="0" w:after="0" w:afterAutospacing="0"/>
              <w:ind w:left="0" w:right="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家具制造业</w:t>
            </w:r>
          </w:p>
          <w:p>
            <w:pPr>
              <w:pStyle w:val="41"/>
              <w:keepNext w:val="0"/>
              <w:keepLines w:val="0"/>
              <w:numPr>
                <w:ilvl w:val="0"/>
                <w:numId w:val="0"/>
              </w:numPr>
              <w:suppressLineNumbers w:val="0"/>
              <w:bidi w:val="0"/>
              <w:spacing w:before="0" w:beforeAutospacing="0" w:after="0" w:afterAutospacing="0"/>
              <w:ind w:left="0" w:leftChars="0" w:right="0" w:rightChars="0"/>
              <w:jc w:val="both"/>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36、木质家具制造211；金属家具制造213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737"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建设性质</w:t>
            </w:r>
          </w:p>
        </w:tc>
        <w:tc>
          <w:tcPr>
            <w:tcW w:w="13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jc w:val="left"/>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新建（迁建）</w:t>
            </w:r>
          </w:p>
          <w:p>
            <w:pPr>
              <w:pStyle w:val="41"/>
              <w:keepNext w:val="0"/>
              <w:keepLines w:val="0"/>
              <w:suppressLineNumbers w:val="0"/>
              <w:bidi w:val="0"/>
              <w:spacing w:before="0" w:beforeAutospacing="0" w:after="0" w:afterAutospacing="0"/>
              <w:ind w:left="0" w:right="0"/>
              <w:jc w:val="left"/>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改建</w:t>
            </w:r>
          </w:p>
          <w:p>
            <w:pPr>
              <w:pStyle w:val="41"/>
              <w:keepNext w:val="0"/>
              <w:keepLines w:val="0"/>
              <w:suppressLineNumbers w:val="0"/>
              <w:bidi w:val="0"/>
              <w:spacing w:before="0" w:beforeAutospacing="0" w:after="0" w:afterAutospacing="0"/>
              <w:ind w:left="0" w:right="0"/>
              <w:jc w:val="left"/>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default"/>
                <w:color w:val="000000" w:themeColor="text1"/>
                <w:sz w:val="24"/>
                <w:szCs w:val="24"/>
                <w:highlight w:val="none"/>
                <w14:textFill>
                  <w14:solidFill>
                    <w14:schemeClr w14:val="tx1"/>
                  </w14:solidFill>
                </w14:textFill>
              </w:rPr>
              <w:t>扩建</w:t>
            </w:r>
          </w:p>
          <w:p>
            <w:pPr>
              <w:pStyle w:val="41"/>
              <w:keepNext w:val="0"/>
              <w:keepLines w:val="0"/>
              <w:suppressLineNumbers w:val="0"/>
              <w:bidi w:val="0"/>
              <w:spacing w:before="0" w:beforeAutospacing="0" w:after="0" w:afterAutospacing="0"/>
              <w:ind w:left="0" w:right="0"/>
              <w:jc w:val="left"/>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技术改造</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建设项目</w:t>
            </w:r>
          </w:p>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申报情形</w:t>
            </w:r>
          </w:p>
        </w:tc>
        <w:tc>
          <w:tcPr>
            <w:tcW w:w="1523" w:type="pct"/>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jc w:val="left"/>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 xml:space="preserve">首次申报项目             </w:t>
            </w:r>
          </w:p>
          <w:p>
            <w:pPr>
              <w:pStyle w:val="41"/>
              <w:keepNext w:val="0"/>
              <w:keepLines w:val="0"/>
              <w:suppressLineNumbers w:val="0"/>
              <w:bidi w:val="0"/>
              <w:spacing w:before="0" w:beforeAutospacing="0" w:after="0" w:afterAutospacing="0"/>
              <w:ind w:left="0" w:right="0"/>
              <w:jc w:val="left"/>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default"/>
                <w:color w:val="000000" w:themeColor="text1"/>
                <w:sz w:val="24"/>
                <w:szCs w:val="24"/>
                <w:highlight w:val="none"/>
                <w14:textFill>
                  <w14:solidFill>
                    <w14:schemeClr w14:val="tx1"/>
                  </w14:solidFill>
                </w14:textFill>
              </w:rPr>
              <w:t>不予批准后再次申报项目</w:t>
            </w:r>
          </w:p>
          <w:p>
            <w:pPr>
              <w:pStyle w:val="41"/>
              <w:keepNext w:val="0"/>
              <w:keepLines w:val="0"/>
              <w:suppressLineNumbers w:val="0"/>
              <w:bidi w:val="0"/>
              <w:spacing w:before="0" w:beforeAutospacing="0" w:after="0" w:afterAutospacing="0"/>
              <w:ind w:left="0" w:right="0"/>
              <w:jc w:val="left"/>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default"/>
                <w:color w:val="000000" w:themeColor="text1"/>
                <w:sz w:val="24"/>
                <w:szCs w:val="24"/>
                <w:highlight w:val="none"/>
                <w14:textFill>
                  <w14:solidFill>
                    <w14:schemeClr w14:val="tx1"/>
                  </w14:solidFill>
                </w14:textFill>
              </w:rPr>
              <w:t xml:space="preserve">超五年重新审核项目     </w:t>
            </w:r>
          </w:p>
          <w:p>
            <w:pPr>
              <w:pStyle w:val="41"/>
              <w:keepNext w:val="0"/>
              <w:keepLines w:val="0"/>
              <w:suppressLineNumbers w:val="0"/>
              <w:bidi w:val="0"/>
              <w:spacing w:before="0" w:beforeAutospacing="0" w:after="0" w:afterAutospacing="0"/>
              <w:ind w:left="0" w:right="0"/>
              <w:jc w:val="left"/>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737"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项目审批（核准/</w:t>
            </w:r>
          </w:p>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备案）部门（选填）</w:t>
            </w:r>
          </w:p>
        </w:tc>
        <w:tc>
          <w:tcPr>
            <w:tcW w:w="13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承德市行政审批局</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项目审批（核准/</w:t>
            </w:r>
          </w:p>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备案）文号（选填）</w:t>
            </w:r>
          </w:p>
        </w:tc>
        <w:tc>
          <w:tcPr>
            <w:tcW w:w="1523" w:type="pct"/>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承审批投备字</w:t>
            </w:r>
            <w:r>
              <w:rPr>
                <w:rFonts w:hint="eastAsia"/>
                <w:color w:val="000000" w:themeColor="text1"/>
                <w:sz w:val="24"/>
                <w:szCs w:val="24"/>
                <w:highlight w:val="none"/>
                <w:lang w:val="en-US" w:eastAsia="zh-CN"/>
                <w14:textFill>
                  <w14:solidFill>
                    <w14:schemeClr w14:val="tx1"/>
                  </w14:solidFill>
                </w14:textFill>
              </w:rPr>
              <w:t>[2023]7号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567"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总投资（万元）</w:t>
            </w:r>
          </w:p>
        </w:tc>
        <w:tc>
          <w:tcPr>
            <w:tcW w:w="13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3200</w:t>
            </w:r>
          </w:p>
        </w:tc>
        <w:tc>
          <w:tcPr>
            <w:tcW w:w="992"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环保投资（万元）</w:t>
            </w:r>
          </w:p>
        </w:tc>
        <w:tc>
          <w:tcPr>
            <w:tcW w:w="1523" w:type="pct"/>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737"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环保投资占比（%）</w:t>
            </w:r>
          </w:p>
        </w:tc>
        <w:tc>
          <w:tcPr>
            <w:tcW w:w="13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3.12%</w:t>
            </w:r>
          </w:p>
        </w:tc>
        <w:tc>
          <w:tcPr>
            <w:tcW w:w="992"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施工工期</w:t>
            </w:r>
          </w:p>
        </w:tc>
        <w:tc>
          <w:tcPr>
            <w:tcW w:w="1523" w:type="pct"/>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737"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是否开工建设</w:t>
            </w:r>
          </w:p>
        </w:tc>
        <w:tc>
          <w:tcPr>
            <w:tcW w:w="13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jc w:val="left"/>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否</w:t>
            </w:r>
          </w:p>
          <w:p>
            <w:pPr>
              <w:pStyle w:val="41"/>
              <w:keepNext w:val="0"/>
              <w:keepLines w:val="0"/>
              <w:suppressLineNumbers w:val="0"/>
              <w:bidi w:val="0"/>
              <w:spacing w:before="0" w:beforeAutospacing="0" w:after="0" w:afterAutospacing="0"/>
              <w:ind w:left="0" w:right="0"/>
              <w:jc w:val="left"/>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是</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用地（用海）</w:t>
            </w:r>
          </w:p>
          <w:p>
            <w:pPr>
              <w:pStyle w:val="41"/>
              <w:keepNext w:val="0"/>
              <w:keepLines w:val="0"/>
              <w:suppressLineNumbers w:val="0"/>
              <w:bidi w:val="0"/>
              <w:spacing w:before="0" w:beforeAutospacing="0" w:after="0" w:afterAutospacing="0"/>
              <w:ind w:left="0" w:right="0"/>
              <w:rPr>
                <w:rFonts w:hint="eastAsia"/>
                <w:color w:val="000000" w:themeColor="text1"/>
                <w:sz w:val="24"/>
                <w:szCs w:val="24"/>
                <w:highlight w:val="none"/>
                <w:lang w:eastAsia="zh-CN"/>
                <w14:textFill>
                  <w14:solidFill>
                    <w14:schemeClr w14:val="tx1"/>
                  </w14:solidFill>
                </w14:textFill>
              </w:rPr>
            </w:pPr>
            <w:r>
              <w:rPr>
                <w:rFonts w:hint="default"/>
                <w:color w:val="000000" w:themeColor="text1"/>
                <w:sz w:val="24"/>
                <w:szCs w:val="24"/>
                <w:highlight w:val="none"/>
                <w14:textFill>
                  <w14:solidFill>
                    <w14:schemeClr w14:val="tx1"/>
                  </w14:solidFill>
                </w14:textFill>
              </w:rPr>
              <w:t>面积（m</w:t>
            </w:r>
            <w:r>
              <w:rPr>
                <w:rFonts w:hint="default"/>
                <w:color w:val="000000" w:themeColor="text1"/>
                <w:sz w:val="24"/>
                <w:szCs w:val="24"/>
                <w:highlight w:val="none"/>
                <w:vertAlign w:val="superscript"/>
                <w14:textFill>
                  <w14:solidFill>
                    <w14:schemeClr w14:val="tx1"/>
                  </w14:solidFill>
                </w14:textFill>
              </w:rPr>
              <w:t>2</w:t>
            </w:r>
            <w:r>
              <w:rPr>
                <w:rFonts w:hint="default"/>
                <w:color w:val="000000" w:themeColor="text1"/>
                <w:sz w:val="24"/>
                <w:szCs w:val="24"/>
                <w:highlight w:val="none"/>
                <w14:textFill>
                  <w14:solidFill>
                    <w14:schemeClr w14:val="tx1"/>
                  </w14:solidFill>
                </w14:textFill>
              </w:rPr>
              <w:t>）</w:t>
            </w:r>
          </w:p>
        </w:tc>
        <w:tc>
          <w:tcPr>
            <w:tcW w:w="1523" w:type="pct"/>
            <w:tcBorders>
              <w:top w:val="single" w:color="auto" w:sz="4" w:space="0"/>
              <w:left w:val="single" w:color="auto" w:sz="4" w:space="0"/>
              <w:bottom w:val="single" w:color="auto" w:sz="4" w:space="0"/>
              <w:right w:val="single" w:color="auto" w:sz="8" w:space="0"/>
            </w:tcBorders>
            <w:shd w:val="clear" w:color="auto" w:fill="auto"/>
            <w:tcMar>
              <w:top w:w="16" w:type="dxa"/>
              <w:left w:w="16" w:type="dxa"/>
              <w:right w:w="16"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562"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专项评价设置情况</w:t>
            </w:r>
          </w:p>
        </w:tc>
        <w:tc>
          <w:tcPr>
            <w:tcW w:w="3866"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pStyle w:val="41"/>
              <w:keepNext w:val="0"/>
              <w:keepLines w:val="0"/>
              <w:suppressLineNumbers w:val="0"/>
              <w:bidi w:val="0"/>
              <w:spacing w:before="0" w:beforeAutospacing="0" w:after="0" w:afterAutospacing="0"/>
              <w:ind w:left="0" w:right="0" w:firstLine="480" w:firstLineChars="200"/>
              <w:jc w:val="both"/>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本项目未设置专项评价，具体对比情况见下表。</w:t>
            </w:r>
          </w:p>
          <w:tbl>
            <w:tblPr>
              <w:tblStyle w:val="24"/>
              <w:tblW w:w="48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93"/>
              <w:gridCol w:w="3964"/>
              <w:gridCol w:w="1827"/>
              <w:gridCol w:w="7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类别</w:t>
                  </w:r>
                </w:p>
              </w:tc>
              <w:tc>
                <w:tcPr>
                  <w:tcW w:w="38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设置原则</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本项目情况</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73" w:hRule="atLeast"/>
                <w:jc w:val="center"/>
              </w:trPr>
              <w:tc>
                <w:tcPr>
                  <w:tcW w:w="5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大气</w:t>
                  </w:r>
                </w:p>
              </w:tc>
              <w:tc>
                <w:tcPr>
                  <w:tcW w:w="38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排放废气含有毒有害污染物、二噁英、苯并[a]芘、氰化物、氯气且厂界外500m范围内有环境空气保护目标的建设项目</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本项目废气不含有毒有害污染物、二噁英等。</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无需设置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82" w:hRule="atLeast"/>
                <w:jc w:val="center"/>
              </w:trPr>
              <w:tc>
                <w:tcPr>
                  <w:tcW w:w="5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地表水</w:t>
                  </w:r>
                </w:p>
              </w:tc>
              <w:tc>
                <w:tcPr>
                  <w:tcW w:w="38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新增工业废水直接建设项目（槽罐车外送污水处理厂的除外）；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新增废水直排的污水处理厂</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本项目废水仅为生活污水，不外排，经化粪池处理后，定期抽运</w:t>
                  </w:r>
                  <w:r>
                    <w:rPr>
                      <w:rFonts w:hint="eastAsia" w:eastAsia="宋体" w:cs="Times New Roman"/>
                      <w:color w:val="000000" w:themeColor="text1"/>
                      <w:sz w:val="21"/>
                      <w:szCs w:val="21"/>
                      <w:highlight w:val="none"/>
                      <w:lang w:eastAsia="zh-CN"/>
                      <w14:textFill>
                        <w14:solidFill>
                          <w14:schemeClr w14:val="tx1"/>
                        </w14:solidFill>
                      </w14:textFill>
                    </w:rPr>
                    <w:t>用作</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农肥。</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无需设置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93" w:hRule="atLeast"/>
                <w:jc w:val="center"/>
              </w:trPr>
              <w:tc>
                <w:tcPr>
                  <w:tcW w:w="5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环境风险</w:t>
                  </w:r>
                </w:p>
              </w:tc>
              <w:tc>
                <w:tcPr>
                  <w:tcW w:w="38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有毒有害和易燃易爆危险物质存储量超过临界量的建设项目</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本项目废活性炭等危险物质储存量未超过临界量。</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无需设置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65" w:hRule="atLeast"/>
                <w:jc w:val="center"/>
              </w:trPr>
              <w:tc>
                <w:tcPr>
                  <w:tcW w:w="5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生态</w:t>
                  </w:r>
                </w:p>
              </w:tc>
              <w:tc>
                <w:tcPr>
                  <w:tcW w:w="38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取水口下游500米范围内有重要水生生物的自然产卵场、索饵场、越冬场合洄游通道的新增河道取水的污染类建设项目</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本项目供水依托宽城县长源供水有限公司供水</w:t>
                  </w:r>
                  <w:r>
                    <w:rPr>
                      <w:rFonts w:hint="eastAsia" w:eastAsia="宋体" w:cs="Times New Roman"/>
                      <w:color w:val="000000" w:themeColor="text1"/>
                      <w:sz w:val="21"/>
                      <w:szCs w:val="21"/>
                      <w:highlight w:val="none"/>
                      <w:lang w:eastAsia="zh-CN"/>
                      <w14:textFill>
                        <w14:solidFill>
                          <w14:schemeClr w14:val="tx1"/>
                        </w14:solidFill>
                      </w14:textFill>
                    </w:rPr>
                    <w:t>。</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无需设置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78" w:hRule="atLeast"/>
                <w:jc w:val="center"/>
              </w:trPr>
              <w:tc>
                <w:tcPr>
                  <w:tcW w:w="5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海洋</w:t>
                  </w:r>
                </w:p>
              </w:tc>
              <w:tc>
                <w:tcPr>
                  <w:tcW w:w="38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直接向海排放污染物的海洋工程建设项目</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本项目废水仅为生活污水，不外排，经化粪池处理后，定期抽运</w:t>
                  </w:r>
                  <w:r>
                    <w:rPr>
                      <w:rFonts w:hint="eastAsia" w:eastAsia="宋体" w:cs="Times New Roman"/>
                      <w:color w:val="000000" w:themeColor="text1"/>
                      <w:sz w:val="21"/>
                      <w:szCs w:val="21"/>
                      <w:highlight w:val="none"/>
                      <w:lang w:eastAsia="zh-CN"/>
                      <w14:textFill>
                        <w14:solidFill>
                          <w14:schemeClr w14:val="tx1"/>
                        </w14:solidFill>
                      </w14:textFill>
                    </w:rPr>
                    <w:t>用作</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农肥。</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无需设置</w:t>
                  </w:r>
                </w:p>
              </w:tc>
            </w:tr>
          </w:tbl>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794"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规划情况</w:t>
            </w:r>
          </w:p>
        </w:tc>
        <w:tc>
          <w:tcPr>
            <w:tcW w:w="3866"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eastAsia="宋体"/>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14:textFill>
                  <w14:solidFill>
                    <w14:schemeClr w14:val="tx1"/>
                  </w14:solidFill>
                </w14:textFill>
              </w:rPr>
              <w:t>河北宽城经济开发区(以下简称开发区)位于河北省承德市东南部。2014年3月，省政府批准为省级经济开发区。2018年8月，《河北宽城经济开发区总体规划环境影响报告书》通过原河北省环境保护厅审查(冀环评函[2018]1268号)</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规划范围北至龙须门镇上店村，南至板城镇安达石村，东至板城镇北沟村，西至化皮溜子镇马架沟村，总规划面积37.81km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2022年9月16日，省生态环境厅出具了关于《河北宽城经济开发区总体规划（2022-2035年）环境影响报告书》的审查意见，本次规划面积17.65平方公里，分为龙须门、安达石、板城、松岭四个片区。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794"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规划环境影响</w:t>
            </w:r>
          </w:p>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评价情况</w:t>
            </w:r>
          </w:p>
        </w:tc>
        <w:tc>
          <w:tcPr>
            <w:tcW w:w="3866"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1、规划环境影响文件名称：《</w:t>
            </w:r>
            <w:r>
              <w:rPr>
                <w:rFonts w:hint="default"/>
                <w:color w:val="000000" w:themeColor="text1"/>
                <w:sz w:val="24"/>
                <w:szCs w:val="24"/>
                <w:highlight w:val="none"/>
                <w14:textFill>
                  <w14:solidFill>
                    <w14:schemeClr w14:val="tx1"/>
                  </w14:solidFill>
                </w14:textFill>
              </w:rPr>
              <w:t>河北宽城经济开发区总体规划环境影响报告书</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召集审查机关：原河北省环境保护厅</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审查文件名称及文号：冀环评函[2018]1268号</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规划环境影响文件名称：《</w:t>
            </w:r>
            <w:r>
              <w:rPr>
                <w:rFonts w:hint="eastAsia"/>
                <w:color w:val="000000" w:themeColor="text1"/>
                <w:sz w:val="24"/>
                <w:szCs w:val="24"/>
                <w:highlight w:val="none"/>
                <w:lang w:val="en-US" w:eastAsia="zh-CN"/>
                <w14:textFill>
                  <w14:solidFill>
                    <w14:schemeClr w14:val="tx1"/>
                  </w14:solidFill>
                </w14:textFill>
              </w:rPr>
              <w:t>河北宽城经济开发区总体规划（2022-2035年）环境影响报告书</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召集审查机关：河北省</w:t>
            </w:r>
            <w:r>
              <w:rPr>
                <w:rFonts w:hint="eastAsia" w:eastAsia="宋体" w:cs="Times New Roman"/>
                <w:color w:val="000000" w:themeColor="text1"/>
                <w:kern w:val="2"/>
                <w:sz w:val="24"/>
                <w:szCs w:val="20"/>
                <w:highlight w:val="none"/>
                <w:lang w:val="en-US" w:eastAsia="zh-CN" w:bidi="ar-SA"/>
                <w14:textFill>
                  <w14:solidFill>
                    <w14:schemeClr w14:val="tx1"/>
                  </w14:solidFill>
                </w14:textFill>
              </w:rPr>
              <w:t>生态环境</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90"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pStyle w:val="41"/>
              <w:keepNext w:val="0"/>
              <w:keepLines w:val="0"/>
              <w:suppressLineNumbers w:val="0"/>
              <w:bidi w:val="0"/>
              <w:spacing w:before="0" w:beforeAutospacing="0" w:after="0" w:afterAutospacing="0"/>
              <w:ind w:left="0" w:right="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规划及规划环境影响评价符合性分析</w:t>
            </w:r>
          </w:p>
        </w:tc>
        <w:tc>
          <w:tcPr>
            <w:tcW w:w="3866"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jc w:val="both"/>
              <w:textAlignment w:val="auto"/>
              <w:rPr>
                <w:rFonts w:hint="default"/>
                <w:color w:val="000000" w:themeColor="text1"/>
                <w:highlight w:val="none"/>
                <w:lang w:eastAsia="zh-CN"/>
                <w14:textFill>
                  <w14:solidFill>
                    <w14:schemeClr w14:val="tx1"/>
                  </w14:solidFill>
                </w14:textFill>
              </w:rPr>
            </w:pPr>
            <w:r>
              <w:rPr>
                <w:rFonts w:hint="default"/>
                <w:color w:val="000000" w:themeColor="text1"/>
                <w:highlight w:val="none"/>
                <w:lang w:eastAsia="zh-CN"/>
                <w14:textFill>
                  <w14:solidFill>
                    <w14:schemeClr w14:val="tx1"/>
                  </w14:solidFill>
                </w14:textFill>
              </w:rPr>
              <w:t>一、规划符合性分析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0" w:firstLineChars="0"/>
              <w:jc w:val="center"/>
              <w:textAlignment w:val="auto"/>
              <w:rPr>
                <w:rFonts w:hint="eastAsia"/>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lang w:eastAsia="zh-CN"/>
                <w14:textFill>
                  <w14:solidFill>
                    <w14:schemeClr w14:val="tx1"/>
                  </w14:solidFill>
                </w14:textFill>
              </w:rPr>
              <w:t>表</w:t>
            </w:r>
            <w:r>
              <w:rPr>
                <w:rFonts w:hint="default" w:ascii="Times New Roman" w:hAnsi="Times New Roman" w:eastAsia="黑体" w:cs="Times New Roman"/>
                <w:color w:val="000000" w:themeColor="text1"/>
                <w:highlight w:val="none"/>
                <w:lang w:val="en-US" w:eastAsia="zh-CN"/>
                <w14:textFill>
                  <w14:solidFill>
                    <w14:schemeClr w14:val="tx1"/>
                  </w14:solidFill>
                </w14:textFill>
              </w:rPr>
              <w:t>1</w:t>
            </w:r>
            <w:r>
              <w:rPr>
                <w:rFonts w:hint="eastAsia" w:ascii="Times New Roman" w:hAnsi="Times New Roman" w:eastAsia="黑体" w:cs="Times New Roman"/>
                <w:color w:val="000000" w:themeColor="text1"/>
                <w:highlight w:val="none"/>
                <w:lang w:val="en-US" w:eastAsia="zh-CN"/>
                <w14:textFill>
                  <w14:solidFill>
                    <w14:schemeClr w14:val="tx1"/>
                  </w14:solidFill>
                </w14:textFill>
              </w:rPr>
              <w:t>-1</w:t>
            </w:r>
            <w:r>
              <w:rPr>
                <w:rFonts w:hint="default" w:ascii="Times New Roman" w:hAnsi="Times New Roman" w:eastAsia="黑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highlight w:val="none"/>
                <w14:textFill>
                  <w14:solidFill>
                    <w14:schemeClr w14:val="tx1"/>
                  </w14:solidFill>
                </w14:textFill>
              </w:rPr>
              <w:t>开发区规划总体安排情况一览表</w:t>
            </w:r>
          </w:p>
          <w:tbl>
            <w:tblPr>
              <w:tblStyle w:val="24"/>
              <w:tblW w:w="48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96"/>
              <w:gridCol w:w="297"/>
              <w:gridCol w:w="3964"/>
              <w:gridCol w:w="1827"/>
              <w:gridCol w:w="7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类型</w:t>
                  </w:r>
                </w:p>
              </w:tc>
              <w:tc>
                <w:tcPr>
                  <w:tcW w:w="38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内     容</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企业内容</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55" w:hRule="atLeast"/>
                <w:jc w:val="center"/>
              </w:trPr>
              <w:tc>
                <w:tcPr>
                  <w:tcW w:w="58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规划产业</w:t>
                  </w:r>
                </w:p>
              </w:tc>
              <w:tc>
                <w:tcPr>
                  <w:tcW w:w="3898"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龙须门片区：由产城融合发展和新能源产业区、装备制造产业区、新型建材产业聚集区组成，发展装备制造、中小企业创业综合、绿色食品、生物医药、新能源、装备制造和新型建材产业；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安达石片区：发展新材料产业；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板城片区：发展钒钛新材料及制品产业；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松岭片区：发展绿色矿业产业。</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本项目主要生产金属家具和木质家具，为家具制造业，位于龙须门片区，属于中小企业创业综合产业。开发区开具了关于该项目的入驻意见（详见附件），符合规划内容。</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55" w:hRule="atLeast"/>
                <w:jc w:val="center"/>
              </w:trPr>
              <w:tc>
                <w:tcPr>
                  <w:tcW w:w="58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规划用地结构</w:t>
                  </w:r>
                </w:p>
              </w:tc>
              <w:tc>
                <w:tcPr>
                  <w:tcW w:w="3898"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规划远期建设用地面积1526.14hm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，其中工业用地和仓储物流用地面积1000.01公顷，占建设用地面积的65.53%。</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本项目位于宽城经济开发区龙须门片区内，占用土地类型为工业用地。符合规划用地布局。</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55" w:hRule="atLeast"/>
                <w:jc w:val="center"/>
              </w:trPr>
              <w:tc>
                <w:tcPr>
                  <w:tcW w:w="29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基础设施</w:t>
                  </w:r>
                </w:p>
              </w:tc>
              <w:tc>
                <w:tcPr>
                  <w:tcW w:w="2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给水</w:t>
                  </w:r>
                </w:p>
              </w:tc>
              <w:tc>
                <w:tcPr>
                  <w:tcW w:w="3898" w:type="dxa"/>
                  <w:noWrap w:val="0"/>
                  <w:vAlign w:val="top"/>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规划情况：</w:t>
                  </w:r>
                  <w:r>
                    <w:rPr>
                      <w:rFonts w:hint="default" w:ascii="Times New Roman" w:hAnsi="Times New Roman" w:eastAsia="宋体" w:cs="Times New Roman"/>
                      <w:color w:val="000000" w:themeColor="text1"/>
                      <w:sz w:val="21"/>
                      <w:szCs w:val="21"/>
                      <w:highlight w:val="none"/>
                      <w14:textFill>
                        <w14:solidFill>
                          <w14:schemeClr w14:val="tx1"/>
                        </w14:solidFill>
                      </w14:textFill>
                    </w:rPr>
                    <w:t>(1)龙须门片区：规划扩建龙须门给水厂，规模达到20万m³/d，采用清河口地表水。规划区部分工业和市政用水采用再生水回用，再生水规模为0.8万m³/d。北部片区新水主要由龙须门水厂供给，化皮污水处理厂和药王庙污水处理厂供给再生水。</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(2)板城、安达石片区：新建板城水厂，设计规模8.0万m³/d，满足板城、安达石片区供水需求。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(3)松岭片区：新建松岭水厂，生产规模4.0万m³/d，改建松岭污水</w:t>
                  </w:r>
                  <w:r>
                    <w:rPr>
                      <w:rFonts w:hint="eastAsia" w:eastAsia="宋体" w:cs="Times New Roman"/>
                      <w:color w:val="000000" w:themeColor="text1"/>
                      <w:sz w:val="21"/>
                      <w:szCs w:val="21"/>
                      <w:highlight w:val="none"/>
                      <w:lang w:eastAsia="zh-CN"/>
                      <w14:textFill>
                        <w14:solidFill>
                          <w14:schemeClr w14:val="tx1"/>
                        </w14:solidFill>
                      </w14:textFill>
                    </w:rPr>
                    <w:t>处理</w:t>
                  </w:r>
                  <w:bookmarkStart w:id="3" w:name="_GoBack"/>
                  <w:bookmarkEnd w:id="3"/>
                  <w:r>
                    <w:rPr>
                      <w:rFonts w:hint="default" w:ascii="Times New Roman" w:hAnsi="Times New Roman" w:eastAsia="宋体" w:cs="Times New Roman"/>
                      <w:color w:val="000000" w:themeColor="text1"/>
                      <w:sz w:val="21"/>
                      <w:szCs w:val="21"/>
                      <w:highlight w:val="none"/>
                      <w14:textFill>
                        <w14:solidFill>
                          <w14:schemeClr w14:val="tx1"/>
                        </w14:solidFill>
                      </w14:textFill>
                    </w:rPr>
                    <w:t>厂，供应再生水。</w:t>
                  </w:r>
                </w:p>
                <w:p>
                  <w:pPr>
                    <w:pStyle w:val="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园区现状：</w:t>
                  </w:r>
                  <w:r>
                    <w:rPr>
                      <w:rFonts w:hint="default" w:ascii="Times New Roman" w:hAnsi="Times New Roman" w:eastAsia="宋体" w:cs="Times New Roman"/>
                      <w:color w:val="000000" w:themeColor="text1"/>
                      <w:sz w:val="21"/>
                      <w:szCs w:val="21"/>
                      <w:highlight w:val="none"/>
                      <w14:textFill>
                        <w14:solidFill>
                          <w14:schemeClr w14:val="tx1"/>
                        </w14:solidFill>
                      </w14:textFill>
                    </w:rPr>
                    <w:t>(1)龙须门片区：现状依托宽城满族自治县长源供水有限公司，位于龙须门镇二道河子村西南，供水来源为清河口地表水，设计供水量3万m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/d，2020年实际供水量为1.35万m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/d，主要为宽城县县城和开发区北区(宽城镇和龙须门镇所在片区)部分企业供水。</w:t>
                  </w:r>
                </w:p>
                <w:p>
                  <w:pPr>
                    <w:pStyle w:val="6"/>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安达石片区：</w:t>
                  </w:r>
                  <w:r>
                    <w:rPr>
                      <w:rFonts w:hint="default" w:ascii="Times New Roman" w:hAnsi="Times New Roman" w:eastAsia="宋体" w:cs="Times New Roman"/>
                      <w:color w:val="000000" w:themeColor="text1"/>
                      <w:sz w:val="21"/>
                      <w:szCs w:val="21"/>
                      <w:highlight w:val="none"/>
                      <w14:textFill>
                        <w14:solidFill>
                          <w14:schemeClr w14:val="tx1"/>
                        </w14:solidFill>
                      </w14:textFill>
                    </w:rPr>
                    <w:t>区内企业用水采用自备水井</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水源为地下水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6"/>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）板城片区：</w:t>
                  </w:r>
                  <w:r>
                    <w:rPr>
                      <w:rFonts w:hint="default" w:ascii="Times New Roman" w:hAnsi="Times New Roman" w:eastAsia="宋体" w:cs="Times New Roman"/>
                      <w:color w:val="000000" w:themeColor="text1"/>
                      <w:sz w:val="21"/>
                      <w:szCs w:val="21"/>
                      <w:highlight w:val="none"/>
                      <w14:textFill>
                        <w14:solidFill>
                          <w14:schemeClr w14:val="tx1"/>
                        </w14:solidFill>
                      </w14:textFill>
                    </w:rPr>
                    <w:t>区内企业除承德兆丰钢铁集团有限公司用水采用清河口地表水外，其余企业采用自备水井，水源为地下水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6"/>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）松岭片区：</w:t>
                  </w:r>
                  <w:r>
                    <w:rPr>
                      <w:rFonts w:hint="default" w:ascii="Times New Roman" w:hAnsi="Times New Roman" w:eastAsia="宋体" w:cs="Times New Roman"/>
                      <w:color w:val="000000" w:themeColor="text1"/>
                      <w:sz w:val="21"/>
                      <w:szCs w:val="21"/>
                      <w:highlight w:val="none"/>
                      <w14:textFill>
                        <w14:solidFill>
                          <w14:schemeClr w14:val="tx1"/>
                        </w14:solidFill>
                      </w14:textFill>
                    </w:rPr>
                    <w:t>区内企业用水采用自备水井</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水源为地下水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本项目供水依托宽城县长源供水有限公司供水，满足使用需求。</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55" w:hRule="atLeast"/>
                <w:jc w:val="center"/>
              </w:trPr>
              <w:tc>
                <w:tcPr>
                  <w:tcW w:w="2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排水</w:t>
                  </w:r>
                </w:p>
              </w:tc>
              <w:tc>
                <w:tcPr>
                  <w:tcW w:w="3898" w:type="dxa"/>
                  <w:noWrap w:val="0"/>
                  <w:vAlign w:val="top"/>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规划区各片区污水实行分区处理，污水处理方案如下：</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(1)龙须门片区：规划新建的药王庙污水处理厂，污水处理厂近期规模为5万m³/d，远期规模扩至15万m³/d，生产再生水10.5万m³/d。</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(2)板城、安达石片区：新建板城污水处理厂，日处理污水4.5万m³/d，生产再生水3.38万m³/d。</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(3)松岭片区：改建松岭污水处理厂，日处理污水1.5万m³/d，生产再生水1.1万m³/d。</w:t>
                  </w:r>
                </w:p>
                <w:p>
                  <w:pPr>
                    <w:pStyle w:val="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园区现状：（</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龙须门片区：现状依托宽城碧水源环保有限公司宽城县污水处理厂，位于化皮溜子乡三家村东，设计处理能力为4万m³/d(1460万m³/a)</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主要处理宽城县县城生活污水和开发区北区(宽城镇和龙须门镇所在片区)部分企业污水，一期工程设计处理规模为2.0万m³/d，采用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A2O+辅助化学除磷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处理工艺，二期工程设计处理规模为2.0万m³/d，采用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A2O+MBR</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处理工艺，出水水质满足《城镇污水处理厂污染物排放标准》GB18918-2002中的一级A标准后排入瀑河</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6"/>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安达石片区：</w:t>
                  </w:r>
                  <w:r>
                    <w:rPr>
                      <w:rFonts w:hint="default" w:ascii="Times New Roman" w:hAnsi="Times New Roman" w:eastAsia="宋体" w:cs="Times New Roman"/>
                      <w:color w:val="000000" w:themeColor="text1"/>
                      <w:sz w:val="21"/>
                      <w:szCs w:val="21"/>
                      <w:highlight w:val="none"/>
                      <w14:textFill>
                        <w14:solidFill>
                          <w14:schemeClr w14:val="tx1"/>
                        </w14:solidFill>
                      </w14:textFill>
                    </w:rPr>
                    <w:t>现有企业废水综合利用不外排。</w:t>
                  </w:r>
                </w:p>
                <w:p>
                  <w:pPr>
                    <w:pStyle w:val="6"/>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）坂城片区：</w:t>
                  </w:r>
                  <w:r>
                    <w:rPr>
                      <w:rFonts w:hint="default" w:ascii="Times New Roman" w:hAnsi="Times New Roman" w:eastAsia="宋体" w:cs="Times New Roman"/>
                      <w:color w:val="000000" w:themeColor="text1"/>
                      <w:sz w:val="21"/>
                      <w:szCs w:val="21"/>
                      <w:highlight w:val="none"/>
                      <w14:textFill>
                        <w14:solidFill>
                          <w14:schemeClr w14:val="tx1"/>
                        </w14:solidFill>
                      </w14:textFill>
                    </w:rPr>
                    <w:t>现有企业废水综合利用不外排。</w:t>
                  </w:r>
                </w:p>
                <w:p>
                  <w:pPr>
                    <w:pStyle w:val="6"/>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）松岭片区：</w:t>
                  </w: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生活污水依托现有生活污水处理厂处理，处理能力1000m³/d，现有企业废水综合利用不外排。</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本项目废水仅为生活污水，不外排，经化粪池处理后，定期抽运</w:t>
                  </w:r>
                  <w:r>
                    <w:rPr>
                      <w:rFonts w:hint="eastAsia" w:eastAsia="宋体" w:cs="Times New Roman"/>
                      <w:color w:val="000000" w:themeColor="text1"/>
                      <w:sz w:val="21"/>
                      <w:szCs w:val="21"/>
                      <w:highlight w:val="none"/>
                      <w:lang w:eastAsia="zh-CN"/>
                      <w14:textFill>
                        <w14:solidFill>
                          <w14:schemeClr w14:val="tx1"/>
                        </w14:solidFill>
                      </w14:textFill>
                    </w:rPr>
                    <w:t>用作</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农肥。</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55" w:hRule="atLeast"/>
                <w:jc w:val="center"/>
              </w:trPr>
              <w:tc>
                <w:tcPr>
                  <w:tcW w:w="58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供热</w:t>
                  </w:r>
                </w:p>
              </w:tc>
              <w:tc>
                <w:tcPr>
                  <w:tcW w:w="3898"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规划情况：将规划区分为北部、中部和南部三个供热分区供热，北部片区利用现有龙须门现有宽城宏宇热力有限公司二道河子热源厂进行供热，并利用新建两处</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清洁</w:t>
                  </w:r>
                  <w:r>
                    <w:rPr>
                      <w:rFonts w:hint="default" w:ascii="Times New Roman" w:hAnsi="Times New Roman" w:eastAsia="宋体" w:cs="Times New Roman"/>
                      <w:color w:val="000000" w:themeColor="text1"/>
                      <w:sz w:val="21"/>
                      <w:szCs w:val="21"/>
                      <w:highlight w:val="none"/>
                      <w14:textFill>
                        <w14:solidFill>
                          <w14:schemeClr w14:val="tx1"/>
                        </w14:solidFill>
                      </w14:textFill>
                    </w:rPr>
                    <w:t>煤制气</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中心</w:t>
                  </w:r>
                  <w:r>
                    <w:rPr>
                      <w:rFonts w:hint="default" w:ascii="Times New Roman" w:hAnsi="Times New Roman" w:eastAsia="宋体" w:cs="Times New Roman"/>
                      <w:color w:val="000000" w:themeColor="text1"/>
                      <w:sz w:val="21"/>
                      <w:szCs w:val="21"/>
                      <w:highlight w:val="none"/>
                      <w14:textFill>
                        <w14:solidFill>
                          <w14:schemeClr w14:val="tx1"/>
                        </w14:solidFill>
                      </w14:textFill>
                    </w:rPr>
                    <w:t>余热，龙须门两处新建</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清洁</w:t>
                  </w:r>
                  <w:r>
                    <w:rPr>
                      <w:rFonts w:hint="default" w:ascii="Times New Roman" w:hAnsi="Times New Roman" w:eastAsia="宋体" w:cs="Times New Roman"/>
                      <w:color w:val="000000" w:themeColor="text1"/>
                      <w:sz w:val="21"/>
                      <w:szCs w:val="21"/>
                      <w:highlight w:val="none"/>
                      <w14:textFill>
                        <w14:solidFill>
                          <w14:schemeClr w14:val="tx1"/>
                        </w14:solidFill>
                      </w14:textFill>
                    </w:rPr>
                    <w:t>煤制气</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中心</w:t>
                  </w:r>
                  <w:r>
                    <w:rPr>
                      <w:rFonts w:hint="default" w:ascii="Times New Roman" w:hAnsi="Times New Roman" w:eastAsia="宋体" w:cs="Times New Roman"/>
                      <w:color w:val="000000" w:themeColor="text1"/>
                      <w:sz w:val="21"/>
                      <w:szCs w:val="21"/>
                      <w:highlight w:val="none"/>
                      <w14:textFill>
                        <w14:solidFill>
                          <w14:schemeClr w14:val="tx1"/>
                        </w14:solidFill>
                      </w14:textFill>
                    </w:rPr>
                    <w:t>热源中心位置位于梁前院村及柳树底下村；中部片区热源为兆丰</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清洁</w:t>
                  </w:r>
                  <w:r>
                    <w:rPr>
                      <w:rFonts w:hint="default" w:ascii="Times New Roman" w:hAnsi="Times New Roman" w:eastAsia="宋体" w:cs="Times New Roman"/>
                      <w:color w:val="000000" w:themeColor="text1"/>
                      <w:sz w:val="21"/>
                      <w:szCs w:val="21"/>
                      <w:highlight w:val="none"/>
                      <w14:textFill>
                        <w14:solidFill>
                          <w14:schemeClr w14:val="tx1"/>
                        </w14:solidFill>
                      </w14:textFill>
                    </w:rPr>
                    <w:t>煤制气</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中心</w:t>
                  </w:r>
                  <w:r>
                    <w:rPr>
                      <w:rFonts w:hint="default" w:ascii="Times New Roman" w:hAnsi="Times New Roman" w:eastAsia="宋体" w:cs="Times New Roman"/>
                      <w:color w:val="000000" w:themeColor="text1"/>
                      <w:sz w:val="21"/>
                      <w:szCs w:val="21"/>
                      <w:highlight w:val="none"/>
                      <w14:textFill>
                        <w14:solidFill>
                          <w14:schemeClr w14:val="tx1"/>
                        </w14:solidFill>
                      </w14:textFill>
                    </w:rPr>
                    <w:t>余热；南部片区供热依托宽松岭分散式锅炉房。</w:t>
                  </w:r>
                </w:p>
                <w:p>
                  <w:pPr>
                    <w:keepNext w:val="0"/>
                    <w:keepLines w:val="0"/>
                    <w:pageBreakBefore w:val="0"/>
                    <w:widowControl w:val="0"/>
                    <w:suppressLineNumbers w:val="0"/>
                    <w:tabs>
                      <w:tab w:val="center" w:pos="4479"/>
                    </w:tabs>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园区现状：（</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）龙须门片区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宽城宏宇热力有限公司二道河子热源厂,位于宽城镇二道河子村北，现有2×84MW燃煤热水锅炉，主要为宽城县县城东部和开发区北区(宽城镇和龙须门镇所在片区)部分企业供热。</w:t>
                  </w:r>
                </w:p>
                <w:p>
                  <w:pPr>
                    <w:keepNext w:val="0"/>
                    <w:keepLines w:val="0"/>
                    <w:pageBreakBefore w:val="0"/>
                    <w:widowControl w:val="0"/>
                    <w:numPr>
                      <w:ilvl w:val="0"/>
                      <w:numId w:val="0"/>
                    </w:numPr>
                    <w:suppressLineNumbers w:val="0"/>
                    <w:tabs>
                      <w:tab w:val="center" w:pos="4479"/>
                    </w:tabs>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安达石片区：</w:t>
                  </w:r>
                  <w:r>
                    <w:rPr>
                      <w:rFonts w:hint="default" w:ascii="Times New Roman" w:hAnsi="Times New Roman" w:eastAsia="宋体" w:cs="Times New Roman"/>
                      <w:color w:val="000000" w:themeColor="text1"/>
                      <w:sz w:val="21"/>
                      <w:szCs w:val="21"/>
                      <w:highlight w:val="none"/>
                      <w14:textFill>
                        <w14:solidFill>
                          <w14:schemeClr w14:val="tx1"/>
                        </w14:solidFill>
                      </w14:textFill>
                    </w:rPr>
                    <w:t>部分企业自建供热锅炉，采用生物质、天然气为燃料。</w:t>
                  </w:r>
                </w:p>
                <w:p>
                  <w:pPr>
                    <w:keepNext w:val="0"/>
                    <w:keepLines w:val="0"/>
                    <w:pageBreakBefore w:val="0"/>
                    <w:widowControl w:val="0"/>
                    <w:numPr>
                      <w:ilvl w:val="0"/>
                      <w:numId w:val="0"/>
                    </w:numPr>
                    <w:suppressLineNumbers w:val="0"/>
                    <w:tabs>
                      <w:tab w:val="center" w:pos="4479"/>
                    </w:tabs>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）板城片区：</w:t>
                  </w:r>
                  <w:r>
                    <w:rPr>
                      <w:rFonts w:hint="default" w:ascii="Times New Roman" w:hAnsi="Times New Roman" w:eastAsia="宋体" w:cs="Times New Roman"/>
                      <w:color w:val="000000" w:themeColor="text1"/>
                      <w:sz w:val="21"/>
                      <w:szCs w:val="21"/>
                      <w:highlight w:val="none"/>
                      <w14:textFill>
                        <w14:solidFill>
                          <w14:schemeClr w14:val="tx1"/>
                        </w14:solidFill>
                      </w14:textFill>
                    </w:rPr>
                    <w:t>部分企业部分自建生物质锅炉，板城镇采用空气能热泵集中供热。</w:t>
                  </w:r>
                </w:p>
                <w:p>
                  <w:pPr>
                    <w:keepNext w:val="0"/>
                    <w:keepLines w:val="0"/>
                    <w:pageBreakBefore w:val="0"/>
                    <w:widowControl w:val="0"/>
                    <w:numPr>
                      <w:ilvl w:val="0"/>
                      <w:numId w:val="0"/>
                    </w:numPr>
                    <w:suppressLineNumbers w:val="0"/>
                    <w:tabs>
                      <w:tab w:val="center" w:pos="4479"/>
                    </w:tabs>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）松岭片区：</w:t>
                  </w:r>
                  <w:r>
                    <w:rPr>
                      <w:rFonts w:hint="default" w:ascii="Times New Roman" w:hAnsi="Times New Roman" w:eastAsia="宋体" w:cs="Times New Roman"/>
                      <w:color w:val="000000" w:themeColor="text1"/>
                      <w:sz w:val="21"/>
                      <w:szCs w:val="21"/>
                      <w:highlight w:val="none"/>
                      <w14:textFill>
                        <w14:solidFill>
                          <w14:schemeClr w14:val="tx1"/>
                        </w14:solidFill>
                      </w14:textFill>
                    </w:rPr>
                    <w:t>部分企业部分自建生物质锅炉，生活供热采用电采暖</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本项目生产用热采用电加热，职工冬季供暖采用空调。</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55" w:hRule="atLeast"/>
                <w:jc w:val="center"/>
              </w:trPr>
              <w:tc>
                <w:tcPr>
                  <w:tcW w:w="58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供气</w:t>
                  </w:r>
                </w:p>
              </w:tc>
              <w:tc>
                <w:tcPr>
                  <w:tcW w:w="3898" w:type="dxa"/>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近期：规划以煤制气和液化天然气(LNG)作为气源，开发区规划建设3处</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清洁</w:t>
                  </w:r>
                  <w:r>
                    <w:rPr>
                      <w:rFonts w:hint="default" w:ascii="Times New Roman" w:hAnsi="Times New Roman" w:eastAsia="宋体" w:cs="Times New Roman"/>
                      <w:color w:val="000000" w:themeColor="text1"/>
                      <w:sz w:val="21"/>
                      <w:szCs w:val="21"/>
                      <w:highlight w:val="none"/>
                      <w14:textFill>
                        <w14:solidFill>
                          <w14:schemeClr w14:val="tx1"/>
                        </w14:solidFill>
                      </w14:textFill>
                    </w:rPr>
                    <w:t>煤制气中心，位于板城片区兆丰钢铁现有厂区、龙须门片区梁前院村及柳树底下村。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远期：规划以天然气作为气源，从承德县门站接入管道天然气，以煤制气和液化天然气（LNG）气源作为备用气源、调峰气源。</w:t>
                  </w:r>
                </w:p>
                <w:p>
                  <w:pPr>
                    <w:pStyle w:val="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园区现状：（</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）龙须门片区：采用天然气撬车运输天然气，现状天然气供气设施共1处，运营管理单位为河北盛博燃气有限公司，位于龙须门镇骆驼厂村东南，现有4座150m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LNG储罐，设计供气量13140万m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/a、36万m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/d。现状供气量800万m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/a、2.2万m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/d。</w:t>
                  </w:r>
                </w:p>
                <w:p>
                  <w:pPr>
                    <w:pStyle w:val="6"/>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安达石片区：</w:t>
                  </w:r>
                  <w:r>
                    <w:rPr>
                      <w:rFonts w:hint="default" w:ascii="Times New Roman" w:hAnsi="Times New Roman" w:eastAsia="宋体" w:cs="Times New Roman"/>
                      <w:color w:val="000000" w:themeColor="text1"/>
                      <w:sz w:val="21"/>
                      <w:szCs w:val="21"/>
                      <w:highlight w:val="none"/>
                      <w14:textFill>
                        <w14:solidFill>
                          <w14:schemeClr w14:val="tx1"/>
                        </w14:solidFill>
                      </w14:textFill>
                    </w:rPr>
                    <w:t>未建设供气设施及管网，部分企业采用天然气撬车运输天然气。</w:t>
                  </w:r>
                </w:p>
                <w:p>
                  <w:pPr>
                    <w:pStyle w:val="6"/>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）板城片区：</w:t>
                  </w:r>
                  <w:r>
                    <w:rPr>
                      <w:rFonts w:hint="default" w:ascii="Times New Roman" w:hAnsi="Times New Roman" w:eastAsia="宋体" w:cs="Times New Roman"/>
                      <w:color w:val="000000" w:themeColor="text1"/>
                      <w:sz w:val="21"/>
                      <w:szCs w:val="21"/>
                      <w:highlight w:val="none"/>
                      <w14:textFill>
                        <w14:solidFill>
                          <w14:schemeClr w14:val="tx1"/>
                        </w14:solidFill>
                      </w14:textFill>
                    </w:rPr>
                    <w:t>未建设供气设施及管网，部分企业采用天然气撬车运输天然气。</w:t>
                  </w:r>
                </w:p>
                <w:p>
                  <w:pPr>
                    <w:pStyle w:val="6"/>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）松岭片区：</w:t>
                  </w:r>
                  <w:r>
                    <w:rPr>
                      <w:rFonts w:hint="default" w:ascii="Times New Roman" w:hAnsi="Times New Roman" w:eastAsia="宋体" w:cs="Times New Roman"/>
                      <w:color w:val="000000" w:themeColor="text1"/>
                      <w:sz w:val="21"/>
                      <w:szCs w:val="21"/>
                      <w:highlight w:val="none"/>
                      <w14:textFill>
                        <w14:solidFill>
                          <w14:schemeClr w14:val="tx1"/>
                        </w14:solidFill>
                      </w14:textFill>
                    </w:rPr>
                    <w:t>未建设供气设施及管网</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本项目不涉及燃气。</w:t>
                  </w:r>
                </w:p>
              </w:tc>
              <w:tc>
                <w:tcPr>
                  <w:tcW w:w="7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黑体" w:cs="Times New Roman"/>
                <w:color w:val="000000" w:themeColor="text1"/>
                <w:highlight w:val="none"/>
                <w:lang w:eastAsia="zh-CN"/>
                <w14:textFill>
                  <w14:solidFill>
                    <w14:schemeClr w14:val="tx1"/>
                  </w14:solidFill>
                </w14:textFill>
              </w:rPr>
              <w:t>表</w:t>
            </w:r>
            <w:r>
              <w:rPr>
                <w:rFonts w:hint="eastAsia" w:ascii="Times New Roman" w:hAnsi="Times New Roman" w:eastAsia="黑体" w:cs="Times New Roman"/>
                <w:color w:val="000000" w:themeColor="text1"/>
                <w:highlight w:val="none"/>
                <w:lang w:val="en-US" w:eastAsia="zh-CN"/>
                <w14:textFill>
                  <w14:solidFill>
                    <w14:schemeClr w14:val="tx1"/>
                  </w14:solidFill>
                </w14:textFill>
              </w:rPr>
              <w:t>1-</w:t>
            </w:r>
            <w:r>
              <w:rPr>
                <w:rFonts w:hint="default" w:ascii="Times New Roman" w:hAnsi="Times New Roman" w:eastAsia="黑体" w:cs="Times New Roman"/>
                <w:color w:val="000000" w:themeColor="text1"/>
                <w:highlight w:val="none"/>
                <w:lang w:val="en-US" w:eastAsia="zh-CN"/>
                <w14:textFill>
                  <w14:solidFill>
                    <w14:schemeClr w14:val="tx1"/>
                  </w14:solidFill>
                </w14:textFill>
              </w:rPr>
              <w:t xml:space="preserve">2  </w:t>
            </w:r>
            <w:r>
              <w:rPr>
                <w:rFonts w:hint="default" w:ascii="Times New Roman" w:hAnsi="Times New Roman" w:eastAsia="黑体" w:cs="Times New Roman"/>
                <w:color w:val="000000" w:themeColor="text1"/>
                <w:highlight w:val="none"/>
                <w:lang w:eastAsia="zh-CN"/>
                <w14:textFill>
                  <w14:solidFill>
                    <w14:schemeClr w14:val="tx1"/>
                  </w14:solidFill>
                </w14:textFill>
              </w:rPr>
              <w:t>开发区规划各产业发展方向一览表</w:t>
            </w:r>
          </w:p>
          <w:tbl>
            <w:tblPr>
              <w:tblStyle w:val="24"/>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76"/>
              <w:gridCol w:w="510"/>
              <w:gridCol w:w="604"/>
              <w:gridCol w:w="3509"/>
              <w:gridCol w:w="1925"/>
              <w:gridCol w:w="3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片区</w:t>
                  </w:r>
                </w:p>
              </w:tc>
              <w:tc>
                <w:tcPr>
                  <w:tcW w:w="76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规划产业</w:t>
                  </w:r>
                </w:p>
              </w:tc>
              <w:tc>
                <w:tcPr>
                  <w:tcW w:w="24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主要发展方向</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企业内容</w:t>
                  </w:r>
                </w:p>
              </w:tc>
              <w:tc>
                <w:tcPr>
                  <w:tcW w:w="2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龙须门片区</w:t>
                  </w:r>
                </w:p>
              </w:tc>
              <w:tc>
                <w:tcPr>
                  <w:tcW w:w="76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新能源产业聚集区</w:t>
                  </w:r>
                </w:p>
              </w:tc>
              <w:tc>
                <w:tcPr>
                  <w:tcW w:w="24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重点发展光伏、风电、氢能等产业。</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本项目为家具制造业，属于中小企业创业综合产业，符合开发区规划要求。</w:t>
                  </w:r>
                </w:p>
              </w:tc>
              <w:tc>
                <w:tcPr>
                  <w:tcW w:w="2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65" w:hRule="atLeast"/>
                <w:jc w:val="center"/>
              </w:trPr>
              <w:tc>
                <w:tcPr>
                  <w:tcW w:w="2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6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装备制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造产业聚集区</w:t>
                  </w:r>
                </w:p>
              </w:tc>
              <w:tc>
                <w:tcPr>
                  <w:tcW w:w="24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重点发展压力容器、工程机械、环保设备、机械零部件等产业。</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本项目为家具制造业，属于中小企业创业综合产业，符合开发区规划要求。</w:t>
                  </w:r>
                </w:p>
              </w:tc>
              <w:tc>
                <w:tcPr>
                  <w:tcW w:w="2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30" w:hRule="atLeast"/>
                <w:jc w:val="center"/>
              </w:trPr>
              <w:tc>
                <w:tcPr>
                  <w:tcW w:w="2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5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产</w:t>
                  </w:r>
                  <w:r>
                    <w:rPr>
                      <w:rFonts w:hint="default" w:ascii="Times New Roman" w:hAnsi="Times New Roman" w:eastAsia="宋体" w:cs="Times New Roman"/>
                      <w:color w:val="000000" w:themeColor="text1"/>
                      <w:sz w:val="21"/>
                      <w:szCs w:val="21"/>
                      <w:highlight w:val="none"/>
                      <w14:textFill>
                        <w14:solidFill>
                          <w14:schemeClr w14:val="tx1"/>
                        </w14:solidFill>
                      </w14:textFill>
                    </w:rPr>
                    <w:t>城融合发展</w:t>
                  </w:r>
                </w:p>
              </w:tc>
              <w:tc>
                <w:tcPr>
                  <w:tcW w:w="4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中</w:t>
                  </w:r>
                  <w:r>
                    <w:rPr>
                      <w:rFonts w:hint="default" w:ascii="Times New Roman" w:hAnsi="Times New Roman" w:eastAsia="宋体" w:cs="Times New Roman"/>
                      <w:color w:val="000000" w:themeColor="text1"/>
                      <w:sz w:val="21"/>
                      <w:szCs w:val="21"/>
                      <w:highlight w:val="none"/>
                      <w14:textFill>
                        <w14:solidFill>
                          <w14:schemeClr w14:val="tx1"/>
                        </w14:solidFill>
                      </w14:textFill>
                    </w:rPr>
                    <w:t>小企业创业综合产业</w:t>
                  </w:r>
                </w:p>
              </w:tc>
              <w:tc>
                <w:tcPr>
                  <w:tcW w:w="24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作为开发区建设的启动核心区，积极扶植中小企业发展，促进产城融合发展。</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420" w:firstLineChars="20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本项目为家具制造业，属于中小企业创业综合产业，符合开发区规划要求。</w:t>
                  </w:r>
                </w:p>
              </w:tc>
              <w:tc>
                <w:tcPr>
                  <w:tcW w:w="2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750" w:hRule="atLeast"/>
                <w:jc w:val="center"/>
              </w:trPr>
              <w:tc>
                <w:tcPr>
                  <w:tcW w:w="2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绿色食品产业</w:t>
                  </w:r>
                </w:p>
              </w:tc>
              <w:tc>
                <w:tcPr>
                  <w:tcW w:w="24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(1)绿色农产品：发展以板栗、山楂为主的有机果蔬，水稻、小米、红薯为主的有机杂粮及制品，食用菌为主的菌菜加工等。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(2)食品饮料：发展培育果蔬零食、健康饮品、果酒等果蔬深加工产品，推动白酒酿造、高锶矿泉饮品发展等。</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本项目为家具制造业，属于中小企业创业综合产业，符合开发区规划要求。</w:t>
                  </w:r>
                </w:p>
              </w:tc>
              <w:tc>
                <w:tcPr>
                  <w:tcW w:w="2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63" w:hRule="atLeast"/>
                <w:jc w:val="center"/>
              </w:trPr>
              <w:tc>
                <w:tcPr>
                  <w:tcW w:w="2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生物医药产业</w:t>
                  </w:r>
                </w:p>
              </w:tc>
              <w:tc>
                <w:tcPr>
                  <w:tcW w:w="24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(1)中医药：发展中药有效成分提取和纯化、新复方药物、新型中药制剂等。(2)保健食品：发展功能性保健品、保健食品等。</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本项目为家具制造业，属于中小企业创业综合产业，符合开发区规划要求。</w:t>
                  </w:r>
                </w:p>
              </w:tc>
              <w:tc>
                <w:tcPr>
                  <w:tcW w:w="2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30" w:hRule="atLeast"/>
                <w:jc w:val="center"/>
              </w:trPr>
              <w:tc>
                <w:tcPr>
                  <w:tcW w:w="2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6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42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新型建材产业聚集区</w:t>
                  </w:r>
                </w:p>
              </w:tc>
              <w:tc>
                <w:tcPr>
                  <w:tcW w:w="24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资源综合利用产业：充分利用宽城满族自治县白云石矿产资源优势，发展白云石综合利用相关产业项目，使矿石中镁元素得到充分利用，在不违反国家和省产业政策的前提下，适时发展镁冶炼和综合利用产业，延长产业链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(2)装配式建材：发展建筑结构部件、钢结构产品等建筑用材；发展水性涂料、新型防水材料、高性能绝热节能材料、墙纸墙布等保温密封材料；发展PVC-U、PP、PE、PP-R等管道建材。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(3)发展混凝土、砖瓦等传统建材。</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本本项目为家具制造业，属于中小企业创业综合产业，符合开发区规划要求。</w:t>
                  </w:r>
                </w:p>
              </w:tc>
              <w:tc>
                <w:tcPr>
                  <w:tcW w:w="2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bl>
          <w:p>
            <w:pPr>
              <w:keepNext w:val="0"/>
              <w:keepLines w:val="0"/>
              <w:suppressLineNumbers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本项目位于宽城经济开发区龙须门片区，为家具制造业，属于促进产城融合发展的中小企业创业综合产业，占用土地为工业用地，符合宽城经济开发区的总体规划。</w:t>
            </w:r>
          </w:p>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both"/>
              <w:textAlignment w:val="auto"/>
              <w:outlineLvl w:val="9"/>
              <w:rPr>
                <w:rFonts w:hint="default"/>
                <w:color w:val="000000" w:themeColor="text1"/>
                <w:highlight w:val="none"/>
                <w:lang w:eastAsia="zh-CN"/>
                <w14:textFill>
                  <w14:solidFill>
                    <w14:schemeClr w14:val="tx1"/>
                  </w14:solidFill>
                </w14:textFill>
              </w:rPr>
            </w:pPr>
            <w:r>
              <w:rPr>
                <w:rFonts w:hint="default"/>
                <w:color w:val="000000" w:themeColor="text1"/>
                <w:highlight w:val="none"/>
                <w:lang w:eastAsia="zh-CN"/>
                <w14:textFill>
                  <w14:solidFill>
                    <w14:schemeClr w14:val="tx1"/>
                  </w14:solidFill>
                </w14:textFill>
              </w:rPr>
              <w:t>审查意见的符合性分析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黑体" w:cs="Times New Roman"/>
                <w:color w:val="000000" w:themeColor="text1"/>
                <w:highlight w:val="none"/>
                <w:lang w:eastAsia="zh-CN"/>
                <w14:textFill>
                  <w14:solidFill>
                    <w14:schemeClr w14:val="tx1"/>
                  </w14:solidFill>
                </w14:textFill>
              </w:rPr>
              <w:t>表</w:t>
            </w:r>
            <w:r>
              <w:rPr>
                <w:rFonts w:hint="eastAsia" w:ascii="Times New Roman" w:hAnsi="Times New Roman" w:eastAsia="黑体" w:cs="Times New Roman"/>
                <w:color w:val="000000" w:themeColor="text1"/>
                <w:highlight w:val="none"/>
                <w:lang w:val="en-US" w:eastAsia="zh-CN"/>
                <w14:textFill>
                  <w14:solidFill>
                    <w14:schemeClr w14:val="tx1"/>
                  </w14:solidFill>
                </w14:textFill>
              </w:rPr>
              <w:t>1-3</w:t>
            </w:r>
            <w:r>
              <w:rPr>
                <w:rFonts w:hint="default" w:ascii="Times New Roman" w:hAnsi="Times New Roman" w:eastAsia="黑体" w:cs="Times New Roman"/>
                <w:color w:val="000000" w:themeColor="text1"/>
                <w:highlight w:val="none"/>
                <w:lang w:val="en-US" w:eastAsia="zh-CN"/>
                <w14:textFill>
                  <w14:solidFill>
                    <w14:schemeClr w14:val="tx1"/>
                  </w14:solidFill>
                </w14:textFill>
              </w:rPr>
              <w:t xml:space="preserve">  </w:t>
            </w:r>
            <w:r>
              <w:rPr>
                <w:rFonts w:hint="eastAsia" w:ascii="Times New Roman" w:hAnsi="Times New Roman" w:eastAsia="黑体" w:cs="Times New Roman"/>
                <w:color w:val="000000" w:themeColor="text1"/>
                <w:highlight w:val="none"/>
                <w:lang w:val="en-US" w:eastAsia="zh-CN"/>
                <w14:textFill>
                  <w14:solidFill>
                    <w14:schemeClr w14:val="tx1"/>
                  </w14:solidFill>
                </w14:textFill>
              </w:rPr>
              <w:t>与</w:t>
            </w:r>
            <w:r>
              <w:rPr>
                <w:rFonts w:hint="default" w:ascii="Times New Roman" w:hAnsi="Times New Roman" w:eastAsia="黑体" w:cs="Times New Roman"/>
                <w:color w:val="000000" w:themeColor="text1"/>
                <w:highlight w:val="none"/>
                <w:lang w:eastAsia="zh-CN"/>
                <w14:textFill>
                  <w14:solidFill>
                    <w14:schemeClr w14:val="tx1"/>
                  </w14:solidFill>
                </w14:textFill>
              </w:rPr>
              <w:t>开发区规划</w:t>
            </w:r>
            <w:r>
              <w:rPr>
                <w:rFonts w:hint="eastAsia" w:ascii="Times New Roman" w:hAnsi="Times New Roman" w:eastAsia="黑体" w:cs="Times New Roman"/>
                <w:color w:val="000000" w:themeColor="text1"/>
                <w:highlight w:val="none"/>
                <w:lang w:eastAsia="zh-CN"/>
                <w14:textFill>
                  <w14:solidFill>
                    <w14:schemeClr w14:val="tx1"/>
                  </w14:solidFill>
                </w14:textFill>
              </w:rPr>
              <w:t>审查意见符合性分析</w:t>
            </w:r>
            <w:r>
              <w:rPr>
                <w:rFonts w:hint="default" w:ascii="Times New Roman" w:hAnsi="Times New Roman" w:eastAsia="黑体" w:cs="Times New Roman"/>
                <w:color w:val="000000" w:themeColor="text1"/>
                <w:highlight w:val="none"/>
                <w:lang w:eastAsia="zh-CN"/>
                <w14:textFill>
                  <w14:solidFill>
                    <w14:schemeClr w14:val="tx1"/>
                  </w14:solidFill>
                </w14:textFill>
              </w:rPr>
              <w:t>表</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006"/>
              <w:gridCol w:w="1511"/>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序号</w:t>
                  </w:r>
                </w:p>
              </w:tc>
              <w:tc>
                <w:tcPr>
                  <w:tcW w:w="275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审查意见</w:t>
                  </w:r>
                </w:p>
              </w:tc>
              <w:tc>
                <w:tcPr>
                  <w:tcW w:w="103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企业情况</w:t>
                  </w:r>
                </w:p>
              </w:tc>
              <w:tc>
                <w:tcPr>
                  <w:tcW w:w="68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755" w:type="pct"/>
                  <w:vAlign w:val="top"/>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规划面积17.65平方公里，氛围龙须门、安达石、板城、松岭四个片区；主导产业为新能源、装备制造、绿色食品、生物医药、中小企业创业综合、新型建材、新材料、钒钛新材料及制品和绿色矿业等产业</w:t>
                  </w:r>
                </w:p>
              </w:tc>
              <w:tc>
                <w:tcPr>
                  <w:tcW w:w="10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本项目位于龙须门片区，为家具制造业，属于中小企业创业综合产业。</w:t>
                  </w:r>
                </w:p>
              </w:tc>
              <w:tc>
                <w:tcPr>
                  <w:tcW w:w="68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755" w:type="pct"/>
                  <w:vAlign w:val="top"/>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开发区规划范围内涉及地表水体的瀑河、小柳河、浑河、民训河，文物保护单位的药王庙遗址、粮站遗址及矿产资源分布区等环境敏感区，总体上区域生态环境、水环境极为敏感，应强化各项环境保护对策和措施的落实，有效预防和减缓对生态环境可能带来的不良影响。</w:t>
                  </w:r>
                </w:p>
              </w:tc>
              <w:tc>
                <w:tcPr>
                  <w:tcW w:w="10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本项目无生产废水，废气产生量小，经环保设施处理后能稳定达标排放。</w:t>
                  </w:r>
                </w:p>
              </w:tc>
              <w:tc>
                <w:tcPr>
                  <w:tcW w:w="68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755" w:type="pct"/>
                  <w:vAlign w:val="top"/>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环境准入条件，推动产业结构调整和转型升级。落实开发区生态环境准入要求和与规划不符的现有企业环境管理要求，强化现有及入区企业污染物排放控制要求，禁止基础化学原料制造相关的项目入区。开发区现有企业不断提高清洁生产水平，促进开发区产业转型升级与生态环境保护人居环境安全相协调。</w:t>
                  </w:r>
                </w:p>
              </w:tc>
              <w:tc>
                <w:tcPr>
                  <w:tcW w:w="10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本项目为家具制造业，属于中小企业创业综合产业，符合开发区规划。</w:t>
                  </w:r>
                </w:p>
              </w:tc>
              <w:tc>
                <w:tcPr>
                  <w:tcW w:w="68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755" w:type="pct"/>
                  <w:vAlign w:val="top"/>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空间管控要求，进一步优化空间布局。统筹优化开发区产业布局和发展规模，加强对开发区周边生态保护红线及各类环境敏感区的保护，不得侵占周边生态保护红线，禁止占用河道管理范围、文物保护单位建设控制地带，严格遵守其相关管理要求。结合宽城满族自治县国土空间总体规划最新成果，进一步强化空间管控，优化规划布局。</w:t>
                  </w:r>
                </w:p>
              </w:tc>
              <w:tc>
                <w:tcPr>
                  <w:tcW w:w="10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本项目位于经济开发区龙须门片区，不侵占生态保护红线，不位于河道管理范围内，不属于文物保护单位建设控制地带。</w:t>
                  </w:r>
                </w:p>
              </w:tc>
              <w:tc>
                <w:tcPr>
                  <w:tcW w:w="68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755" w:type="pct"/>
                  <w:vAlign w:val="top"/>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守环境质量底线，强化污染物排放总量管控。根据国家、河北省及承德市污染防治规划和区域“三线一单”生态环境分区管控相关要求，制定并落实开发区污染减排方案，采取有效措施减少主要污染物和特征污染物的排放量，深入开展开发区两高行业减污降碳改造，推进挥发性有机物和氮氧化物协同治理确保区域环境质量持续改善，促进产业发展与生态环境保护相协调。区域环境质量达标之前，实施二氧化硫、氮氧化物、颗粒物、挥发性有机物四项污染物削减替代。</w:t>
                  </w:r>
                </w:p>
              </w:tc>
              <w:tc>
                <w:tcPr>
                  <w:tcW w:w="10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本项目污染物产生量小，经环保设施处理后，可稳定达标排放，不属于高耗能、高污染行业。</w:t>
                  </w:r>
                </w:p>
              </w:tc>
              <w:tc>
                <w:tcPr>
                  <w:tcW w:w="68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pPr>
              <w:pStyle w:val="7"/>
              <w:keepNext w:val="0"/>
              <w:keepLines w:val="0"/>
              <w:suppressLineNumbers w:val="0"/>
              <w:spacing w:before="0" w:beforeAutospacing="0" w:afterAutospacing="0"/>
              <w:ind w:left="0" w:leftChars="0" w:right="0" w:firstLine="0" w:firstLineChars="0"/>
              <w:rPr>
                <w:rFonts w:hint="default"/>
                <w:color w:val="000000" w:themeColor="text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67" w:type="pct"/>
          <w:trHeight w:val="90" w:hRule="atLeast"/>
          <w:jc w:val="center"/>
        </w:trPr>
        <w:tc>
          <w:tcPr>
            <w:tcW w:w="1066"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pStyle w:val="41"/>
              <w:keepNext w:val="0"/>
              <w:keepLines w:val="0"/>
              <w:suppressLineNumbers w:val="0"/>
              <w:bidi w:val="0"/>
              <w:spacing w:before="0" w:beforeAutospacing="0" w:after="0" w:afterAutospacing="0"/>
              <w:ind w:left="0" w:right="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其他符合性分析</w:t>
            </w:r>
          </w:p>
        </w:tc>
        <w:tc>
          <w:tcPr>
            <w:tcW w:w="3866"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lang w:eastAsia="zh-CN"/>
                <w14:textFill>
                  <w14:solidFill>
                    <w14:schemeClr w14:val="tx1"/>
                  </w14:solidFill>
                </w14:textFill>
              </w:rPr>
              <w:t>产业政策符合性分析</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本项目为</w:t>
            </w:r>
            <w:r>
              <w:rPr>
                <w:rFonts w:hint="eastAsia"/>
                <w:color w:val="000000" w:themeColor="text1"/>
                <w:highlight w:val="none"/>
                <w:lang w:eastAsia="zh-CN"/>
                <w14:textFill>
                  <w14:solidFill>
                    <w14:schemeClr w14:val="tx1"/>
                  </w14:solidFill>
                </w14:textFill>
              </w:rPr>
              <w:t>家具制造业</w:t>
            </w:r>
            <w:r>
              <w:rPr>
                <w:rFonts w:hint="default"/>
                <w:color w:val="000000" w:themeColor="text1"/>
                <w:highlight w:val="none"/>
                <w14:textFill>
                  <w14:solidFill>
                    <w14:schemeClr w14:val="tx1"/>
                  </w14:solidFill>
                </w14:textFill>
              </w:rPr>
              <w:t>，对照《产业结构调整指导目录（2019年本）》，不属于其中的鼓励类、限制类或淘汰类，属于允许建设项目；根据《河北省环境敏感区支持、限制及禁止建设项目名录（2005年修订本）》，本项目不属于其中禁止、限制类项目；对比《市场准入负面清单（2022年版）》，本项目不属于“与市场准入相关的禁止性规定”的禁止措施之列。同时，</w:t>
            </w:r>
            <w:r>
              <w:rPr>
                <w:rFonts w:hint="eastAsia"/>
                <w:color w:val="000000" w:themeColor="text1"/>
                <w:highlight w:val="none"/>
                <w:lang w:eastAsia="zh-CN"/>
                <w14:textFill>
                  <w14:solidFill>
                    <w14:schemeClr w14:val="tx1"/>
                  </w14:solidFill>
                </w14:textFill>
              </w:rPr>
              <w:t>承德市</w:t>
            </w:r>
            <w:r>
              <w:rPr>
                <w:rFonts w:hint="default"/>
                <w:color w:val="000000" w:themeColor="text1"/>
                <w:highlight w:val="none"/>
                <w14:textFill>
                  <w14:solidFill>
                    <w14:schemeClr w14:val="tx1"/>
                  </w14:solidFill>
                </w14:textFill>
              </w:rPr>
              <w:t>行政审批局为该项目出具备案信息（</w:t>
            </w:r>
            <w:r>
              <w:rPr>
                <w:rFonts w:hint="eastAsia"/>
                <w:color w:val="000000" w:themeColor="text1"/>
                <w:highlight w:val="none"/>
                <w:lang w:eastAsia="zh-CN"/>
                <w14:textFill>
                  <w14:solidFill>
                    <w14:schemeClr w14:val="tx1"/>
                  </w14:solidFill>
                </w14:textFill>
              </w:rPr>
              <w:t>承审批备字</w:t>
            </w:r>
            <w:r>
              <w:rPr>
                <w:rFonts w:hint="default"/>
                <w:color w:val="000000" w:themeColor="text1"/>
                <w:highlight w:val="none"/>
                <w14:textFill>
                  <w14:solidFill>
                    <w14:schemeClr w14:val="tx1"/>
                  </w14:solidFill>
                </w14:textFill>
              </w:rPr>
              <w:t>[2023]</w:t>
            </w:r>
            <w:r>
              <w:rPr>
                <w:rFonts w:hint="eastAsia"/>
                <w:color w:val="000000" w:themeColor="text1"/>
                <w:highlight w:val="none"/>
                <w:lang w:val="en-US" w:eastAsia="zh-CN"/>
                <w14:textFill>
                  <w14:solidFill>
                    <w14:schemeClr w14:val="tx1"/>
                  </w14:solidFill>
                </w14:textFill>
              </w:rPr>
              <w:t>7</w:t>
            </w:r>
            <w:r>
              <w:rPr>
                <w:rFonts w:hint="default"/>
                <w:color w:val="000000" w:themeColor="text1"/>
                <w:highlight w:val="none"/>
                <w14:textFill>
                  <w14:solidFill>
                    <w14:schemeClr w14:val="tx1"/>
                  </w14:solidFill>
                </w14:textFill>
              </w:rPr>
              <w:t>号）。因此本项目符合产业政策要求。</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因此，该项目符合国家和地方相关产业政策。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jc w:val="left"/>
              <w:textAlignment w:val="auto"/>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二</w:t>
            </w:r>
            <w:r>
              <w:rPr>
                <w:rFonts w:hint="default"/>
                <w:color w:val="000000" w:themeColor="text1"/>
                <w:highlight w:val="none"/>
                <w14:textFill>
                  <w14:solidFill>
                    <w14:schemeClr w14:val="tx1"/>
                  </w14:solidFill>
                </w14:textFill>
              </w:rPr>
              <w:t>、三线一单符合性</w:t>
            </w:r>
          </w:p>
          <w:p>
            <w:pPr>
              <w:keepNext w:val="0"/>
              <w:keepLines w:val="0"/>
              <w:suppressLineNumbers w:val="0"/>
              <w:bidi w:val="0"/>
              <w:spacing w:before="0" w:beforeAutospacing="0" w:after="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根据《关于以改善环境质量为核心加强环境影响评价管理的通知》（环境保护部文件：环环评[2016]150号）、</w:t>
            </w:r>
            <w:r>
              <w:rPr>
                <w:rFonts w:hint="eastAsia"/>
                <w:color w:val="000000" w:themeColor="text1"/>
                <w:highlight w:val="none"/>
                <w:lang w:eastAsia="zh-CN"/>
                <w14:textFill>
                  <w14:solidFill>
                    <w14:schemeClr w14:val="tx1"/>
                  </w14:solidFill>
                </w14:textFill>
              </w:rPr>
              <w:t>《河北宽城经济开发区总体规划环境影响报告书三线一单专题报告》</w:t>
            </w:r>
            <w:r>
              <w:rPr>
                <w:rFonts w:hint="eastAsia"/>
                <w:color w:val="000000" w:themeColor="text1"/>
                <w:highlight w:val="none"/>
                <w14:textFill>
                  <w14:solidFill>
                    <w14:schemeClr w14:val="tx1"/>
                  </w14:solidFill>
                </w14:textFill>
              </w:rPr>
              <w:t>，进行项目“三线一单”符合性分析，判定内容</w:t>
            </w:r>
            <w:r>
              <w:rPr>
                <w:rFonts w:hint="eastAsia"/>
                <w:color w:val="000000" w:themeColor="text1"/>
                <w:highlight w:val="none"/>
                <w:lang w:val="en-US" w:eastAsia="zh-CN"/>
                <w14:textFill>
                  <w14:solidFill>
                    <w14:schemeClr w14:val="tx1"/>
                  </w14:solidFill>
                </w14:textFill>
              </w:rPr>
              <w:t>见表1-4。</w:t>
            </w:r>
          </w:p>
          <w:p>
            <w:pPr>
              <w:pStyle w:val="7"/>
              <w:keepNext w:val="0"/>
              <w:keepLines w:val="0"/>
              <w:suppressLineNumbers w:val="0"/>
              <w:spacing w:before="0" w:beforeAutospacing="0" w:afterAutospacing="0"/>
              <w:ind w:left="0" w:leftChars="0" w:right="0" w:firstLine="0" w:firstLineChars="0"/>
              <w:rPr>
                <w:rFonts w:hint="default"/>
                <w:color w:val="000000" w:themeColor="text1"/>
                <w:highlight w:val="none"/>
                <w:lang w:val="en-US" w:eastAsia="zh-CN"/>
                <w14:textFill>
                  <w14:solidFill>
                    <w14:schemeClr w14:val="tx1"/>
                  </w14:solidFill>
                </w14:textFill>
              </w:rPr>
            </w:pPr>
          </w:p>
          <w:p>
            <w:pPr>
              <w:pStyle w:val="7"/>
              <w:keepNext w:val="0"/>
              <w:keepLines w:val="0"/>
              <w:suppressLineNumbers w:val="0"/>
              <w:spacing w:before="0" w:beforeAutospacing="0" w:afterAutospacing="0"/>
              <w:ind w:left="0" w:leftChars="0" w:right="0" w:firstLine="0" w:firstLineChars="0"/>
              <w:rPr>
                <w:rFonts w:hint="default"/>
                <w:color w:val="000000" w:themeColor="text1"/>
                <w:highlight w:val="none"/>
                <w:lang w:val="en-US" w:eastAsia="zh-CN"/>
                <w14:textFill>
                  <w14:solidFill>
                    <w14:schemeClr w14:val="tx1"/>
                  </w14:solidFill>
                </w14:textFill>
              </w:rPr>
            </w:pPr>
          </w:p>
          <w:p>
            <w:pPr>
              <w:pStyle w:val="7"/>
              <w:keepNext w:val="0"/>
              <w:keepLines w:val="0"/>
              <w:suppressLineNumbers w:val="0"/>
              <w:spacing w:before="0" w:beforeAutospacing="0" w:afterAutospacing="0"/>
              <w:ind w:left="0" w:leftChars="0" w:right="0" w:firstLine="0" w:firstLineChars="0"/>
              <w:rPr>
                <w:rFonts w:hint="default"/>
                <w:color w:val="000000" w:themeColor="text1"/>
                <w:highlight w:val="none"/>
                <w:lang w:val="en-US" w:eastAsia="zh-CN"/>
                <w14:textFill>
                  <w14:solidFill>
                    <w14:schemeClr w14:val="tx1"/>
                  </w14:solidFill>
                </w14:textFill>
              </w:rPr>
            </w:pPr>
          </w:p>
          <w:p>
            <w:pPr>
              <w:pStyle w:val="7"/>
              <w:keepNext w:val="0"/>
              <w:keepLines w:val="0"/>
              <w:suppressLineNumbers w:val="0"/>
              <w:spacing w:before="0" w:beforeAutospacing="0" w:afterAutospacing="0"/>
              <w:ind w:left="0" w:leftChars="0" w:right="0" w:firstLine="0" w:firstLineChars="0"/>
              <w:rPr>
                <w:rFonts w:hint="default"/>
                <w:color w:val="000000" w:themeColor="text1"/>
                <w:highlight w:val="none"/>
                <w:lang w:val="en-US" w:eastAsia="zh-CN"/>
                <w14:textFill>
                  <w14:solidFill>
                    <w14:schemeClr w14:val="tx1"/>
                  </w14:solidFill>
                </w14:textFill>
              </w:rPr>
            </w:pPr>
          </w:p>
          <w:p>
            <w:pPr>
              <w:pStyle w:val="7"/>
              <w:keepNext w:val="0"/>
              <w:keepLines w:val="0"/>
              <w:suppressLineNumbers w:val="0"/>
              <w:spacing w:before="0" w:beforeAutospacing="0" w:afterAutospacing="0"/>
              <w:ind w:left="0" w:leftChars="0" w:right="0" w:firstLine="0" w:firstLineChars="0"/>
              <w:rPr>
                <w:rFonts w:hint="default"/>
                <w:color w:val="000000" w:themeColor="text1"/>
                <w:highlight w:val="none"/>
                <w:lang w:val="en-US" w:eastAsia="zh-CN"/>
                <w14:textFill>
                  <w14:solidFill>
                    <w14:schemeClr w14:val="tx1"/>
                  </w14:solidFill>
                </w14:textFill>
              </w:rPr>
            </w:pPr>
          </w:p>
          <w:p>
            <w:pPr>
              <w:pStyle w:val="7"/>
              <w:keepNext w:val="0"/>
              <w:keepLines w:val="0"/>
              <w:suppressLineNumbers w:val="0"/>
              <w:spacing w:before="0" w:beforeAutospacing="0" w:afterAutospacing="0"/>
              <w:ind w:left="0" w:leftChars="0" w:right="0" w:firstLine="0" w:firstLineChars="0"/>
              <w:rPr>
                <w:rFonts w:hint="default"/>
                <w:color w:val="000000" w:themeColor="text1"/>
                <w:highlight w:val="none"/>
                <w:lang w:val="en-US" w:eastAsia="zh-CN"/>
                <w14:textFill>
                  <w14:solidFill>
                    <w14:schemeClr w14:val="tx1"/>
                  </w14:solidFill>
                </w14:textFill>
              </w:rPr>
            </w:pPr>
          </w:p>
          <w:p>
            <w:pPr>
              <w:pStyle w:val="7"/>
              <w:keepNext w:val="0"/>
              <w:keepLines w:val="0"/>
              <w:suppressLineNumbers w:val="0"/>
              <w:spacing w:before="0" w:beforeAutospacing="0" w:afterAutospacing="0"/>
              <w:ind w:left="0" w:leftChars="0" w:right="0" w:firstLine="0" w:firstLineChars="0"/>
              <w:rPr>
                <w:rFonts w:hint="default"/>
                <w:color w:val="000000" w:themeColor="text1"/>
                <w:highlight w:val="none"/>
                <w:lang w:val="en-US" w:eastAsia="zh-CN"/>
                <w14:textFill>
                  <w14:solidFill>
                    <w14:schemeClr w14:val="tx1"/>
                  </w14:solidFill>
                </w14:textFill>
              </w:rPr>
            </w:pPr>
          </w:p>
          <w:p>
            <w:pPr>
              <w:pStyle w:val="7"/>
              <w:keepNext w:val="0"/>
              <w:keepLines w:val="0"/>
              <w:suppressLineNumbers w:val="0"/>
              <w:spacing w:before="0" w:beforeAutospacing="0" w:afterAutospacing="0"/>
              <w:ind w:left="0" w:leftChars="0" w:right="0" w:firstLine="0" w:firstLineChars="0"/>
              <w:rPr>
                <w:rFonts w:hint="default"/>
                <w:color w:val="000000" w:themeColor="text1"/>
                <w:highlight w:val="none"/>
                <w:lang w:val="en-US" w:eastAsia="zh-CN"/>
                <w14:textFill>
                  <w14:solidFill>
                    <w14:schemeClr w14:val="tx1"/>
                  </w14:solidFill>
                </w14:textFill>
              </w:rPr>
            </w:pPr>
          </w:p>
          <w:p>
            <w:pPr>
              <w:pStyle w:val="7"/>
              <w:keepNext w:val="0"/>
              <w:keepLines w:val="0"/>
              <w:suppressLineNumbers w:val="0"/>
              <w:spacing w:before="0" w:beforeAutospacing="0" w:afterAutospacing="0"/>
              <w:ind w:left="0" w:leftChars="0" w:right="0" w:firstLine="0" w:firstLineChars="0"/>
              <w:rPr>
                <w:rFonts w:hint="default"/>
                <w:color w:val="000000" w:themeColor="text1"/>
                <w:highlight w:val="none"/>
                <w:lang w:val="en-US" w:eastAsia="zh-CN"/>
                <w14:textFill>
                  <w14:solidFill>
                    <w14:schemeClr w14:val="tx1"/>
                  </w14:solidFill>
                </w14:textFill>
              </w:rPr>
            </w:pPr>
          </w:p>
          <w:p>
            <w:pPr>
              <w:pStyle w:val="7"/>
              <w:keepNext w:val="0"/>
              <w:keepLines w:val="0"/>
              <w:suppressLineNumbers w:val="0"/>
              <w:spacing w:before="0" w:beforeAutospacing="0" w:afterAutospacing="0"/>
              <w:ind w:left="0" w:leftChars="0" w:right="0" w:firstLine="0" w:firstLineChars="0"/>
              <w:rPr>
                <w:rFonts w:hint="default"/>
                <w:color w:val="000000" w:themeColor="text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458" w:hRule="atLeast"/>
          <w:jc w:val="center"/>
        </w:trPr>
        <w:tc>
          <w:tcPr>
            <w:tcW w:w="325" w:type="pct"/>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leftChars="0" w:right="0" w:firstLine="0" w:firstLineChars="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其他符合性分析</w:t>
            </w:r>
          </w:p>
        </w:tc>
        <w:tc>
          <w:tcPr>
            <w:tcW w:w="4674" w:type="pct"/>
            <w:gridSpan w:val="5"/>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pPr>
              <w:keepNext w:val="0"/>
              <w:keepLines w:val="0"/>
              <w:suppressLineNumbers w:val="0"/>
              <w:snapToGrid w:val="0"/>
              <w:spacing w:before="0" w:beforeAutospacing="0" w:after="0" w:afterAutospacing="0" w:line="360" w:lineRule="auto"/>
              <w:ind w:left="0" w:right="0" w:firstLine="422"/>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表1-</w:t>
            </w:r>
            <w:r>
              <w:rPr>
                <w:rFonts w:hint="eastAsia" w:ascii="Times New Roman" w:hAnsi="Times New Roman" w:eastAsia="黑体" w:cs="Times New Roman"/>
                <w:color w:val="000000" w:themeColor="text1"/>
                <w:highlight w:val="none"/>
                <w:lang w:val="en-US" w:eastAsia="zh-CN"/>
                <w14:textFill>
                  <w14:solidFill>
                    <w14:schemeClr w14:val="tx1"/>
                  </w14:solidFill>
                </w14:textFill>
              </w:rPr>
              <w:t>4</w:t>
            </w:r>
            <w:r>
              <w:rPr>
                <w:rFonts w:hint="default" w:ascii="Times New Roman" w:hAnsi="Times New Roman" w:eastAsia="黑体" w:cs="Times New Roman"/>
                <w:color w:val="000000" w:themeColor="text1"/>
                <w:highlight w:val="none"/>
                <w14:textFill>
                  <w14:solidFill>
                    <w14:schemeClr w14:val="tx1"/>
                  </w14:solidFill>
                </w14:textFill>
              </w:rPr>
              <w:t xml:space="preserve">  项目与“三线一单”符合性分析表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481"/>
              <w:gridCol w:w="4706"/>
              <w:gridCol w:w="2575"/>
              <w:gridCol w:w="7"/>
              <w:gridCol w:w="9"/>
              <w:gridCol w:w="569"/>
              <w:gridCol w:w="5"/>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270" w:type="pct"/>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项目</w:t>
                  </w:r>
                </w:p>
              </w:tc>
              <w:tc>
                <w:tcPr>
                  <w:tcW w:w="2935" w:type="pct"/>
                  <w:gridSpan w:val="2"/>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分析内容</w:t>
                  </w:r>
                </w:p>
              </w:tc>
              <w:tc>
                <w:tcPr>
                  <w:tcW w:w="1466" w:type="pct"/>
                  <w:gridSpan w:val="3"/>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企业情况</w:t>
                  </w:r>
                </w:p>
              </w:tc>
              <w:tc>
                <w:tcPr>
                  <w:tcW w:w="327" w:type="pct"/>
                  <w:gridSpan w:val="3"/>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270" w:type="pct"/>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生态保护红线</w:t>
                  </w:r>
                </w:p>
              </w:tc>
              <w:tc>
                <w:tcPr>
                  <w:tcW w:w="2935"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宽城满族自治县生态保护红线区面积为852.46km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，占宽城满族自治县国土面积的44.02%，红线区在地理分布上分为两个部分，一是东部地区的宽城县都山水源涵养土壤保持功能红线区；二是西部地区的宽城县千鹤山水源涵养土壤保持生物多样性保护功能红线区</w:t>
                  </w:r>
                </w:p>
              </w:tc>
              <w:tc>
                <w:tcPr>
                  <w:tcW w:w="1466" w:type="pct"/>
                  <w:gridSpan w:val="3"/>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420" w:firstLineChars="20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本项目位于宽城经济开发区龙须门片区，不占用生态保护红线。</w:t>
                  </w:r>
                </w:p>
              </w:tc>
              <w:tc>
                <w:tcPr>
                  <w:tcW w:w="327" w:type="pct"/>
                  <w:gridSpan w:val="3"/>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 w:type="pct"/>
                <w:trHeight w:val="1145" w:hRule="atLeast"/>
              </w:trPr>
              <w:tc>
                <w:tcPr>
                  <w:tcW w:w="270" w:type="pct"/>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环境质量底线</w:t>
                  </w:r>
                </w:p>
              </w:tc>
              <w:tc>
                <w:tcPr>
                  <w:tcW w:w="2935"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大气环境质量底线</w:t>
                  </w:r>
                  <w:r>
                    <w:rPr>
                      <w:rFonts w:hint="eastAsia"/>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区域环境空气质量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应</w:t>
                  </w:r>
                  <w:r>
                    <w:rPr>
                      <w:rFonts w:hint="default" w:ascii="Times New Roman" w:hAnsi="Times New Roman" w:eastAsia="宋体" w:cs="Times New Roman"/>
                      <w:color w:val="000000" w:themeColor="text1"/>
                      <w:sz w:val="21"/>
                      <w:szCs w:val="21"/>
                      <w:highlight w:val="none"/>
                      <w14:textFill>
                        <w14:solidFill>
                          <w14:schemeClr w14:val="tx1"/>
                        </w14:solidFill>
                      </w14:textFill>
                    </w:rPr>
                    <w:t>满足《环境空气质量标准》(GB3095-2012)、《环境空气质量 非甲烷总烃限值》(DB13/1577-2012)、原《工业企业设计卫生标准》(TJ36-1979)、二噁英满足日本浓度标准限值</w:t>
                  </w:r>
                  <w:r>
                    <w:rPr>
                      <w:rFonts w:hint="default" w:ascii="Times New Roman" w:hAnsi="Times New Roman" w:eastAsia="宋体" w:cs="Times New Roman"/>
                      <w:bCs/>
                      <w:color w:val="000000" w:themeColor="text1"/>
                      <w:spacing w:val="3"/>
                      <w:sz w:val="21"/>
                      <w:szCs w:val="21"/>
                      <w:highlight w:val="none"/>
                      <w14:textFill>
                        <w14:solidFill>
                          <w14:schemeClr w14:val="tx1"/>
                        </w14:solidFill>
                      </w14:textFill>
                    </w:rPr>
                    <w:t>。</w:t>
                  </w:r>
                </w:p>
              </w:tc>
              <w:tc>
                <w:tcPr>
                  <w:tcW w:w="1457"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本项目为家具制造业，涉及大气污染物均能达标排放，符合开发区规划。</w:t>
                  </w:r>
                </w:p>
              </w:tc>
              <w:tc>
                <w:tcPr>
                  <w:tcW w:w="331" w:type="pct"/>
                  <w:gridSpan w:val="3"/>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 w:type="pct"/>
                <w:trHeight w:val="890" w:hRule="atLeast"/>
              </w:trPr>
              <w:tc>
                <w:tcPr>
                  <w:tcW w:w="27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35"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地表水环境质量底线</w:t>
                  </w:r>
                  <w:r>
                    <w:rPr>
                      <w:rFonts w:hint="eastAsia"/>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瀑河、小柳河和浑河均应满足《地表水环境质量标准》(GB3838-2002)Ⅲ类水体功能。</w:t>
                  </w:r>
                </w:p>
              </w:tc>
              <w:tc>
                <w:tcPr>
                  <w:tcW w:w="1457"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本项目不产生生产废水，废水仅为生活污水，经化粪池处理后，定期抽运</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用作农肥，不外排</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31" w:type="pct"/>
                  <w:gridSpan w:val="3"/>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 w:type="pct"/>
                <w:trHeight w:val="830" w:hRule="atLeast"/>
              </w:trPr>
              <w:tc>
                <w:tcPr>
                  <w:tcW w:w="27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35"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地下水环境质量底线</w:t>
                  </w:r>
                  <w:r>
                    <w:rPr>
                      <w:rFonts w:hint="eastAsia"/>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地下水水质满足《地下水质量标准》（GB/T14848-2017）Ⅲ类标准要求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457"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本项目不产生生产废水，废水仅为生活污水，经化粪池处理后，定期抽运</w:t>
                  </w:r>
                  <w:r>
                    <w:rPr>
                      <w:rFonts w:hint="eastAsia" w:cs="Times New Roman"/>
                      <w:color w:val="000000" w:themeColor="text1"/>
                      <w:sz w:val="21"/>
                      <w:szCs w:val="21"/>
                      <w:highlight w:val="none"/>
                      <w:lang w:eastAsia="zh-CN"/>
                      <w14:textFill>
                        <w14:solidFill>
                          <w14:schemeClr w14:val="tx1"/>
                        </w14:solidFill>
                      </w14:textFill>
                    </w:rPr>
                    <w:t>用作农肥</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不影响地下水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31" w:type="pct"/>
                  <w:gridSpan w:val="3"/>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925" w:hRule="atLeast"/>
              </w:trPr>
              <w:tc>
                <w:tcPr>
                  <w:tcW w:w="27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35"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声环境质量底线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满足《声环境质量标准》(GB3096-2008)相应标准要求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461"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本项目所在区域满足</w:t>
                  </w:r>
                  <w:r>
                    <w:rPr>
                      <w:rFonts w:hint="default" w:ascii="Times New Roman" w:hAnsi="Times New Roman" w:eastAsia="宋体" w:cs="Times New Roman"/>
                      <w:color w:val="000000" w:themeColor="text1"/>
                      <w:sz w:val="21"/>
                      <w:szCs w:val="21"/>
                      <w:highlight w:val="none"/>
                      <w14:textFill>
                        <w14:solidFill>
                          <w14:schemeClr w14:val="tx1"/>
                        </w14:solidFill>
                      </w14:textFill>
                    </w:rPr>
                    <w:t>《声环境质量标准》(GB3096-2008)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3类</w:t>
                  </w:r>
                  <w:r>
                    <w:rPr>
                      <w:rFonts w:hint="default" w:ascii="Times New Roman" w:hAnsi="Times New Roman" w:eastAsia="宋体" w:cs="Times New Roman"/>
                      <w:color w:val="000000" w:themeColor="text1"/>
                      <w:sz w:val="21"/>
                      <w:szCs w:val="21"/>
                      <w:highlight w:val="none"/>
                      <w14:textFill>
                        <w14:solidFill>
                          <w14:schemeClr w14:val="tx1"/>
                        </w14:solidFill>
                      </w14:textFill>
                    </w:rPr>
                    <w:t>标准</w:t>
                  </w:r>
                </w:p>
              </w:tc>
              <w:tc>
                <w:tcPr>
                  <w:tcW w:w="330" w:type="pct"/>
                  <w:gridSpan w:val="3"/>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800" w:hRule="atLeast"/>
              </w:trPr>
              <w:tc>
                <w:tcPr>
                  <w:tcW w:w="27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35"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土壤环境质量底线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满足《土壤环境质量标准》(GB15618-1995)</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两级</w:t>
                  </w:r>
                  <w:r>
                    <w:rPr>
                      <w:rFonts w:hint="default" w:ascii="Times New Roman" w:hAnsi="Times New Roman" w:eastAsia="宋体" w:cs="Times New Roman"/>
                      <w:color w:val="000000" w:themeColor="text1"/>
                      <w:sz w:val="21"/>
                      <w:szCs w:val="21"/>
                      <w:highlight w:val="none"/>
                      <w14:textFill>
                        <w14:solidFill>
                          <w14:schemeClr w14:val="tx1"/>
                        </w14:solidFill>
                      </w14:textFill>
                    </w:rPr>
                    <w:t>要求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461"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本项目厂房按要求实行分区防渗，不会对土壤环境造成影响。</w:t>
                  </w:r>
                </w:p>
              </w:tc>
              <w:tc>
                <w:tcPr>
                  <w:tcW w:w="330" w:type="pct"/>
                  <w:gridSpan w:val="3"/>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375" w:hRule="atLeast"/>
              </w:trPr>
              <w:tc>
                <w:tcPr>
                  <w:tcW w:w="270" w:type="pct"/>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河</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资源利用上限</w:t>
                  </w:r>
                </w:p>
              </w:tc>
              <w:tc>
                <w:tcPr>
                  <w:tcW w:w="2935"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能源利用上线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规划近期燃煤量84.57万tce/a，天然气量3627.41万m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/a；规划远期燃煤量101.30万tce/a，天然气用量6008.38万m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/a，其中规划远期新增燃煤量主要为开发区集中供热用煤量，不新增工业燃煤量。</w:t>
                  </w:r>
                </w:p>
              </w:tc>
              <w:tc>
                <w:tcPr>
                  <w:tcW w:w="1461"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本项目生产能源为电，不涉及燃煤、燃气。</w:t>
                  </w:r>
                </w:p>
              </w:tc>
              <w:tc>
                <w:tcPr>
                  <w:tcW w:w="330" w:type="pct"/>
                  <w:gridSpan w:val="3"/>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375" w:hRule="atLeast"/>
              </w:trPr>
              <w:tc>
                <w:tcPr>
                  <w:tcW w:w="27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水资源利用上线</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地表水取水量规划近期为1612.95万m</w:t>
                  </w:r>
                  <w:r>
                    <w:rPr>
                      <w:rFonts w:hint="default" w:ascii="Times New Roman" w:hAnsi="Times New Roman" w:eastAsia="宋体" w:cs="Times New Roman"/>
                      <w:color w:val="000000" w:themeColor="text1"/>
                      <w:spacing w:val="3"/>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/a，规划远期为2285.53万m</w:t>
                  </w:r>
                  <w:r>
                    <w:rPr>
                      <w:rFonts w:hint="default" w:ascii="Times New Roman" w:hAnsi="Times New Roman" w:eastAsia="宋体" w:cs="Times New Roman"/>
                      <w:color w:val="000000" w:themeColor="text1"/>
                      <w:spacing w:val="3"/>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/a；开发区再生水回用比例均为100%，规划近期为667.92万m</w:t>
                  </w:r>
                  <w:r>
                    <w:rPr>
                      <w:rFonts w:hint="default" w:ascii="Times New Roman" w:hAnsi="Times New Roman" w:eastAsia="宋体" w:cs="Times New Roman"/>
                      <w:color w:val="000000" w:themeColor="text1"/>
                      <w:spacing w:val="3"/>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/a，规划远期为1289.98万m</w:t>
                  </w:r>
                  <w:r>
                    <w:rPr>
                      <w:rFonts w:hint="default" w:ascii="Times New Roman" w:hAnsi="Times New Roman" w:eastAsia="宋体" w:cs="Times New Roman"/>
                      <w:color w:val="000000" w:themeColor="text1"/>
                      <w:spacing w:val="3"/>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/a；地下水取水量规划近期和规划远期均控制在11.32万m</w:t>
                  </w:r>
                  <w:r>
                    <w:rPr>
                      <w:rFonts w:hint="default" w:ascii="Times New Roman" w:hAnsi="Times New Roman" w:eastAsia="宋体" w:cs="Times New Roman"/>
                      <w:color w:val="000000" w:themeColor="text1"/>
                      <w:spacing w:val="3"/>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/a，主要用于开发区规划范围内规划给水管网不能覆盖区域现有村庄居民生活用水，工业用水禁止新增取用地下水。</w:t>
                  </w:r>
                </w:p>
              </w:tc>
              <w:tc>
                <w:tcPr>
                  <w:tcW w:w="1461"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本项目生产过程中不使用水，仅为生活用水，依托宽城县长源供水有限公司供水，不开采地下水。</w:t>
                  </w:r>
                </w:p>
              </w:tc>
              <w:tc>
                <w:tcPr>
                  <w:tcW w:w="330" w:type="pct"/>
                  <w:gridSpan w:val="3"/>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220" w:hRule="atLeast"/>
              </w:trPr>
              <w:tc>
                <w:tcPr>
                  <w:tcW w:w="27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eastAsia="宋体" w:cs="Times New Roman"/>
                      <w:color w:val="000000" w:themeColor="text1"/>
                      <w:spacing w:val="3"/>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土地资源利用上限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落实国家保护耕地的法律要求，实现耕地“先补后占、占补平衡”，确保耕地总量不减少，不突破土地资源利用上线</w:t>
                  </w:r>
                  <w:r>
                    <w:rPr>
                      <w:rFonts w:hint="eastAsia" w:ascii="Times New Roman" w:hAnsi="Times New Roman" w:eastAsia="宋体" w:cs="Times New Roman"/>
                      <w:color w:val="000000" w:themeColor="text1"/>
                      <w:spacing w:val="7"/>
                      <w:sz w:val="21"/>
                      <w:szCs w:val="21"/>
                      <w:highlight w:val="none"/>
                      <w:lang w:eastAsia="zh-CN"/>
                      <w14:textFill>
                        <w14:solidFill>
                          <w14:schemeClr w14:val="tx1"/>
                        </w14:solidFill>
                      </w14:textFill>
                    </w:rPr>
                    <w:t>。</w:t>
                  </w:r>
                </w:p>
              </w:tc>
              <w:tc>
                <w:tcPr>
                  <w:tcW w:w="1461"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本项目用地为工业用地，符合开发区规划。</w:t>
                  </w:r>
                </w:p>
              </w:tc>
              <w:tc>
                <w:tcPr>
                  <w:tcW w:w="330" w:type="pct"/>
                  <w:gridSpan w:val="3"/>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375" w:hRule="atLeast"/>
              </w:trPr>
              <w:tc>
                <w:tcPr>
                  <w:tcW w:w="27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环境准入负面清单</w:t>
                  </w:r>
                </w:p>
              </w:tc>
              <w:tc>
                <w:tcPr>
                  <w:tcW w:w="27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龙须门镇片区</w:t>
                  </w:r>
                </w:p>
              </w:tc>
              <w:tc>
                <w:tcPr>
                  <w:tcW w:w="266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装备制造产业：</w:t>
                  </w:r>
                  <w:r>
                    <w:rPr>
                      <w:rFonts w:hint="default" w:ascii="Times New Roman" w:hAnsi="Times New Roman" w:eastAsia="宋体" w:cs="Times New Roman"/>
                      <w:color w:val="000000" w:themeColor="text1"/>
                      <w:sz w:val="21"/>
                      <w:szCs w:val="21"/>
                      <w:highlight w:val="none"/>
                      <w14:textFill>
                        <w14:solidFill>
                          <w14:schemeClr w14:val="tx1"/>
                        </w14:solidFill>
                      </w14:textFill>
                    </w:rPr>
                    <w:t>①禁止低速汽车（三轮汽车、低速货车）（自2015年起执行与轻型卡车同等的节能与排放标准）；②禁止民用普通电度表制造项目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。③</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禁止含酸洗、磷化、钝化、电镀工艺的项目</w:t>
                  </w: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；④禁止</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非数控金属切削机床制造项目；</w:t>
                  </w: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⑤禁止</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P0级、直径60毫米以下普通微小型轴承制造项目；</w:t>
                  </w: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⑥禁止</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Y系列（IP44）三相异步电动机（机座号80～355）及其派生系列，Y2系列（IP54）三相异步电动机（机座号63～355）；</w:t>
                  </w:r>
                </w:p>
              </w:tc>
              <w:tc>
                <w:tcPr>
                  <w:tcW w:w="1461"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本项目为家具制造业，不涉及。</w:t>
                  </w:r>
                </w:p>
              </w:tc>
              <w:tc>
                <w:tcPr>
                  <w:tcW w:w="330" w:type="pct"/>
                  <w:gridSpan w:val="3"/>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270" w:type="pct"/>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eastAsia"/>
                      <w:color w:val="000000" w:themeColor="text1"/>
                      <w:highlight w:val="none"/>
                      <w14:textFill>
                        <w14:solidFill>
                          <w14:schemeClr w14:val="tx1"/>
                        </w14:solidFill>
                      </w14:textFill>
                    </w:rPr>
                  </w:pPr>
                </w:p>
              </w:tc>
              <w:tc>
                <w:tcPr>
                  <w:tcW w:w="27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龙须门镇片区</w:t>
                  </w:r>
                </w:p>
              </w:tc>
              <w:tc>
                <w:tcPr>
                  <w:tcW w:w="266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firstLine="0" w:firstLineChars="0"/>
                    <w:textAlignment w:val="auto"/>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绿色建材产业：</w:t>
                  </w:r>
                  <w:r>
                    <w:rPr>
                      <w:rFonts w:hint="eastAsia"/>
                      <w:color w:val="000000" w:themeColor="text1"/>
                      <w:spacing w:val="-10"/>
                      <w:sz w:val="23"/>
                      <w:highlight w:val="none"/>
                      <w14:textFill>
                        <w14:solidFill>
                          <w14:schemeClr w14:val="tx1"/>
                        </w14:solidFill>
                      </w14:textFill>
                    </w:rPr>
                    <w:t>①禁止新建和扩建水泥制造</w:t>
                  </w:r>
                  <w:r>
                    <w:rPr>
                      <w:rFonts w:hint="default"/>
                      <w:color w:val="000000" w:themeColor="text1"/>
                      <w:spacing w:val="-10"/>
                      <w:sz w:val="23"/>
                      <w:highlight w:val="none"/>
                      <w14:textFill>
                        <w14:solidFill>
                          <w14:schemeClr w14:val="tx1"/>
                        </w14:solidFill>
                      </w14:textFill>
                    </w:rPr>
                    <w:t>(</w:t>
                  </w:r>
                  <w:r>
                    <w:rPr>
                      <w:rFonts w:hint="eastAsia"/>
                      <w:color w:val="000000" w:themeColor="text1"/>
                      <w:spacing w:val="-10"/>
                      <w:sz w:val="23"/>
                      <w:highlight w:val="none"/>
                      <w14:textFill>
                        <w14:solidFill>
                          <w14:schemeClr w14:val="tx1"/>
                        </w14:solidFill>
                      </w14:textFill>
                    </w:rPr>
                    <w:t>等量置换或减量置换除外</w:t>
                  </w:r>
                  <w:r>
                    <w:rPr>
                      <w:rFonts w:hint="default"/>
                      <w:color w:val="000000" w:themeColor="text1"/>
                      <w:spacing w:val="-10"/>
                      <w:sz w:val="23"/>
                      <w:highlight w:val="none"/>
                      <w14:textFill>
                        <w14:solidFill>
                          <w14:schemeClr w14:val="tx1"/>
                        </w14:solidFill>
                      </w14:textFill>
                    </w:rPr>
                    <w:t>)</w:t>
                  </w:r>
                  <w:r>
                    <w:rPr>
                      <w:rFonts w:hint="eastAsia"/>
                      <w:color w:val="000000" w:themeColor="text1"/>
                      <w:spacing w:val="-10"/>
                      <w:sz w:val="23"/>
                      <w:highlight w:val="none"/>
                      <w14:textFill>
                        <w14:solidFill>
                          <w14:schemeClr w14:val="tx1"/>
                        </w14:solidFill>
                      </w14:textFill>
                    </w:rPr>
                    <w:t>；②禁止粘土空心砖生产线</w:t>
                  </w:r>
                  <w:r>
                    <w:rPr>
                      <w:rFonts w:hint="eastAsia"/>
                      <w:color w:val="000000" w:themeColor="text1"/>
                      <w:spacing w:val="-10"/>
                      <w:sz w:val="23"/>
                      <w:highlight w:val="none"/>
                      <w:lang w:eastAsia="zh-CN"/>
                      <w14:textFill>
                        <w14:solidFill>
                          <w14:schemeClr w14:val="tx1"/>
                        </w14:solidFill>
                      </w14:textFill>
                    </w:rPr>
                    <w:t>；③禁止</w:t>
                  </w:r>
                  <w:r>
                    <w:rPr>
                      <w:rFonts w:hint="default"/>
                      <w:color w:val="000000" w:themeColor="text1"/>
                      <w:spacing w:val="-10"/>
                      <w:sz w:val="23"/>
                      <w:highlight w:val="none"/>
                      <w14:textFill>
                        <w14:solidFill>
                          <w14:schemeClr w14:val="tx1"/>
                        </w14:solidFill>
                      </w14:textFill>
                    </w:rPr>
                    <w:t>2000</w:t>
                  </w:r>
                  <w:r>
                    <w:rPr>
                      <w:rFonts w:hint="eastAsia"/>
                      <w:color w:val="000000" w:themeColor="text1"/>
                      <w:spacing w:val="-10"/>
                      <w:sz w:val="23"/>
                      <w:highlight w:val="none"/>
                      <w14:textFill>
                        <w14:solidFill>
                          <w14:schemeClr w14:val="tx1"/>
                        </w14:solidFill>
                      </w14:textFill>
                    </w:rPr>
                    <w:t>吨</w:t>
                  </w:r>
                  <w:r>
                    <w:rPr>
                      <w:rFonts w:hint="default"/>
                      <w:color w:val="000000" w:themeColor="text1"/>
                      <w:spacing w:val="-10"/>
                      <w:sz w:val="23"/>
                      <w:highlight w:val="none"/>
                      <w14:textFill>
                        <w14:solidFill>
                          <w14:schemeClr w14:val="tx1"/>
                        </w14:solidFill>
                      </w14:textFill>
                    </w:rPr>
                    <w:t>/</w:t>
                  </w:r>
                  <w:r>
                    <w:rPr>
                      <w:rFonts w:hint="eastAsia"/>
                      <w:color w:val="000000" w:themeColor="text1"/>
                      <w:spacing w:val="-10"/>
                      <w:sz w:val="23"/>
                      <w:highlight w:val="none"/>
                      <w14:textFill>
                        <w14:solidFill>
                          <w14:schemeClr w14:val="tx1"/>
                        </w14:solidFill>
                      </w14:textFill>
                    </w:rPr>
                    <w:t>日以下熟料新型干法水泥生产线</w:t>
                  </w:r>
                  <w:r>
                    <w:rPr>
                      <w:rFonts w:hint="default"/>
                      <w:color w:val="000000" w:themeColor="text1"/>
                      <w:spacing w:val="-10"/>
                      <w:sz w:val="23"/>
                      <w:highlight w:val="none"/>
                      <w14:textFill>
                        <w14:solidFill>
                          <w14:schemeClr w14:val="tx1"/>
                        </w14:solidFill>
                      </w14:textFill>
                    </w:rPr>
                    <w:t>,60</w:t>
                  </w:r>
                  <w:r>
                    <w:rPr>
                      <w:rFonts w:hint="eastAsia"/>
                      <w:color w:val="000000" w:themeColor="text1"/>
                      <w:spacing w:val="-10"/>
                      <w:sz w:val="23"/>
                      <w:highlight w:val="none"/>
                      <w14:textFill>
                        <w14:solidFill>
                          <w14:schemeClr w14:val="tx1"/>
                        </w14:solidFill>
                      </w14:textFill>
                    </w:rPr>
                    <w:t>万吨</w:t>
                  </w:r>
                  <w:r>
                    <w:rPr>
                      <w:rFonts w:hint="default"/>
                      <w:color w:val="000000" w:themeColor="text1"/>
                      <w:spacing w:val="-10"/>
                      <w:sz w:val="23"/>
                      <w:highlight w:val="none"/>
                      <w14:textFill>
                        <w14:solidFill>
                          <w14:schemeClr w14:val="tx1"/>
                        </w14:solidFill>
                      </w14:textFill>
                    </w:rPr>
                    <w:t>/</w:t>
                  </w:r>
                  <w:r>
                    <w:rPr>
                      <w:rFonts w:hint="eastAsia"/>
                      <w:color w:val="000000" w:themeColor="text1"/>
                      <w:spacing w:val="-10"/>
                      <w:sz w:val="23"/>
                      <w:highlight w:val="none"/>
                      <w14:textFill>
                        <w14:solidFill>
                          <w14:schemeClr w14:val="tx1"/>
                        </w14:solidFill>
                      </w14:textFill>
                    </w:rPr>
                    <w:t>年以下水泥粉磨站；</w:t>
                  </w:r>
                  <w:r>
                    <w:rPr>
                      <w:rFonts w:hint="eastAsia"/>
                      <w:color w:val="000000" w:themeColor="text1"/>
                      <w:spacing w:val="-10"/>
                      <w:sz w:val="23"/>
                      <w:highlight w:val="none"/>
                      <w:lang w:eastAsia="zh-CN"/>
                      <w14:textFill>
                        <w14:solidFill>
                          <w14:schemeClr w14:val="tx1"/>
                        </w14:solidFill>
                      </w14:textFill>
                    </w:rPr>
                    <w:t>④禁止</w:t>
                  </w:r>
                  <w:r>
                    <w:rPr>
                      <w:rFonts w:hint="default"/>
                      <w:color w:val="000000" w:themeColor="text1"/>
                      <w:spacing w:val="-10"/>
                      <w:sz w:val="23"/>
                      <w:highlight w:val="none"/>
                      <w14:textFill>
                        <w14:solidFill>
                          <w14:schemeClr w14:val="tx1"/>
                        </w14:solidFill>
                      </w14:textFill>
                    </w:rPr>
                    <w:t>3000</w:t>
                  </w:r>
                  <w:r>
                    <w:rPr>
                      <w:rFonts w:hint="eastAsia"/>
                      <w:color w:val="000000" w:themeColor="text1"/>
                      <w:spacing w:val="-10"/>
                      <w:sz w:val="23"/>
                      <w:highlight w:val="none"/>
                      <w14:textFill>
                        <w14:solidFill>
                          <w14:schemeClr w14:val="tx1"/>
                        </w14:solidFill>
                      </w14:textFill>
                    </w:rPr>
                    <w:t>万平方米</w:t>
                  </w:r>
                  <w:r>
                    <w:rPr>
                      <w:rFonts w:hint="default"/>
                      <w:color w:val="000000" w:themeColor="text1"/>
                      <w:spacing w:val="-10"/>
                      <w:sz w:val="23"/>
                      <w:highlight w:val="none"/>
                      <w14:textFill>
                        <w14:solidFill>
                          <w14:schemeClr w14:val="tx1"/>
                        </w14:solidFill>
                      </w14:textFill>
                    </w:rPr>
                    <w:t>/</w:t>
                  </w:r>
                  <w:r>
                    <w:rPr>
                      <w:rFonts w:hint="eastAsia"/>
                      <w:color w:val="000000" w:themeColor="text1"/>
                      <w:spacing w:val="-10"/>
                      <w:sz w:val="23"/>
                      <w:highlight w:val="none"/>
                      <w14:textFill>
                        <w14:solidFill>
                          <w14:schemeClr w14:val="tx1"/>
                        </w14:solidFill>
                      </w14:textFill>
                    </w:rPr>
                    <w:t>年以下的纸面石膏板生产线；</w:t>
                  </w:r>
                  <w:r>
                    <w:rPr>
                      <w:rFonts w:hint="eastAsia"/>
                      <w:color w:val="000000" w:themeColor="text1"/>
                      <w:spacing w:val="-10"/>
                      <w:sz w:val="23"/>
                      <w:highlight w:val="none"/>
                      <w:lang w:eastAsia="zh-CN"/>
                      <w14:textFill>
                        <w14:solidFill>
                          <w14:schemeClr w14:val="tx1"/>
                        </w14:solidFill>
                      </w14:textFill>
                    </w:rPr>
                    <w:t>⑤禁止</w:t>
                  </w:r>
                  <w:r>
                    <w:rPr>
                      <w:rFonts w:hint="default"/>
                      <w:color w:val="000000" w:themeColor="text1"/>
                      <w:spacing w:val="-10"/>
                      <w:sz w:val="23"/>
                      <w:highlight w:val="none"/>
                      <w14:textFill>
                        <w14:solidFill>
                          <w14:schemeClr w14:val="tx1"/>
                        </w14:solidFill>
                      </w14:textFill>
                    </w:rPr>
                    <w:t>15</w:t>
                  </w:r>
                  <w:r>
                    <w:rPr>
                      <w:rFonts w:hint="eastAsia"/>
                      <w:color w:val="000000" w:themeColor="text1"/>
                      <w:spacing w:val="-10"/>
                      <w:sz w:val="23"/>
                      <w:highlight w:val="none"/>
                      <w14:textFill>
                        <w14:solidFill>
                          <w14:schemeClr w14:val="tx1"/>
                        </w14:solidFill>
                      </w14:textFill>
                    </w:rPr>
                    <w:t>万平方米</w:t>
                  </w:r>
                  <w:r>
                    <w:rPr>
                      <w:rFonts w:hint="default"/>
                      <w:color w:val="000000" w:themeColor="text1"/>
                      <w:spacing w:val="-10"/>
                      <w:sz w:val="23"/>
                      <w:highlight w:val="none"/>
                      <w14:textFill>
                        <w14:solidFill>
                          <w14:schemeClr w14:val="tx1"/>
                        </w14:solidFill>
                      </w14:textFill>
                    </w:rPr>
                    <w:t>/</w:t>
                  </w:r>
                  <w:r>
                    <w:rPr>
                      <w:rFonts w:hint="eastAsia"/>
                      <w:color w:val="000000" w:themeColor="text1"/>
                      <w:spacing w:val="-10"/>
                      <w:sz w:val="23"/>
                      <w:highlight w:val="none"/>
                      <w14:textFill>
                        <w14:solidFill>
                          <w14:schemeClr w14:val="tx1"/>
                        </w14:solidFill>
                      </w14:textFill>
                    </w:rPr>
                    <w:t>年以下的石膏（空心）砌块生产线、单班</w:t>
                  </w:r>
                  <w:r>
                    <w:rPr>
                      <w:rFonts w:hint="default"/>
                      <w:color w:val="000000" w:themeColor="text1"/>
                      <w:spacing w:val="-10"/>
                      <w:sz w:val="23"/>
                      <w:highlight w:val="none"/>
                      <w14:textFill>
                        <w14:solidFill>
                          <w14:schemeClr w14:val="tx1"/>
                        </w14:solidFill>
                      </w14:textFill>
                    </w:rPr>
                    <w:t>2.5</w:t>
                  </w:r>
                  <w:r>
                    <w:rPr>
                      <w:rFonts w:hint="eastAsia"/>
                      <w:color w:val="000000" w:themeColor="text1"/>
                      <w:spacing w:val="-10"/>
                      <w:sz w:val="23"/>
                      <w:highlight w:val="none"/>
                      <w14:textFill>
                        <w14:solidFill>
                          <w14:schemeClr w14:val="tx1"/>
                        </w14:solidFill>
                      </w14:textFill>
                    </w:rPr>
                    <w:t>万立方米</w:t>
                  </w:r>
                  <w:r>
                    <w:rPr>
                      <w:rFonts w:hint="default"/>
                      <w:color w:val="000000" w:themeColor="text1"/>
                      <w:spacing w:val="-10"/>
                      <w:sz w:val="23"/>
                      <w:highlight w:val="none"/>
                      <w14:textFill>
                        <w14:solidFill>
                          <w14:schemeClr w14:val="tx1"/>
                        </w14:solidFill>
                      </w14:textFill>
                    </w:rPr>
                    <w:t>/</w:t>
                  </w:r>
                  <w:r>
                    <w:rPr>
                      <w:rFonts w:hint="eastAsia"/>
                      <w:color w:val="000000" w:themeColor="text1"/>
                      <w:spacing w:val="-10"/>
                      <w:sz w:val="23"/>
                      <w:highlight w:val="none"/>
                      <w14:textFill>
                        <w14:solidFill>
                          <w14:schemeClr w14:val="tx1"/>
                        </w14:solidFill>
                      </w14:textFill>
                    </w:rPr>
                    <w:t>年以下的混凝土小型空心砌块以及单班</w:t>
                  </w:r>
                  <w:r>
                    <w:rPr>
                      <w:rFonts w:hint="default"/>
                      <w:color w:val="000000" w:themeColor="text1"/>
                      <w:spacing w:val="-10"/>
                      <w:sz w:val="23"/>
                      <w:highlight w:val="none"/>
                      <w14:textFill>
                        <w14:solidFill>
                          <w14:schemeClr w14:val="tx1"/>
                        </w14:solidFill>
                      </w14:textFill>
                    </w:rPr>
                    <w:t>15</w:t>
                  </w:r>
                  <w:r>
                    <w:rPr>
                      <w:rFonts w:hint="eastAsia"/>
                      <w:color w:val="000000" w:themeColor="text1"/>
                      <w:spacing w:val="-10"/>
                      <w:sz w:val="23"/>
                      <w:highlight w:val="none"/>
                      <w14:textFill>
                        <w14:solidFill>
                          <w14:schemeClr w14:val="tx1"/>
                        </w14:solidFill>
                      </w14:textFill>
                    </w:rPr>
                    <w:t>万平方米</w:t>
                  </w:r>
                  <w:r>
                    <w:rPr>
                      <w:rFonts w:hint="default"/>
                      <w:color w:val="000000" w:themeColor="text1"/>
                      <w:spacing w:val="-10"/>
                      <w:sz w:val="23"/>
                      <w:highlight w:val="none"/>
                      <w14:textFill>
                        <w14:solidFill>
                          <w14:schemeClr w14:val="tx1"/>
                        </w14:solidFill>
                      </w14:textFill>
                    </w:rPr>
                    <w:t>/</w:t>
                  </w:r>
                  <w:r>
                    <w:rPr>
                      <w:rFonts w:hint="eastAsia"/>
                      <w:color w:val="000000" w:themeColor="text1"/>
                      <w:spacing w:val="-10"/>
                      <w:sz w:val="23"/>
                      <w:highlight w:val="none"/>
                      <w14:textFill>
                        <w14:solidFill>
                          <w14:schemeClr w14:val="tx1"/>
                        </w14:solidFill>
                      </w14:textFill>
                    </w:rPr>
                    <w:t>年以下的混凝土铺地砖固定式生产线、</w:t>
                  </w:r>
                  <w:r>
                    <w:rPr>
                      <w:rFonts w:hint="default"/>
                      <w:color w:val="000000" w:themeColor="text1"/>
                      <w:spacing w:val="-10"/>
                      <w:sz w:val="23"/>
                      <w:highlight w:val="none"/>
                      <w14:textFill>
                        <w14:solidFill>
                          <w14:schemeClr w14:val="tx1"/>
                        </w14:solidFill>
                      </w14:textFill>
                    </w:rPr>
                    <w:t>5</w:t>
                  </w:r>
                  <w:r>
                    <w:rPr>
                      <w:rFonts w:hint="eastAsia"/>
                      <w:color w:val="000000" w:themeColor="text1"/>
                      <w:spacing w:val="-10"/>
                      <w:sz w:val="23"/>
                      <w:highlight w:val="none"/>
                      <w14:textFill>
                        <w14:solidFill>
                          <w14:schemeClr w14:val="tx1"/>
                        </w14:solidFill>
                      </w14:textFill>
                    </w:rPr>
                    <w:t>万立方米</w:t>
                  </w:r>
                  <w:r>
                    <w:rPr>
                      <w:rFonts w:hint="default"/>
                      <w:color w:val="000000" w:themeColor="text1"/>
                      <w:spacing w:val="-10"/>
                      <w:sz w:val="23"/>
                      <w:highlight w:val="none"/>
                      <w14:textFill>
                        <w14:solidFill>
                          <w14:schemeClr w14:val="tx1"/>
                        </w14:solidFill>
                      </w14:textFill>
                    </w:rPr>
                    <w:t>/</w:t>
                  </w:r>
                  <w:r>
                    <w:rPr>
                      <w:rFonts w:hint="eastAsia"/>
                      <w:color w:val="000000" w:themeColor="text1"/>
                      <w:spacing w:val="-10"/>
                      <w:sz w:val="23"/>
                      <w:highlight w:val="none"/>
                      <w14:textFill>
                        <w14:solidFill>
                          <w14:schemeClr w14:val="tx1"/>
                        </w14:solidFill>
                      </w14:textFill>
                    </w:rPr>
                    <w:t>年以下的人造轻集料（陶粒）生产线；</w:t>
                  </w:r>
                  <w:r>
                    <w:rPr>
                      <w:rFonts w:hint="eastAsia"/>
                      <w:color w:val="000000" w:themeColor="text1"/>
                      <w:spacing w:val="-10"/>
                      <w:sz w:val="23"/>
                      <w:highlight w:val="none"/>
                      <w:lang w:eastAsia="zh-CN"/>
                      <w14:textFill>
                        <w14:solidFill>
                          <w14:schemeClr w14:val="tx1"/>
                        </w14:solidFill>
                      </w14:textFill>
                    </w:rPr>
                    <w:t>⑥禁止</w:t>
                  </w:r>
                  <w:r>
                    <w:rPr>
                      <w:rFonts w:hint="eastAsia"/>
                      <w:color w:val="000000" w:themeColor="text1"/>
                      <w:spacing w:val="-10"/>
                      <w:sz w:val="23"/>
                      <w:highlight w:val="none"/>
                      <w14:textFill>
                        <w14:solidFill>
                          <w14:schemeClr w14:val="tx1"/>
                        </w14:solidFill>
                      </w14:textFill>
                    </w:rPr>
                    <w:t>1</w:t>
                  </w:r>
                  <w:r>
                    <w:rPr>
                      <w:rFonts w:hint="default"/>
                      <w:color w:val="000000" w:themeColor="text1"/>
                      <w:spacing w:val="-10"/>
                      <w:sz w:val="23"/>
                      <w:highlight w:val="none"/>
                      <w14:textFill>
                        <w14:solidFill>
                          <w14:schemeClr w14:val="tx1"/>
                        </w14:solidFill>
                      </w14:textFill>
                    </w:rPr>
                    <w:t>0</w:t>
                  </w:r>
                  <w:r>
                    <w:rPr>
                      <w:rFonts w:hint="eastAsia"/>
                      <w:color w:val="000000" w:themeColor="text1"/>
                      <w:spacing w:val="-10"/>
                      <w:sz w:val="23"/>
                      <w:highlight w:val="none"/>
                      <w14:textFill>
                        <w14:solidFill>
                          <w14:schemeClr w14:val="tx1"/>
                        </w14:solidFill>
                      </w14:textFill>
                    </w:rPr>
                    <w:t>万立方米</w:t>
                  </w:r>
                  <w:r>
                    <w:rPr>
                      <w:rFonts w:hint="default"/>
                      <w:color w:val="000000" w:themeColor="text1"/>
                      <w:spacing w:val="-10"/>
                      <w:sz w:val="23"/>
                      <w:highlight w:val="none"/>
                      <w14:textFill>
                        <w14:solidFill>
                          <w14:schemeClr w14:val="tx1"/>
                        </w14:solidFill>
                      </w14:textFill>
                    </w:rPr>
                    <w:t>/</w:t>
                  </w:r>
                  <w:r>
                    <w:rPr>
                      <w:rFonts w:hint="eastAsia"/>
                      <w:color w:val="000000" w:themeColor="text1"/>
                      <w:spacing w:val="-10"/>
                      <w:sz w:val="23"/>
                      <w:highlight w:val="none"/>
                      <w14:textFill>
                        <w14:solidFill>
                          <w14:schemeClr w14:val="tx1"/>
                        </w14:solidFill>
                      </w14:textFill>
                    </w:rPr>
                    <w:t>年以下的加气混凝土生产线；</w:t>
                  </w:r>
                  <w:r>
                    <w:rPr>
                      <w:rFonts w:hint="eastAsia"/>
                      <w:color w:val="000000" w:themeColor="text1"/>
                      <w:spacing w:val="-10"/>
                      <w:sz w:val="23"/>
                      <w:highlight w:val="none"/>
                      <w:lang w:eastAsia="zh-CN"/>
                      <w14:textFill>
                        <w14:solidFill>
                          <w14:schemeClr w14:val="tx1"/>
                        </w14:solidFill>
                      </w14:textFill>
                    </w:rPr>
                    <w:t>⑦禁止</w:t>
                  </w:r>
                  <w:r>
                    <w:rPr>
                      <w:rFonts w:hint="eastAsia"/>
                      <w:color w:val="000000" w:themeColor="text1"/>
                      <w:spacing w:val="-10"/>
                      <w:sz w:val="23"/>
                      <w:highlight w:val="none"/>
                      <w14:textFill>
                        <w14:solidFill>
                          <w14:schemeClr w14:val="tx1"/>
                        </w14:solidFill>
                      </w14:textFill>
                    </w:rPr>
                    <w:t>页岩烧结实心砖生产线</w:t>
                  </w:r>
                  <w:r>
                    <w:rPr>
                      <w:rFonts w:hint="eastAsia"/>
                      <w:color w:val="000000" w:themeColor="text1"/>
                      <w:spacing w:val="-10"/>
                      <w:sz w:val="23"/>
                      <w:highlight w:val="none"/>
                      <w:lang w:eastAsia="zh-CN"/>
                      <w14:textFill>
                        <w14:solidFill>
                          <w14:schemeClr w14:val="tx1"/>
                        </w14:solidFill>
                      </w14:textFill>
                    </w:rPr>
                    <w:t>。</w:t>
                  </w:r>
                </w:p>
              </w:tc>
              <w:tc>
                <w:tcPr>
                  <w:tcW w:w="1461"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本项目为家具制造业，不涉及。</w:t>
                  </w:r>
                </w:p>
              </w:tc>
              <w:tc>
                <w:tcPr>
                  <w:tcW w:w="332" w:type="pct"/>
                  <w:gridSpan w:val="4"/>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7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eastAsia"/>
                      <w:color w:val="000000" w:themeColor="text1"/>
                      <w:highlight w:val="none"/>
                      <w14:textFill>
                        <w14:solidFill>
                          <w14:schemeClr w14:val="tx1"/>
                        </w14:solidFill>
                      </w14:textFill>
                    </w:rPr>
                  </w:pPr>
                </w:p>
              </w:tc>
              <w:tc>
                <w:tcPr>
                  <w:tcW w:w="2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其他</w:t>
                  </w:r>
                </w:p>
              </w:tc>
              <w:tc>
                <w:tcPr>
                  <w:tcW w:w="266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spacing w:val="-10"/>
                      <w:sz w:val="23"/>
                      <w:highlight w:val="none"/>
                      <w14:textFill>
                        <w14:solidFill>
                          <w14:schemeClr w14:val="tx1"/>
                        </w14:solidFill>
                      </w14:textFill>
                    </w:rPr>
                    <w:t>禁止无颗粒物替代方案的项目</w:t>
                  </w:r>
                </w:p>
              </w:tc>
              <w:tc>
                <w:tcPr>
                  <w:tcW w:w="1461"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涉及颗粒物严格执行替代方案要求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32" w:type="pct"/>
                  <w:gridSpan w:val="4"/>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7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eastAsia"/>
                      <w:color w:val="000000" w:themeColor="text1"/>
                      <w:highlight w:val="none"/>
                      <w14:textFill>
                        <w14:solidFill>
                          <w14:schemeClr w14:val="tx1"/>
                        </w14:solidFill>
                      </w14:textFill>
                    </w:rPr>
                  </w:pPr>
                </w:p>
              </w:tc>
              <w:tc>
                <w:tcPr>
                  <w:tcW w:w="2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66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spacing w:val="-10"/>
                      <w:sz w:val="23"/>
                      <w:highlight w:val="none"/>
                      <w14:textFill>
                        <w14:solidFill>
                          <w14:schemeClr w14:val="tx1"/>
                        </w14:solidFill>
                      </w14:textFill>
                    </w:rPr>
                    <w:t>禁止造纸、制革、印染、染料、农药、酿造等涉及水污染类项目入区</w:t>
                  </w:r>
                </w:p>
              </w:tc>
              <w:tc>
                <w:tcPr>
                  <w:tcW w:w="1461"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本项目为家具制造业，不涉及。</w:t>
                  </w:r>
                </w:p>
              </w:tc>
              <w:tc>
                <w:tcPr>
                  <w:tcW w:w="332" w:type="pct"/>
                  <w:gridSpan w:val="4"/>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7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eastAsia"/>
                      <w:color w:val="000000" w:themeColor="text1"/>
                      <w:highlight w:val="none"/>
                      <w14:textFill>
                        <w14:solidFill>
                          <w14:schemeClr w14:val="tx1"/>
                        </w14:solidFill>
                      </w14:textFill>
                    </w:rPr>
                  </w:pPr>
                </w:p>
              </w:tc>
              <w:tc>
                <w:tcPr>
                  <w:tcW w:w="2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66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hAnsi="宋体"/>
                      <w:bCs/>
                      <w:color w:val="000000" w:themeColor="text1"/>
                      <w:spacing w:val="-10"/>
                      <w:sz w:val="23"/>
                      <w:szCs w:val="23"/>
                      <w:highlight w:val="none"/>
                      <w14:textFill>
                        <w14:solidFill>
                          <w14:schemeClr w14:val="tx1"/>
                        </w14:solidFill>
                      </w14:textFill>
                    </w:rPr>
                    <w:t>未查询项目所在地的矿产资源分布、规划和矿业权设置情况，未按</w:t>
                  </w:r>
                  <w:r>
                    <w:rPr>
                      <w:rFonts w:hint="eastAsia" w:hAnsi="宋体" w:cs="宋体"/>
                      <w:color w:val="000000" w:themeColor="text1"/>
                      <w:spacing w:val="-10"/>
                      <w:kern w:val="0"/>
                      <w:sz w:val="23"/>
                      <w:szCs w:val="23"/>
                      <w:highlight w:val="none"/>
                      <w14:textFill>
                        <w14:solidFill>
                          <w14:schemeClr w14:val="tx1"/>
                        </w14:solidFill>
                      </w14:textFill>
                    </w:rPr>
                    <w:t>冀国土资发[2011]41号文</w:t>
                  </w:r>
                  <w:r>
                    <w:rPr>
                      <w:rFonts w:hint="eastAsia" w:hAnsi="宋体"/>
                      <w:bCs/>
                      <w:color w:val="000000" w:themeColor="text1"/>
                      <w:spacing w:val="-10"/>
                      <w:sz w:val="23"/>
                      <w:szCs w:val="23"/>
                      <w:highlight w:val="none"/>
                      <w14:textFill>
                        <w14:solidFill>
                          <w14:schemeClr w14:val="tx1"/>
                        </w14:solidFill>
                      </w14:textFill>
                    </w:rPr>
                    <w:t>要求办理</w:t>
                  </w:r>
                  <w:r>
                    <w:rPr>
                      <w:rFonts w:hint="eastAsia" w:hAnsi="宋体" w:cs="宋体"/>
                      <w:bCs/>
                      <w:color w:val="000000" w:themeColor="text1"/>
                      <w:spacing w:val="-10"/>
                      <w:kern w:val="0"/>
                      <w:sz w:val="23"/>
                      <w:szCs w:val="23"/>
                      <w:highlight w:val="none"/>
                      <w14:textFill>
                        <w14:solidFill>
                          <w14:schemeClr w14:val="tx1"/>
                        </w14:solidFill>
                      </w14:textFill>
                    </w:rPr>
                    <w:t>压覆矿产资源手续的企业</w:t>
                  </w:r>
                </w:p>
              </w:tc>
              <w:tc>
                <w:tcPr>
                  <w:tcW w:w="1461"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本项目为家具制造业，不涉及。</w:t>
                  </w:r>
                </w:p>
              </w:tc>
              <w:tc>
                <w:tcPr>
                  <w:tcW w:w="332" w:type="pct"/>
                  <w:gridSpan w:val="4"/>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bl>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表1-</w:t>
            </w:r>
            <w:r>
              <w:rPr>
                <w:rFonts w:hint="eastAsia" w:eastAsia="黑体" w:cs="Times New Roman"/>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 xml:space="preserve">  项目与宽城经济开发区生态环境准入清单符合性分析表</w:t>
            </w:r>
          </w:p>
          <w:tbl>
            <w:tblPr>
              <w:tblStyle w:val="25"/>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2650"/>
              <w:gridCol w:w="3027"/>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清单类型</w:t>
                  </w:r>
                </w:p>
              </w:tc>
              <w:tc>
                <w:tcPr>
                  <w:tcW w:w="2650"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准入要求</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本项目情况</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产业及政策准入管理要求</w:t>
                  </w: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禁止新建《产业结构调整指导目录》及《河北省新增限制和淘汰类产业目录》中属于限制和淘汰类的建设项目及工艺设备；禁止建设《市场准入负面清单》中的禁止准入类项目。</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本项目不属于限制和淘汰类</w:t>
                  </w:r>
                  <w:r>
                    <w:rPr>
                      <w:rFonts w:hint="default" w:ascii="Times New Roman" w:hAnsi="Times New Roman" w:eastAsia="宋体" w:cs="Times New Roman"/>
                      <w:color w:val="000000" w:themeColor="text1"/>
                      <w:sz w:val="21"/>
                      <w:szCs w:val="21"/>
                      <w:highlight w:val="none"/>
                      <w14:textFill>
                        <w14:solidFill>
                          <w14:schemeClr w14:val="tx1"/>
                        </w14:solidFill>
                      </w14:textFill>
                    </w:rPr>
                    <w:t>的建设项目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，不使用淘汰类的</w:t>
                  </w:r>
                  <w:r>
                    <w:rPr>
                      <w:rFonts w:hint="default" w:ascii="Times New Roman" w:hAnsi="Times New Roman" w:eastAsia="宋体" w:cs="Times New Roman"/>
                      <w:color w:val="000000" w:themeColor="text1"/>
                      <w:sz w:val="21"/>
                      <w:szCs w:val="21"/>
                      <w:highlight w:val="none"/>
                      <w14:textFill>
                        <w14:solidFill>
                          <w14:schemeClr w14:val="tx1"/>
                        </w14:solidFill>
                      </w14:textFill>
                    </w:rPr>
                    <w:t>工艺设备</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，不属于禁止准入类项目，属于允许类项目。</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开发区规划实施过程中不得侵占周边生态保护红线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本项目位于龙须门片区，不侵占生态保护红线。</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禁止在公园绿地、广场绿地等规划绿地范围内开展与绿地无关的建设活动，禁止占用河道范围，禁止占用公路、铁路用地红线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本项目位于龙须门片区，不侵占规划绿地、河道范围，不占用公路、铁路红线</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文物保护范围内不得建设污染文物保护单位及其环境的设施，不得进行可能影响文物保护单位安全及其环境的活动。规划实施过程中若发掘新的文物保护单位，应按照《中华人民共和国文物保护法》相关要求进行严格保护</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本项目位于龙须门片区，不侵占文物保护范围。</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在公路两侧建筑控制线范围内，禁止建设除公路附属设施外的其他永久性建筑物、构筑物和设施；在铁路线路安全保护区内，除必要的铁路施工、作业、抢险活动外，任何单位和个人不得建造建筑物、构筑物，取土、挖砂、挖沟。</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本项目位于龙须门片区，不侵占公路两侧建筑控制线范围、铁路线路安全保护区。</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村庄及规划的居住区、教育科研用地及医疗卫生用地范围内禁止新建工业企业。在居住区与工业用地之间设置绿化隔离带，并控制居住区向工业用地方向发展。工业用地靠近居住区一侧在布置工业项目时应重点考虑对居住区的环境影响分析，建议对环境影响相对较重的项目应布置在居住区较远的位置。</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本项目位于龙须门片区，占用工业用地，符合园区规划。</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严格按照产业布局进行项目准入，不符合产业布局的现有企业按照本评价提出的管控要求进一步加强管理。</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本项目符合园区规划，园区已开具相关意见。</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污染物排放管控</w:t>
                  </w: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入区项目各污染物排放满足国家、河北省特别排放限值及地方特别要求，其中燃气锅炉需满足河北省地方标准《锅炉大气污染物排放标准》，球团执行《钢铁工业大气污染物超低排放标准》相关要求</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本项目各污染物经处理设施处理后排放浓度可满足相关排放标准。</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重点行业建设项目应严格落实区域主要污染物削减方案</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本项目为家具制造业，不属于重点行业。</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入区项目污染物排放必须满足国家、河北省、承德市等规定的标准要求，排放指标必须满足清洁生产指标要求(如有)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本项目产生的污染物能稳定达标排放。</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入区项目需满足建设项目污染物排放总量控制要求</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本项目满足建设项目污染物排放总量控制要求。</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固体废物零排放，其中危险废物收集、贮存、运输、处置、利用等须满足《中华人民共和国固体废物污染</w:t>
                  </w:r>
                  <w:r>
                    <w:rPr>
                      <w:rFonts w:hint="eastAsia" w:eastAsia="宋体" w:cs="Times New Roman"/>
                      <w:color w:val="000000" w:themeColor="text1"/>
                      <w:sz w:val="21"/>
                      <w:szCs w:val="21"/>
                      <w:highlight w:val="none"/>
                      <w:lang w:eastAsia="zh-CN"/>
                      <w14:textFill>
                        <w14:solidFill>
                          <w14:schemeClr w14:val="tx1"/>
                        </w14:solidFill>
                      </w14:textFill>
                    </w:rPr>
                    <w:t>环境</w:t>
                  </w:r>
                  <w:r>
                    <w:rPr>
                      <w:rFonts w:hint="default" w:ascii="Times New Roman" w:hAnsi="Times New Roman" w:eastAsia="宋体" w:cs="Times New Roman"/>
                      <w:color w:val="000000" w:themeColor="text1"/>
                      <w:sz w:val="21"/>
                      <w:szCs w:val="21"/>
                      <w:highlight w:val="none"/>
                      <w14:textFill>
                        <w14:solidFill>
                          <w14:schemeClr w14:val="tx1"/>
                        </w14:solidFill>
                      </w14:textFill>
                    </w:rPr>
                    <w:t>防治法》、《危险废物收集 贮存 运输技术规范》、《危险废物贮存污染控制标准》等国家、地方相关法律法规、技术规范、标准要求。</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本项目产生的危险废物收集后定期由有资质单位进行处理。</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restart"/>
                  <w:vAlign w:val="center"/>
                </w:tcPr>
                <w:p>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环境风险防控</w:t>
                  </w: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重点监管企业和工业园区周边土壤环境，定期开展监督性监测，重点监测重金属和持久性有机污染物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不涉及</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加强园区与周边敏感区生态防护设施建设</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不涉及</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制定园区化学品信息管理系统，加强危废处置及管控</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本项目危险废物收集后定期由有资质单位处理。</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对于易导致环境风险的有毒有害和易燃易爆物质的生产、使用、排放、贮运等新建、改扩建项目，风险防控措施应满足本评价提出的环境风险管理要求。</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本项目为家具制造业，不涉及有毒有害和易燃易爆物质等生产、使用、排放、贮存。</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资源开发利用要求</w:t>
                  </w: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禁止新建、扩建采用非清洁燃料的项目和设施。</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本项目不涉及燃料，采用电加热。</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满足区域“三线一单”设定的土地资源、水资源、能源利用上限。</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本项目满足区域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“三线一单”设定的土地资源、水资源、能源利用上限。</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严格控制煤炭消费总量。对球团、清洁煤制气中心等新增耗煤项目实施等(减)量替代。</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不涉及</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其他相关要求</w:t>
                  </w: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集中供水实现区域新入区建设项目用水不得新增地下水取用量；</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本项目供水由长源供水公司供水，不新增地下水取用量。</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不能实现总量控制要求的项目禁止准入；</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本项目符合总量控制要求。</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不符合本评价确定的生态空间管控的项目禁止准入；</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本项目位于龙须门片区，符合开发区规划。</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入区项目采用清洁生产技术、工艺和设备，清洁生产水平达到国家已颁布的相应清洁生产标准或清洁生产评价指标体系的国内先进水平(</w:t>
                  </w:r>
                  <w:r>
                    <w:rPr>
                      <w:rFonts w:hint="eastAsia" w:eastAsia="宋体" w:cs="Times New Roman"/>
                      <w:color w:val="000000" w:themeColor="text1"/>
                      <w:sz w:val="21"/>
                      <w:szCs w:val="21"/>
                      <w:highlight w:val="none"/>
                      <w:lang w:val="en-US" w:eastAsia="zh-CN"/>
                      <w14:textFill>
                        <w14:solidFill>
                          <w14:schemeClr w14:val="tx1"/>
                        </w14:solidFill>
                      </w14:textFill>
                    </w:rPr>
                    <w:t>两级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水平)，同时满足相应行业审批原则的规定，无标准的应达到国内先进及以上水平。</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本项目使用节能低耗设备，清洁生产水平属于国内基本水平。</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涉重金属等特征污染物外排的涉水项目禁止准入。</w:t>
                  </w:r>
                </w:p>
              </w:tc>
              <w:tc>
                <w:tcPr>
                  <w:tcW w:w="3027"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本项目不涉及重金属。</w:t>
                  </w:r>
                </w:p>
              </w:tc>
              <w:tc>
                <w:tcPr>
                  <w:tcW w:w="1088" w:type="dxa"/>
                  <w:vAlign w:val="center"/>
                </w:tcPr>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leftChars="0" w:right="0" w:firstLine="480" w:firstLineChars="20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三、与</w:t>
            </w:r>
            <w:r>
              <w:rPr>
                <w:rFonts w:hint="eastAsia"/>
                <w:color w:val="000000" w:themeColor="text1"/>
                <w:highlight w:val="none"/>
                <w14:textFill>
                  <w14:solidFill>
                    <w14:schemeClr w14:val="tx1"/>
                  </w14:solidFill>
                </w14:textFill>
              </w:rPr>
              <w:t>《承德市人民政府关于加快实施“三线一单”生态环境分区管控的意见》（2021年6月18发布）</w:t>
            </w:r>
            <w:r>
              <w:rPr>
                <w:rFonts w:hint="default"/>
                <w:color w:val="000000" w:themeColor="text1"/>
                <w:highlight w:val="none"/>
                <w14:textFill>
                  <w14:solidFill>
                    <w14:schemeClr w14:val="tx1"/>
                  </w14:solidFill>
                </w14:textFill>
              </w:rPr>
              <w:t>符合性分析</w:t>
            </w:r>
          </w:p>
          <w:p>
            <w:pPr>
              <w:pStyle w:val="62"/>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0" w:firstLineChars="0"/>
              <w:jc w:val="center"/>
              <w:textAlignment w:val="auto"/>
              <w:rPr>
                <w:rFonts w:hint="default" w:ascii="Times New Roman" w:hAnsi="Times New Roman" w:eastAsiaTheme="minorEastAsia" w:cstheme="minorBidi"/>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表1-</w:t>
            </w:r>
            <w:r>
              <w:rPr>
                <w:rFonts w:hint="eastAsia"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 xml:space="preserve">  项目与承德市“三线一单”生态环境准入清单符合性分析表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571"/>
              <w:gridCol w:w="665"/>
              <w:gridCol w:w="1151"/>
              <w:gridCol w:w="720"/>
              <w:gridCol w:w="2664"/>
              <w:gridCol w:w="2146"/>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23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县</w:t>
                  </w:r>
                </w:p>
              </w:tc>
              <w:tc>
                <w:tcPr>
                  <w:tcW w:w="323"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涉及乡镇</w:t>
                  </w:r>
                </w:p>
              </w:tc>
              <w:tc>
                <w:tcPr>
                  <w:tcW w:w="376"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管控类型</w:t>
                  </w:r>
                </w:p>
              </w:tc>
              <w:tc>
                <w:tcPr>
                  <w:tcW w:w="651"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环境要素类别</w:t>
                  </w:r>
                </w:p>
              </w:tc>
              <w:tc>
                <w:tcPr>
                  <w:tcW w:w="407"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维度</w:t>
                  </w: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管控措施</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本项目情况</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238" w:type="pct"/>
                  <w:vMerge w:val="restar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宽城满族自治县</w:t>
                  </w:r>
                </w:p>
              </w:tc>
              <w:tc>
                <w:tcPr>
                  <w:tcW w:w="323"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龙须门镇、板城镇、宽城镇</w:t>
                  </w:r>
                </w:p>
              </w:tc>
              <w:tc>
                <w:tcPr>
                  <w:tcW w:w="37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重点管控单元</w:t>
                  </w:r>
                </w:p>
              </w:tc>
              <w:tc>
                <w:tcPr>
                  <w:tcW w:w="65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涉及部分生态保护红线、大气环境高排放重点管控区、建设用地污染风险重点管控区、土地资源重点管控区、河北宽城经济开发区</w:t>
                  </w:r>
                </w:p>
              </w:tc>
              <w:tc>
                <w:tcPr>
                  <w:tcW w:w="407" w:type="pct"/>
                  <w:vMerge w:val="restar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1508" w:type="pc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生态保护红线区执行承德市总体准入清单中生态保护红线准入要求</w:t>
                  </w:r>
                </w:p>
              </w:tc>
              <w:tc>
                <w:tcPr>
                  <w:tcW w:w="1214" w:type="pc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本项目位于经济开发区龙须门片区，不位于生态保护红线区</w:t>
                  </w:r>
                </w:p>
              </w:tc>
              <w:tc>
                <w:tcPr>
                  <w:tcW w:w="279" w:type="pct"/>
                  <w:noWrap w:val="0"/>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238"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新建、扩建工业企业清洁生产水平不低于国内基本水平</w:t>
                  </w:r>
                </w:p>
              </w:tc>
              <w:tc>
                <w:tcPr>
                  <w:tcW w:w="1214" w:type="pc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本项目使用节能低耗设备，清洁生产水平属于国内基本水平。</w:t>
                  </w:r>
                </w:p>
              </w:tc>
              <w:tc>
                <w:tcPr>
                  <w:tcW w:w="279" w:type="pc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污染物排放管控</w:t>
                  </w: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新建大气排放工业企业应配套建设污染治理措施，现状不达标工业炉窑应限期关停淘汰</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本项目配套建设活性炭吸附、袋式除尘器等污染治理设施。</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规划期间内实现固体废弃物无害化、资源化和减量化，生活垃圾无害化处理率达到100%，固体废物处置处理率达到100%，妥善处置危险废物</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本项目一般固体废物收集后外售、回用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生活垃圾定期由环卫单位处理，危险废物定期由有资质单位处理。</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污水收集管网覆盖范围内除相关法律法规和标准规定必须单独设置排污口的情况外应全部纳入污水管网集中处理，现有的入河排污口应限期纳入污水管网</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本项目无生产废水，生活污水经化粪池处理后定期抽运</w:t>
                  </w:r>
                  <w:r>
                    <w:rPr>
                      <w:rFonts w:hint="eastAsia" w:cs="Times New Roman"/>
                      <w:color w:val="000000" w:themeColor="text1"/>
                      <w:sz w:val="21"/>
                      <w:szCs w:val="21"/>
                      <w:highlight w:val="none"/>
                      <w:lang w:eastAsia="zh-CN"/>
                      <w14:textFill>
                        <w14:solidFill>
                          <w14:schemeClr w14:val="tx1"/>
                        </w14:solidFill>
                      </w14:textFill>
                    </w:rPr>
                    <w:t>用作农肥</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水泥灰岩行业，矿山应建有雨水截(排)水沟，地表径流经沉淀处理后污染物排放浓度不高于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Ⅲ</w:t>
                  </w:r>
                  <w:r>
                    <w:rPr>
                      <w:rFonts w:hint="default" w:ascii="Times New Roman" w:hAnsi="Times New Roman" w:eastAsia="宋体" w:cs="Times New Roman"/>
                      <w:color w:val="000000" w:themeColor="text1"/>
                      <w:sz w:val="21"/>
                      <w:szCs w:val="21"/>
                      <w:highlight w:val="none"/>
                      <w14:textFill>
                        <w14:solidFill>
                          <w14:schemeClr w14:val="tx1"/>
                        </w14:solidFill>
                      </w14:textFill>
                    </w:rPr>
                    <w:t>类水标准限值</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本项目为家具制造业，不属于水泥灰岩行业，矿山。</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冶金行业，矿山应单独或联合建立废水处理站，同时实现雨污分流、清污分流。矿区及贮存场应建有雨水截(排)水沟。铁矿山水污染物排放浓度不高于GB 28661规定的限值，排水量低于GB 28661规定的产品基准排水量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锰矿和铬矿山水污染物排放浓度符合GB 3838规定</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本项目为家具制造业，不属于冶金行业，矿山。</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非金属矿行业，注重提升矿山选矿废水重复利用率，矿井水、选矿废水应采用洁净化、资源化技术和工艺合理处置</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本项目为家具制造业，不属于非金属矿行业。</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有色金属行业，矿区应建有污水处理系统，实现雨污分、清污分流。尾矿库、排土场(废石堆场)应建有雨水截(排)水，淋溶水经处理后回用或达标排放。铜、镍、钻、铅、锌、锡、锦等重有色金属矿山应符合GB 25467</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 25466、GB 30770规定的要求</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本项目为家具制造业，不属于有色金属行业。</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restar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环境风险防控</w:t>
                  </w: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和生产矿山逐步实现全面治理、全面复垦，加快推进闭坑和历史遗留矿山地质环境治理和土地复垦工程。矿山企业利用尾砂充填技术治理矿山采空区，大力推广使用符合质量标准和使用条件的尾砂综合利用产品，积极开展尾砂资源综合利用，减少尾砂排放</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本项目为家具制造业，不属于矿山企业。</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严格落实规划环评及其批复文件制定的环境风险防范措施。开发区及入区企业需组织编制《环境风险应急预案》，成立应急组织机构，定期开展应急演练，提高区域环境风险防范能力</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本项目建设完成后会严格落实编制</w:t>
                  </w: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《环境风险应急预案》，成立应急组织机构，定期开展应急演练，提高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企业</w:t>
                  </w: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环境风险防范能力</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以尾矿库为核心风险源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切实加强矿山环境风险管控，确保流域水环境安全。鼓励采用改进破碎系统、提高干选比例，降低选矿耗水量，减少尾矿湿排</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推进尾矿干堆技术，降低溃坝风险</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本项目为家具制造业，不涉及矿山。</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生产、储存危险化学品的企业事业单位，应当采取措施，防止消防废水、废液直接排入水体</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本项目为家具制造业，不涉及危险化学品。</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38"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发生突发事件可能造成土壤污染的，应当立即采取应急措施，防止土壤污染，并做好土壤污染状况监测、调查和土壤污染风险评估、风险管控、修复等工作</w:t>
                  </w:r>
                </w:p>
              </w:tc>
              <w:tc>
                <w:tcPr>
                  <w:tcW w:w="1214"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本项目发生可能造成土壤污染的突发事件时，会立即采取应急措施，防止土壤污染，并做好后续处理工作。</w:t>
                  </w:r>
                </w:p>
              </w:tc>
              <w:tc>
                <w:tcPr>
                  <w:tcW w:w="27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38"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restar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资源利用效率</w:t>
                  </w:r>
                </w:p>
              </w:tc>
              <w:tc>
                <w:tcPr>
                  <w:tcW w:w="1508" w:type="pc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开发区资源环境效率应逐步达到《国家生态工业园区标准》(HJ274-2015)、《工业园区循环经济绩效评价规范》(GB/T 33567-2017)</w:t>
                  </w:r>
                </w:p>
              </w:tc>
              <w:tc>
                <w:tcPr>
                  <w:tcW w:w="1214" w:type="pc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本项目位于宽城经济开发区龙须门片区，符合开发区规划要求。</w:t>
                  </w:r>
                </w:p>
              </w:tc>
              <w:tc>
                <w:tcPr>
                  <w:tcW w:w="279" w:type="pc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38"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3"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1"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08" w:type="pc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开发区建设应达到《河北省开发区建设用地控制指标实施细则(试行)》(冀国土资发[2015]11号)要求，对不符合要求的工业项目，原则上不得建设，因安全生产、地形地貌、工艺技术等有特殊要求确需突破控制指标的应遵循相关规定执行</w:t>
                  </w:r>
                </w:p>
              </w:tc>
              <w:tc>
                <w:tcPr>
                  <w:tcW w:w="1214" w:type="pc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本项目位于宽城经济开发区龙须门片区，租赁现有厂房进行生产。</w:t>
                  </w:r>
                </w:p>
              </w:tc>
              <w:tc>
                <w:tcPr>
                  <w:tcW w:w="279" w:type="pct"/>
                  <w:noWrap w:val="0"/>
                  <w:vAlign w:val="center"/>
                </w:tcPr>
                <w:p>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0" w:firstLineChars="0"/>
              <w:jc w:val="center"/>
              <w:textAlignment w:val="auto"/>
              <w:rPr>
                <w:rFonts w:hint="eastAsia"/>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2206625</wp:posOffset>
                      </wp:positionH>
                      <wp:positionV relativeFrom="paragraph">
                        <wp:posOffset>1295400</wp:posOffset>
                      </wp:positionV>
                      <wp:extent cx="657225" cy="276225"/>
                      <wp:effectExtent l="4445" t="191135" r="5080" b="8890"/>
                      <wp:wrapNone/>
                      <wp:docPr id="10" name="矩形标注 10"/>
                      <wp:cNvGraphicFramePr/>
                      <a:graphic xmlns:a="http://schemas.openxmlformats.org/drawingml/2006/main">
                        <a:graphicData uri="http://schemas.microsoft.com/office/word/2010/wordprocessingShape">
                          <wps:wsp>
                            <wps:cNvSpPr/>
                            <wps:spPr>
                              <a:xfrm>
                                <a:off x="3081020" y="2258695"/>
                                <a:ext cx="657225" cy="276225"/>
                              </a:xfrm>
                              <a:prstGeom prst="wedgeRectCallout">
                                <a:avLst>
                                  <a:gd name="adj1" fmla="val 46235"/>
                                  <a:gd name="adj2" fmla="val -11392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eastAsiaTheme="minorEastAsia"/>
                                      <w:b/>
                                      <w:bCs/>
                                      <w:color w:val="FF0000"/>
                                      <w:sz w:val="18"/>
                                      <w:szCs w:val="18"/>
                                      <w:lang w:eastAsia="zh-CN"/>
                                    </w:rPr>
                                  </w:pPr>
                                  <w:r>
                                    <w:rPr>
                                      <w:rFonts w:hint="eastAsia"/>
                                      <w:b/>
                                      <w:bCs/>
                                      <w:color w:val="FF0000"/>
                                      <w:sz w:val="18"/>
                                      <w:szCs w:val="18"/>
                                      <w:lang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3.75pt;margin-top:102pt;height:21.75pt;width:51.75pt;z-index:251687936;v-text-anchor:middle;mso-width-relative:page;mso-height-relative:page;" filled="f" stroked="t" coordsize="21600,21600" o:gfxdata="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IScbMrYAAAACwEAAA8AAAAAAAAAAQAgAAAAIgAAAGRy&#10;cy9kb3ducmV2LnhtbFBLAQIUABQAAAAIAIdO4kADgaOzsAIAAEcFAAAOAAAAAAAAAAEAIAAAACcB&#10;AABkcnMvZTJvRG9jLnhtbFBLBQYAAAAABgAGAFkBAABJBgAAAAA=&#10;" adj="20787,-13807">
                      <v:fill on="f" focussize="0,0"/>
                      <v:stroke color="#000000 [3213]" miterlimit="8" joinstyle="miter"/>
                      <v:imagedata o:title=""/>
                      <o:lock v:ext="edit" aspectratio="f"/>
                      <v:textbox>
                        <w:txbxContent>
                          <w:p>
                            <w:pPr>
                              <w:ind w:left="0" w:leftChars="0" w:firstLine="0" w:firstLineChars="0"/>
                              <w:jc w:val="both"/>
                              <w:rPr>
                                <w:rFonts w:hint="eastAsia" w:eastAsiaTheme="minorEastAsia"/>
                                <w:b/>
                                <w:bCs/>
                                <w:color w:val="FF0000"/>
                                <w:sz w:val="18"/>
                                <w:szCs w:val="18"/>
                                <w:lang w:eastAsia="zh-CN"/>
                              </w:rPr>
                            </w:pPr>
                            <w:r>
                              <w:rPr>
                                <w:rFonts w:hint="eastAsia"/>
                                <w:b/>
                                <w:bCs/>
                                <w:color w:val="FF0000"/>
                                <w:sz w:val="18"/>
                                <w:szCs w:val="18"/>
                                <w:lang w:eastAsia="zh-CN"/>
                              </w:rPr>
                              <w:t>项目位置</w:t>
                            </w:r>
                          </w:p>
                        </w:txbxContent>
                      </v:textbox>
                    </v:shape>
                  </w:pict>
                </mc:Fallback>
              </mc:AlternateContent>
            </w:r>
            <w:r>
              <w:rPr>
                <w:rFonts w:hint="default"/>
                <w:color w:val="000000" w:themeColor="text1"/>
                <w:highlight w:val="none"/>
                <w14:textFill>
                  <w14:solidFill>
                    <w14:schemeClr w14:val="tx1"/>
                  </w14:solidFill>
                </w14:textFill>
              </w:rPr>
              <w:drawing>
                <wp:inline distT="0" distB="0" distL="114300" distR="114300">
                  <wp:extent cx="4949825" cy="3268345"/>
                  <wp:effectExtent l="0" t="0" r="317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4949825" cy="326834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lang w:eastAsia="zh-CN"/>
                <w14:textFill>
                  <w14:solidFill>
                    <w14:schemeClr w14:val="tx1"/>
                  </w14:solidFill>
                </w14:textFill>
              </w:rPr>
              <w:t>图</w:t>
            </w:r>
            <w:r>
              <w:rPr>
                <w:rFonts w:hint="default" w:ascii="Times New Roman" w:hAnsi="Times New Roman" w:eastAsia="黑体" w:cs="Times New Roman"/>
                <w:color w:val="000000" w:themeColor="text1"/>
                <w:highlight w:val="none"/>
                <w14:textFill>
                  <w14:solidFill>
                    <w14:schemeClr w14:val="tx1"/>
                  </w14:solidFill>
                </w14:textFill>
              </w:rPr>
              <w:t>1-1  项目选址与承德市环境管控单元矢量数据图位置关系图</w:t>
            </w:r>
          </w:p>
          <w:p>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由以上分析结果可知，项目符合《关于以改善环境质量为核心加强环境影响评价管理的通知》（环评[2016]150号）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《承德市人民政府关于加快实施“三线一单”生态环境分区管控的意见》（2021年6月18发布）</w:t>
            </w:r>
            <w:r>
              <w:rPr>
                <w:rFonts w:hint="eastAsia"/>
                <w:color w:val="000000" w:themeColor="text1"/>
                <w:highlight w:val="none"/>
                <w:lang w:eastAsia="zh-CN"/>
                <w14:textFill>
                  <w14:solidFill>
                    <w14:schemeClr w14:val="tx1"/>
                  </w14:solidFill>
                </w14:textFill>
              </w:rPr>
              <w:t>、</w:t>
            </w:r>
            <w:r>
              <w:rPr>
                <w:rFonts w:hint="default" w:ascii="Times New Roman" w:hAnsi="Times New Roman"/>
                <w:color w:val="000000" w:themeColor="text1"/>
                <w:highlight w:val="none"/>
                <w:lang w:eastAsia="zh-CN"/>
                <w14:textFill>
                  <w14:solidFill>
                    <w14:schemeClr w14:val="tx1"/>
                  </w14:solidFill>
                </w14:textFill>
              </w:rPr>
              <w:t>《河北宽城经济开发区总体规划环境影响报告书三线一单专题报告》</w:t>
            </w:r>
            <w:r>
              <w:rPr>
                <w:rFonts w:hint="eastAsia"/>
                <w:color w:val="000000" w:themeColor="text1"/>
                <w:highlight w:val="none"/>
                <w14:textFill>
                  <w14:solidFill>
                    <w14:schemeClr w14:val="tx1"/>
                  </w14:solidFill>
                </w14:textFill>
              </w:rPr>
              <w:t>中关于“三线一单”的要求。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lang w:eastAsia="zh-CN"/>
                <w14:textFill>
                  <w14:solidFill>
                    <w14:schemeClr w14:val="tx1"/>
                  </w14:solidFill>
                </w14:textFill>
              </w:rPr>
              <w:t>项目选址可行性分析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该项目位于河北省</w:t>
            </w:r>
            <w:r>
              <w:rPr>
                <w:rFonts w:hint="eastAsia"/>
                <w:color w:val="000000" w:themeColor="text1"/>
                <w:highlight w:val="none"/>
                <w:lang w:eastAsia="zh-CN"/>
                <w14:textFill>
                  <w14:solidFill>
                    <w14:schemeClr w14:val="tx1"/>
                  </w14:solidFill>
                </w14:textFill>
              </w:rPr>
              <w:t>承德</w:t>
            </w:r>
            <w:r>
              <w:rPr>
                <w:rFonts w:hint="default"/>
                <w:color w:val="000000" w:themeColor="text1"/>
                <w:highlight w:val="none"/>
                <w14:textFill>
                  <w14:solidFill>
                    <w14:schemeClr w14:val="tx1"/>
                  </w14:solidFill>
                </w14:textFill>
              </w:rPr>
              <w:t>市</w:t>
            </w:r>
            <w:r>
              <w:rPr>
                <w:rFonts w:hint="eastAsia"/>
                <w:color w:val="000000" w:themeColor="text1"/>
                <w:highlight w:val="none"/>
                <w:lang w:eastAsia="zh-CN"/>
                <w14:textFill>
                  <w14:solidFill>
                    <w14:schemeClr w14:val="tx1"/>
                  </w14:solidFill>
                </w14:textFill>
              </w:rPr>
              <w:t>宽城</w:t>
            </w:r>
            <w:r>
              <w:rPr>
                <w:rFonts w:hint="default"/>
                <w:color w:val="000000" w:themeColor="text1"/>
                <w:highlight w:val="none"/>
                <w14:textFill>
                  <w14:solidFill>
                    <w14:schemeClr w14:val="tx1"/>
                  </w14:solidFill>
                </w14:textFill>
              </w:rPr>
              <w:t>县</w:t>
            </w:r>
            <w:r>
              <w:rPr>
                <w:rFonts w:hint="eastAsia"/>
                <w:color w:val="000000" w:themeColor="text1"/>
                <w:highlight w:val="none"/>
                <w14:textFill>
                  <w14:solidFill>
                    <w14:schemeClr w14:val="tx1"/>
                  </w14:solidFill>
                </w14:textFill>
              </w:rPr>
              <w:t>经济开发区</w:t>
            </w:r>
            <w:r>
              <w:rPr>
                <w:rFonts w:hint="eastAsia"/>
                <w:color w:val="000000" w:themeColor="text1"/>
                <w:highlight w:val="none"/>
                <w:lang w:eastAsia="zh-CN"/>
                <w14:textFill>
                  <w14:solidFill>
                    <w14:schemeClr w14:val="tx1"/>
                  </w14:solidFill>
                </w14:textFill>
              </w:rPr>
              <w:t>龙须门片区</w:t>
            </w:r>
            <w:r>
              <w:rPr>
                <w:rFonts w:hint="eastAsia"/>
                <w:color w:val="000000" w:themeColor="text1"/>
                <w:highlight w:val="none"/>
                <w14:textFill>
                  <w14:solidFill>
                    <w14:schemeClr w14:val="tx1"/>
                  </w14:solidFill>
                </w14:textFill>
              </w:rPr>
              <w:t>内</w:t>
            </w:r>
            <w:r>
              <w:rPr>
                <w:rFonts w:hint="default"/>
                <w:color w:val="000000" w:themeColor="text1"/>
                <w:highlight w:val="none"/>
                <w14:textFill>
                  <w14:solidFill>
                    <w14:schemeClr w14:val="tx1"/>
                  </w14:solidFill>
                </w14:textFill>
              </w:rPr>
              <w:t>，本项目主要</w:t>
            </w:r>
            <w:r>
              <w:rPr>
                <w:rFonts w:hint="eastAsia"/>
                <w:color w:val="000000" w:themeColor="text1"/>
                <w:highlight w:val="none"/>
                <w:lang w:eastAsia="zh-CN"/>
                <w14:textFill>
                  <w14:solidFill>
                    <w14:schemeClr w14:val="tx1"/>
                  </w14:solidFill>
                </w14:textFill>
              </w:rPr>
              <w:t>生产</w:t>
            </w:r>
            <w:r>
              <w:rPr>
                <w:rFonts w:hint="eastAsia"/>
                <w:color w:val="000000" w:themeColor="text1"/>
                <w:highlight w:val="none"/>
                <w:lang w:val="en-US" w:eastAsia="zh-CN"/>
                <w14:textFill>
                  <w14:solidFill>
                    <w14:schemeClr w14:val="tx1"/>
                  </w14:solidFill>
                </w14:textFill>
              </w:rPr>
              <w:t>金属、木质家具</w:t>
            </w:r>
            <w:r>
              <w:rPr>
                <w:rFonts w:hint="default"/>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属于</w:t>
            </w:r>
            <w:r>
              <w:rPr>
                <w:rFonts w:hint="eastAsia"/>
                <w:color w:val="000000" w:themeColor="text1"/>
                <w:highlight w:val="none"/>
                <w:lang w:eastAsia="zh-CN"/>
                <w14:textFill>
                  <w14:solidFill>
                    <w14:schemeClr w14:val="tx1"/>
                  </w14:solidFill>
                </w14:textFill>
              </w:rPr>
              <w:t>中小企业创业综合产业</w:t>
            </w:r>
            <w:r>
              <w:rPr>
                <w:rFonts w:hint="default"/>
                <w:color w:val="000000" w:themeColor="text1"/>
                <w:highlight w:val="none"/>
                <w14:textFill>
                  <w14:solidFill>
                    <w14:schemeClr w14:val="tx1"/>
                  </w14:solidFill>
                </w14:textFill>
              </w:rPr>
              <w:t>，符合规划产业布局和规划用地布局。</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ins w:id="0" w:author="我在人民广场吃炸鸡" w:date="2023-07-08T17:08:00Z"/>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根据河北</w:t>
            </w:r>
            <w:r>
              <w:rPr>
                <w:rFonts w:hint="eastAsia"/>
                <w:color w:val="000000" w:themeColor="text1"/>
                <w:highlight w:val="none"/>
                <w:lang w:eastAsia="zh-CN"/>
                <w14:textFill>
                  <w14:solidFill>
                    <w14:schemeClr w14:val="tx1"/>
                  </w14:solidFill>
                </w14:textFill>
              </w:rPr>
              <w:t>宽城</w:t>
            </w:r>
            <w:r>
              <w:rPr>
                <w:rFonts w:hint="default"/>
                <w:color w:val="000000" w:themeColor="text1"/>
                <w:highlight w:val="none"/>
                <w14:textFill>
                  <w14:solidFill>
                    <w14:schemeClr w14:val="tx1"/>
                  </w14:solidFill>
                </w14:textFill>
              </w:rPr>
              <w:t>经济开发区管理委员会出具的</w:t>
            </w:r>
            <w:r>
              <w:rPr>
                <w:rFonts w:hint="eastAsia"/>
                <w:color w:val="000000" w:themeColor="text1"/>
                <w:highlight w:val="none"/>
                <w:lang w:eastAsia="zh-CN"/>
                <w14:textFill>
                  <w14:solidFill>
                    <w14:schemeClr w14:val="tx1"/>
                  </w14:solidFill>
                </w14:textFill>
              </w:rPr>
              <w:t>证明</w:t>
            </w:r>
            <w:r>
              <w:rPr>
                <w:rFonts w:hint="default"/>
                <w:color w:val="000000" w:themeColor="text1"/>
                <w:highlight w:val="none"/>
                <w14:textFill>
                  <w14:solidFill>
                    <w14:schemeClr w14:val="tx1"/>
                  </w14:solidFill>
                </w14:textFill>
              </w:rPr>
              <w:t>，该项目符合河北</w:t>
            </w:r>
            <w:r>
              <w:rPr>
                <w:rFonts w:hint="eastAsia"/>
                <w:color w:val="000000" w:themeColor="text1"/>
                <w:highlight w:val="none"/>
                <w:lang w:eastAsia="zh-CN"/>
                <w14:textFill>
                  <w14:solidFill>
                    <w14:schemeClr w14:val="tx1"/>
                  </w14:solidFill>
                </w14:textFill>
              </w:rPr>
              <w:t>宽城</w:t>
            </w:r>
            <w:r>
              <w:rPr>
                <w:rFonts w:hint="default"/>
                <w:color w:val="000000" w:themeColor="text1"/>
                <w:highlight w:val="none"/>
                <w14:textFill>
                  <w14:solidFill>
                    <w14:schemeClr w14:val="tx1"/>
                  </w14:solidFill>
                </w14:textFill>
              </w:rPr>
              <w:t>经济开发区产业布局规划。</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项目各工序污染源采取相应的污染控制措施后，均可实现达标排放，距离项目最近敏感点为</w:t>
            </w:r>
            <w:r>
              <w:rPr>
                <w:rFonts w:hint="eastAsia"/>
                <w:color w:val="000000" w:themeColor="text1"/>
                <w:highlight w:val="none"/>
                <w:lang w:eastAsia="zh-CN"/>
                <w14:textFill>
                  <w14:solidFill>
                    <w14:schemeClr w14:val="tx1"/>
                  </w14:solidFill>
                </w14:textFill>
              </w:rPr>
              <w:t>西</w:t>
            </w:r>
            <w:r>
              <w:rPr>
                <w:rFonts w:hint="default"/>
                <w:color w:val="000000" w:themeColor="text1"/>
                <w:highlight w:val="none"/>
                <w14:textFill>
                  <w14:solidFill>
                    <w14:schemeClr w14:val="tx1"/>
                  </w14:solidFill>
                </w14:textFill>
              </w:rPr>
              <w:t>北侧</w:t>
            </w:r>
            <w:r>
              <w:rPr>
                <w:rFonts w:hint="eastAsia"/>
                <w:color w:val="000000" w:themeColor="text1"/>
                <w:highlight w:val="none"/>
                <w:lang w:val="en-US" w:eastAsia="zh-CN"/>
                <w14:textFill>
                  <w14:solidFill>
                    <w14:schemeClr w14:val="tx1"/>
                  </w14:solidFill>
                </w14:textFill>
              </w:rPr>
              <w:t>240</w:t>
            </w:r>
            <w:r>
              <w:rPr>
                <w:rFonts w:hint="default"/>
                <w:color w:val="000000" w:themeColor="text1"/>
                <w:highlight w:val="none"/>
                <w14:textFill>
                  <w14:solidFill>
                    <w14:schemeClr w14:val="tx1"/>
                  </w14:solidFill>
                </w14:textFill>
              </w:rPr>
              <w:t>m处的</w:t>
            </w:r>
            <w:r>
              <w:rPr>
                <w:rFonts w:hint="eastAsia"/>
                <w:color w:val="000000" w:themeColor="text1"/>
                <w:highlight w:val="none"/>
                <w:lang w:eastAsia="zh-CN"/>
                <w14:textFill>
                  <w14:solidFill>
                    <w14:schemeClr w14:val="tx1"/>
                  </w14:solidFill>
                </w14:textFill>
              </w:rPr>
              <w:t>杨家庄</w:t>
            </w:r>
            <w:r>
              <w:rPr>
                <w:rFonts w:hint="default"/>
                <w:color w:val="000000" w:themeColor="text1"/>
                <w:highlight w:val="none"/>
                <w14:textFill>
                  <w14:solidFill>
                    <w14:schemeClr w14:val="tx1"/>
                  </w14:solidFill>
                </w14:textFill>
              </w:rPr>
              <w:t>村，不会对区域环境产生明显影响。项目</w:t>
            </w:r>
            <w:r>
              <w:rPr>
                <w:rFonts w:hint="eastAsia"/>
                <w:color w:val="000000" w:themeColor="text1"/>
                <w:highlight w:val="none"/>
                <w14:textFill>
                  <w14:solidFill>
                    <w14:schemeClr w14:val="tx1"/>
                  </w14:solidFill>
                </w14:textFill>
              </w:rPr>
              <w:t>废水为生活</w:t>
            </w:r>
            <w:r>
              <w:rPr>
                <w:rFonts w:hint="default"/>
                <w:color w:val="000000" w:themeColor="text1"/>
                <w:highlight w:val="none"/>
                <w14:textFill>
                  <w14:solidFill>
                    <w14:schemeClr w14:val="tx1"/>
                  </w14:solidFill>
                </w14:textFill>
              </w:rPr>
              <w:t>污水</w:t>
            </w:r>
            <w:r>
              <w:rPr>
                <w:rFonts w:hint="eastAsia"/>
                <w:color w:val="000000" w:themeColor="text1"/>
                <w:highlight w:val="none"/>
                <w14:textFill>
                  <w14:solidFill>
                    <w14:schemeClr w14:val="tx1"/>
                  </w14:solidFill>
                </w14:textFill>
              </w:rPr>
              <w:t>，经化粪池</w:t>
            </w:r>
            <w:r>
              <w:rPr>
                <w:rFonts w:hint="default"/>
                <w:color w:val="000000" w:themeColor="text1"/>
                <w:highlight w:val="none"/>
                <w14:textFill>
                  <w14:solidFill>
                    <w14:schemeClr w14:val="tx1"/>
                  </w14:solidFill>
                </w14:textFill>
              </w:rPr>
              <w:t>处理后</w:t>
            </w:r>
            <w:r>
              <w:rPr>
                <w:rFonts w:hint="eastAsia"/>
                <w:color w:val="000000" w:themeColor="text1"/>
                <w:highlight w:val="none"/>
                <w:lang w:eastAsia="zh-CN"/>
                <w14:textFill>
                  <w14:solidFill>
                    <w14:schemeClr w14:val="tx1"/>
                  </w14:solidFill>
                </w14:textFill>
              </w:rPr>
              <w:t>定期抽运用于农肥</w:t>
            </w:r>
            <w:r>
              <w:rPr>
                <w:rFonts w:hint="default"/>
                <w:color w:val="000000" w:themeColor="text1"/>
                <w:highlight w:val="none"/>
                <w14:textFill>
                  <w14:solidFill>
                    <w14:schemeClr w14:val="tx1"/>
                  </w14:solidFill>
                </w14:textFill>
              </w:rPr>
              <w:t>，不会对区域地表水造成污染影响。</w:t>
            </w:r>
            <w:r>
              <w:rPr>
                <w:rFonts w:hint="eastAsia"/>
                <w:color w:val="000000" w:themeColor="text1"/>
                <w:highlight w:val="none"/>
                <w14:textFill>
                  <w14:solidFill>
                    <w14:schemeClr w14:val="tx1"/>
                  </w14:solidFill>
                </w14:textFill>
              </w:rPr>
              <w:t>项目周围无自然保护区</w:t>
            </w:r>
            <w:r>
              <w:rPr>
                <w:rFonts w:hint="default"/>
                <w:color w:val="000000" w:themeColor="text1"/>
                <w:highlight w:val="none"/>
                <w14:textFill>
                  <w14:solidFill>
                    <w14:schemeClr w14:val="tx1"/>
                  </w14:solidFill>
                </w14:textFill>
              </w:rPr>
              <w:t>、风景名胜区、生活饮用水源地和其它特别需要保护的敏感目标，不会对周围生态环境产生影响。因此，本项目选址可行。</w:t>
            </w:r>
          </w:p>
          <w:p>
            <w:pPr>
              <w:pStyle w:val="35"/>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leftChars="0" w:right="0"/>
              <w:jc w:val="both"/>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四、环境管理政策符合性</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jc w:val="both"/>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生态环境保护规划符合性分析</w:t>
            </w:r>
          </w:p>
          <w:p>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承德市城市总体规划》（2016-2030年）将承德市（8县3区）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本项目</w:t>
            </w:r>
            <w:r>
              <w:rPr>
                <w:rFonts w:hint="eastAsia"/>
                <w:color w:val="000000" w:themeColor="text1"/>
                <w:highlight w:val="none"/>
                <w:lang w:eastAsia="zh-CN"/>
                <w14:textFill>
                  <w14:solidFill>
                    <w14:schemeClr w14:val="tx1"/>
                  </w14:solidFill>
                </w14:textFill>
              </w:rPr>
              <w:t>所在地区</w:t>
            </w:r>
            <w:r>
              <w:rPr>
                <w:rFonts w:hint="default"/>
                <w:color w:val="000000" w:themeColor="text1"/>
                <w:highlight w:val="none"/>
                <w:lang w:val="en-US" w:eastAsia="zh-CN"/>
                <w14:textFill>
                  <w14:solidFill>
                    <w14:schemeClr w14:val="tx1"/>
                  </w14:solidFill>
                </w14:textFill>
              </w:rPr>
              <w:t>宽城</w:t>
            </w:r>
            <w:r>
              <w:rPr>
                <w:rFonts w:hint="eastAsia"/>
                <w:color w:val="000000" w:themeColor="text1"/>
                <w:highlight w:val="none"/>
                <w:lang w:eastAsia="zh-CN"/>
                <w14:textFill>
                  <w14:solidFill>
                    <w14:schemeClr w14:val="tx1"/>
                  </w14:solidFill>
                </w14:textFill>
              </w:rPr>
              <w:t>经济开发区龙须门片区</w:t>
            </w:r>
            <w:r>
              <w:rPr>
                <w:rFonts w:hint="default"/>
                <w:color w:val="000000" w:themeColor="text1"/>
                <w:highlight w:val="none"/>
                <w14:textFill>
                  <w14:solidFill>
                    <w14:schemeClr w14:val="tx1"/>
                  </w14:solidFill>
                </w14:textFill>
              </w:rPr>
              <w:t>属于</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冀北及燕山山地生态区---</w:t>
            </w:r>
            <w:r>
              <w:rPr>
                <w:rFonts w:hint="eastAsia"/>
                <w:color w:val="000000" w:themeColor="text1"/>
                <w:highlight w:val="none"/>
                <w:lang w:eastAsia="zh-CN"/>
                <w14:textFill>
                  <w14:solidFill>
                    <w14:schemeClr w14:val="tx1"/>
                  </w14:solidFill>
                </w14:textFill>
              </w:rPr>
              <w:t>城市规划发展</w:t>
            </w:r>
            <w:r>
              <w:rPr>
                <w:rFonts w:hint="default"/>
                <w:color w:val="000000" w:themeColor="text1"/>
                <w:highlight w:val="none"/>
                <w:lang w:val="en-US" w:eastAsia="zh-CN"/>
                <w14:textFill>
                  <w14:solidFill>
                    <w14:schemeClr w14:val="tx1"/>
                  </w14:solidFill>
                </w14:textFill>
              </w:rPr>
              <w:t>亚区</w:t>
            </w:r>
            <w:r>
              <w:rPr>
                <w:rFonts w:hint="default"/>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承德、平泉、</w:t>
            </w:r>
            <w:r>
              <w:rPr>
                <w:rFonts w:hint="default"/>
                <w:color w:val="000000" w:themeColor="text1"/>
                <w:highlight w:val="none"/>
                <w:lang w:val="en-US" w:eastAsia="zh-CN"/>
                <w14:textFill>
                  <w14:solidFill>
                    <w14:schemeClr w14:val="tx1"/>
                  </w14:solidFill>
                </w14:textFill>
              </w:rPr>
              <w:t>宽城</w:t>
            </w:r>
            <w:r>
              <w:rPr>
                <w:rFonts w:hint="eastAsia"/>
                <w:color w:val="000000" w:themeColor="text1"/>
                <w:highlight w:val="none"/>
                <w:lang w:val="en-US" w:eastAsia="zh-CN"/>
                <w14:textFill>
                  <w14:solidFill>
                    <w14:schemeClr w14:val="tx1"/>
                  </w14:solidFill>
                </w14:textFill>
              </w:rPr>
              <w:t>水源涵养、水土流失重点治理区</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，该区域主要生态环境问题、生态服务功能、建设方向及措施如下表所示。</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240" w:lineRule="auto"/>
              <w:ind w:left="0" w:right="0"/>
              <w:jc w:val="center"/>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5861685" cy="3905250"/>
                  <wp:effectExtent l="0" t="0" r="0" b="57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9"/>
                          <a:stretch>
                            <a:fillRect/>
                          </a:stretch>
                        </pic:blipFill>
                        <pic:spPr>
                          <a:xfrm rot="5400000">
                            <a:off x="0" y="0"/>
                            <a:ext cx="5861685" cy="3905250"/>
                          </a:xfrm>
                          <a:prstGeom prst="rect">
                            <a:avLst/>
                          </a:prstGeom>
                          <a:noFill/>
                          <a:ln>
                            <a:noFill/>
                          </a:ln>
                        </pic:spPr>
                      </pic:pic>
                    </a:graphicData>
                  </a:graphic>
                </wp:inline>
              </w:drawing>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textAlignment w:val="auto"/>
              <w:rPr>
                <w:rFonts w:hint="default" w:ascii="Times New Roman" w:hAnsi="Times New Roman" w:eastAsia="黑体" w:cs="Times New Roman"/>
                <w:color w:val="000000" w:themeColor="text1"/>
                <w:highlight w:val="none"/>
                <w:lang w:val="en-US" w:eastAsia="zh-CN"/>
                <w14:textFill>
                  <w14:solidFill>
                    <w14:schemeClr w14:val="tx1"/>
                  </w14:solidFill>
                </w14:textFill>
              </w:rPr>
            </w:pPr>
            <w:r>
              <w:rPr>
                <w:rFonts w:hint="default" w:ascii="Times New Roman" w:hAnsi="Times New Roman" w:eastAsia="黑体" w:cs="Times New Roman"/>
                <w:color w:val="000000" w:themeColor="text1"/>
                <w:highlight w:val="none"/>
                <w:lang w:val="en-US" w:eastAsia="zh-CN"/>
                <w14:textFill>
                  <w14:solidFill>
                    <w14:schemeClr w14:val="tx1"/>
                  </w14:solidFill>
                </w14:textFill>
              </w:rPr>
              <w:t>图1-2 承德市生态功能区划图</w:t>
            </w:r>
          </w:p>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黑体" w:cs="Times New Roman"/>
                <w:color w:val="000000" w:themeColor="text1"/>
                <w:sz w:val="24"/>
                <w:szCs w:val="24"/>
                <w:highlight w:val="none"/>
                <w14:textFill>
                  <w14:solidFill>
                    <w14:schemeClr w14:val="tx1"/>
                  </w14:solidFill>
                </w14:textFill>
              </w:rPr>
            </w:pPr>
            <w:r>
              <w:rPr>
                <w:rFonts w:hint="default" w:ascii="Times New Roman" w:hAnsi="Times New Roman" w:eastAsia="黑体" w:cs="Times New Roman"/>
                <w:color w:val="000000" w:themeColor="text1"/>
                <w:sz w:val="24"/>
                <w:szCs w:val="24"/>
                <w:highlight w:val="none"/>
                <w14:textFill>
                  <w14:solidFill>
                    <w14:schemeClr w14:val="tx1"/>
                  </w14:solidFill>
                </w14:textFill>
              </w:rPr>
              <w:t>表1-</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7</w:t>
            </w:r>
            <w:r>
              <w:rPr>
                <w:rFonts w:hint="eastAsia"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承德市总体规划中生态功能区划相关功能分区</w:t>
            </w:r>
          </w:p>
          <w:tbl>
            <w:tblPr>
              <w:tblStyle w:val="24"/>
              <w:tblW w:w="9019"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4"/>
              <w:gridCol w:w="929"/>
              <w:gridCol w:w="2626"/>
              <w:gridCol w:w="929"/>
              <w:gridCol w:w="3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9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生态区</w:t>
                  </w:r>
                </w:p>
              </w:tc>
              <w:tc>
                <w:tcPr>
                  <w:tcW w:w="390"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生态亚区</w:t>
                  </w:r>
                </w:p>
              </w:tc>
              <w:tc>
                <w:tcPr>
                  <w:tcW w:w="515"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生态功能区</w:t>
                  </w:r>
                </w:p>
              </w:tc>
              <w:tc>
                <w:tcPr>
                  <w:tcW w:w="1455"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主要生态环境问题</w:t>
                  </w:r>
                </w:p>
              </w:tc>
              <w:tc>
                <w:tcPr>
                  <w:tcW w:w="515"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生态服务功能</w:t>
                  </w:r>
                </w:p>
              </w:tc>
              <w:tc>
                <w:tcPr>
                  <w:tcW w:w="1723"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建设方向及措施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冀北及燕山山地生态区</w:t>
                  </w:r>
                </w:p>
              </w:tc>
              <w:tc>
                <w:tcPr>
                  <w:tcW w:w="390"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城市规划发展亚区</w:t>
                  </w:r>
                </w:p>
              </w:tc>
              <w:tc>
                <w:tcPr>
                  <w:tcW w:w="515"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承德、平泉、宽城水源涵养、水土流失重点治理区</w:t>
                  </w:r>
                </w:p>
              </w:tc>
              <w:tc>
                <w:tcPr>
                  <w:tcW w:w="1455"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该区浅山植被覆盖率低，水土流失严重；林场树种单一，生态功能不能较好的发挥；山地土层薄，河流沿岸土壤壤质、沙质，抵御旱灾能力差；部分农村农药、化肥施用不当，引起面源污染，部分农村生态环境较差；部分地区为矿山开采区，土壤侵蚀敏感性严重</w:t>
                  </w:r>
                </w:p>
              </w:tc>
              <w:tc>
                <w:tcPr>
                  <w:tcW w:w="515"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水源涵养、水土保持、洪水调蓄、农业生产</w:t>
                  </w:r>
                </w:p>
              </w:tc>
              <w:tc>
                <w:tcPr>
                  <w:tcW w:w="1723" w:type="pct"/>
                  <w:noWrap w:val="0"/>
                  <w:vAlign w:val="center"/>
                </w:tcPr>
                <w:p>
                  <w:pPr>
                    <w:pStyle w:val="41"/>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保护现有的森林资源，开展植树造林、绿化荒山、退耕还林，恢复植被工作，因地制宜，乔、灌、草相结合，建成高标准林业生态体系和高效的森林资源保障体系。降低农药、化肥及农用薄膜的使用量，推广使用沼气、小型水力发电等清洁能源，发展农村经济，改善农民生活环境。以开展生态农业为主，扩大水稻和小麦种植面积，发展花生、瓜果等经济作物和以精细菜为主的蔬菜生产，加强绿色无公害产地认证工作。积极进行矿山植被覆盖措施，降低土壤侵蚀敏感性</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选址位于宽城经济开发区龙须门片区内，土地性质为工业用地，通过</w:t>
            </w:r>
            <w:r>
              <w:rPr>
                <w:rFonts w:hint="default"/>
                <w:color w:val="000000" w:themeColor="text1"/>
                <w:highlight w:val="none"/>
                <w:lang w:val="en-US" w:eastAsia="zh-CN"/>
                <w14:textFill>
                  <w14:solidFill>
                    <w14:schemeClr w14:val="tx1"/>
                  </w14:solidFill>
                </w14:textFill>
              </w:rPr>
              <w:t>地面硬化，</w:t>
            </w:r>
            <w:r>
              <w:rPr>
                <w:rFonts w:hint="eastAsia"/>
                <w:color w:val="000000" w:themeColor="text1"/>
                <w:highlight w:val="none"/>
                <w:lang w:val="en-US" w:eastAsia="zh-CN"/>
                <w14:textFill>
                  <w14:solidFill>
                    <w14:schemeClr w14:val="tx1"/>
                  </w14:solidFill>
                </w14:textFill>
              </w:rPr>
              <w:t>裸露部分</w:t>
            </w:r>
            <w:r>
              <w:rPr>
                <w:rFonts w:hint="default"/>
                <w:color w:val="000000" w:themeColor="text1"/>
                <w:highlight w:val="none"/>
                <w:lang w:val="en-US" w:eastAsia="zh-CN"/>
                <w14:textFill>
                  <w14:solidFill>
                    <w14:schemeClr w14:val="tx1"/>
                  </w14:solidFill>
                </w14:textFill>
              </w:rPr>
              <w:t>绿化</w:t>
            </w:r>
            <w:r>
              <w:rPr>
                <w:rFonts w:hint="eastAsia"/>
                <w:color w:val="000000" w:themeColor="text1"/>
                <w:highlight w:val="none"/>
                <w:lang w:val="en-US" w:eastAsia="zh-CN"/>
                <w14:textFill>
                  <w14:solidFill>
                    <w14:schemeClr w14:val="tx1"/>
                  </w14:solidFill>
                </w14:textFill>
              </w:rPr>
              <w:t>等措施</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可</w:t>
            </w:r>
            <w:r>
              <w:rPr>
                <w:rFonts w:hint="default"/>
                <w:color w:val="000000" w:themeColor="text1"/>
                <w:highlight w:val="none"/>
                <w14:textFill>
                  <w14:solidFill>
                    <w14:schemeClr w14:val="tx1"/>
                  </w14:solidFill>
                </w14:textFill>
              </w:rPr>
              <w:t>改善现</w:t>
            </w:r>
            <w:r>
              <w:rPr>
                <w:rFonts w:hint="eastAsia"/>
                <w:color w:val="000000" w:themeColor="text1"/>
                <w:highlight w:val="none"/>
                <w:lang w:eastAsia="zh-CN"/>
                <w14:textFill>
                  <w14:solidFill>
                    <w14:schemeClr w14:val="tx1"/>
                  </w14:solidFill>
                </w14:textFill>
              </w:rPr>
              <w:t>有生态环境</w:t>
            </w:r>
            <w:r>
              <w:rPr>
                <w:rFonts w:hint="default"/>
                <w:color w:val="000000" w:themeColor="text1"/>
                <w:highlight w:val="none"/>
                <w14:textFill>
                  <w14:solidFill>
                    <w14:schemeClr w14:val="tx1"/>
                  </w14:solidFill>
                </w14:textFill>
              </w:rPr>
              <w:t>，防治水土流失</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与《承德市城市总体规划》（2016-2030）中的生态功能区划中该区域的生态服务功能和建设的方向不冲突。</w:t>
            </w:r>
          </w:p>
          <w:p>
            <w:pPr>
              <w:keepNext w:val="0"/>
              <w:keepLines w:val="0"/>
              <w:numPr>
                <w:ilvl w:val="0"/>
                <w:numId w:val="3"/>
              </w:numPr>
              <w:suppressLineNumbers w:val="0"/>
              <w:autoSpaceDE w:val="0"/>
              <w:autoSpaceDN w:val="0"/>
              <w:adjustRightInd w:val="0"/>
              <w:snapToGrid w:val="0"/>
              <w:spacing w:before="0" w:beforeAutospacing="0" w:after="0" w:afterAutospacing="0" w:line="360" w:lineRule="auto"/>
              <w:ind w:left="0" w:leftChars="0" w:right="0" w:rightChars="0" w:firstLine="480" w:firstLineChars="200"/>
              <w:jc w:val="left"/>
              <w:rPr>
                <w:rFonts w:hint="eastAsia" w:cstheme="minorBidi"/>
                <w:color w:val="000000" w:themeColor="text1"/>
                <w:kern w:val="2"/>
                <w:sz w:val="24"/>
                <w:szCs w:val="24"/>
                <w:highlight w:val="none"/>
                <w:lang w:val="en-US" w:eastAsia="zh-CN" w:bidi="ar-SA"/>
                <w14:textFill>
                  <w14:solidFill>
                    <w14:schemeClr w14:val="tx1"/>
                  </w14:solidFill>
                </w14:textFill>
              </w:rPr>
            </w:pPr>
            <w:r>
              <w:rPr>
                <w:rFonts w:hint="eastAsia" w:cstheme="minorBidi"/>
                <w:color w:val="000000" w:themeColor="text1"/>
                <w:kern w:val="2"/>
                <w:sz w:val="24"/>
                <w:szCs w:val="24"/>
                <w:highlight w:val="none"/>
                <w:lang w:val="en-US" w:eastAsia="zh-CN" w:bidi="ar-SA"/>
                <w14:textFill>
                  <w14:solidFill>
                    <w14:schemeClr w14:val="tx1"/>
                  </w14:solidFill>
                </w14:textFill>
              </w:rPr>
              <w:t>与《</w:t>
            </w:r>
            <w:r>
              <w:rPr>
                <w:rFonts w:hint="default" w:ascii="Times New Roman" w:hAnsi="Times New Roman" w:eastAsia="宋体" w:cs="Times New Roman"/>
                <w:color w:val="000000" w:themeColor="text1"/>
                <w:spacing w:val="-10"/>
                <w:sz w:val="24"/>
                <w:szCs w:val="24"/>
                <w:highlight w:val="none"/>
                <w:lang w:val="en-US" w:eastAsia="zh-CN"/>
                <w14:textFill>
                  <w14:solidFill>
                    <w14:schemeClr w14:val="tx1"/>
                  </w14:solidFill>
                </w14:textFill>
              </w:rPr>
              <w:t>承德市生态环境保护</w:t>
            </w:r>
            <w:r>
              <w:rPr>
                <w:rFonts w:hint="eastAsia" w:eastAsia="宋体" w:cs="Times New Roman"/>
                <w:color w:val="000000" w:themeColor="text1"/>
                <w:spacing w:val="-1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0"/>
                <w:sz w:val="24"/>
                <w:szCs w:val="24"/>
                <w:highlight w:val="none"/>
                <w:lang w:val="en-US" w:eastAsia="zh-CN"/>
                <w14:textFill>
                  <w14:solidFill>
                    <w14:schemeClr w14:val="tx1"/>
                  </w14:solidFill>
                </w14:textFill>
              </w:rPr>
              <w:t>十四五</w:t>
            </w:r>
            <w:r>
              <w:rPr>
                <w:rFonts w:hint="eastAsia" w:eastAsia="宋体" w:cs="Times New Roman"/>
                <w:color w:val="000000" w:themeColor="text1"/>
                <w:spacing w:val="-1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0"/>
                <w:sz w:val="24"/>
                <w:szCs w:val="24"/>
                <w:highlight w:val="none"/>
                <w:lang w:val="en-US" w:eastAsia="zh-CN"/>
                <w14:textFill>
                  <w14:solidFill>
                    <w14:schemeClr w14:val="tx1"/>
                  </w14:solidFill>
                </w14:textFill>
              </w:rPr>
              <w:t>规划</w:t>
            </w:r>
            <w:r>
              <w:rPr>
                <w:rFonts w:hint="eastAsia" w:cstheme="minorBidi"/>
                <w:color w:val="000000" w:themeColor="text1"/>
                <w:kern w:val="2"/>
                <w:sz w:val="24"/>
                <w:szCs w:val="24"/>
                <w:highlight w:val="none"/>
                <w:lang w:val="en-US" w:eastAsia="zh-CN" w:bidi="ar-SA"/>
                <w14:textFill>
                  <w14:solidFill>
                    <w14:schemeClr w14:val="tx1"/>
                  </w14:solidFill>
                </w14:textFill>
              </w:rPr>
              <w:t>》的符合性分析</w:t>
            </w:r>
          </w:p>
          <w:p>
            <w:pPr>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黑体" w:cs="Times New Roman"/>
                <w:color w:val="000000" w:themeColor="text1"/>
                <w:highlight w:val="none"/>
                <w:lang w:val="en-US" w:eastAsia="zh-CN"/>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表1-</w:t>
            </w:r>
            <w:r>
              <w:rPr>
                <w:rFonts w:hint="eastAsia" w:ascii="Times New Roman" w:hAnsi="Times New Roman" w:eastAsia="黑体" w:cs="Times New Roman"/>
                <w:color w:val="000000" w:themeColor="text1"/>
                <w:highlight w:val="none"/>
                <w:lang w:val="en-US" w:eastAsia="zh-CN"/>
                <w14:textFill>
                  <w14:solidFill>
                    <w14:schemeClr w14:val="tx1"/>
                  </w14:solidFill>
                </w14:textFill>
              </w:rPr>
              <w:t>8</w:t>
            </w:r>
            <w:r>
              <w:rPr>
                <w:rFonts w:hint="default" w:ascii="Times New Roman" w:hAnsi="Times New Roman" w:eastAsia="黑体" w:cs="Times New Roman"/>
                <w:color w:val="000000" w:themeColor="text1"/>
                <w:highlight w:val="none"/>
                <w14:textFill>
                  <w14:solidFill>
                    <w14:schemeClr w14:val="tx1"/>
                  </w14:solidFill>
                </w14:textFill>
              </w:rPr>
              <w:t xml:space="preserve">  本项目与</w:t>
            </w:r>
            <w:r>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黑体" w:cs="Times New Roman"/>
                <w:color w:val="000000" w:themeColor="text1"/>
                <w:spacing w:val="-10"/>
                <w:sz w:val="24"/>
                <w:szCs w:val="24"/>
                <w:highlight w:val="none"/>
                <w:lang w:val="en-US" w:eastAsia="zh-CN"/>
                <w14:textFill>
                  <w14:solidFill>
                    <w14:schemeClr w14:val="tx1"/>
                  </w14:solidFill>
                </w14:textFill>
              </w:rPr>
              <w:t>承德市生态环境保护</w:t>
            </w:r>
            <w:r>
              <w:rPr>
                <w:rFonts w:hint="eastAsia" w:ascii="Times New Roman" w:hAnsi="Times New Roman" w:eastAsia="黑体" w:cs="Times New Roman"/>
                <w:color w:val="000000" w:themeColor="text1"/>
                <w:spacing w:val="-10"/>
                <w:sz w:val="24"/>
                <w:szCs w:val="24"/>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10"/>
                <w:sz w:val="24"/>
                <w:szCs w:val="24"/>
                <w:highlight w:val="none"/>
                <w:lang w:val="en-US" w:eastAsia="zh-CN"/>
                <w14:textFill>
                  <w14:solidFill>
                    <w14:schemeClr w14:val="tx1"/>
                  </w14:solidFill>
                </w14:textFill>
              </w:rPr>
              <w:t>十四五</w:t>
            </w:r>
            <w:r>
              <w:rPr>
                <w:rFonts w:hint="eastAsia" w:ascii="Times New Roman" w:hAnsi="Times New Roman" w:eastAsia="黑体" w:cs="Times New Roman"/>
                <w:color w:val="000000" w:themeColor="text1"/>
                <w:spacing w:val="-10"/>
                <w:sz w:val="24"/>
                <w:szCs w:val="24"/>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10"/>
                <w:sz w:val="24"/>
                <w:szCs w:val="24"/>
                <w:highlight w:val="none"/>
                <w:lang w:val="en-US" w:eastAsia="zh-CN"/>
                <w14:textFill>
                  <w14:solidFill>
                    <w14:schemeClr w14:val="tx1"/>
                  </w14:solidFill>
                </w14:textFill>
              </w:rPr>
              <w:t>规划</w:t>
            </w:r>
            <w:r>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黑体" w:cs="Times New Roman"/>
                <w:color w:val="000000" w:themeColor="text1"/>
                <w:highlight w:val="none"/>
                <w14:textFill>
                  <w14:solidFill>
                    <w14:schemeClr w14:val="tx1"/>
                  </w14:solidFill>
                </w14:textFill>
              </w:rPr>
              <w:t>符合性分析</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3"/>
              <w:gridCol w:w="1852"/>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6"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与项目有关的条例、条文</w:t>
                  </w:r>
                </w:p>
              </w:tc>
              <w:tc>
                <w:tcPr>
                  <w:tcW w:w="1048"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本项目内容</w:t>
                  </w:r>
                </w:p>
              </w:tc>
              <w:tc>
                <w:tcPr>
                  <w:tcW w:w="564"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6"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优化产业结构。严格大气环境准入，以区域性大气污染物排放标准引导产业布局优化，严格控制新上“两高一低”项目，严把新上项目关口；加快产业转型升级，大力发展能耗低、排放少的战略性新兴产业。大力压减过剩产能，彻底整治“散乱污”企业，以钢铁、焦化等行业为重点，突出抓好承钢、建龙等企业工业污染清洁治理。继续实施超低排放改造，加强工业炉窑淘汰和污染物排放治理。积极推进生态产品价值转化，在全省率先开展林业碳汇试点，充分发挥风光水“绿电”富集、碳足迹小的优势，推动“风光储氢”一体化发展，打造“中国绿氢谷”，把风电光电、抽水蓄能电站集群等清洁能源作为碳达峰碳中和背景下率先突破的产业，让清洁能源产业在产业升级重构中产生出巨大的“乘数效应”。</w:t>
                  </w:r>
                </w:p>
              </w:tc>
              <w:tc>
                <w:tcPr>
                  <w:tcW w:w="1048"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本项目位于宽城经济开发区，为家具制造业，不属于限制和淘汰类</w:t>
                  </w:r>
                  <w:r>
                    <w:rPr>
                      <w:rFonts w:hint="default" w:ascii="Times New Roman" w:hAnsi="Times New Roman" w:eastAsia="宋体" w:cs="Times New Roman"/>
                      <w:color w:val="000000" w:themeColor="text1"/>
                      <w:sz w:val="21"/>
                      <w:szCs w:val="21"/>
                      <w:highlight w:val="none"/>
                      <w14:textFill>
                        <w14:solidFill>
                          <w14:schemeClr w14:val="tx1"/>
                        </w14:solidFill>
                      </w14:textFill>
                    </w:rPr>
                    <w:t>的建设项目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，不使用淘汰类的</w:t>
                  </w:r>
                  <w:r>
                    <w:rPr>
                      <w:rFonts w:hint="default" w:ascii="Times New Roman" w:hAnsi="Times New Roman" w:eastAsia="宋体" w:cs="Times New Roman"/>
                      <w:color w:val="000000" w:themeColor="text1"/>
                      <w:sz w:val="21"/>
                      <w:szCs w:val="21"/>
                      <w:highlight w:val="none"/>
                      <w14:textFill>
                        <w14:solidFill>
                          <w14:schemeClr w14:val="tx1"/>
                        </w14:solidFill>
                      </w14:textFill>
                    </w:rPr>
                    <w:t>工艺设备</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，不属于禁止准入类项目，属于允许类项目，符合开发区规划。</w:t>
                  </w:r>
                </w:p>
              </w:tc>
              <w:tc>
                <w:tcPr>
                  <w:tcW w:w="564"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6"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全面加强工业水污染防治。严格环境准入，严格控制新上高耗水项目。鼓励发展高新、绿色技术产业，强化工业企业废水深度治理，全面提升工业企业废水循环利用和清洁生产水平。强化经济技术开发区、高新技术产业开发区等工业集聚区水污染治理，加强工业园区污水集中处理设施及配套管网等基础设施工程建设，对重点企业加强网上监管，开展实时监控，对各类入河入湖排污口开展排查监测和重点治理，建立溯源追查机制，依法取缔污水直排。</w:t>
                  </w:r>
                </w:p>
              </w:tc>
              <w:tc>
                <w:tcPr>
                  <w:tcW w:w="1048"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本项目用水量少，生产过程中不产生废水，仅为生活污水，经化粪池处理后，定期抽运，用于农田施肥。</w:t>
                  </w:r>
                </w:p>
              </w:tc>
              <w:tc>
                <w:tcPr>
                  <w:tcW w:w="564"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6"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color w:val="000000" w:themeColor="text1"/>
                      <w:kern w:val="0"/>
                      <w:sz w:val="21"/>
                      <w:szCs w:val="21"/>
                      <w:highlight w:val="none"/>
                      <w14:textFill>
                        <w14:solidFill>
                          <w14:schemeClr w14:val="tx1"/>
                        </w14:solidFill>
                      </w14:textFill>
                    </w:rPr>
                    <w:t>强化工业企业土壤污染风险防控，新（改、扩）建项目涉及有毒有害物质可能造成土壤污染的，采取有效防范措施落实土壤和地下水污染防治技术要求。依据土壤污染状况详查、涉重金属全口径清单、排污许可管理、重点行业企业调查等，梳理与土壤污染相关的重点行业企业清单，重点对有色金属矿采选与冶炼、焦化、化工、制药等重点行业企业，结合实际采取差异化管理措施；加强土壤污染重点监管单位隐患排查和自行监测工作等，实施土壤污染源头防控。</w:t>
                  </w:r>
                </w:p>
              </w:tc>
              <w:tc>
                <w:tcPr>
                  <w:tcW w:w="1048"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本项目为家具制造业，厂房按要求实行分区防渗，确保不会造成土壤、地下水污染</w:t>
                  </w:r>
                </w:p>
              </w:tc>
              <w:tc>
                <w:tcPr>
                  <w:tcW w:w="564"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eastAsia"/>
                      <w:color w:val="000000" w:themeColor="text1"/>
                      <w:spacing w:val="-10"/>
                      <w:sz w:val="21"/>
                      <w:szCs w:val="21"/>
                      <w:highlight w:val="none"/>
                      <w:lang w:eastAsia="zh-CN"/>
                      <w14:textFill>
                        <w14:solidFill>
                          <w14:schemeClr w14:val="tx1"/>
                        </w14:solidFill>
                      </w14:textFill>
                    </w:rPr>
                    <w:t>符合</w:t>
                  </w:r>
                </w:p>
              </w:tc>
            </w:tr>
          </w:tbl>
          <w:p>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leftChars="0" w:right="0" w:rightChars="0" w:firstLine="480" w:firstLineChars="200"/>
              <w:jc w:val="left"/>
              <w:rPr>
                <w:rFonts w:hint="default"/>
                <w:color w:val="000000" w:themeColor="text1"/>
                <w:highlight w:val="none"/>
                <w14:textFill>
                  <w14:solidFill>
                    <w14:schemeClr w14:val="tx1"/>
                  </w14:solidFill>
                </w14:textFill>
              </w:rPr>
            </w:pPr>
            <w:r>
              <w:rPr>
                <w:rFonts w:hint="eastAsia" w:cstheme="minorBidi"/>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Theme="minorEastAsia" w:cstheme="minorBidi"/>
                <w:color w:val="000000" w:themeColor="text1"/>
                <w:kern w:val="2"/>
                <w:sz w:val="24"/>
                <w:szCs w:val="24"/>
                <w:highlight w:val="none"/>
                <w:lang w:val="en-US" w:eastAsia="zh-CN" w:bidi="ar-SA"/>
                <w14:textFill>
                  <w14:solidFill>
                    <w14:schemeClr w14:val="tx1"/>
                  </w14:solidFill>
                </w14:textFill>
              </w:rPr>
              <w:t>、</w:t>
            </w:r>
            <w:r>
              <w:rPr>
                <w:rFonts w:hint="default"/>
                <w:color w:val="000000" w:themeColor="text1"/>
                <w:highlight w:val="none"/>
                <w14:textFill>
                  <w14:solidFill>
                    <w14:schemeClr w14:val="tx1"/>
                  </w14:solidFill>
                </w14:textFill>
              </w:rPr>
              <w:t>大气污染防治行动计划符合性分析</w:t>
            </w:r>
          </w:p>
          <w:p>
            <w:pPr>
              <w:keepNext w:val="0"/>
              <w:keepLines w:val="0"/>
              <w:suppressLineNumbers w:val="0"/>
              <w:topLinePunct/>
              <w:adjustRightInd w:val="0"/>
              <w:spacing w:before="0" w:beforeAutospacing="0" w:after="0" w:afterAutospacing="0" w:line="360" w:lineRule="auto"/>
              <w:ind w:left="0" w:right="0"/>
              <w:jc w:val="center"/>
              <w:rPr>
                <w:rFonts w:hint="default" w:ascii="Times New Roman" w:eastAsia="黑体"/>
                <w:color w:val="000000" w:themeColor="text1"/>
                <w:highlight w:val="none"/>
                <w14:textFill>
                  <w14:solidFill>
                    <w14:schemeClr w14:val="tx1"/>
                  </w14:solidFill>
                </w14:textFill>
              </w:rPr>
            </w:pPr>
            <w:r>
              <w:rPr>
                <w:rFonts w:hint="default" w:ascii="Times New Roman" w:eastAsia="黑体"/>
                <w:color w:val="000000" w:themeColor="text1"/>
                <w:highlight w:val="none"/>
                <w14:textFill>
                  <w14:solidFill>
                    <w14:schemeClr w14:val="tx1"/>
                  </w14:solidFill>
                </w14:textFill>
              </w:rPr>
              <w:t>表</w:t>
            </w:r>
            <w:r>
              <w:rPr>
                <w:rFonts w:hint="eastAsia" w:ascii="Times New Roman" w:eastAsia="黑体"/>
                <w:color w:val="000000" w:themeColor="text1"/>
                <w:highlight w:val="none"/>
                <w14:textFill>
                  <w14:solidFill>
                    <w14:schemeClr w14:val="tx1"/>
                  </w14:solidFill>
                </w14:textFill>
              </w:rPr>
              <w:t>1</w:t>
            </w:r>
            <w:r>
              <w:rPr>
                <w:rFonts w:hint="default" w:ascii="Times New Roman" w:eastAsia="黑体"/>
                <w:color w:val="000000" w:themeColor="text1"/>
                <w:highlight w:val="none"/>
                <w14:textFill>
                  <w14:solidFill>
                    <w14:schemeClr w14:val="tx1"/>
                  </w14:solidFill>
                </w14:textFill>
              </w:rPr>
              <w:t>-</w:t>
            </w:r>
            <w:r>
              <w:rPr>
                <w:rFonts w:hint="eastAsia" w:eastAsia="黑体"/>
                <w:color w:val="000000" w:themeColor="text1"/>
                <w:highlight w:val="none"/>
                <w:lang w:val="en-US" w:eastAsia="zh-CN"/>
                <w14:textFill>
                  <w14:solidFill>
                    <w14:schemeClr w14:val="tx1"/>
                  </w14:solidFill>
                </w14:textFill>
              </w:rPr>
              <w:t>9</w:t>
            </w:r>
            <w:r>
              <w:rPr>
                <w:rFonts w:hint="default" w:ascii="Times New Roman"/>
                <w:color w:val="000000" w:themeColor="text1"/>
                <w:highlight w:val="none"/>
                <w14:textFill>
                  <w14:solidFill>
                    <w14:schemeClr w14:val="tx1"/>
                  </w14:solidFill>
                </w14:textFill>
              </w:rPr>
              <w:t xml:space="preserve">  </w:t>
            </w:r>
            <w:r>
              <w:rPr>
                <w:rFonts w:hint="default" w:ascii="Times New Roman" w:eastAsia="黑体"/>
                <w:color w:val="000000" w:themeColor="text1"/>
                <w:highlight w:val="none"/>
                <w14:textFill>
                  <w14:solidFill>
                    <w14:schemeClr w14:val="tx1"/>
                  </w14:solidFill>
                </w14:textFill>
              </w:rPr>
              <w:t>本项目与大气污染防治行动计划符合性分析</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26"/>
              <w:gridCol w:w="4319"/>
              <w:gridCol w:w="2669"/>
              <w:gridCol w:w="7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12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文件名称</w:t>
                  </w:r>
                </w:p>
              </w:tc>
              <w:tc>
                <w:tcPr>
                  <w:tcW w:w="431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与项目有关的条例、条文</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本项目内容</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对比结果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《国务院关于印发大气污染防治行动计划的通知》（国发[2013]37号）</w:t>
                  </w:r>
                </w:p>
              </w:tc>
              <w:tc>
                <w:tcPr>
                  <w:tcW w:w="431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加强工业企业大气污染综合治理</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本项目废气采取合理有效的废气处理措施，达标排放。</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全面整治燃煤小锅炉。在供热供气管网不能覆盖的地区，改用电、新能源或洁净煤推广应用高效节能环保型锅炉</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w:t>
                  </w:r>
                  <w:r>
                    <w:rPr>
                      <w:rFonts w:hint="default" w:ascii="Times New Roman" w:hAnsi="Times New Roman" w:eastAsia="宋体" w:cs="Times New Roman"/>
                      <w:bCs/>
                      <w:color w:val="000000" w:themeColor="text1"/>
                      <w:spacing w:val="-11"/>
                      <w:sz w:val="21"/>
                      <w:szCs w:val="21"/>
                      <w:highlight w:val="none"/>
                      <w14:textFill>
                        <w14:solidFill>
                          <w14:schemeClr w14:val="tx1"/>
                        </w14:solidFill>
                      </w14:textFill>
                    </w:rPr>
                    <w:t>生产采用电供热，办公室冬季取暖由空调提供，不设燃煤锅炉。</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加快淘汰落后产能，结合产业发展实际和环境质量状况，进一步提高环保、能耗、安全、质量等标准，分区域明确落后产能淘汰任务，倒逼产业转型升级</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1"/>
                      <w:sz w:val="21"/>
                      <w:szCs w:val="21"/>
                      <w:highlight w:val="none"/>
                      <w14:textFill>
                        <w14:solidFill>
                          <w14:schemeClr w14:val="tx1"/>
                        </w14:solidFill>
                      </w14:textFill>
                    </w:rPr>
                    <w:t>本项目不属于《产业结构调整指导目录（2019年本）》中规定的限制类、淘汰类项目，属于允许类项目。</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全面推行清洁生产</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1"/>
                      <w:sz w:val="21"/>
                      <w:szCs w:val="21"/>
                      <w:highlight w:val="none"/>
                      <w14:textFill>
                        <w14:solidFill>
                          <w14:schemeClr w14:val="tx1"/>
                        </w14:solidFill>
                      </w14:textFill>
                    </w:rPr>
                    <w:t>本项目建设选用节能，节电环保设备，减少能源的浪费，符合清洁生产要求。</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《河北</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省大气污染防治行动计划实施方案》冀发〔2013〕23号</w:t>
                  </w: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w:t>
                  </w:r>
                  <w:r>
                    <w:rPr>
                      <w:rFonts w:hint="default" w:ascii="Times New Roman" w:hAnsi="Times New Roman" w:eastAsia="宋体" w:cs="Times New Roman"/>
                      <w:bCs/>
                      <w:color w:val="000000" w:themeColor="text1"/>
                      <w:spacing w:val="-11"/>
                      <w:sz w:val="21"/>
                      <w:szCs w:val="21"/>
                      <w:highlight w:val="none"/>
                      <w14:textFill>
                        <w14:solidFill>
                          <w14:schemeClr w14:val="tx1"/>
                        </w14:solidFill>
                      </w14:textFill>
                    </w:rPr>
                    <w:t>生产采用电供热，办公室冬季取暖由空调提供，不设燃煤锅炉。</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根据国家产业政策，严格控制新建、改建扩建钢铁、水泥、平板玻璃、化学合成制药、有色金属冶炼、化工等工业项目</w:t>
                  </w:r>
                </w:p>
              </w:tc>
              <w:tc>
                <w:tcPr>
                  <w:tcW w:w="266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本项目不属于钢铁、水泥、平板玻璃、化学合成制药、有色金属冶炼、化工等工业项目。</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产生含挥发性有机物废气的生产和服务活动，应当在密闭空间或者设备中进行，并按照规定安装、使用污染防治设施；无法密闭的，应当采取措施减少废气排放</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本项目生产工序均位于密闭车间内，严格按照规定安装、使用污染防治设施。</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《重点行业挥发性有机物综合治理方案》（环大气〔2019〕53号）</w:t>
                  </w: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本项目所用原料不涉及油墨、清洗剂</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，涂料为粉末涂料，胶粘剂为热熔封边胶。</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工业涂装、包装印刷等行业要加大源头替代力度</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本项目为</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家具制造业</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，不属于工业涂装、包装印刷行业。</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化工行业要推广使用低（无）VOCs含量、低反应活性的原辅材料，加快对芳香烃、含卤素有机化合物的绿色替代；</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本项目为</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家具制造业</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，不属于化工行业。</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企业应大力推广使用低VOCs含量木器涂料、车辆涂料、机械设备涂料、集装箱涂料以及建筑物和构筑物防护涂料等，在技术成熟的行业，推广使用低VOCs含量油墨和胶粘剂，重点区域到2020年年底前基本完成；</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lang w:eastAsia="zh-CN"/>
                      <w14:textFill>
                        <w14:solidFill>
                          <w14:schemeClr w14:val="tx1"/>
                        </w14:solidFill>
                      </w14:textFill>
                    </w:rPr>
                    <w:t>本项目使用粉末涂料，使用热熔胶。</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本项目原辅物料均位于密闭车间储存</w:t>
                  </w: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推进使用先进生产工艺。通过采用全密闭、连续化、自动化等生产技术，以及高效工艺与设备等，减少工艺过程无组织排放。挥发性有机液体装载优先采用底部装载方式。</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本项目采用自动化生产设备。</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本项目采用集气罩</w:t>
                  </w: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、集气管路、生产设备密闭收集</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的方式对废气进行收集，</w:t>
                  </w:r>
                  <w:r>
                    <w:rPr>
                      <w:rFonts w:hint="default" w:ascii="Times New Roman" w:hAnsi="Times New Roman" w:eastAsia="宋体" w:cs="Times New Roman"/>
                      <w:color w:val="000000" w:themeColor="text1"/>
                      <w:sz w:val="21"/>
                      <w:szCs w:val="21"/>
                      <w:highlight w:val="none"/>
                      <w14:textFill>
                        <w14:solidFill>
                          <w14:schemeClr w14:val="tx1"/>
                        </w14:solidFill>
                      </w14:textFill>
                    </w:rPr>
                    <w:t>距集气罩开口面最远处的VOCs无组织排放位置，</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风速不低于0.3m/s。</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加强设备与管线组件泄漏控制。企业中载有气态、液态VOCs物料的设备与管线组件，密封点数量大于等于2000个的，应按要求开展LDAR工作。</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不涉及。</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企业新建治污设施或对现有治污设施实施改造，应依据排放废气的浓度、组分、风量，温度、湿度、压力，以及生产工况等，合理选择治理技术。鼓励企业采用多种技术的组合工艺，提高VOCs治理效率。</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本项目VOCs废气采用</w:t>
                  </w:r>
                  <w:r>
                    <w:rPr>
                      <w:rFonts w:hint="eastAsia" w:eastAsia="宋体" w:cs="Times New Roman"/>
                      <w:color w:val="000000" w:themeColor="text1"/>
                      <w:spacing w:val="-10"/>
                      <w:sz w:val="21"/>
                      <w:szCs w:val="21"/>
                      <w:highlight w:val="none"/>
                      <w:lang w:eastAsia="zh-CN"/>
                      <w14:textFill>
                        <w14:solidFill>
                          <w14:schemeClr w14:val="tx1"/>
                        </w14:solidFill>
                      </w14:textFill>
                    </w:rPr>
                    <w:t>两级</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活性炭吸附对废气进行处理。</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规范工程设计。采用吸附处理工艺的，应满足《吸附法工业有机废气治理工程技术规范》要求。</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本项目活性炭吸附满足</w:t>
                  </w:r>
                  <w:r>
                    <w:rPr>
                      <w:rFonts w:hint="default" w:ascii="Times New Roman" w:hAnsi="Times New Roman" w:eastAsia="宋体" w:cs="Times New Roman"/>
                      <w:color w:val="000000" w:themeColor="text1"/>
                      <w:sz w:val="21"/>
                      <w:szCs w:val="21"/>
                      <w:highlight w:val="none"/>
                      <w14:textFill>
                        <w14:solidFill>
                          <w14:schemeClr w14:val="tx1"/>
                        </w14:solidFill>
                      </w14:textFill>
                    </w:rPr>
                    <w:t>《吸附法工业有机废气治理工程技术规范》要求。</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实行重点排放源排放浓度与去除效率双重控制。采用的原辅材料符合国家有关低VOCs含量产品规定的除外，有行业排放标准的按其相关规定执行</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原辅料使用低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VOCs产品，严格执行</w:t>
                  </w:r>
                  <w:r>
                    <w:rPr>
                      <w:rFonts w:hint="default" w:ascii="Times New Roman" w:hAnsi="Times New Roman" w:eastAsia="宋体" w:cs="Times New Roman"/>
                      <w:color w:val="000000" w:themeColor="text1"/>
                      <w:sz w:val="21"/>
                      <w:szCs w:val="21"/>
                      <w:highlight w:val="none"/>
                      <w14:textFill>
                        <w14:solidFill>
                          <w14:schemeClr w14:val="tx1"/>
                        </w14:solidFill>
                      </w14:textFill>
                    </w:rPr>
                    <w:t>相关行业</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排放</w:t>
                  </w:r>
                  <w:r>
                    <w:rPr>
                      <w:rFonts w:hint="default" w:ascii="Times New Roman" w:hAnsi="Times New Roman" w:eastAsia="宋体" w:cs="Times New Roman"/>
                      <w:color w:val="000000" w:themeColor="text1"/>
                      <w:sz w:val="21"/>
                      <w:szCs w:val="21"/>
                      <w:highlight w:val="none"/>
                      <w14:textFill>
                        <w14:solidFill>
                          <w14:schemeClr w14:val="tx1"/>
                        </w14:solidFill>
                      </w14:textFill>
                    </w:rPr>
                    <w:t>标准。</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各地应围绕当地环境空气质量改善需求，根据O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t>来源解析，结合行业污染排放特征和VOCs物质光化学反应活性等，确定本地区VOCs控制的重点行业和重点污染物，兼顾恶臭污染物和有毒有害物质控制等，提出有效管控方案，提高VOCs治理的精准性、针对性和有效性。</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本项目采用</w:t>
                  </w:r>
                  <w:r>
                    <w:rPr>
                      <w:rFonts w:hint="eastAsia" w:eastAsia="宋体" w:cs="Times New Roman"/>
                      <w:color w:val="000000" w:themeColor="text1"/>
                      <w:spacing w:val="-10"/>
                      <w:sz w:val="21"/>
                      <w:szCs w:val="21"/>
                      <w:highlight w:val="none"/>
                      <w:lang w:eastAsia="zh-CN"/>
                      <w14:textFill>
                        <w14:solidFill>
                          <w14:schemeClr w14:val="tx1"/>
                        </w14:solidFill>
                      </w14:textFill>
                    </w:rPr>
                    <w:t>两级</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活性炭吸附对废气进行处理，能够稳定达标排放。</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推行“一厂一策”制度。重点区域应组织本地VOCs排放量较大的企业开展“一厂一策”方案编制工作，2020年6月底前基本完成；适时开展治理效果后评估工作，各地出台的补贴政策要与减排效果紧密挂钩。鼓励地方对重点行业推行强制性清洁生产审核；</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本项目采用国内先进生产设备，成熟的生产工艺，不使用国家淘汰的设备；</w:t>
                  </w:r>
                  <w:r>
                    <w:rPr>
                      <w:rFonts w:hint="default" w:ascii="Times New Roman" w:hAnsi="Times New Roman" w:eastAsia="宋体" w:cs="Times New Roman"/>
                      <w:color w:val="000000" w:themeColor="text1"/>
                      <w:spacing w:val="-11"/>
                      <w:sz w:val="21"/>
                      <w:szCs w:val="21"/>
                      <w:highlight w:val="none"/>
                      <w:lang w:val="zh-CN"/>
                      <w14:textFill>
                        <w14:solidFill>
                          <w14:schemeClr w14:val="tx1"/>
                        </w14:solidFill>
                      </w14:textFill>
                    </w:rPr>
                    <w:t>对资源进行最大限度的回收加以综合利用。</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31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加强企业运行管理。企业应系统梳理VOCs排放主要环节和工序，包括启停机、检维修作业等，制定具体操作规程，落实到具体责任人。健全内部考核制度。加强人员能力培训和技术交流。建立管理台账，记录企业生产和治污设施运行的关键参数，相关台账记录至少保存三年；</w:t>
                  </w:r>
                </w:p>
              </w:tc>
              <w:tc>
                <w:tcPr>
                  <w:tcW w:w="26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企业对VOCs排放主要环节和工序进行了系统梳理，制定了操作规程、落实到具体责任人。设有内部考核制度，对人员能力培训和技术交流。</w:t>
                  </w:r>
                  <w:r>
                    <w:rPr>
                      <w:rFonts w:hint="default" w:ascii="Times New Roman" w:hAnsi="Times New Roman" w:eastAsia="宋体" w:cs="Times New Roman"/>
                      <w:color w:val="000000" w:themeColor="text1"/>
                      <w:spacing w:val="-11"/>
                      <w:sz w:val="21"/>
                      <w:szCs w:val="21"/>
                      <w:highlight w:val="none"/>
                      <w:lang w:eastAsia="zh-CN"/>
                      <w14:textFill>
                        <w14:solidFill>
                          <w14:schemeClr w14:val="tx1"/>
                        </w14:solidFill>
                      </w14:textFill>
                    </w:rPr>
                    <w:t>要求</w:t>
                  </w: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相关台账记录保存期限为五年。</w:t>
                  </w:r>
                </w:p>
              </w:tc>
              <w:tc>
                <w:tcPr>
                  <w:tcW w:w="71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bl>
          <w:p>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Times New Roman"/>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default" w:ascii="Times New Roman"/>
                <w:color w:val="000000" w:themeColor="text1"/>
                <w:highlight w:val="none"/>
                <w14:textFill>
                  <w14:solidFill>
                    <w14:schemeClr w14:val="tx1"/>
                  </w14:solidFill>
                </w14:textFill>
              </w:rPr>
              <w:t>水污染防治行动计划符合性分析</w:t>
            </w:r>
          </w:p>
          <w:p>
            <w:pPr>
              <w:keepNext w:val="0"/>
              <w:keepLines w:val="0"/>
              <w:suppressLineNumbers w:val="0"/>
              <w:topLinePunct/>
              <w:adjustRightInd w:val="0"/>
              <w:spacing w:before="0" w:beforeAutospacing="0" w:after="0" w:afterAutospacing="0" w:line="360" w:lineRule="auto"/>
              <w:ind w:left="0" w:right="0"/>
              <w:jc w:val="center"/>
              <w:rPr>
                <w:rFonts w:hint="default" w:ascii="Times New Roman" w:eastAsia="黑体"/>
                <w:color w:val="000000" w:themeColor="text1"/>
                <w:highlight w:val="none"/>
                <w14:textFill>
                  <w14:solidFill>
                    <w14:schemeClr w14:val="tx1"/>
                  </w14:solidFill>
                </w14:textFill>
              </w:rPr>
            </w:pPr>
            <w:r>
              <w:rPr>
                <w:rFonts w:hint="default" w:ascii="Times New Roman" w:eastAsia="黑体"/>
                <w:color w:val="000000" w:themeColor="text1"/>
                <w:highlight w:val="none"/>
                <w14:textFill>
                  <w14:solidFill>
                    <w14:schemeClr w14:val="tx1"/>
                  </w14:solidFill>
                </w14:textFill>
              </w:rPr>
              <w:t>表</w:t>
            </w:r>
            <w:r>
              <w:rPr>
                <w:rFonts w:hint="eastAsia" w:ascii="Times New Roman" w:eastAsia="黑体"/>
                <w:color w:val="000000" w:themeColor="text1"/>
                <w:highlight w:val="none"/>
                <w14:textFill>
                  <w14:solidFill>
                    <w14:schemeClr w14:val="tx1"/>
                  </w14:solidFill>
                </w14:textFill>
              </w:rPr>
              <w:t>1</w:t>
            </w:r>
            <w:r>
              <w:rPr>
                <w:rFonts w:hint="default" w:ascii="Times New Roman" w:eastAsia="黑体"/>
                <w:color w:val="000000" w:themeColor="text1"/>
                <w:highlight w:val="none"/>
                <w14:textFill>
                  <w14:solidFill>
                    <w14:schemeClr w14:val="tx1"/>
                  </w14:solidFill>
                </w14:textFill>
              </w:rPr>
              <w:t>-</w:t>
            </w:r>
            <w:r>
              <w:rPr>
                <w:rFonts w:hint="eastAsia" w:eastAsia="黑体"/>
                <w:color w:val="000000" w:themeColor="text1"/>
                <w:highlight w:val="none"/>
                <w:lang w:val="en-US" w:eastAsia="zh-CN"/>
                <w14:textFill>
                  <w14:solidFill>
                    <w14:schemeClr w14:val="tx1"/>
                  </w14:solidFill>
                </w14:textFill>
              </w:rPr>
              <w:t>10</w:t>
            </w:r>
            <w:r>
              <w:rPr>
                <w:rFonts w:hint="default" w:ascii="Times New Roman"/>
                <w:color w:val="000000" w:themeColor="text1"/>
                <w:highlight w:val="none"/>
                <w14:textFill>
                  <w14:solidFill>
                    <w14:schemeClr w14:val="tx1"/>
                  </w14:solidFill>
                </w14:textFill>
              </w:rPr>
              <w:t xml:space="preserve">  </w:t>
            </w:r>
            <w:r>
              <w:rPr>
                <w:rFonts w:hint="default" w:ascii="Times New Roman" w:eastAsia="黑体"/>
                <w:color w:val="000000" w:themeColor="text1"/>
                <w:highlight w:val="none"/>
                <w14:textFill>
                  <w14:solidFill>
                    <w14:schemeClr w14:val="tx1"/>
                  </w14:solidFill>
                </w14:textFill>
              </w:rPr>
              <w:t>本项目与水污染防治行动计划符合性分析</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24"/>
              <w:gridCol w:w="1"/>
              <w:gridCol w:w="1"/>
              <w:gridCol w:w="4503"/>
              <w:gridCol w:w="2423"/>
              <w:gridCol w:w="1"/>
              <w:gridCol w:w="7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文件名称</w:t>
                  </w:r>
                </w:p>
              </w:tc>
              <w:tc>
                <w:tcPr>
                  <w:tcW w:w="2551" w:type="pct"/>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与项目有关的条例、条文</w:t>
                  </w:r>
                </w:p>
              </w:tc>
              <w:tc>
                <w:tcPr>
                  <w:tcW w:w="1372"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本项目内容</w:t>
                  </w:r>
                </w:p>
              </w:tc>
              <w:tc>
                <w:tcPr>
                  <w:tcW w:w="438"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对比结果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《国务院关于印发水污染防治行动计划的通知》（国发[2015]17号）</w:t>
                  </w:r>
                </w:p>
              </w:tc>
              <w:tc>
                <w:tcPr>
                  <w:tcW w:w="2551" w:type="pct"/>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全部取缔不符合产业政策的小型造纸、制革、印染、染料、炼焦、炼硫、炼砷、炼油、电镀、农药等严重污染水环境的生产项目</w:t>
                  </w:r>
                </w:p>
              </w:tc>
              <w:tc>
                <w:tcPr>
                  <w:tcW w:w="1372"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本项目属于</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家具制造</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业，不属于取缔类项目。</w:t>
                  </w:r>
                </w:p>
              </w:tc>
              <w:tc>
                <w:tcPr>
                  <w:tcW w:w="438"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1" w:type="pct"/>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专项整治十大重点行业。制定造纸、焦化、氮肥、有色金属、印染、农副食品加工、原料药制造、制革、农药、电镀等行业专项治理方案、实施清洁化改造</w:t>
                  </w:r>
                </w:p>
              </w:tc>
              <w:tc>
                <w:tcPr>
                  <w:tcW w:w="1372"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本项目属于</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家具制造</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业，不属于整治行业。</w:t>
                  </w:r>
                </w:p>
              </w:tc>
              <w:tc>
                <w:tcPr>
                  <w:tcW w:w="438"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1" w:type="pct"/>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强化经济技术开发区、高新技术产业开发区、出口加工区等工业集聚区污染治理。集聚区内工业废水必须经预处理达到集中处理要求，方可进入污水集中处理设施。</w:t>
                  </w:r>
                </w:p>
              </w:tc>
              <w:tc>
                <w:tcPr>
                  <w:tcW w:w="1372"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本项目生活污水</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排入</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化粪池后</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定期抽运</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438"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1" w:type="pct"/>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调整产业结构，依法淘汰落后产能，自2015年起，各地要依据部分工业行业淘汰落后生产工艺装备和产品指导目录、产业结构调整指导目录及相关行业污染物排放标准，结合水质改善要求及产业发展情况，制定并实施分年度的落后产能淘汰方案。</w:t>
                  </w:r>
                </w:p>
              </w:tc>
              <w:tc>
                <w:tcPr>
                  <w:tcW w:w="1372"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1"/>
                      <w:sz w:val="21"/>
                      <w:szCs w:val="21"/>
                      <w:highlight w:val="none"/>
                      <w14:textFill>
                        <w14:solidFill>
                          <w14:schemeClr w14:val="tx1"/>
                        </w14:solidFill>
                      </w14:textFill>
                    </w:rPr>
                    <w:t>本项目不属于《产业结构调整指导目录（2019年本）》中规定的限制类、淘汰类项目，属于允许类项目。</w:t>
                  </w:r>
                </w:p>
              </w:tc>
              <w:tc>
                <w:tcPr>
                  <w:tcW w:w="438"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6"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1" w:type="pct"/>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优化空间布局，合理确定发展布局、结构和规模。充分考虑水资源、水环境承载能力，以水定城、以水定地、以水定人、以水定产。重大项目原则上布局在优化开发区和重点开发区，并符合城乡规划和土地利用总体规划。</w:t>
                  </w:r>
                </w:p>
              </w:tc>
              <w:tc>
                <w:tcPr>
                  <w:tcW w:w="1372"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用水由园区管网统一供应</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，项目位于河北</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宽城</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经济开发区</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龙须门片区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内，属于重点开发区。</w:t>
                  </w:r>
                </w:p>
              </w:tc>
              <w:tc>
                <w:tcPr>
                  <w:tcW w:w="438"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7" w:type="pct"/>
                  <w:gridSpan w:val="3"/>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0"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严控地下水超采，在地面沉降、地裂缝、岩溶、塌陷等地质灾害易发区开发利用地下水，应进行地质灾害危险性评估。严格控制开采深层承压水，地热水、矿泉水开发应严格实行取水许可和采矿许可</w:t>
                  </w:r>
                </w:p>
              </w:tc>
              <w:tc>
                <w:tcPr>
                  <w:tcW w:w="1373"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本项目用水由园区管网统一供应，不开采地下水。</w:t>
                  </w:r>
                </w:p>
              </w:tc>
              <w:tc>
                <w:tcPr>
                  <w:tcW w:w="43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7" w:type="pct"/>
                  <w:gridSpan w:val="3"/>
                  <w:vMerge w:val="restart"/>
                  <w:noWrap w:val="0"/>
                  <w:vAlign w:val="center"/>
                </w:tcPr>
                <w:p>
                  <w:pPr>
                    <w:pStyle w:val="1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t>《河北省水污染防治工作方案》冀发〔2015〕28号</w:t>
                  </w:r>
                </w:p>
              </w:tc>
              <w:tc>
                <w:tcPr>
                  <w:tcW w:w="2550"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优化产业布局。全省七大水系干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w:t>
                  </w:r>
                </w:p>
              </w:tc>
              <w:tc>
                <w:tcPr>
                  <w:tcW w:w="1373"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本项目属于</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家具制造</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业，不属于化学原料和化学制品制造等行业，项目位于河北</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宽城</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经济开发区</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龙须门片区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内</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，符合开发区规划</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43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7" w:type="pct"/>
                  <w:gridSpan w:val="3"/>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0"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w:t>
                  </w:r>
                </w:p>
              </w:tc>
              <w:tc>
                <w:tcPr>
                  <w:tcW w:w="1373"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本项目属于</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家具制造</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业，不属于“十大”重点行业。</w:t>
                  </w:r>
                </w:p>
              </w:tc>
              <w:tc>
                <w:tcPr>
                  <w:tcW w:w="43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7" w:type="pct"/>
                  <w:gridSpan w:val="3"/>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0"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全面取缔“十小”落后企业。2016年6月底前，完成全省装备水平低、环保设施差的小型企业排查，制定和实施不符合国家产业政策的小型造纸、制革、印染、染料、炼焦、炼砷、炼硫炼油、电镀、农药等严重污染水环境的生产项目取缔实施方案，于2016年底前全部取缔。</w:t>
                  </w:r>
                </w:p>
              </w:tc>
              <w:tc>
                <w:tcPr>
                  <w:tcW w:w="1373"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本项目属于</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家具制造</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业，不属于取缔类项目。</w:t>
                  </w:r>
                </w:p>
              </w:tc>
              <w:tc>
                <w:tcPr>
                  <w:tcW w:w="43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7" w:type="pct"/>
                  <w:gridSpan w:val="3"/>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0"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集中治理工业园区(工业集聚区)水污染。工业集聚区内工业废水须经预处理达到集中处理标准要求，方可排入污水集中处理设施。</w:t>
                  </w:r>
                </w:p>
              </w:tc>
              <w:tc>
                <w:tcPr>
                  <w:tcW w:w="1373"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本项目废水为生活污水，</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排入化粪池后定期抽运</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43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7" w:type="pct"/>
                  <w:gridSpan w:val="3"/>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0"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严格建设项目取水许可审批，对取用水总量接近控制指标的地区，限制审批新增取水，逐步实现区域水资源供需平衡。</w:t>
                  </w:r>
                </w:p>
              </w:tc>
              <w:tc>
                <w:tcPr>
                  <w:tcW w:w="1373"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本项目用水由园区管网统一供应，不开采地下水。</w:t>
                  </w:r>
                </w:p>
              </w:tc>
              <w:tc>
                <w:tcPr>
                  <w:tcW w:w="43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7" w:type="pct"/>
                  <w:gridSpan w:val="3"/>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0"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严格控制地下水超采。在唐山、廊坊、保定、沧州、衡水、邢台、邯郸等地面沉降、地裂缝、岩溶塌陷等地质灾害易发区开发利用地下水，应进行地质灾害危险性评估。严格控制深层承压水开采，开采矿泉水、地热水和建设地下水源热泵系统应进行建设项目水资源论证，严格实行取水许可和地下水采矿许可。未经批准和公共供水管网覆盖范围内的自备水井，于2016年底前一律予以关闭。</w:t>
                  </w:r>
                </w:p>
              </w:tc>
              <w:tc>
                <w:tcPr>
                  <w:tcW w:w="1373"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本项目用水由园区管网统一供应，不开采地下水。</w:t>
                  </w:r>
                </w:p>
              </w:tc>
              <w:tc>
                <w:tcPr>
                  <w:tcW w:w="43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7" w:type="pct"/>
                  <w:gridSpan w:val="2"/>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1" w:type="pct"/>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全面取缔“十小”落后企业。2016年6月底前，完成全省装备水平低、环保设施差的小型企业排查，制定和实施不符合国家产业政策的小型造纸、制革、印染、染料、炼焦、炼砷、炼硫炼油、电镀、农药等严重污染水环境的生产项目取缔实施方案，于2016年底前全部取缔。</w:t>
                  </w:r>
                </w:p>
              </w:tc>
              <w:tc>
                <w:tcPr>
                  <w:tcW w:w="1373"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本项目属于</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家具制造</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业，不属于取缔类项目。</w:t>
                  </w:r>
                </w:p>
              </w:tc>
              <w:tc>
                <w:tcPr>
                  <w:tcW w:w="43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7" w:type="pct"/>
                  <w:gridSpan w:val="2"/>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1" w:type="pct"/>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集中治理工业园区(工业集聚区)水污染。工业集聚区内工业废水须经预处理达到集中处理标准要求，方可排入污水集中处理设施。</w:t>
                  </w:r>
                </w:p>
              </w:tc>
              <w:tc>
                <w:tcPr>
                  <w:tcW w:w="1373"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本项目废水为生活污水，</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排入化粪池后定期抽运</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43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7" w:type="pct"/>
                  <w:gridSpan w:val="2"/>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1" w:type="pct"/>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严格建设项目取水许可审批，对取用水总量接近控制指标的地区，限制审批新增取水，逐步实现区域水资源供需平衡。</w:t>
                  </w:r>
                </w:p>
              </w:tc>
              <w:tc>
                <w:tcPr>
                  <w:tcW w:w="1373"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本项目用水由园区管网统一供应，不开采地下水。</w:t>
                  </w:r>
                </w:p>
              </w:tc>
              <w:tc>
                <w:tcPr>
                  <w:tcW w:w="43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7" w:type="pct"/>
                  <w:gridSpan w:val="2"/>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551" w:type="pct"/>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严格控制地下水超采。在唐山、廊坊、保定、沧州、衡水、邢台、邯郸等地面沉降、地裂缝、岩溶塌陷等地质灾害易发区开发利用地下水，应进行地质灾害危险性评估。严格控制深层承压水开采，开采矿泉水、地热水和建设地下水源热泵系统应进行建设项目水资源论证，严格实行取水许可和地下水采矿许可。未经批准和公共供水管网覆盖范围内的自备水井，于2016 年底前一律予以关闭。</w:t>
                  </w:r>
                </w:p>
              </w:tc>
              <w:tc>
                <w:tcPr>
                  <w:tcW w:w="1373"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本项目用水由园区管网统一供应，不开采地下水。</w:t>
                  </w:r>
                </w:p>
              </w:tc>
              <w:tc>
                <w:tcPr>
                  <w:tcW w:w="43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bl>
          <w:p>
            <w:pPr>
              <w:keepNext w:val="0"/>
              <w:keepLines w:val="0"/>
              <w:suppressLineNumbers w:val="0"/>
              <w:autoSpaceDE w:val="0"/>
              <w:autoSpaceDN w:val="0"/>
              <w:adjustRightInd w:val="0"/>
              <w:snapToGrid w:val="0"/>
              <w:spacing w:before="0" w:beforeAutospacing="0" w:after="0" w:afterAutospacing="0" w:line="240" w:lineRule="auto"/>
              <w:ind w:left="0" w:right="0" w:firstLine="480" w:firstLineChars="200"/>
              <w:rPr>
                <w:rFonts w:hint="default" w:ascii="Times New Roman"/>
                <w:color w:val="000000" w:themeColor="text1"/>
                <w:highlight w:val="none"/>
                <w14:textFill>
                  <w14:solidFill>
                    <w14:schemeClr w14:val="tx1"/>
                  </w14:solidFill>
                </w14:textFill>
              </w:rPr>
            </w:pPr>
            <w:r>
              <w:rPr>
                <w:rFonts w:hint="default" w:ascii="Times New Roman"/>
                <w:color w:val="000000" w:themeColor="text1"/>
                <w:highlight w:val="none"/>
                <w14:textFill>
                  <w14:solidFill>
                    <w14:schemeClr w14:val="tx1"/>
                  </w14:solidFill>
                </w14:textFill>
              </w:rPr>
              <w:t>3、土壤污染防治行动计划和净土计划符合性分析</w:t>
            </w:r>
          </w:p>
          <w:p>
            <w:pPr>
              <w:keepNext w:val="0"/>
              <w:keepLines w:val="0"/>
              <w:suppressLineNumbers w:val="0"/>
              <w:topLinePunct/>
              <w:adjustRightInd w:val="0"/>
              <w:spacing w:before="0" w:beforeAutospacing="0" w:after="0" w:afterAutospacing="0" w:line="240" w:lineRule="auto"/>
              <w:ind w:left="0" w:right="0"/>
              <w:jc w:val="center"/>
              <w:rPr>
                <w:rFonts w:hint="default" w:ascii="Times New Roman" w:eastAsia="黑体"/>
                <w:color w:val="000000" w:themeColor="text1"/>
                <w:highlight w:val="none"/>
                <w14:textFill>
                  <w14:solidFill>
                    <w14:schemeClr w14:val="tx1"/>
                  </w14:solidFill>
                </w14:textFill>
              </w:rPr>
            </w:pPr>
            <w:r>
              <w:rPr>
                <w:rFonts w:hint="default" w:ascii="Times New Roman" w:eastAsia="黑体"/>
                <w:color w:val="000000" w:themeColor="text1"/>
                <w:highlight w:val="none"/>
                <w14:textFill>
                  <w14:solidFill>
                    <w14:schemeClr w14:val="tx1"/>
                  </w14:solidFill>
                </w14:textFill>
              </w:rPr>
              <w:t>表</w:t>
            </w:r>
            <w:r>
              <w:rPr>
                <w:rFonts w:hint="eastAsia" w:ascii="Times New Roman" w:eastAsia="黑体"/>
                <w:color w:val="000000" w:themeColor="text1"/>
                <w:highlight w:val="none"/>
                <w14:textFill>
                  <w14:solidFill>
                    <w14:schemeClr w14:val="tx1"/>
                  </w14:solidFill>
                </w14:textFill>
              </w:rPr>
              <w:t>1</w:t>
            </w:r>
            <w:r>
              <w:rPr>
                <w:rFonts w:hint="default" w:ascii="Times New Roman" w:eastAsia="黑体"/>
                <w:color w:val="000000" w:themeColor="text1"/>
                <w:highlight w:val="none"/>
                <w14:textFill>
                  <w14:solidFill>
                    <w14:schemeClr w14:val="tx1"/>
                  </w14:solidFill>
                </w14:textFill>
              </w:rPr>
              <w:t>-</w:t>
            </w:r>
            <w:r>
              <w:rPr>
                <w:rFonts w:hint="eastAsia" w:eastAsia="黑体"/>
                <w:color w:val="000000" w:themeColor="text1"/>
                <w:highlight w:val="none"/>
                <w:lang w:val="en-US" w:eastAsia="zh-CN"/>
                <w14:textFill>
                  <w14:solidFill>
                    <w14:schemeClr w14:val="tx1"/>
                  </w14:solidFill>
                </w14:textFill>
              </w:rPr>
              <w:t>11</w:t>
            </w:r>
            <w:r>
              <w:rPr>
                <w:rFonts w:hint="default" w:ascii="Times New Roman"/>
                <w:color w:val="000000" w:themeColor="text1"/>
                <w:highlight w:val="none"/>
                <w14:textFill>
                  <w14:solidFill>
                    <w14:schemeClr w14:val="tx1"/>
                  </w14:solidFill>
                </w14:textFill>
              </w:rPr>
              <w:t xml:space="preserve">  </w:t>
            </w:r>
            <w:r>
              <w:rPr>
                <w:rFonts w:hint="default" w:ascii="Times New Roman" w:eastAsia="黑体"/>
                <w:color w:val="000000" w:themeColor="text1"/>
                <w:highlight w:val="none"/>
                <w14:textFill>
                  <w14:solidFill>
                    <w14:schemeClr w14:val="tx1"/>
                  </w14:solidFill>
                </w14:textFill>
              </w:rPr>
              <w:t>本项目与土壤污染防治行动计划和净土计划符合性分析</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33"/>
              <w:gridCol w:w="1"/>
              <w:gridCol w:w="4184"/>
              <w:gridCol w:w="3"/>
              <w:gridCol w:w="1"/>
              <w:gridCol w:w="2727"/>
              <w:gridCol w:w="1"/>
              <w:gridCol w:w="4"/>
              <w:gridCol w:w="7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1"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文件名称</w:t>
                  </w:r>
                </w:p>
              </w:tc>
              <w:tc>
                <w:tcPr>
                  <w:tcW w:w="2372" w:type="pct"/>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与项目有关的条例、条文</w:t>
                  </w:r>
                </w:p>
              </w:tc>
              <w:tc>
                <w:tcPr>
                  <w:tcW w:w="1547" w:type="pct"/>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本项目内容</w:t>
                  </w:r>
                </w:p>
              </w:tc>
              <w:tc>
                <w:tcPr>
                  <w:tcW w:w="437"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对比结果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1" w:type="pct"/>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国务院关</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于印发土</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壤污染防</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治行动计</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划的通知</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国发[20</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16]31号</w:t>
                  </w:r>
                </w:p>
              </w:tc>
              <w:tc>
                <w:tcPr>
                  <w:tcW w:w="2372" w:type="pct"/>
                  <w:gridSpan w:val="4"/>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kern w:val="0"/>
                      <w:sz w:val="21"/>
                      <w:szCs w:val="21"/>
                      <w:highlight w:val="none"/>
                      <w14:textFill>
                        <w14:solidFill>
                          <w14:schemeClr w14:val="tx1"/>
                        </w14:solidFill>
                      </w14:textFill>
                    </w:rPr>
                    <w:t>防控企业污染。严格控制在优先保护类耕地集中区域新建有色金属冶炼、石油加工、化工、焦化、电镀、制革等行业企业，现有相关行业企业要采用新技术、新工艺，加快提标升级改造步伐。</w:t>
                  </w:r>
                </w:p>
              </w:tc>
              <w:tc>
                <w:tcPr>
                  <w:tcW w:w="1547" w:type="pct"/>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本项目占地为工业用地，该地不属于优先保护类耕地</w:t>
                  </w:r>
                  <w:r>
                    <w:rPr>
                      <w:rFonts w:hint="eastAsia" w:ascii="Times New Roman"/>
                      <w:color w:val="000000" w:themeColor="text1"/>
                      <w:sz w:val="21"/>
                      <w:szCs w:val="21"/>
                      <w:highlight w:val="none"/>
                      <w14:textFill>
                        <w14:solidFill>
                          <w14:schemeClr w14:val="tx1"/>
                        </w14:solidFill>
                      </w14:textFill>
                    </w:rPr>
                    <w:t>。</w:t>
                  </w:r>
                </w:p>
              </w:tc>
              <w:tc>
                <w:tcPr>
                  <w:tcW w:w="437"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1"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p>
              </w:tc>
              <w:tc>
                <w:tcPr>
                  <w:tcW w:w="2370" w:type="pct"/>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kern w:val="0"/>
                      <w:sz w:val="21"/>
                      <w:szCs w:val="21"/>
                      <w:highlight w:val="none"/>
                      <w14:textFill>
                        <w14:solidFill>
                          <w14:schemeClr w14:val="tx1"/>
                        </w14:solidFill>
                      </w14:textFill>
                    </w:rPr>
                    <w:t>分用途明确管理措施。自</w:t>
                  </w:r>
                  <w:r>
                    <w:rPr>
                      <w:rFonts w:hint="default" w:ascii="Times New Roman" w:eastAsia="TimesNewRomanPSMT"/>
                      <w:color w:val="000000" w:themeColor="text1"/>
                      <w:kern w:val="0"/>
                      <w:sz w:val="21"/>
                      <w:szCs w:val="21"/>
                      <w:highlight w:val="none"/>
                      <w14:textFill>
                        <w14:solidFill>
                          <w14:schemeClr w14:val="tx1"/>
                        </w14:solidFill>
                      </w14:textFill>
                    </w:rPr>
                    <w:t>2017</w:t>
                  </w:r>
                  <w:r>
                    <w:rPr>
                      <w:rFonts w:hint="default" w:ascii="Times New Roman"/>
                      <w:color w:val="000000" w:themeColor="text1"/>
                      <w:kern w:val="0"/>
                      <w:sz w:val="21"/>
                      <w:szCs w:val="21"/>
                      <w:highlight w:val="none"/>
                      <w14:textFill>
                        <w14:solidFill>
                          <w14:schemeClr w14:val="tx1"/>
                        </w14:solidFill>
                      </w14:textFill>
                    </w:rPr>
                    <w:t>年起，各地要结合土壤污染状况详查情况，根据建设用地土壤环境调查评估结果，逐步建立污染地块名录及其开发利用的负面清单，合理确定土地用途</w:t>
                  </w:r>
                  <w:r>
                    <w:rPr>
                      <w:rFonts w:hint="eastAsia" w:ascii="Times New Roman"/>
                      <w:color w:val="000000" w:themeColor="text1"/>
                      <w:kern w:val="0"/>
                      <w:sz w:val="21"/>
                      <w:szCs w:val="21"/>
                      <w:highlight w:val="none"/>
                      <w14:textFill>
                        <w14:solidFill>
                          <w14:schemeClr w14:val="tx1"/>
                        </w14:solidFill>
                      </w14:textFill>
                    </w:rPr>
                    <w:t>。</w:t>
                  </w:r>
                </w:p>
              </w:tc>
              <w:tc>
                <w:tcPr>
                  <w:tcW w:w="1547" w:type="pct"/>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本项目占地属于工业用地</w:t>
                  </w:r>
                  <w:r>
                    <w:rPr>
                      <w:rFonts w:hint="eastAsia" w:ascii="Times New Roman"/>
                      <w:color w:val="000000" w:themeColor="text1"/>
                      <w:sz w:val="21"/>
                      <w:szCs w:val="21"/>
                      <w:highlight w:val="none"/>
                      <w14:textFill>
                        <w14:solidFill>
                          <w14:schemeClr w14:val="tx1"/>
                        </w14:solidFill>
                      </w14:textFill>
                    </w:rPr>
                    <w:t>。</w:t>
                  </w:r>
                </w:p>
              </w:tc>
              <w:tc>
                <w:tcPr>
                  <w:tcW w:w="440"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ascii="Times New Roman"/>
                      <w:color w:val="000000" w:themeColor="text1"/>
                      <w:spacing w:val="-10"/>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1"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p>
              </w:tc>
              <w:tc>
                <w:tcPr>
                  <w:tcW w:w="2370"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kern w:val="0"/>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547" w:type="pct"/>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本项目各项污染物设置治理措施</w:t>
                  </w:r>
                  <w:r>
                    <w:rPr>
                      <w:rFonts w:hint="eastAsia"/>
                      <w:color w:val="000000" w:themeColor="text1"/>
                      <w:sz w:val="21"/>
                      <w:szCs w:val="21"/>
                      <w:highlight w:val="none"/>
                      <w14:textFill>
                        <w14:solidFill>
                          <w14:schemeClr w14:val="tx1"/>
                        </w14:solidFill>
                      </w14:textFill>
                    </w:rPr>
                    <w:t>，</w:t>
                  </w:r>
                  <w:r>
                    <w:rPr>
                      <w:rFonts w:hint="default"/>
                      <w:color w:val="000000" w:themeColor="text1"/>
                      <w:sz w:val="21"/>
                      <w:szCs w:val="21"/>
                      <w:highlight w:val="none"/>
                      <w14:textFill>
                        <w14:solidFill>
                          <w14:schemeClr w14:val="tx1"/>
                        </w14:solidFill>
                      </w14:textFill>
                    </w:rPr>
                    <w:t>达标排放，车间采取防渗措施后不会对土壤产生影响。</w:t>
                  </w:r>
                </w:p>
              </w:tc>
              <w:tc>
                <w:tcPr>
                  <w:tcW w:w="440" w:type="pct"/>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2" w:type="pct"/>
                  <w:gridSpan w:val="2"/>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p>
              </w:tc>
              <w:tc>
                <w:tcPr>
                  <w:tcW w:w="2370"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color w:val="000000" w:themeColor="text1"/>
                      <w:kern w:val="0"/>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鼓励工业企业集聚发展，提高土地节约集约利用水平，减少土壤污染。严格执行相关行业企业布局选址要求，禁止在居民区、学校、医疗和养老机构等周边新建有色金属冶炼、焦化等行业企业</w:t>
                  </w:r>
                  <w:r>
                    <w:rPr>
                      <w:rFonts w:hint="eastAsia"/>
                      <w:color w:val="000000" w:themeColor="text1"/>
                      <w:sz w:val="21"/>
                      <w:szCs w:val="21"/>
                      <w:highlight w:val="none"/>
                      <w14:textFill>
                        <w14:solidFill>
                          <w14:schemeClr w14:val="tx1"/>
                        </w14:solidFill>
                      </w14:textFill>
                    </w:rPr>
                    <w:t>。</w:t>
                  </w:r>
                </w:p>
              </w:tc>
              <w:tc>
                <w:tcPr>
                  <w:tcW w:w="1546" w:type="pct"/>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本项目位于河北</w:t>
                  </w:r>
                  <w:r>
                    <w:rPr>
                      <w:rFonts w:hint="eastAsia"/>
                      <w:color w:val="000000" w:themeColor="text1"/>
                      <w:sz w:val="21"/>
                      <w:szCs w:val="21"/>
                      <w:highlight w:val="none"/>
                      <w:lang w:eastAsia="zh-CN"/>
                      <w14:textFill>
                        <w14:solidFill>
                          <w14:schemeClr w14:val="tx1"/>
                        </w14:solidFill>
                      </w14:textFill>
                    </w:rPr>
                    <w:t>宽城</w:t>
                  </w:r>
                  <w:r>
                    <w:rPr>
                      <w:rFonts w:hint="eastAsia"/>
                      <w:color w:val="000000" w:themeColor="text1"/>
                      <w:sz w:val="21"/>
                      <w:szCs w:val="21"/>
                      <w:highlight w:val="none"/>
                      <w14:textFill>
                        <w14:solidFill>
                          <w14:schemeClr w14:val="tx1"/>
                        </w14:solidFill>
                      </w14:textFill>
                    </w:rPr>
                    <w:t>经济开发区</w:t>
                  </w:r>
                  <w:r>
                    <w:rPr>
                      <w:rFonts w:hint="eastAsia"/>
                      <w:color w:val="000000" w:themeColor="text1"/>
                      <w:sz w:val="21"/>
                      <w:szCs w:val="21"/>
                      <w:highlight w:val="none"/>
                      <w:lang w:eastAsia="zh-CN"/>
                      <w14:textFill>
                        <w14:solidFill>
                          <w14:schemeClr w14:val="tx1"/>
                        </w14:solidFill>
                      </w14:textFill>
                    </w:rPr>
                    <w:t>龙须门片区内</w:t>
                  </w:r>
                  <w:r>
                    <w:rPr>
                      <w:rFonts w:hint="eastAsia"/>
                      <w:color w:val="000000" w:themeColor="text1"/>
                      <w:sz w:val="21"/>
                      <w:szCs w:val="21"/>
                      <w:highlight w:val="none"/>
                      <w14:textFill>
                        <w14:solidFill>
                          <w14:schemeClr w14:val="tx1"/>
                        </w14:solidFill>
                      </w14:textFill>
                    </w:rPr>
                    <w:t>，距离最近的敏感点</w:t>
                  </w:r>
                  <w:r>
                    <w:rPr>
                      <w:rFonts w:hint="eastAsia"/>
                      <w:color w:val="000000" w:themeColor="text1"/>
                      <w:sz w:val="21"/>
                      <w:szCs w:val="21"/>
                      <w:highlight w:val="none"/>
                      <w:lang w:val="en-US" w:eastAsia="zh-CN"/>
                      <w14:textFill>
                        <w14:solidFill>
                          <w14:schemeClr w14:val="tx1"/>
                        </w14:solidFill>
                      </w14:textFill>
                    </w:rPr>
                    <w:t>240</w:t>
                  </w:r>
                  <w:r>
                    <w:rPr>
                      <w:rFonts w:hint="eastAsia"/>
                      <w:color w:val="000000" w:themeColor="text1"/>
                      <w:sz w:val="21"/>
                      <w:szCs w:val="21"/>
                      <w:highlight w:val="none"/>
                      <w14:textFill>
                        <w14:solidFill>
                          <w14:schemeClr w14:val="tx1"/>
                        </w14:solidFill>
                      </w14:textFill>
                    </w:rPr>
                    <w:t>m，不属于冶炼、焦化等行业。</w:t>
                  </w:r>
                </w:p>
              </w:tc>
              <w:tc>
                <w:tcPr>
                  <w:tcW w:w="440" w:type="pct"/>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2" w:type="pct"/>
                  <w:gridSpan w:val="2"/>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p>
              </w:tc>
              <w:tc>
                <w:tcPr>
                  <w:tcW w:w="2370"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color w:val="000000" w:themeColor="text1"/>
                      <w:kern w:val="0"/>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加强涉重金属行业污染防控。严格执行重金属污染物排放标准并落实相关总量控制指标，加大监督检查力度</w:t>
                  </w:r>
                  <w:r>
                    <w:rPr>
                      <w:rFonts w:hint="eastAsia"/>
                      <w:color w:val="000000" w:themeColor="text1"/>
                      <w:sz w:val="21"/>
                      <w:szCs w:val="21"/>
                      <w:highlight w:val="none"/>
                      <w14:textFill>
                        <w14:solidFill>
                          <w14:schemeClr w14:val="tx1"/>
                        </w14:solidFill>
                      </w14:textFill>
                    </w:rPr>
                    <w:t>。</w:t>
                  </w:r>
                </w:p>
              </w:tc>
              <w:tc>
                <w:tcPr>
                  <w:tcW w:w="1546" w:type="pct"/>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asci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本项目不涉及重金属排放。</w:t>
                  </w:r>
                </w:p>
              </w:tc>
              <w:tc>
                <w:tcPr>
                  <w:tcW w:w="440" w:type="pct"/>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ascii="Times New Roman"/>
                      <w:color w:val="000000" w:themeColor="text1"/>
                      <w:spacing w:val="-10"/>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2" w:type="pct"/>
                  <w:gridSpan w:val="2"/>
                  <w:vMerge w:val="restar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color w:val="000000" w:themeColor="text1"/>
                      <w:spacing w:val="-10"/>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河北省人民政府关于印发河北省</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净土行动</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土壤污染防治工作方案的通知（冀政发[2017]3号）</w:t>
                  </w:r>
                </w:p>
              </w:tc>
              <w:tc>
                <w:tcPr>
                  <w:tcW w:w="2370"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严格建设项目环境准入。在规划和建设项目环境影响评价中，强化土壤环境调查，增加对土壤环境影响的评价内容，明确防范土壤污染具体措施，纳入环保“三同时”管理。严控涉重金属行业新增产能，对排放重点重金属的新增产能和淘汰产能实行“等量置换”或“减量置换”。对涉重金属行业新建、改（扩）建项目实行新增重金属污染物排放等量或倍量替代。对区域重金属排放量继续上升的地区，停止审批新增重金属污染物排放的建设项目。完善重金属相关行业准入条件，禁止新建落后产能或产能严重过剩行业的建设项目。禁止向涉重金属相关行业落后产能和产能过剩行业提供土地。</w:t>
                  </w:r>
                </w:p>
              </w:tc>
              <w:tc>
                <w:tcPr>
                  <w:tcW w:w="1546" w:type="pct"/>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本项目环评编制过程中包含土壤环境影响分析内容，项目不涉及重金属排放。</w:t>
                  </w:r>
                </w:p>
              </w:tc>
              <w:tc>
                <w:tcPr>
                  <w:tcW w:w="440" w:type="pct"/>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2" w:type="pct"/>
                  <w:gridSpan w:val="2"/>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color w:val="000000" w:themeColor="text1"/>
                      <w:spacing w:val="-10"/>
                      <w:sz w:val="21"/>
                      <w:szCs w:val="21"/>
                      <w:highlight w:val="none"/>
                      <w14:textFill>
                        <w14:solidFill>
                          <w14:schemeClr w14:val="tx1"/>
                        </w14:solidFill>
                      </w14:textFill>
                    </w:rPr>
                  </w:pPr>
                </w:p>
              </w:tc>
              <w:tc>
                <w:tcPr>
                  <w:tcW w:w="2370"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强化空间布局优化与管理。加强空间规划和建设项目布局论证，推进重点行业统一规划、集聚发展，推动重点行业企业实现园区化、专业化管理。严格执行相关行业企业布局选址要求，禁止在居民区、学校、医疗和养老机构等周边新建有色金属冶炼、焦化等行业企业。严格控制在优先保护类耕地集中区域新建有色金属冶炼、石油加工、化工、焦化、电镀、制革、制药、铅酸蓄电池行业企业。</w:t>
                  </w:r>
                </w:p>
              </w:tc>
              <w:tc>
                <w:tcPr>
                  <w:tcW w:w="1546" w:type="pct"/>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本项目位于河北</w:t>
                  </w:r>
                  <w:r>
                    <w:rPr>
                      <w:rFonts w:hint="eastAsia"/>
                      <w:color w:val="000000" w:themeColor="text1"/>
                      <w:sz w:val="21"/>
                      <w:szCs w:val="21"/>
                      <w:highlight w:val="none"/>
                      <w:lang w:eastAsia="zh-CN"/>
                      <w14:textFill>
                        <w14:solidFill>
                          <w14:schemeClr w14:val="tx1"/>
                        </w14:solidFill>
                      </w14:textFill>
                    </w:rPr>
                    <w:t>宽城</w:t>
                  </w:r>
                  <w:r>
                    <w:rPr>
                      <w:rFonts w:hint="eastAsia"/>
                      <w:color w:val="000000" w:themeColor="text1"/>
                      <w:sz w:val="21"/>
                      <w:szCs w:val="21"/>
                      <w:highlight w:val="none"/>
                      <w14:textFill>
                        <w14:solidFill>
                          <w14:schemeClr w14:val="tx1"/>
                        </w14:solidFill>
                      </w14:textFill>
                    </w:rPr>
                    <w:t>经济开发区</w:t>
                  </w:r>
                  <w:r>
                    <w:rPr>
                      <w:rFonts w:hint="eastAsia"/>
                      <w:color w:val="000000" w:themeColor="text1"/>
                      <w:sz w:val="21"/>
                      <w:szCs w:val="21"/>
                      <w:highlight w:val="none"/>
                      <w:lang w:eastAsia="zh-CN"/>
                      <w14:textFill>
                        <w14:solidFill>
                          <w14:schemeClr w14:val="tx1"/>
                        </w14:solidFill>
                      </w14:textFill>
                    </w:rPr>
                    <w:t>龙须门片区</w:t>
                  </w:r>
                  <w:r>
                    <w:rPr>
                      <w:rFonts w:hint="eastAsia"/>
                      <w:color w:val="000000" w:themeColor="text1"/>
                      <w:sz w:val="21"/>
                      <w:szCs w:val="21"/>
                      <w:highlight w:val="none"/>
                      <w14:textFill>
                        <w14:solidFill>
                          <w14:schemeClr w14:val="tx1"/>
                        </w14:solidFill>
                      </w14:textFill>
                    </w:rPr>
                    <w:t>内，占地为工业用地。</w:t>
                  </w:r>
                </w:p>
              </w:tc>
              <w:tc>
                <w:tcPr>
                  <w:tcW w:w="440" w:type="pct"/>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2" w:type="pct"/>
                  <w:gridSpan w:val="2"/>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color w:val="000000" w:themeColor="text1"/>
                      <w:spacing w:val="-10"/>
                      <w:sz w:val="21"/>
                      <w:szCs w:val="21"/>
                      <w:highlight w:val="none"/>
                      <w14:textFill>
                        <w14:solidFill>
                          <w14:schemeClr w14:val="tx1"/>
                        </w14:solidFill>
                      </w14:textFill>
                    </w:rPr>
                  </w:pPr>
                </w:p>
              </w:tc>
              <w:tc>
                <w:tcPr>
                  <w:tcW w:w="2371" w:type="pct"/>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实施重点监管企业土壤污染监测，列入全省土壤环境重点监管企业名单的企业要自行或委托有资质的环境监测机构对其企业用地每年开展至少1次土壤环境监测，编制土壤环境治理报告，监测数据和报告向当地环保部门备案并向社会公开。规范危险废物处置行为，危险废物产生企业和利用处置企业要根据土壤污染防治的相关要求，完善突发环境事件应急预案内容，并向所在地环保部门备案。</w:t>
                  </w:r>
                </w:p>
              </w:tc>
              <w:tc>
                <w:tcPr>
                  <w:tcW w:w="1548" w:type="pct"/>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eastAsia"/>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企业未列入上述重点名单。</w:t>
                  </w:r>
                </w:p>
              </w:tc>
              <w:tc>
                <w:tcPr>
                  <w:tcW w:w="437"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2" w:type="pct"/>
                  <w:gridSpan w:val="2"/>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ascii="Times New Roman"/>
                      <w:color w:val="000000" w:themeColor="text1"/>
                      <w:spacing w:val="-10"/>
                      <w:sz w:val="21"/>
                      <w:szCs w:val="21"/>
                      <w:highlight w:val="none"/>
                      <w14:textFill>
                        <w14:solidFill>
                          <w14:schemeClr w14:val="tx1"/>
                        </w14:solidFill>
                      </w14:textFill>
                    </w:rPr>
                  </w:pPr>
                </w:p>
              </w:tc>
              <w:tc>
                <w:tcPr>
                  <w:tcW w:w="2371" w:type="pct"/>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规范危险废物处置行为。危险废物产生企业和利用处置企业要根据土壤污染防治相关要求，完善突发环境事件应急预案内容，并向所在地环保部门备案。</w:t>
                  </w:r>
                </w:p>
              </w:tc>
              <w:tc>
                <w:tcPr>
                  <w:tcW w:w="1548" w:type="pct"/>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本项目危险废物得到妥善处置，厂区暂存利用现有危险废物暂存间，并要求建设单位在突发环境事件应急预案中完善危险废物相关内容。</w:t>
                  </w:r>
                </w:p>
              </w:tc>
              <w:tc>
                <w:tcPr>
                  <w:tcW w:w="437"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0" w:lineRule="exact"/>
                    <w:ind w:left="0" w:right="0" w:firstLine="0" w:firstLineChars="0"/>
                    <w:jc w:val="center"/>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bl>
          <w:p>
            <w:pPr>
              <w:pStyle w:val="32"/>
              <w:keepNext w:val="0"/>
              <w:keepLines w:val="0"/>
              <w:numPr>
                <w:ilvl w:val="0"/>
                <w:numId w:val="0"/>
              </w:numPr>
              <w:suppressLineNumbers w:val="0"/>
              <w:spacing w:before="0" w:beforeAutospacing="0" w:after="0" w:afterAutospacing="0"/>
              <w:ind w:right="0"/>
              <w:jc w:val="both"/>
              <w:rPr>
                <w:rFonts w:hint="default"/>
                <w:color w:val="000000" w:themeColor="text1"/>
                <w:highlight w:val="none"/>
                <w:lang w:val="en-US" w:eastAsia="zh-CN"/>
                <w14:textFill>
                  <w14:solidFill>
                    <w14:schemeClr w14:val="tx1"/>
                  </w14:solidFill>
                </w14:textFill>
              </w:rPr>
            </w:pPr>
          </w:p>
        </w:tc>
      </w:tr>
    </w:tbl>
    <w:p>
      <w:pPr>
        <w:spacing w:line="360" w:lineRule="auto"/>
        <w:rPr>
          <w:rFonts w:ascii="Times New Roman" w:hAnsi="Times New Roman" w:eastAsia="黑体" w:cs="Times New Roman"/>
          <w:color w:val="000000" w:themeColor="text1"/>
          <w:sz w:val="30"/>
          <w:highlight w:val="none"/>
          <w:lang w:bidi="ar"/>
          <w14:textFill>
            <w14:solidFill>
              <w14:schemeClr w14:val="tx1"/>
            </w14:solidFill>
          </w14:textFill>
        </w:rPr>
        <w:sectPr>
          <w:footerReference r:id="rId5" w:type="default"/>
          <w:pgSz w:w="11906" w:h="16838"/>
          <w:pgMar w:top="1702" w:right="1531" w:bottom="1702" w:left="1531" w:header="851" w:footer="1077" w:gutter="0"/>
          <w:pgNumType w:fmt="decimal" w:start="1"/>
          <w:cols w:space="425" w:num="1"/>
          <w:docGrid w:type="lines" w:linePitch="312" w:charSpace="0"/>
        </w:sectPr>
      </w:pPr>
    </w:p>
    <w:p>
      <w:pPr>
        <w:pStyle w:val="20"/>
        <w:jc w:val="center"/>
        <w:outlineLvl w:val="0"/>
        <w:rPr>
          <w:rFonts w:hint="default" w:ascii="黑体" w:eastAsia="黑体" w:cs="黑体"/>
          <w:color w:val="000000" w:themeColor="text1"/>
          <w:sz w:val="30"/>
          <w:szCs w:val="30"/>
          <w:highlight w:val="none"/>
          <w14:textFill>
            <w14:solidFill>
              <w14:schemeClr w14:val="tx1"/>
            </w14:solidFill>
          </w14:textFill>
        </w:rPr>
      </w:pPr>
      <w:r>
        <w:rPr>
          <w:rFonts w:ascii="黑体" w:eastAsia="黑体" w:cs="黑体"/>
          <w:snapToGrid w:val="0"/>
          <w:color w:val="000000" w:themeColor="text1"/>
          <w:sz w:val="30"/>
          <w:szCs w:val="30"/>
          <w:highlight w:val="none"/>
          <w14:textFill>
            <w14:solidFill>
              <w14:schemeClr w14:val="tx1"/>
            </w14:solidFill>
          </w14:textFill>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5" w:hRule="atLeast"/>
          <w:jc w:val="center"/>
        </w:trPr>
        <w:tc>
          <w:tcPr>
            <w:tcW w:w="425" w:type="dxa"/>
            <w:tcBorders>
              <w:top w:val="single" w:color="auto" w:sz="8" w:space="0"/>
              <w:left w:val="single" w:color="auto" w:sz="8" w:space="0"/>
              <w:bottom w:val="single" w:color="auto" w:sz="4" w:space="0"/>
              <w:right w:val="single" w:color="auto" w:sz="4" w:space="0"/>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建设内容</w:t>
            </w:r>
          </w:p>
        </w:tc>
        <w:tc>
          <w:tcPr>
            <w:tcW w:w="8635" w:type="dxa"/>
            <w:tcBorders>
              <w:top w:val="single" w:color="auto" w:sz="8" w:space="0"/>
              <w:left w:val="single" w:color="auto" w:sz="4" w:space="0"/>
              <w:bottom w:val="single" w:color="auto" w:sz="4" w:space="0"/>
              <w:right w:val="single" w:color="auto" w:sz="8" w:space="0"/>
            </w:tcBorders>
            <w:shd w:val="clear" w:color="auto" w:fill="auto"/>
          </w:tcPr>
          <w:p>
            <w:pPr>
              <w:pStyle w:val="4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1、工程建设内容</w:t>
            </w:r>
          </w:p>
          <w:p>
            <w:pPr>
              <w:pStyle w:val="4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斯科赛斯家具承德有限公司年生产铁制、板式家具10万套项目，</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投资3200万，</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租用宽城龙须门镇经济开发区现有厂房</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22000m</w:t>
            </w:r>
            <w:r>
              <w:rPr>
                <w:rFonts w:hint="default" w:ascii="Times New Roman" w:hAnsi="Times New Roman"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，共3个车间，分别为</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铁制</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家具生产车间、木质家具生产车间、库房，</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配套相关生产辅助设备，新建自动喷涂自动化生产线。</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项目建设完成后</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年产铁质、板式家具10万套，其中</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铁</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制</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桌子5万套，</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铁制</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椅子2万套，木质衣柜0.5万套，木质办公桌1.5万套，木质文件柜1万套。</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本项目</w:t>
            </w:r>
            <w:r>
              <w:rPr>
                <w:rFonts w:hint="default" w:ascii="Times New Roman" w:hAnsi="Times New Roman" w:cs="Times New Roman"/>
                <w:b w:val="0"/>
                <w:bCs w:val="0"/>
                <w:color w:val="000000" w:themeColor="text1"/>
                <w:sz w:val="24"/>
                <w:szCs w:val="24"/>
                <w:highlight w:val="none"/>
                <w14:textFill>
                  <w14:solidFill>
                    <w14:schemeClr w14:val="tx1"/>
                  </w14:solidFill>
                </w14:textFill>
              </w:rPr>
              <w:t>主要建设内容详见</w:t>
            </w:r>
            <w:r>
              <w:rPr>
                <w:rFonts w:hint="eastAsia" w:cs="Times New Roman"/>
                <w:b w:val="0"/>
                <w:bCs w:val="0"/>
                <w:color w:val="000000" w:themeColor="text1"/>
                <w:sz w:val="24"/>
                <w:szCs w:val="24"/>
                <w:highlight w:val="none"/>
                <w:lang w:val="en-US" w:eastAsia="zh-CN"/>
                <w14:textFill>
                  <w14:solidFill>
                    <w14:schemeClr w14:val="tx1"/>
                  </w14:solidFill>
                </w14:textFill>
              </w:rPr>
              <w:t>表2-1。</w:t>
            </w:r>
          </w:p>
          <w:p>
            <w:pPr>
              <w:pStyle w:val="43"/>
              <w:keepNext w:val="0"/>
              <w:keepLines w:val="0"/>
              <w:suppressLineNumbers w:val="0"/>
              <w:snapToGrid w:val="0"/>
              <w:spacing w:before="0" w:beforeAutospacing="0" w:after="0" w:afterAutospacing="0"/>
              <w:ind w:left="0" w:right="0"/>
              <w:jc w:val="cente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表2-</w:t>
            </w: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 xml:space="preserve">  主要建设内容一览表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992"/>
              <w:gridCol w:w="1036"/>
              <w:gridCol w:w="5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序号</w:t>
                  </w:r>
                </w:p>
              </w:tc>
              <w:tc>
                <w:tcPr>
                  <w:tcW w:w="59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类别</w:t>
                  </w: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名称</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 w:type="pct"/>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590" w:type="pct"/>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主体工程</w:t>
                  </w: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cs="Times New Roman"/>
                      <w:b w:val="0"/>
                      <w:bCs w:val="0"/>
                      <w:color w:val="000000" w:themeColor="text1"/>
                      <w:sz w:val="21"/>
                      <w:szCs w:val="21"/>
                      <w:highlight w:val="none"/>
                      <w:lang w:eastAsia="zh-CN"/>
                      <w14:textFill>
                        <w14:solidFill>
                          <w14:schemeClr w14:val="tx1"/>
                        </w14:solidFill>
                      </w14:textFill>
                    </w:rPr>
                    <w:t>铁制</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家具生产车间</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彩钢结构，占地面积</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w:t>
                  </w:r>
                  <w:r>
                    <w:rPr>
                      <w:rFonts w:hint="eastAsia"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，内置切割机、机器人焊接机等设备。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59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木质家具生产车间</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彩钢结构，占地面积</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r>
                    <w:rPr>
                      <w:rFonts w:hint="eastAsia" w:cs="Times New Roman"/>
                      <w:b w:val="0"/>
                      <w:bCs w:val="0"/>
                      <w:color w:val="000000" w:themeColor="text1"/>
                      <w:sz w:val="21"/>
                      <w:szCs w:val="21"/>
                      <w:highlight w:val="none"/>
                      <w:lang w:val="en-US" w:eastAsia="zh-CN"/>
                      <w14:textFill>
                        <w14:solidFill>
                          <w14:schemeClr w14:val="tx1"/>
                        </w14:solidFill>
                      </w14:textFill>
                    </w:rPr>
                    <w:t>49</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，内置</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开料机、封边机</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3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p>
              </w:tc>
              <w:tc>
                <w:tcPr>
                  <w:tcW w:w="59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储运工程</w:t>
                  </w: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库房</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彩钢结构，</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占地面积6</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49</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，原材料分区存放。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 w:type="pct"/>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p>
              </w:tc>
              <w:tc>
                <w:tcPr>
                  <w:tcW w:w="590" w:type="pct"/>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公用工程</w:t>
                  </w: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给水</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由宽城满族自治县长源供水有限公司提供。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34"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59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排水</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生产过程</w:t>
                  </w:r>
                  <w:r>
                    <w:rPr>
                      <w:rFonts w:hint="eastAsia" w:cs="Times New Roman"/>
                      <w:b w:val="0"/>
                      <w:bCs w:val="0"/>
                      <w:color w:val="000000" w:themeColor="text1"/>
                      <w:sz w:val="21"/>
                      <w:szCs w:val="21"/>
                      <w:highlight w:val="none"/>
                      <w:lang w:val="en-US" w:eastAsia="zh-CN"/>
                      <w14:textFill>
                        <w14:solidFill>
                          <w14:schemeClr w14:val="tx1"/>
                        </w14:solidFill>
                      </w14:textFill>
                    </w:rPr>
                    <w:t>不用水，不产生生产废水；</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生活污水经化粪池处理后定期抽运用于农肥。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4"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59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供电</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园区电网</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，年耗电</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万KW·h</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59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供暖</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车间</w:t>
                  </w:r>
                  <w:r>
                    <w:rPr>
                      <w:rFonts w:hint="eastAsia" w:cs="Times New Roman"/>
                      <w:b w:val="0"/>
                      <w:bCs w:val="0"/>
                      <w:color w:val="000000" w:themeColor="text1"/>
                      <w:sz w:val="21"/>
                      <w:szCs w:val="21"/>
                      <w:highlight w:val="none"/>
                      <w:lang w:eastAsia="zh-CN"/>
                      <w14:textFill>
                        <w14:solidFill>
                          <w14:schemeClr w14:val="tx1"/>
                        </w14:solidFill>
                      </w14:textFill>
                    </w:rPr>
                    <w:t>生产用热采用电加热</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，职工人员用空调取暖</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334" w:type="pct"/>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w:t>
                  </w:r>
                </w:p>
              </w:tc>
              <w:tc>
                <w:tcPr>
                  <w:tcW w:w="590" w:type="pct"/>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环保工程</w:t>
                  </w: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废气</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木质家具生产车间</w:t>
                  </w:r>
                  <w:r>
                    <w:rPr>
                      <w:rFonts w:hint="eastAsia" w:cs="Times New Roman"/>
                      <w:b w:val="0"/>
                      <w:bCs w:val="0"/>
                      <w:color w:val="000000" w:themeColor="text1"/>
                      <w:sz w:val="21"/>
                      <w:szCs w:val="21"/>
                      <w:highlight w:val="none"/>
                      <w:lang w:val="en-US" w:eastAsia="zh-CN"/>
                      <w14:textFill>
                        <w14:solidFill>
                          <w14:schemeClr w14:val="tx1"/>
                        </w14:solidFill>
                      </w14:textFill>
                    </w:rPr>
                    <w:t>开料封边打孔废气经</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布袋除尘器</w:t>
                  </w:r>
                  <w:r>
                    <w:rPr>
                      <w:rFonts w:hint="eastAsia" w:cs="Times New Roman"/>
                      <w:b w:val="0"/>
                      <w:bCs w:val="0"/>
                      <w:color w:val="000000" w:themeColor="text1"/>
                      <w:sz w:val="21"/>
                      <w:szCs w:val="21"/>
                      <w:highlight w:val="none"/>
                      <w:lang w:val="en-US" w:eastAsia="zh-CN"/>
                      <w14:textFill>
                        <w14:solidFill>
                          <w14:schemeClr w14:val="tx1"/>
                        </w14:solidFill>
                      </w14:textFill>
                    </w:rPr>
                    <w:t>处理后</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通过1根</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15m高排气筒排放（DA00</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金属家具生产车间</w:t>
                  </w:r>
                  <w:r>
                    <w:rPr>
                      <w:rFonts w:hint="eastAsia" w:cs="Times New Roman"/>
                      <w:b w:val="0"/>
                      <w:bCs w:val="0"/>
                      <w:color w:val="000000" w:themeColor="text1"/>
                      <w:sz w:val="21"/>
                      <w:szCs w:val="21"/>
                      <w:highlight w:val="none"/>
                      <w:lang w:val="en-US" w:eastAsia="zh-CN"/>
                      <w14:textFill>
                        <w14:solidFill>
                          <w14:schemeClr w14:val="tx1"/>
                        </w14:solidFill>
                      </w14:textFill>
                    </w:rPr>
                    <w:t>焊接烟气经布袋除尘器处理后，通过1根</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15m高排气筒排放（DA00</w:t>
                  </w:r>
                  <w:r>
                    <w:rPr>
                      <w:rFonts w:hint="eastAsia"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；喷粉废气经自带滤芯过滤回收系统处理后，通过1根15m高排气筒排放（DA003）；固化废气经两级活性炭吸附装置处理后，通过1根15m高排气筒排放（DA004）。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4"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9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废水</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生活污水排入化粪池</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定期抽运用于农肥。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34"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9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噪声</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采用基础减振、厂房隔声等隔声降噪措施</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334"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590"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6"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固体废物</w:t>
                  </w:r>
                </w:p>
              </w:tc>
              <w:tc>
                <w:tcPr>
                  <w:tcW w:w="345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一般工业固体废物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主要为</w:t>
                  </w:r>
                  <w:r>
                    <w:rPr>
                      <w:rFonts w:hint="eastAsia" w:cs="Times New Roman"/>
                      <w:color w:val="000000" w:themeColor="text1"/>
                      <w:highlight w:val="none"/>
                      <w:lang w:val="en-US" w:eastAsia="zh-CN"/>
                      <w14:textFill>
                        <w14:solidFill>
                          <w14:schemeClr w14:val="tx1"/>
                        </w14:solidFill>
                      </w14:textFill>
                    </w:rPr>
                    <w:t>废木质边角料、废金属边角料、废封边条、废纸箱纸板、回收塑粉、除尘灰，其中废木质边角料、废金属边角料、废封边条、废纸箱纸板、除尘灰收集后外售，回收塑粉收集后回用；危废废物主要为</w:t>
                  </w:r>
                  <w:r>
                    <w:rPr>
                      <w:rFonts w:hint="default" w:ascii="Times New Roman" w:hAnsi="Times New Roman" w:cs="Times New Roman"/>
                      <w:color w:val="000000" w:themeColor="text1"/>
                      <w:highlight w:val="none"/>
                      <w14:textFill>
                        <w14:solidFill>
                          <w14:schemeClr w14:val="tx1"/>
                        </w14:solidFill>
                      </w14:textFill>
                    </w:rPr>
                    <w:t>废活性炭</w:t>
                  </w:r>
                  <w:r>
                    <w:rPr>
                      <w:rFonts w:hint="default" w:ascii="Times New Roman" w:hAnsi="Times New Roman" w:cs="Times New Roman"/>
                      <w:color w:val="000000" w:themeColor="text1"/>
                      <w:highlight w:val="none"/>
                      <w:lang w:eastAsia="zh-CN"/>
                      <w14:textFill>
                        <w14:solidFill>
                          <w14:schemeClr w14:val="tx1"/>
                        </w14:solidFill>
                      </w14:textFill>
                    </w:rPr>
                    <w:t>、废胶</w:t>
                  </w:r>
                  <w:r>
                    <w:rPr>
                      <w:rFonts w:hint="eastAsia" w:cs="Times New Roman"/>
                      <w:color w:val="000000" w:themeColor="text1"/>
                      <w:highlight w:val="none"/>
                      <w:lang w:val="en-US" w:eastAsia="zh-CN"/>
                      <w14:textFill>
                        <w14:solidFill>
                          <w14:schemeClr w14:val="tx1"/>
                        </w14:solidFill>
                      </w14:textFill>
                    </w:rPr>
                    <w:t>袋、废机油、废油桶收集后在</w:t>
                  </w: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危险废物暂存间暂存</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定期由有资质单位处理。</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ind w:left="0" w:leftChars="0" w:right="0" w:rightChars="0" w:firstLine="480" w:firstLineChars="200"/>
              <w:textAlignment w:val="auto"/>
              <w:rPr>
                <w:rFonts w:hint="eastAsia"/>
                <w:b w:val="0"/>
                <w:bCs w:val="0"/>
                <w:color w:val="000000" w:themeColor="text1"/>
                <w:highlight w:val="none"/>
                <w:lang w:val="en-US" w:eastAsia="zh-CN"/>
                <w14:textFill>
                  <w14:solidFill>
                    <w14:schemeClr w14:val="tx1"/>
                  </w14:solidFill>
                </w14:textFill>
              </w:rPr>
            </w:pPr>
            <w:r>
              <w:rPr>
                <w:rFonts w:hint="eastAsia" w:ascii="Times New Roman" w:hAnsi="Times New Roman" w:eastAsiaTheme="minorEastAsia" w:cstheme="minorBidi"/>
                <w:b w:val="0"/>
                <w:bCs w:val="0"/>
                <w:color w:val="000000" w:themeColor="text1"/>
                <w:kern w:val="2"/>
                <w:sz w:val="24"/>
                <w:szCs w:val="24"/>
                <w:highlight w:val="none"/>
                <w:lang w:val="en-US" w:eastAsia="zh-CN" w:bidi="ar-SA"/>
                <w14:textFill>
                  <w14:solidFill>
                    <w14:schemeClr w14:val="tx1"/>
                  </w14:solidFill>
                </w14:textFill>
              </w:rPr>
              <w:t>2、</w:t>
            </w:r>
            <w:r>
              <w:rPr>
                <w:rFonts w:hint="eastAsia"/>
                <w:b w:val="0"/>
                <w:bCs w:val="0"/>
                <w:color w:val="000000" w:themeColor="text1"/>
                <w:highlight w:val="none"/>
                <w:lang w:eastAsia="zh-CN"/>
                <w14:textFill>
                  <w14:solidFill>
                    <w14:schemeClr w14:val="tx1"/>
                  </w14:solidFill>
                </w14:textFill>
              </w:rPr>
              <w:t>主要产品及产能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表2-</w:t>
            </w: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 xml:space="preserve">2  </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项目主要</w:t>
            </w:r>
            <w:r>
              <w:rPr>
                <w:rFonts w:hint="default" w:ascii="Times New Roman" w:hAnsi="Times New Roman" w:eastAsia="黑体" w:cs="Times New Roman"/>
                <w:b w:val="0"/>
                <w:bCs w:val="0"/>
                <w:color w:val="000000" w:themeColor="text1"/>
                <w:sz w:val="24"/>
                <w:szCs w:val="24"/>
                <w:highlight w:val="none"/>
                <w:lang w:eastAsia="zh-CN"/>
                <w14:textFill>
                  <w14:solidFill>
                    <w14:schemeClr w14:val="tx1"/>
                  </w14:solidFill>
                </w14:textFill>
              </w:rPr>
              <w:t>产品方案</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5"/>
              <w:gridCol w:w="3401"/>
              <w:gridCol w:w="2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eastAsia" w:cs="Times New Roman"/>
                      <w:b w:val="0"/>
                      <w:bCs w:val="0"/>
                      <w:color w:val="000000" w:themeColor="text1"/>
                      <w:sz w:val="21"/>
                      <w:szCs w:val="21"/>
                      <w:highlight w:val="none"/>
                      <w:vertAlign w:val="baseline"/>
                      <w:lang w:eastAsia="zh-CN"/>
                      <w14:textFill>
                        <w14:solidFill>
                          <w14:schemeClr w14:val="tx1"/>
                        </w14:solidFill>
                      </w14:textFill>
                    </w:rPr>
                    <w:t>家具性质</w:t>
                  </w:r>
                </w:p>
              </w:tc>
              <w:tc>
                <w:tcPr>
                  <w:tcW w:w="202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000000" w:themeColor="text1"/>
                      <w:sz w:val="21"/>
                      <w:szCs w:val="21"/>
                      <w:highlight w:val="none"/>
                      <w:vertAlign w:val="baseline"/>
                      <w:lang w:eastAsia="zh-CN"/>
                      <w14:textFill>
                        <w14:solidFill>
                          <w14:schemeClr w14:val="tx1"/>
                        </w14:solidFill>
                      </w14:textFill>
                    </w:rPr>
                  </w:pPr>
                  <w:r>
                    <w:rPr>
                      <w:rFonts w:hint="eastAsia" w:cs="Times New Roman"/>
                      <w:b w:val="0"/>
                      <w:bCs w:val="0"/>
                      <w:color w:val="000000" w:themeColor="text1"/>
                      <w:sz w:val="21"/>
                      <w:szCs w:val="21"/>
                      <w:highlight w:val="none"/>
                      <w:vertAlign w:val="baseline"/>
                      <w:lang w:eastAsia="zh-CN"/>
                      <w14:textFill>
                        <w14:solidFill>
                          <w14:schemeClr w14:val="tx1"/>
                        </w14:solidFill>
                      </w14:textFill>
                    </w:rPr>
                    <w:t>家具种类</w:t>
                  </w:r>
                </w:p>
              </w:tc>
              <w:tc>
                <w:tcPr>
                  <w:tcW w:w="159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生产规模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pct"/>
                  <w:vMerge w:val="restart"/>
                  <w:vAlign w:val="center"/>
                </w:tcPr>
                <w:p>
                  <w:pPr>
                    <w:pStyle w:val="41"/>
                    <w:keepNext w:val="0"/>
                    <w:keepLines w:val="0"/>
                    <w:suppressLineNumbers w:val="0"/>
                    <w:bidi w:val="0"/>
                    <w:spacing w:before="0" w:beforeAutospacing="0" w:after="0" w:afterAutospacing="0"/>
                    <w:ind w:left="0" w:right="0"/>
                    <w:rPr>
                      <w:rFonts w:hint="eastAsia"/>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铁制家具</w:t>
                  </w:r>
                </w:p>
              </w:tc>
              <w:tc>
                <w:tcPr>
                  <w:tcW w:w="2023" w:type="pct"/>
                  <w:vAlign w:val="center"/>
                </w:tcPr>
                <w:p>
                  <w:pPr>
                    <w:pStyle w:val="41"/>
                    <w:keepNext w:val="0"/>
                    <w:keepLines w:val="0"/>
                    <w:suppressLineNumbers w:val="0"/>
                    <w:bidi w:val="0"/>
                    <w:spacing w:before="0" w:beforeAutospacing="0" w:after="0" w:afterAutospacing="0"/>
                    <w:ind w:left="0" w:right="0"/>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桌子</w:t>
                  </w:r>
                </w:p>
              </w:tc>
              <w:tc>
                <w:tcPr>
                  <w:tcW w:w="1599" w:type="pct"/>
                  <w:vAlign w:val="center"/>
                </w:tcPr>
                <w:p>
                  <w:pPr>
                    <w:pStyle w:val="41"/>
                    <w:keepNext w:val="0"/>
                    <w:keepLines w:val="0"/>
                    <w:suppressLineNumbers w:val="0"/>
                    <w:bidi w:val="0"/>
                    <w:spacing w:before="0" w:beforeAutospacing="0" w:after="0" w:afterAutospacing="0"/>
                    <w:ind w:left="0" w:right="0"/>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5万套/年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pct"/>
                  <w:vMerge w:val="continue"/>
                  <w:vAlign w:val="center"/>
                </w:tcPr>
                <w:p>
                  <w:pPr>
                    <w:pStyle w:val="41"/>
                    <w:keepNext w:val="0"/>
                    <w:keepLines w:val="0"/>
                    <w:suppressLineNumbers w:val="0"/>
                    <w:bidi w:val="0"/>
                    <w:spacing w:before="0" w:beforeAutospacing="0" w:after="0" w:afterAutospacing="0"/>
                    <w:ind w:left="0" w:right="0"/>
                    <w:rPr>
                      <w:rFonts w:hint="eastAsia"/>
                      <w:b w:val="0"/>
                      <w:bCs w:val="0"/>
                      <w:color w:val="000000" w:themeColor="text1"/>
                      <w:sz w:val="21"/>
                      <w:szCs w:val="21"/>
                      <w:highlight w:val="none"/>
                      <w:lang w:val="en-US" w:eastAsia="zh-CN"/>
                      <w14:textFill>
                        <w14:solidFill>
                          <w14:schemeClr w14:val="tx1"/>
                        </w14:solidFill>
                      </w14:textFill>
                    </w:rPr>
                  </w:pPr>
                </w:p>
              </w:tc>
              <w:tc>
                <w:tcPr>
                  <w:tcW w:w="2023" w:type="pct"/>
                  <w:vAlign w:val="center"/>
                </w:tcPr>
                <w:p>
                  <w:pPr>
                    <w:pStyle w:val="41"/>
                    <w:keepNext w:val="0"/>
                    <w:keepLines w:val="0"/>
                    <w:suppressLineNumbers w:val="0"/>
                    <w:bidi w:val="0"/>
                    <w:spacing w:before="0" w:beforeAutospacing="0" w:after="0" w:afterAutospacing="0"/>
                    <w:ind w:left="0" w:right="0"/>
                    <w:rPr>
                      <w:rFonts w:hint="eastAsia"/>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椅子</w:t>
                  </w:r>
                </w:p>
              </w:tc>
              <w:tc>
                <w:tcPr>
                  <w:tcW w:w="1599" w:type="pct"/>
                  <w:vAlign w:val="center"/>
                </w:tcPr>
                <w:p>
                  <w:pPr>
                    <w:pStyle w:val="41"/>
                    <w:keepNext w:val="0"/>
                    <w:keepLines w:val="0"/>
                    <w:suppressLineNumbers w:val="0"/>
                    <w:bidi w:val="0"/>
                    <w:spacing w:before="0" w:beforeAutospacing="0" w:after="0" w:afterAutospacing="0"/>
                    <w:ind w:left="0" w:right="0"/>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2万套/年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pct"/>
                  <w:vMerge w:val="restart"/>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Bidi"/>
                      <w:b w:val="0"/>
                      <w:bCs w:val="0"/>
                      <w:color w:val="000000" w:themeColor="text1"/>
                      <w:kern w:val="2"/>
                      <w:sz w:val="21"/>
                      <w:szCs w:val="21"/>
                      <w:highlight w:val="none"/>
                      <w:lang w:val="en-US" w:eastAsia="zh-CN" w:bidi="ar-SA"/>
                      <w14:textFill>
                        <w14:solidFill>
                          <w14:schemeClr w14:val="tx1"/>
                        </w14:solidFill>
                      </w14:textFill>
                    </w:rPr>
                  </w:pPr>
                  <w:r>
                    <w:rPr>
                      <w:rFonts w:hint="eastAsia" w:cstheme="minorBidi"/>
                      <w:b w:val="0"/>
                      <w:bCs w:val="0"/>
                      <w:color w:val="000000" w:themeColor="text1"/>
                      <w:kern w:val="2"/>
                      <w:sz w:val="21"/>
                      <w:szCs w:val="21"/>
                      <w:highlight w:val="none"/>
                      <w:lang w:val="en-US" w:eastAsia="zh-CN" w:bidi="ar-SA"/>
                      <w14:textFill>
                        <w14:solidFill>
                          <w14:schemeClr w14:val="tx1"/>
                        </w14:solidFill>
                      </w14:textFill>
                    </w:rPr>
                    <w:t>木质家具</w:t>
                  </w:r>
                </w:p>
              </w:tc>
              <w:tc>
                <w:tcPr>
                  <w:tcW w:w="2023" w:type="pct"/>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Bidi"/>
                      <w:b w:val="0"/>
                      <w:bCs w:val="0"/>
                      <w:color w:val="000000" w:themeColor="text1"/>
                      <w:kern w:val="2"/>
                      <w:sz w:val="21"/>
                      <w:szCs w:val="21"/>
                      <w:highlight w:val="none"/>
                      <w:lang w:val="en-US" w:eastAsia="zh-CN" w:bidi="ar-SA"/>
                      <w14:textFill>
                        <w14:solidFill>
                          <w14:schemeClr w14:val="tx1"/>
                        </w14:solidFill>
                      </w14:textFill>
                    </w:rPr>
                  </w:pPr>
                  <w:r>
                    <w:rPr>
                      <w:rFonts w:hint="eastAsia" w:cstheme="minorBidi"/>
                      <w:b w:val="0"/>
                      <w:bCs w:val="0"/>
                      <w:color w:val="000000" w:themeColor="text1"/>
                      <w:kern w:val="2"/>
                      <w:sz w:val="21"/>
                      <w:szCs w:val="21"/>
                      <w:highlight w:val="none"/>
                      <w:lang w:val="en-US" w:eastAsia="zh-CN" w:bidi="ar-SA"/>
                      <w14:textFill>
                        <w14:solidFill>
                          <w14:schemeClr w14:val="tx1"/>
                        </w14:solidFill>
                      </w14:textFill>
                    </w:rPr>
                    <w:t>衣柜</w:t>
                  </w:r>
                </w:p>
              </w:tc>
              <w:tc>
                <w:tcPr>
                  <w:tcW w:w="159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0.5万套/年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pct"/>
                  <w:vMerge w:val="continue"/>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heme="minorBidi"/>
                      <w:b w:val="0"/>
                      <w:bCs w:val="0"/>
                      <w:color w:val="000000" w:themeColor="text1"/>
                      <w:kern w:val="2"/>
                      <w:sz w:val="21"/>
                      <w:szCs w:val="21"/>
                      <w:highlight w:val="none"/>
                      <w:lang w:val="en-US" w:eastAsia="zh-CN" w:bidi="ar-SA"/>
                      <w14:textFill>
                        <w14:solidFill>
                          <w14:schemeClr w14:val="tx1"/>
                        </w14:solidFill>
                      </w14:textFill>
                    </w:rPr>
                  </w:pPr>
                </w:p>
              </w:tc>
              <w:tc>
                <w:tcPr>
                  <w:tcW w:w="2023" w:type="pct"/>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heme="minorBidi"/>
                      <w:b w:val="0"/>
                      <w:bCs w:val="0"/>
                      <w:color w:val="000000" w:themeColor="text1"/>
                      <w:kern w:val="2"/>
                      <w:sz w:val="21"/>
                      <w:szCs w:val="21"/>
                      <w:highlight w:val="none"/>
                      <w:lang w:val="en-US" w:eastAsia="zh-CN" w:bidi="ar-SA"/>
                      <w14:textFill>
                        <w14:solidFill>
                          <w14:schemeClr w14:val="tx1"/>
                        </w14:solidFill>
                      </w14:textFill>
                    </w:rPr>
                  </w:pPr>
                  <w:r>
                    <w:rPr>
                      <w:rFonts w:hint="eastAsia" w:cstheme="minorBidi"/>
                      <w:b w:val="0"/>
                      <w:bCs w:val="0"/>
                      <w:color w:val="000000" w:themeColor="text1"/>
                      <w:kern w:val="2"/>
                      <w:sz w:val="21"/>
                      <w:szCs w:val="21"/>
                      <w:highlight w:val="none"/>
                      <w:lang w:val="en-US" w:eastAsia="zh-CN" w:bidi="ar-SA"/>
                      <w14:textFill>
                        <w14:solidFill>
                          <w14:schemeClr w14:val="tx1"/>
                        </w14:solidFill>
                      </w14:textFill>
                    </w:rPr>
                    <w:t>办公桌</w:t>
                  </w:r>
                </w:p>
              </w:tc>
              <w:tc>
                <w:tcPr>
                  <w:tcW w:w="159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1.5万套/年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pct"/>
                  <w:vMerge w:val="continue"/>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heme="minorBidi"/>
                      <w:b w:val="0"/>
                      <w:bCs w:val="0"/>
                      <w:color w:val="000000" w:themeColor="text1"/>
                      <w:kern w:val="2"/>
                      <w:sz w:val="21"/>
                      <w:szCs w:val="21"/>
                      <w:highlight w:val="none"/>
                      <w:lang w:val="en-US" w:eastAsia="zh-CN" w:bidi="ar-SA"/>
                      <w14:textFill>
                        <w14:solidFill>
                          <w14:schemeClr w14:val="tx1"/>
                        </w14:solidFill>
                      </w14:textFill>
                    </w:rPr>
                  </w:pPr>
                </w:p>
              </w:tc>
              <w:tc>
                <w:tcPr>
                  <w:tcW w:w="2023" w:type="pct"/>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heme="minorBidi"/>
                      <w:b w:val="0"/>
                      <w:bCs w:val="0"/>
                      <w:color w:val="000000" w:themeColor="text1"/>
                      <w:kern w:val="2"/>
                      <w:sz w:val="21"/>
                      <w:szCs w:val="21"/>
                      <w:highlight w:val="none"/>
                      <w:lang w:val="en-US" w:eastAsia="zh-CN" w:bidi="ar-SA"/>
                      <w14:textFill>
                        <w14:solidFill>
                          <w14:schemeClr w14:val="tx1"/>
                        </w14:solidFill>
                      </w14:textFill>
                    </w:rPr>
                  </w:pPr>
                  <w:r>
                    <w:rPr>
                      <w:rFonts w:hint="eastAsia" w:cstheme="minorBidi"/>
                      <w:b w:val="0"/>
                      <w:bCs w:val="0"/>
                      <w:color w:val="000000" w:themeColor="text1"/>
                      <w:kern w:val="2"/>
                      <w:sz w:val="21"/>
                      <w:szCs w:val="21"/>
                      <w:highlight w:val="none"/>
                      <w:lang w:val="en-US" w:eastAsia="zh-CN" w:bidi="ar-SA"/>
                      <w14:textFill>
                        <w14:solidFill>
                          <w14:schemeClr w14:val="tx1"/>
                        </w14:solidFill>
                      </w14:textFill>
                    </w:rPr>
                    <w:t>木文件柜</w:t>
                  </w:r>
                </w:p>
              </w:tc>
              <w:tc>
                <w:tcPr>
                  <w:tcW w:w="159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1万套/年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0" w:type="pct"/>
                  <w:gridSpan w:val="2"/>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heme="minorBidi"/>
                      <w:b w:val="0"/>
                      <w:bCs w:val="0"/>
                      <w:color w:val="000000" w:themeColor="text1"/>
                      <w:kern w:val="2"/>
                      <w:sz w:val="21"/>
                      <w:szCs w:val="21"/>
                      <w:highlight w:val="none"/>
                      <w:lang w:val="en-US" w:eastAsia="zh-CN" w:bidi="ar-SA"/>
                      <w14:textFill>
                        <w14:solidFill>
                          <w14:schemeClr w14:val="tx1"/>
                        </w14:solidFill>
                      </w14:textFill>
                    </w:rPr>
                  </w:pPr>
                  <w:r>
                    <w:rPr>
                      <w:rFonts w:hint="eastAsia" w:cstheme="minorBidi"/>
                      <w:b w:val="0"/>
                      <w:bCs w:val="0"/>
                      <w:color w:val="000000" w:themeColor="text1"/>
                      <w:kern w:val="2"/>
                      <w:sz w:val="21"/>
                      <w:szCs w:val="21"/>
                      <w:highlight w:val="none"/>
                      <w:lang w:val="en-US" w:eastAsia="zh-CN" w:bidi="ar-SA"/>
                      <w14:textFill>
                        <w14:solidFill>
                          <w14:schemeClr w14:val="tx1"/>
                        </w14:solidFill>
                      </w14:textFill>
                    </w:rPr>
                    <w:t>合计</w:t>
                  </w:r>
                </w:p>
              </w:tc>
              <w:tc>
                <w:tcPr>
                  <w:tcW w:w="159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10万套/年</w:t>
                  </w:r>
                </w:p>
              </w:tc>
            </w:tr>
          </w:tbl>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imes New Roman" w:hAnsi="Times New Roman" w:cs="Times New Roman"/>
                <w:b w:val="0"/>
                <w:bCs w:val="0"/>
                <w:color w:val="000000" w:themeColor="text1"/>
                <w:sz w:val="24"/>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4"/>
                <w:highlight w:val="none"/>
                <w:lang w:eastAsia="zh-CN"/>
                <w14:textFill>
                  <w14:solidFill>
                    <w14:schemeClr w14:val="tx1"/>
                  </w14:solidFill>
                </w14:textFill>
              </w:rPr>
              <w:t>主要生产设施及设施参数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表2-</w:t>
            </w: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 xml:space="preserve">3  </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项目生产设备一览表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1219"/>
              <w:gridCol w:w="1231"/>
              <w:gridCol w:w="1772"/>
              <w:gridCol w:w="1951"/>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序号</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设备名称</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数量</w:t>
                  </w:r>
                </w:p>
              </w:tc>
              <w:tc>
                <w:tcPr>
                  <w:tcW w:w="116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型号</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/规格</w:t>
                  </w:r>
                </w:p>
              </w:tc>
              <w:tc>
                <w:tcPr>
                  <w:tcW w:w="793"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激光自动切割机</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1台</w:t>
                  </w:r>
                </w:p>
              </w:tc>
              <w:tc>
                <w:tcPr>
                  <w:tcW w:w="116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TM65mini</w:t>
                  </w:r>
                </w:p>
              </w:tc>
              <w:tc>
                <w:tcPr>
                  <w:tcW w:w="793" w:type="pct"/>
                  <w:vMerge w:val="restar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金属家具生产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自动上料机</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1台</w:t>
                  </w:r>
                </w:p>
              </w:tc>
              <w:tc>
                <w:tcPr>
                  <w:tcW w:w="116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高压气泵</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1台</w:t>
                  </w:r>
                </w:p>
              </w:tc>
              <w:tc>
                <w:tcPr>
                  <w:tcW w:w="116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793"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自动焊机器人</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2套</w:t>
                  </w:r>
                </w:p>
              </w:tc>
              <w:tc>
                <w:tcPr>
                  <w:tcW w:w="116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793" w:type="pct"/>
                  <w:vMerge w:val="continue"/>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eastAsia="宋体" w:cs="Times New Roman"/>
                      <w:b w:val="0"/>
                      <w:bCs w:val="0"/>
                      <w:color w:val="000000" w:themeColor="text1"/>
                      <w:kern w:val="0"/>
                      <w:sz w:val="21"/>
                      <w:szCs w:val="21"/>
                      <w:highlight w:val="none"/>
                      <w:lang w:val="en-US" w:eastAsia="zh-CN" w:bidi="ar-SA"/>
                      <w14:textFill>
                        <w14:solidFill>
                          <w14:schemeClr w14:val="tx1"/>
                        </w14:solidFill>
                      </w14:textFill>
                    </w:rPr>
                    <w:t>5</w:t>
                  </w:r>
                </w:p>
              </w:tc>
              <w:tc>
                <w:tcPr>
                  <w:tcW w:w="1457"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涂装自动喷涂线</w:t>
                  </w:r>
                </w:p>
              </w:tc>
              <w:tc>
                <w:tcPr>
                  <w:tcW w:w="105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套</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7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6</w:t>
                  </w:r>
                </w:p>
              </w:tc>
              <w:tc>
                <w:tcPr>
                  <w:tcW w:w="72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叉车</w:t>
                  </w:r>
                </w:p>
              </w:tc>
              <w:tc>
                <w:tcPr>
                  <w:tcW w:w="73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3.5t</w:t>
                  </w:r>
                </w:p>
              </w:tc>
              <w:tc>
                <w:tcPr>
                  <w:tcW w:w="105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1台</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7</w:t>
                  </w:r>
                </w:p>
              </w:tc>
              <w:tc>
                <w:tcPr>
                  <w:tcW w:w="72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73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1.5t</w:t>
                  </w:r>
                </w:p>
              </w:tc>
              <w:tc>
                <w:tcPr>
                  <w:tcW w:w="105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1台</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8</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Kbt开料机</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3台</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木质家具生产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9</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KA9409自动开料机</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1台</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10</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KbT 468L自动封边机</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1台</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11</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668L自动封边机</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2台</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12</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半自动封边机</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1台</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13</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富伦特MF503封边机</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1台</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14</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捷菲亚RV450封边机</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1台</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15</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KDb12数控排钻</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1台</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16</w:t>
                  </w:r>
                </w:p>
              </w:tc>
              <w:tc>
                <w:tcPr>
                  <w:tcW w:w="1457" w:type="pct"/>
                  <w:gridSpan w:val="2"/>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3.0m³螺杆泵</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1台</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1" w:type="pct"/>
                  <w:gridSpan w:val="3"/>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合计</w:t>
                  </w:r>
                </w:p>
              </w:tc>
              <w:tc>
                <w:tcPr>
                  <w:tcW w:w="1054"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台</w:t>
                  </w:r>
                  <w:r>
                    <w:rPr>
                      <w:rFonts w:hint="eastAsia" w:cs="Times New Roman"/>
                      <w:b w:val="0"/>
                      <w:bCs w:val="0"/>
                      <w:color w:val="000000" w:themeColor="text1"/>
                      <w:sz w:val="21"/>
                      <w:szCs w:val="21"/>
                      <w:highlight w:val="none"/>
                      <w:lang w:val="en-US" w:eastAsia="zh-CN"/>
                      <w14:textFill>
                        <w14:solidFill>
                          <w14:schemeClr w14:val="tx1"/>
                        </w14:solidFill>
                      </w14:textFill>
                    </w:rPr>
                    <w:t>（套）</w:t>
                  </w:r>
                </w:p>
              </w:tc>
              <w:tc>
                <w:tcPr>
                  <w:tcW w:w="116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4、主要原辅材料及能源用量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表</w:t>
            </w: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 xml:space="preserve">2-4  </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原辅材料及能源消耗情况</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907"/>
              <w:gridCol w:w="741"/>
              <w:gridCol w:w="1095"/>
              <w:gridCol w:w="1691"/>
              <w:gridCol w:w="1450"/>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8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名称</w:t>
                  </w:r>
                </w:p>
              </w:tc>
              <w:tc>
                <w:tcPr>
                  <w:tcW w:w="5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单位</w:t>
                  </w:r>
                </w:p>
              </w:tc>
              <w:tc>
                <w:tcPr>
                  <w:tcW w:w="44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数量</w:t>
                  </w:r>
                </w:p>
              </w:tc>
              <w:tc>
                <w:tcPr>
                  <w:tcW w:w="65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规格</w:t>
                  </w:r>
                </w:p>
              </w:tc>
              <w:tc>
                <w:tcPr>
                  <w:tcW w:w="1005"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存储地点</w:t>
                  </w:r>
                </w:p>
              </w:tc>
              <w:tc>
                <w:tcPr>
                  <w:tcW w:w="862"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最大存储量</w:t>
                  </w:r>
                </w:p>
              </w:tc>
              <w:tc>
                <w:tcPr>
                  <w:tcW w:w="718"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钢管</w:t>
                  </w:r>
                </w:p>
              </w:tc>
              <w:tc>
                <w:tcPr>
                  <w:tcW w:w="5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44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180</w:t>
                  </w:r>
                </w:p>
              </w:tc>
              <w:tc>
                <w:tcPr>
                  <w:tcW w:w="65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005"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生产车间</w:t>
                  </w:r>
                </w:p>
              </w:tc>
              <w:tc>
                <w:tcPr>
                  <w:tcW w:w="862"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20t</w:t>
                  </w:r>
                </w:p>
              </w:tc>
              <w:tc>
                <w:tcPr>
                  <w:tcW w:w="718"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pct"/>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木板</w:t>
                  </w:r>
                </w:p>
              </w:tc>
              <w:tc>
                <w:tcPr>
                  <w:tcW w:w="5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/a</w:t>
                  </w:r>
                </w:p>
              </w:tc>
              <w:tc>
                <w:tcPr>
                  <w:tcW w:w="44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65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005"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生产车间、库房</w:t>
                  </w:r>
                </w:p>
              </w:tc>
              <w:tc>
                <w:tcPr>
                  <w:tcW w:w="862"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0.5万m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718"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pct"/>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纸箱纸板</w:t>
                  </w:r>
                </w:p>
              </w:tc>
              <w:tc>
                <w:tcPr>
                  <w:tcW w:w="5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/a</w:t>
                  </w:r>
                </w:p>
              </w:tc>
              <w:tc>
                <w:tcPr>
                  <w:tcW w:w="44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p>
              </w:tc>
              <w:tc>
                <w:tcPr>
                  <w:tcW w:w="65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005"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生产车间</w:t>
                  </w:r>
                </w:p>
              </w:tc>
              <w:tc>
                <w:tcPr>
                  <w:tcW w:w="862"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0.5万m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718"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pct"/>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焊丝</w:t>
                  </w:r>
                </w:p>
              </w:tc>
              <w:tc>
                <w:tcPr>
                  <w:tcW w:w="5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44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30</w:t>
                  </w:r>
                </w:p>
              </w:tc>
              <w:tc>
                <w:tcPr>
                  <w:tcW w:w="65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005"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生产车间</w:t>
                  </w:r>
                </w:p>
              </w:tc>
              <w:tc>
                <w:tcPr>
                  <w:tcW w:w="862"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5t</w:t>
                  </w:r>
                </w:p>
              </w:tc>
              <w:tc>
                <w:tcPr>
                  <w:tcW w:w="718"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pct"/>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塑粉</w:t>
                  </w:r>
                </w:p>
              </w:tc>
              <w:tc>
                <w:tcPr>
                  <w:tcW w:w="5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44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13</w:t>
                  </w:r>
                </w:p>
              </w:tc>
              <w:tc>
                <w:tcPr>
                  <w:tcW w:w="65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20kg/箱</w:t>
                  </w:r>
                </w:p>
              </w:tc>
              <w:tc>
                <w:tcPr>
                  <w:tcW w:w="1005"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库房密闭存放</w:t>
                  </w:r>
                </w:p>
              </w:tc>
              <w:tc>
                <w:tcPr>
                  <w:tcW w:w="862"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3t</w:t>
                  </w:r>
                </w:p>
              </w:tc>
              <w:tc>
                <w:tcPr>
                  <w:tcW w:w="718"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pct"/>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封边胶</w:t>
                  </w:r>
                </w:p>
              </w:tc>
              <w:tc>
                <w:tcPr>
                  <w:tcW w:w="5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44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p>
              </w:tc>
              <w:tc>
                <w:tcPr>
                  <w:tcW w:w="65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20kg/</w:t>
                  </w:r>
                  <w:r>
                    <w:rPr>
                      <w:rFonts w:hint="eastAsia" w:cs="Times New Roman"/>
                      <w:b w:val="0"/>
                      <w:bCs w:val="0"/>
                      <w:color w:val="000000" w:themeColor="text1"/>
                      <w:sz w:val="21"/>
                      <w:szCs w:val="21"/>
                      <w:highlight w:val="none"/>
                      <w:lang w:val="en-US" w:eastAsia="zh-CN"/>
                      <w14:textFill>
                        <w14:solidFill>
                          <w14:schemeClr w14:val="tx1"/>
                        </w14:solidFill>
                      </w14:textFill>
                    </w:rPr>
                    <w:t>袋</w:t>
                  </w:r>
                </w:p>
              </w:tc>
              <w:tc>
                <w:tcPr>
                  <w:tcW w:w="1005"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库房密闭存放</w:t>
                  </w:r>
                </w:p>
              </w:tc>
              <w:tc>
                <w:tcPr>
                  <w:tcW w:w="862"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0.5t</w:t>
                  </w:r>
                </w:p>
              </w:tc>
              <w:tc>
                <w:tcPr>
                  <w:tcW w:w="718"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pct"/>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PVC封边条</w:t>
                  </w:r>
                </w:p>
              </w:tc>
              <w:tc>
                <w:tcPr>
                  <w:tcW w:w="5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m/a</w:t>
                  </w:r>
                </w:p>
              </w:tc>
              <w:tc>
                <w:tcPr>
                  <w:tcW w:w="44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60000</w:t>
                  </w:r>
                </w:p>
              </w:tc>
              <w:tc>
                <w:tcPr>
                  <w:tcW w:w="65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40kg/箱</w:t>
                  </w:r>
                </w:p>
              </w:tc>
              <w:tc>
                <w:tcPr>
                  <w:tcW w:w="1005"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库房密闭存放</w:t>
                  </w:r>
                </w:p>
              </w:tc>
              <w:tc>
                <w:tcPr>
                  <w:tcW w:w="862"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0.2t</w:t>
                  </w:r>
                </w:p>
              </w:tc>
              <w:tc>
                <w:tcPr>
                  <w:tcW w:w="718"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pct"/>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二氧化碳</w:t>
                  </w:r>
                </w:p>
              </w:tc>
              <w:tc>
                <w:tcPr>
                  <w:tcW w:w="5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44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65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25kg/瓶</w:t>
                  </w:r>
                </w:p>
              </w:tc>
              <w:tc>
                <w:tcPr>
                  <w:tcW w:w="1005"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库房密闭存放</w:t>
                  </w:r>
                </w:p>
              </w:tc>
              <w:tc>
                <w:tcPr>
                  <w:tcW w:w="862"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0.5t</w:t>
                  </w:r>
                </w:p>
              </w:tc>
              <w:tc>
                <w:tcPr>
                  <w:tcW w:w="718"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电</w:t>
                  </w:r>
                </w:p>
              </w:tc>
              <w:tc>
                <w:tcPr>
                  <w:tcW w:w="5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万</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kWh</w:t>
                  </w:r>
                </w:p>
              </w:tc>
              <w:tc>
                <w:tcPr>
                  <w:tcW w:w="44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65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005"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862"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18"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水</w:t>
                  </w:r>
                </w:p>
              </w:tc>
              <w:tc>
                <w:tcPr>
                  <w:tcW w:w="539"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/a</w:t>
                  </w:r>
                </w:p>
              </w:tc>
              <w:tc>
                <w:tcPr>
                  <w:tcW w:w="440"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160</w:t>
                  </w:r>
                </w:p>
              </w:tc>
              <w:tc>
                <w:tcPr>
                  <w:tcW w:w="651"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005"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862"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18" w:type="pct"/>
                  <w:vAlign w:val="center"/>
                </w:tcPr>
                <w:p>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供水管网</w:t>
                  </w:r>
                </w:p>
              </w:tc>
            </w:tr>
          </w:tbl>
          <w:p>
            <w:pPr>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塑粉：</w:t>
            </w:r>
            <w:r>
              <w:rPr>
                <w:rFonts w:hint="eastAsia" w:cs="Times New Roman"/>
                <w:b w:val="0"/>
                <w:bCs w:val="0"/>
                <w:color w:val="000000" w:themeColor="text1"/>
                <w:sz w:val="24"/>
                <w:highlight w:val="none"/>
                <w:lang w:val="en-US" w:eastAsia="zh-CN"/>
                <w14:textFill>
                  <w14:solidFill>
                    <w14:schemeClr w14:val="tx1"/>
                  </w14:solidFill>
                </w14:textFill>
              </w:rPr>
              <w:t>塑粉由</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树脂</w:t>
            </w:r>
            <w:r>
              <w:rPr>
                <w:rFonts w:hint="eastAsia" w:cs="Times New Roman"/>
                <w:b w:val="0"/>
                <w:bCs w:val="0"/>
                <w:color w:val="000000" w:themeColor="text1"/>
                <w:sz w:val="24"/>
                <w:highlight w:val="none"/>
                <w:lang w:val="en-US" w:eastAsia="zh-CN"/>
                <w14:textFill>
                  <w14:solidFill>
                    <w14:schemeClr w14:val="tx1"/>
                  </w14:solidFill>
                </w14:textFill>
              </w:rPr>
              <w:t>（不饱和聚酯树脂）、固化剂（β-烷基酰胺）、</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填料</w:t>
            </w:r>
            <w:r>
              <w:rPr>
                <w:rFonts w:hint="eastAsia" w:cs="Times New Roman"/>
                <w:b w:val="0"/>
                <w:bCs w:val="0"/>
                <w:color w:val="000000" w:themeColor="text1"/>
                <w:sz w:val="24"/>
                <w:highlight w:val="none"/>
                <w:lang w:val="en-US" w:eastAsia="zh-CN"/>
                <w14:textFill>
                  <w14:solidFill>
                    <w14:schemeClr w14:val="tx1"/>
                  </w14:solidFill>
                </w14:textFill>
              </w:rPr>
              <w:t>（硫酸钡）、</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助剂</w:t>
            </w:r>
            <w:r>
              <w:rPr>
                <w:rFonts w:hint="eastAsia" w:cs="Times New Roman"/>
                <w:b w:val="0"/>
                <w:bCs w:val="0"/>
                <w:color w:val="000000" w:themeColor="text1"/>
                <w:sz w:val="24"/>
                <w:highlight w:val="none"/>
                <w:lang w:val="en-US" w:eastAsia="zh-CN"/>
                <w14:textFill>
                  <w14:solidFill>
                    <w14:schemeClr w14:val="tx1"/>
                  </w14:solidFill>
                </w14:textFill>
              </w:rPr>
              <w:t>（丙烯酸共聚体）及</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颜料</w:t>
            </w:r>
            <w:r>
              <w:rPr>
                <w:rFonts w:hint="eastAsia" w:cs="Times New Roman"/>
                <w:b w:val="0"/>
                <w:bCs w:val="0"/>
                <w:color w:val="000000" w:themeColor="text1"/>
                <w:sz w:val="24"/>
                <w:highlight w:val="none"/>
                <w:lang w:val="en-US" w:eastAsia="zh-CN"/>
                <w14:textFill>
                  <w14:solidFill>
                    <w14:schemeClr w14:val="tx1"/>
                  </w14:solidFill>
                </w14:textFill>
              </w:rPr>
              <w:t>（碳黑、铁红Fe</w:t>
            </w:r>
            <w:r>
              <w:rPr>
                <w:rFonts w:hint="eastAsia" w:cs="Times New Roman" w:eastAsiaTheme="minorEastAsia"/>
                <w:b w:val="0"/>
                <w:bCs w:val="0"/>
                <w:color w:val="000000" w:themeColor="text1"/>
                <w:sz w:val="24"/>
                <w:highlight w:val="none"/>
                <w:vertAlign w:val="subscript"/>
                <w:lang w:val="en-US" w:eastAsia="zh-CN"/>
                <w14:textFill>
                  <w14:solidFill>
                    <w14:schemeClr w14:val="tx1"/>
                  </w14:solidFill>
                </w14:textFill>
              </w:rPr>
              <w:t>2</w:t>
            </w:r>
            <w:r>
              <w:rPr>
                <w:rFonts w:hint="eastAsia" w:cs="Times New Roman"/>
                <w:b w:val="0"/>
                <w:bCs w:val="0"/>
                <w:color w:val="000000" w:themeColor="text1"/>
                <w:sz w:val="24"/>
                <w:highlight w:val="none"/>
                <w:lang w:val="en-US" w:eastAsia="zh-CN"/>
                <w14:textFill>
                  <w14:solidFill>
                    <w14:schemeClr w14:val="tx1"/>
                  </w14:solidFill>
                </w14:textFill>
              </w:rPr>
              <w:t>O</w:t>
            </w:r>
            <w:r>
              <w:rPr>
                <w:rFonts w:hint="eastAsia" w:cs="Times New Roman" w:eastAsiaTheme="minorEastAsia"/>
                <w:b w:val="0"/>
                <w:bCs w:val="0"/>
                <w:color w:val="000000" w:themeColor="text1"/>
                <w:sz w:val="24"/>
                <w:highlight w:val="none"/>
                <w:vertAlign w:val="subscript"/>
                <w:lang w:val="en-US" w:eastAsia="zh-CN"/>
                <w14:textFill>
                  <w14:solidFill>
                    <w14:schemeClr w14:val="tx1"/>
                  </w14:solidFill>
                </w14:textFill>
              </w:rPr>
              <w:t>3</w:t>
            </w:r>
            <w:r>
              <w:rPr>
                <w:rFonts w:hint="eastAsia" w:cs="Times New Roman"/>
                <w:b w:val="0"/>
                <w:bCs w:val="0"/>
                <w:color w:val="000000" w:themeColor="text1"/>
                <w:sz w:val="24"/>
                <w:highlight w:val="none"/>
                <w:lang w:val="en-US" w:eastAsia="zh-CN"/>
                <w14:textFill>
                  <w14:solidFill>
                    <w14:schemeClr w14:val="tx1"/>
                  </w14:solidFill>
                </w14:textFill>
              </w:rPr>
              <w:t>）构成</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的固体粉末状涂料，</w:t>
            </w:r>
            <w:r>
              <w:rPr>
                <w:rFonts w:hint="eastAsia" w:cs="Times New Roman"/>
                <w:b w:val="0"/>
                <w:bCs w:val="0"/>
                <w:color w:val="000000" w:themeColor="text1"/>
                <w:sz w:val="24"/>
                <w:highlight w:val="none"/>
                <w:lang w:val="en-US" w:eastAsia="zh-CN"/>
                <w14:textFill>
                  <w14:solidFill>
                    <w14:schemeClr w14:val="tx1"/>
                  </w14:solidFill>
                </w14:textFill>
              </w:rPr>
              <w:t>比例分别为60%、4%、30%、4%、2%，不涉及苯、甲苯、二甲苯，</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可用于静电喷涂，可自动或手动喷涂，不溶于水，溶于</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instrText xml:space="preserve"> HYPERLINK "https://baike.baidu.com/item/%E4%B8%99%E9%85%AE/955883?fromModule=lemma_inlink" \t "https://baike.baidu.com/item/%E5%A1%91%E7%B2%89/_blank" </w:instrTex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丙酮</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、酒精等</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instrText xml:space="preserve"> HYPERLINK "https://baike.baidu.com/item/%E6%9C%89%E6%9C%BA%E6%BA%B6%E5%89%82/7921016?fromModule=lemma_inlink" \t "https://baike.baidu.com/item/%E5%A1%91%E7%B2%89/_blank" </w:instrTex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有机溶剂</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中，通过加热后会固定成型，固化温度</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180℃-200℃</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封边胶：</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PUR聚氨酯热熔胶是由</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begin"/>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instrText xml:space="preserve"> HYPERLINK "https://baike.baidu.com/item/%E5%BC%82%E6%B0%B0%E9%85%B8%E9%85%AF/6867007?fromModule=lemma_inlink" \t "https://baike.baidu.com/item/pur/_blank" </w:instrTex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异氰酸酯</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与</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begin"/>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instrText xml:space="preserve"> HYPERLINK "https://baike.baidu.com/item/%E5%A4%9A%E5%85%83%E9%86%87/3422404?fromModule=lemma_inlink" \t "https://baike.baidu.com/item/pur/_blank" </w:instrTex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多元醇</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反应而制成的一种具有</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begin"/>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instrText xml:space="preserve"> HYPERLINK "https://baike.baidu.com/item/%E6%B0%A8%E5%9F%BA%E7%94%B2%E9%85%B8%E9%85%AF/1858193?fromModule=lemma_inlink" \t "https://baike.baidu.com/item/pur/_blank" </w:instrTex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氨基甲酸酯</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begin"/>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instrText xml:space="preserve"> HYPERLINK "https://baike.baidu.com/item/%E9%93%BE%E6%AE%B5/9526628?fromModule=lemma_inlink" \t "https://baike.baidu.com/item/pur/_blank" </w:instrTex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链段</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重复</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begin"/>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instrText xml:space="preserve"> HYPERLINK "https://baike.baidu.com/item/%E7%BB%93%E6%9E%84%E5%8D%95%E5%85%83/7600314?fromModule=lemma_inlink" \t "https://baike.baidu.com/item/pur/_blank" </w:instrTex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结构单元</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的聚合物</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由乙烯-醋酸乙烯共聚树脂、钙粉、增粘树脂构成，比例分别为45%、35%、10%，有</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粘接性和韧性(弹性)可调节</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并有着优异的粘接强度</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耐温性</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耐化学腐蚀性和耐老化性</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熔融温度：</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90℃~100℃，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使用温度：</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120</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~1</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0℃。</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根据检测报告，封边胶中挥发性有机物成分＜5g/kg（检测报告见附件）。</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left"/>
              <w:textAlignment w:val="auto"/>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eastAsia="宋体" w:cs="Times New Roman"/>
                <w:b w:val="0"/>
                <w:bCs w:val="0"/>
                <w:color w:val="000000" w:themeColor="text1"/>
                <w:kern w:val="0"/>
                <w:sz w:val="24"/>
                <w:szCs w:val="24"/>
                <w:highlight w:val="none"/>
                <w:lang w:val="en-US" w:eastAsia="zh-CN" w:bidi="ar-SA"/>
                <w14:textFill>
                  <w14:solidFill>
                    <w14:schemeClr w14:val="tx1"/>
                  </w14:solidFill>
                </w14:textFill>
              </w:rPr>
              <w:t>PVC</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封边条：</w:t>
            </w:r>
            <w:r>
              <w:rPr>
                <w:rFonts w:hint="eastAsia" w:eastAsia="宋体" w:cs="Times New Roman"/>
                <w:b w:val="0"/>
                <w:bCs w:val="0"/>
                <w:color w:val="000000" w:themeColor="text1"/>
                <w:kern w:val="0"/>
                <w:sz w:val="24"/>
                <w:szCs w:val="24"/>
                <w:highlight w:val="none"/>
                <w:lang w:val="en-US" w:eastAsia="zh-CN" w:bidi="ar-SA"/>
                <w14:textFill>
                  <w14:solidFill>
                    <w14:schemeClr w14:val="tx1"/>
                  </w14:solidFill>
                </w14:textFill>
              </w:rPr>
              <w:t>主要成分为</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聚氯乙烯，英文简称PVC（Polyvinyl chloride)，是氯乙烯单体（vinyl chloride monomer，简称VCM）在过氧化物、偶氮化合物等引发剂；或在光、热作用下按自由基聚合反应机理聚合而成的聚合物。氯乙烯均聚物和氯乙烯共聚物统称之为氯乙烯树脂。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sz w:val="24"/>
                <w:highlight w:val="none"/>
                <w14:textFill>
                  <w14:solidFill>
                    <w14:schemeClr w14:val="tx1"/>
                  </w14:solidFill>
                </w14:textFill>
              </w:rPr>
            </w:pPr>
            <w:r>
              <w:rPr>
                <w:rFonts w:hint="default" w:ascii="Times New Roman" w:hAnsi="Times New Roman" w:cs="Times New Roman"/>
                <w:b w:val="0"/>
                <w:bCs w:val="0"/>
                <w:color w:val="000000" w:themeColor="text1"/>
                <w:sz w:val="24"/>
                <w:highlight w:val="none"/>
                <w14:textFill>
                  <w14:solidFill>
                    <w14:schemeClr w14:val="tx1"/>
                  </w14:solidFill>
                </w14:textFill>
              </w:rPr>
              <w:t>5、劳动定员及工作制度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sz w:val="24"/>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eastAsia="zh-CN"/>
                <w14:textFill>
                  <w14:solidFill>
                    <w14:schemeClr w14:val="tx1"/>
                  </w14:solidFill>
                </w14:textFill>
              </w:rPr>
              <w:t>项目</w:t>
            </w:r>
            <w:r>
              <w:rPr>
                <w:rFonts w:hint="eastAsia" w:cs="Times New Roman"/>
                <w:b w:val="0"/>
                <w:bCs w:val="0"/>
                <w:color w:val="000000" w:themeColor="text1"/>
                <w:sz w:val="24"/>
                <w:highlight w:val="none"/>
                <w:lang w:val="en-US" w:eastAsia="zh-CN"/>
                <w14:textFill>
                  <w14:solidFill>
                    <w14:schemeClr w14:val="tx1"/>
                  </w14:solidFill>
                </w14:textFill>
              </w:rPr>
              <w:t>全厂</w:t>
            </w:r>
            <w:r>
              <w:rPr>
                <w:rFonts w:hint="eastAsia" w:ascii="Times New Roman" w:hAnsi="Times New Roman" w:cs="Times New Roman"/>
                <w:b w:val="0"/>
                <w:bCs w:val="0"/>
                <w:color w:val="000000" w:themeColor="text1"/>
                <w:sz w:val="24"/>
                <w:highlight w:val="none"/>
                <w:lang w:eastAsia="zh-CN"/>
                <w14:textFill>
                  <w14:solidFill>
                    <w14:schemeClr w14:val="tx1"/>
                  </w14:solidFill>
                </w14:textFill>
              </w:rPr>
              <w:t>劳动定员</w:t>
            </w:r>
            <w:r>
              <w:rPr>
                <w:rFonts w:hint="eastAsia" w:cs="Times New Roman"/>
                <w:b w:val="0"/>
                <w:bCs w:val="0"/>
                <w:color w:val="000000" w:themeColor="text1"/>
                <w:sz w:val="24"/>
                <w:highlight w:val="none"/>
                <w:lang w:val="en-US" w:eastAsia="zh-CN"/>
                <w14:textFill>
                  <w14:solidFill>
                    <w14:schemeClr w14:val="tx1"/>
                  </w14:solidFill>
                </w14:textFill>
              </w:rPr>
              <w:t>为80人，</w:t>
            </w:r>
            <w:r>
              <w:rPr>
                <w:rFonts w:hint="default" w:ascii="Times New Roman" w:hAnsi="Times New Roman" w:cs="Times New Roman"/>
                <w:b w:val="0"/>
                <w:bCs w:val="0"/>
                <w:color w:val="000000" w:themeColor="text1"/>
                <w:sz w:val="24"/>
                <w:highlight w:val="none"/>
                <w14:textFill>
                  <w14:solidFill>
                    <w14:schemeClr w14:val="tx1"/>
                  </w14:solidFill>
                </w14:textFill>
              </w:rPr>
              <w:t>年生产3</w:t>
            </w:r>
            <w:r>
              <w:rPr>
                <w:rFonts w:hint="eastAsia" w:cs="Times New Roman"/>
                <w:b w:val="0"/>
                <w:bCs w:val="0"/>
                <w:color w:val="000000" w:themeColor="text1"/>
                <w:sz w:val="24"/>
                <w:highlight w:val="none"/>
                <w:lang w:val="en-US" w:eastAsia="zh-CN"/>
                <w14:textFill>
                  <w14:solidFill>
                    <w14:schemeClr w14:val="tx1"/>
                  </w14:solidFill>
                </w14:textFill>
              </w:rPr>
              <w:t>3</w:t>
            </w:r>
            <w:r>
              <w:rPr>
                <w:rFonts w:hint="default" w:ascii="Times New Roman" w:hAnsi="Times New Roman" w:cs="Times New Roman"/>
                <w:b w:val="0"/>
                <w:bCs w:val="0"/>
                <w:color w:val="000000" w:themeColor="text1"/>
                <w:sz w:val="24"/>
                <w:highlight w:val="none"/>
                <w14:textFill>
                  <w14:solidFill>
                    <w14:schemeClr w14:val="tx1"/>
                  </w14:solidFill>
                </w14:textFill>
              </w:rPr>
              <w:t>0天，每天</w:t>
            </w:r>
            <w:r>
              <w:rPr>
                <w:rFonts w:hint="eastAsia" w:cs="Times New Roman"/>
                <w:b w:val="0"/>
                <w:bCs w:val="0"/>
                <w:color w:val="000000" w:themeColor="text1"/>
                <w:sz w:val="24"/>
                <w:highlight w:val="none"/>
                <w:lang w:eastAsia="zh-CN"/>
                <w14:textFill>
                  <w14:solidFill>
                    <w14:schemeClr w14:val="tx1"/>
                  </w14:solidFill>
                </w14:textFill>
              </w:rPr>
              <w:t>一</w:t>
            </w:r>
            <w:r>
              <w:rPr>
                <w:rFonts w:hint="default" w:ascii="Times New Roman" w:hAnsi="Times New Roman" w:cs="Times New Roman"/>
                <w:b w:val="0"/>
                <w:bCs w:val="0"/>
                <w:color w:val="000000" w:themeColor="text1"/>
                <w:sz w:val="24"/>
                <w:highlight w:val="none"/>
                <w14:textFill>
                  <w14:solidFill>
                    <w14:schemeClr w14:val="tx1"/>
                  </w14:solidFill>
                </w14:textFill>
              </w:rPr>
              <w:t>班，每班工作</w:t>
            </w:r>
            <w:r>
              <w:rPr>
                <w:rFonts w:hint="eastAsia" w:cs="Times New Roman"/>
                <w:b w:val="0"/>
                <w:bCs w:val="0"/>
                <w:color w:val="000000" w:themeColor="text1"/>
                <w:sz w:val="24"/>
                <w:highlight w:val="none"/>
                <w:lang w:val="en-US" w:eastAsia="zh-CN"/>
                <w14:textFill>
                  <w14:solidFill>
                    <w14:schemeClr w14:val="tx1"/>
                  </w14:solidFill>
                </w14:textFill>
              </w:rPr>
              <w:t>8</w:t>
            </w:r>
            <w:r>
              <w:rPr>
                <w:rFonts w:hint="default" w:ascii="Times New Roman" w:hAnsi="Times New Roman" w:cs="Times New Roman"/>
                <w:b w:val="0"/>
                <w:bCs w:val="0"/>
                <w:color w:val="000000" w:themeColor="text1"/>
                <w:sz w:val="24"/>
                <w:highlight w:val="none"/>
                <w14:textFill>
                  <w14:solidFill>
                    <w14:schemeClr w14:val="tx1"/>
                  </w14:solidFill>
                </w14:textFill>
              </w:rPr>
              <w:t>小时。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sz w:val="24"/>
                <w:highlight w:val="none"/>
                <w14:textFill>
                  <w14:solidFill>
                    <w14:schemeClr w14:val="tx1"/>
                  </w14:solidFill>
                </w14:textFill>
              </w:rPr>
            </w:pPr>
            <w:r>
              <w:rPr>
                <w:rFonts w:hint="default" w:ascii="Times New Roman" w:hAnsi="Times New Roman" w:cs="Times New Roman"/>
                <w:b w:val="0"/>
                <w:bCs w:val="0"/>
                <w:color w:val="000000" w:themeColor="text1"/>
                <w:sz w:val="24"/>
                <w:highlight w:val="none"/>
                <w14:textFill>
                  <w14:solidFill>
                    <w14:schemeClr w14:val="tx1"/>
                  </w14:solidFill>
                </w14:textFill>
              </w:rPr>
              <w:t>6、平面布置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14:textFill>
                  <w14:solidFill>
                    <w14:schemeClr w14:val="tx1"/>
                  </w14:solidFill>
                </w14:textFill>
              </w:rPr>
              <w:t>项目</w:t>
            </w:r>
            <w:r>
              <w:rPr>
                <w:rFonts w:hint="eastAsia" w:cs="Times New Roman"/>
                <w:b w:val="0"/>
                <w:bCs w:val="0"/>
                <w:color w:val="000000" w:themeColor="text1"/>
                <w:sz w:val="24"/>
                <w:highlight w:val="none"/>
                <w:lang w:val="en-US" w:eastAsia="zh-CN"/>
                <w14:textFill>
                  <w14:solidFill>
                    <w14:schemeClr w14:val="tx1"/>
                  </w14:solidFill>
                </w14:textFill>
              </w:rPr>
              <w:t>厂区共由3个车间组成，厂区西南为铁制家具生产车间，铁制家具东北侧为库房，库房东南侧为木质家具生产车间。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铁制家具生产车间北侧自西北向东南分别为喷粉区、成品区、包装区、简介区、展厅区，中部自西北向东南分别为冲压区、原辅料区、样品展示区、办公区、员工休息去、五金区、库房区，南部自西北向东南分别为二氧化碳区、废品区、焊接区、下料区、叉车区</w:t>
            </w:r>
            <w:r>
              <w:rPr>
                <w:rFonts w:hint="default" w:ascii="Times New Roman" w:hAnsi="Times New Roman" w:cs="Times New Roman"/>
                <w:color w:val="000000" w:themeColor="text1"/>
                <w:sz w:val="24"/>
                <w:highlight w:val="none"/>
                <w14:textFill>
                  <w14:solidFill>
                    <w14:schemeClr w14:val="tx1"/>
                  </w14:solidFill>
                </w14:textFill>
              </w:rPr>
              <w:t>。</w:t>
            </w:r>
          </w:p>
          <w:p>
            <w:pPr>
              <w:pStyle w:val="6"/>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木质家具生产车间</w:t>
            </w:r>
            <w:r>
              <w:rPr>
                <w:rFonts w:hint="eastAsia" w:cs="Times New Roman"/>
                <w:color w:val="000000" w:themeColor="text1"/>
                <w:kern w:val="2"/>
                <w:sz w:val="24"/>
                <w:szCs w:val="24"/>
                <w:highlight w:val="none"/>
                <w:lang w:val="en-US" w:eastAsia="zh-CN" w:bidi="ar-SA"/>
                <w14:textFill>
                  <w14:solidFill>
                    <w14:schemeClr w14:val="tx1"/>
                  </w14:solidFill>
                </w14:textFill>
              </w:rPr>
              <w:t>北侧</w:t>
            </w:r>
            <w:r>
              <w:rPr>
                <w:rFonts w:hint="eastAsia" w:cs="Times New Roman"/>
                <w:b w:val="0"/>
                <w:bCs w:val="0"/>
                <w:color w:val="000000" w:themeColor="text1"/>
                <w:sz w:val="24"/>
                <w:highlight w:val="none"/>
                <w:lang w:val="en-US" w:eastAsia="zh-CN"/>
                <w14:textFill>
                  <w14:solidFill>
                    <w14:schemeClr w14:val="tx1"/>
                  </w14:solidFill>
                </w14:textFill>
              </w:rPr>
              <w:t>自西北向东南分别</w:t>
            </w:r>
            <w:r>
              <w:rPr>
                <w:rFonts w:hint="eastAsia" w:cs="Times New Roman"/>
                <w:color w:val="000000" w:themeColor="text1"/>
                <w:kern w:val="2"/>
                <w:sz w:val="24"/>
                <w:szCs w:val="24"/>
                <w:highlight w:val="none"/>
                <w:lang w:val="en-US" w:eastAsia="zh-CN" w:bidi="ar-SA"/>
                <w14:textFill>
                  <w14:solidFill>
                    <w14:schemeClr w14:val="tx1"/>
                  </w14:solidFill>
                </w14:textFill>
              </w:rPr>
              <w:t>为库房、废品区；车间中部</w:t>
            </w:r>
            <w:r>
              <w:rPr>
                <w:rFonts w:hint="eastAsia" w:cs="Times New Roman"/>
                <w:b w:val="0"/>
                <w:bCs w:val="0"/>
                <w:color w:val="000000" w:themeColor="text1"/>
                <w:sz w:val="24"/>
                <w:highlight w:val="none"/>
                <w:lang w:val="en-US" w:eastAsia="zh-CN"/>
                <w14:textFill>
                  <w14:solidFill>
                    <w14:schemeClr w14:val="tx1"/>
                  </w14:solidFill>
                </w14:textFill>
              </w:rPr>
              <w:t>自西北向东南分别</w:t>
            </w:r>
            <w:r>
              <w:rPr>
                <w:rFonts w:hint="eastAsia" w:cs="Times New Roman"/>
                <w:color w:val="000000" w:themeColor="text1"/>
                <w:kern w:val="2"/>
                <w:sz w:val="24"/>
                <w:szCs w:val="24"/>
                <w:highlight w:val="none"/>
                <w:lang w:val="en-US" w:eastAsia="zh-CN" w:bidi="ar-SA"/>
                <w14:textFill>
                  <w14:solidFill>
                    <w14:schemeClr w14:val="tx1"/>
                  </w14:solidFill>
                </w14:textFill>
              </w:rPr>
              <w:t>为展厅区、待发货区、修边擦板区、打包区、打孔区、封边区、开料区、临时板材存放区；车间南部</w:t>
            </w:r>
            <w:r>
              <w:rPr>
                <w:rFonts w:hint="eastAsia" w:cs="Times New Roman"/>
                <w:b w:val="0"/>
                <w:bCs w:val="0"/>
                <w:color w:val="000000" w:themeColor="text1"/>
                <w:sz w:val="24"/>
                <w:highlight w:val="none"/>
                <w:lang w:val="en-US" w:eastAsia="zh-CN"/>
                <w14:textFill>
                  <w14:solidFill>
                    <w14:schemeClr w14:val="tx1"/>
                  </w14:solidFill>
                </w14:textFill>
              </w:rPr>
              <w:t>自西北向东南分别</w:t>
            </w:r>
            <w:r>
              <w:rPr>
                <w:rFonts w:hint="eastAsia" w:cs="Times New Roman"/>
                <w:color w:val="000000" w:themeColor="text1"/>
                <w:kern w:val="2"/>
                <w:sz w:val="24"/>
                <w:szCs w:val="24"/>
                <w:highlight w:val="none"/>
                <w:lang w:val="en-US" w:eastAsia="zh-CN" w:bidi="ar-SA"/>
                <w14:textFill>
                  <w14:solidFill>
                    <w14:schemeClr w14:val="tx1"/>
                  </w14:solidFill>
                </w14:textFill>
              </w:rPr>
              <w:t>为储物区、办公区、成品区、库存板材货架区。</w:t>
            </w:r>
          </w:p>
          <w:p>
            <w:pPr>
              <w:pStyle w:val="13"/>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textAlignment w:val="auto"/>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库房南部和东部均为库存板材货架区，危废间位于库房东北角。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color w:val="000000" w:themeColor="text1"/>
                <w:sz w:val="24"/>
                <w:highlight w:val="none"/>
                <w:lang w:eastAsia="zh-CN"/>
                <w14:textFill>
                  <w14:solidFill>
                    <w14:schemeClr w14:val="tx1"/>
                  </w14:solidFill>
                </w14:textFill>
              </w:rPr>
            </w:pPr>
            <w:r>
              <w:rPr>
                <w:rFonts w:hint="default" w:ascii="Times New Roman" w:hAnsi="Times New Roman" w:cs="Times New Roman"/>
                <w:b w:val="0"/>
                <w:bCs/>
                <w:color w:val="000000" w:themeColor="text1"/>
                <w:sz w:val="24"/>
                <w:highlight w:val="none"/>
                <w14:textFill>
                  <w14:solidFill>
                    <w14:schemeClr w14:val="tx1"/>
                  </w14:solidFill>
                </w14:textFill>
              </w:rPr>
              <w:t>7、</w:t>
            </w:r>
            <w:r>
              <w:rPr>
                <w:rFonts w:hint="eastAsia" w:cs="Times New Roman"/>
                <w:b w:val="0"/>
                <w:bCs/>
                <w:color w:val="000000" w:themeColor="text1"/>
                <w:sz w:val="24"/>
                <w:highlight w:val="none"/>
                <w:lang w:eastAsia="zh-CN"/>
                <w14:textFill>
                  <w14:solidFill>
                    <w14:schemeClr w14:val="tx1"/>
                  </w14:solidFill>
                </w14:textFill>
              </w:rPr>
              <w:t>给排水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000000" w:themeColor="text1"/>
                <w:sz w:val="24"/>
                <w:highlight w:val="none"/>
                <w14:textFill>
                  <w14:solidFill>
                    <w14:schemeClr w14:val="tx1"/>
                  </w14:solidFill>
                </w14:textFill>
              </w:rPr>
            </w:pPr>
            <w:r>
              <w:rPr>
                <w:rFonts w:hint="eastAsia" w:cs="Times New Roman"/>
                <w:b w:val="0"/>
                <w:bCs/>
                <w:color w:val="000000" w:themeColor="text1"/>
                <w:sz w:val="24"/>
                <w:highlight w:val="none"/>
                <w:lang w:eastAsia="zh-CN"/>
                <w14:textFill>
                  <w14:solidFill>
                    <w14:schemeClr w14:val="tx1"/>
                  </w14:solidFill>
                </w14:textFill>
              </w:rPr>
              <w:t>（</w:t>
            </w:r>
            <w:r>
              <w:rPr>
                <w:rFonts w:hint="eastAsia" w:cs="Times New Roman"/>
                <w:b w:val="0"/>
                <w:bCs/>
                <w:color w:val="000000" w:themeColor="text1"/>
                <w:sz w:val="24"/>
                <w:highlight w:val="none"/>
                <w:lang w:val="en-US" w:eastAsia="zh-CN"/>
                <w14:textFill>
                  <w14:solidFill>
                    <w14:schemeClr w14:val="tx1"/>
                  </w14:solidFill>
                </w14:textFill>
              </w:rPr>
              <w:t>1</w:t>
            </w:r>
            <w:r>
              <w:rPr>
                <w:rFonts w:hint="eastAsia"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highlight w:val="none"/>
                <w14:textFill>
                  <w14:solidFill>
                    <w14:schemeClr w14:val="tx1"/>
                  </w14:solidFill>
                </w14:textFill>
              </w:rPr>
              <w:t>给水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项目用水主要为职工生活用水，本项目用水由</w:t>
            </w:r>
            <w:r>
              <w:rPr>
                <w:rFonts w:hint="eastAsia"/>
                <w:color w:val="000000" w:themeColor="text1"/>
                <w:spacing w:val="-10"/>
                <w:sz w:val="24"/>
                <w:szCs w:val="24"/>
                <w:highlight w:val="none"/>
                <w14:textFill>
                  <w14:solidFill>
                    <w14:schemeClr w14:val="tx1"/>
                  </w14:solidFill>
                </w14:textFill>
              </w:rPr>
              <w:t>宽城满族自治县长源供水有限公司</w:t>
            </w:r>
            <w:r>
              <w:rPr>
                <w:rFonts w:hint="eastAsia"/>
                <w:color w:val="000000" w:themeColor="text1"/>
                <w:spacing w:val="-10"/>
                <w:sz w:val="24"/>
                <w:szCs w:val="24"/>
                <w:highlight w:val="none"/>
                <w:lang w:eastAsia="zh-CN"/>
                <w14:textFill>
                  <w14:solidFill>
                    <w14:schemeClr w14:val="tx1"/>
                  </w14:solidFill>
                </w14:textFill>
              </w:rPr>
              <w:t>提供</w:t>
            </w:r>
            <w:r>
              <w:rPr>
                <w:rFonts w:hint="eastAsia"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本项目劳动定员</w:t>
            </w:r>
            <w:r>
              <w:rPr>
                <w:rFonts w:hint="eastAsia" w:cs="Times New Roman"/>
                <w:color w:val="000000" w:themeColor="text1"/>
                <w:sz w:val="24"/>
                <w:szCs w:val="24"/>
                <w:highlight w:val="none"/>
                <w:lang w:val="en-US" w:eastAsia="zh-CN"/>
                <w14:textFill>
                  <w14:solidFill>
                    <w14:schemeClr w14:val="tx1"/>
                  </w14:solidFill>
                </w14:textFill>
              </w:rPr>
              <w:t>80人，</w:t>
            </w:r>
            <w:r>
              <w:rPr>
                <w:rFonts w:hint="default" w:ascii="Times New Roman" w:hAnsi="Times New Roman" w:cs="Times New Roman"/>
                <w:color w:val="000000" w:themeColor="text1"/>
                <w:sz w:val="24"/>
                <w:szCs w:val="24"/>
                <w:highlight w:val="none"/>
                <w14:textFill>
                  <w14:solidFill>
                    <w14:schemeClr w14:val="tx1"/>
                  </w14:solidFill>
                </w14:textFill>
              </w:rPr>
              <w:t>用水定额</w:t>
            </w:r>
            <w:r>
              <w:rPr>
                <w:rFonts w:hint="eastAsia" w:ascii="Times New Roman" w:hAnsi="Times New Roman" w:cs="Times New Roman"/>
                <w:color w:val="000000" w:themeColor="text1"/>
                <w:sz w:val="24"/>
                <w:szCs w:val="24"/>
                <w:highlight w:val="none"/>
                <w:lang w:eastAsia="zh-CN"/>
                <w14:textFill>
                  <w14:solidFill>
                    <w14:schemeClr w14:val="tx1"/>
                  </w14:solidFill>
                </w14:textFill>
              </w:rPr>
              <w:t>参照《河北省地方标准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highlight w:val="none"/>
                <w:lang w:eastAsia="zh-CN"/>
                <w14:textFill>
                  <w14:solidFill>
                    <w14:schemeClr w14:val="tx1"/>
                  </w14:solidFill>
                </w14:textFill>
              </w:rPr>
              <w:t>生活与服务业用水定额</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 第一部分：居民生活</w:t>
            </w:r>
            <w:r>
              <w:rPr>
                <w:rFonts w:hint="eastAsia" w:ascii="Times New Roman" w:hAnsi="Times New Roman" w:cs="Times New Roman"/>
                <w:color w:val="000000" w:themeColor="text1"/>
                <w:sz w:val="24"/>
                <w:szCs w:val="24"/>
                <w:highlight w:val="none"/>
                <w:lang w:eastAsia="zh-CN"/>
                <w14:textFill>
                  <w14:solidFill>
                    <w14:schemeClr w14:val="tx1"/>
                  </w14:solidFill>
                </w14:textFill>
              </w:rPr>
              <w:t>》（DB13/T 5450.2—2021），</w:t>
            </w:r>
            <w:r>
              <w:rPr>
                <w:rFonts w:hint="eastAsia" w:cs="Times New Roman"/>
                <w:color w:val="000000" w:themeColor="text1"/>
                <w:sz w:val="24"/>
                <w:szCs w:val="24"/>
                <w:highlight w:val="none"/>
                <w:lang w:eastAsia="zh-CN"/>
                <w14:textFill>
                  <w14:solidFill>
                    <w14:schemeClr w14:val="tx1"/>
                  </w14:solidFill>
                </w14:textFill>
              </w:rPr>
              <w:t>职工日常生活用水</w:t>
            </w:r>
            <w:r>
              <w:rPr>
                <w:rFonts w:hint="default" w:ascii="Times New Roman" w:hAnsi="Times New Roman" w:cs="Times New Roman"/>
                <w:color w:val="000000" w:themeColor="text1"/>
                <w:sz w:val="24"/>
                <w:szCs w:val="24"/>
                <w:highlight w:val="none"/>
                <w14:textFill>
                  <w14:solidFill>
                    <w14:schemeClr w14:val="tx1"/>
                  </w14:solidFill>
                </w14:textFill>
              </w:rPr>
              <w:t>按</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0</w:t>
            </w:r>
            <w:r>
              <w:rPr>
                <w:rFonts w:hint="default" w:ascii="Times New Roman"/>
                <w:color w:val="000000" w:themeColor="text1"/>
                <w:sz w:val="24"/>
                <w:szCs w:val="24"/>
                <w:highlight w:val="none"/>
                <w14:textFill>
                  <w14:solidFill>
                    <w14:schemeClr w14:val="tx1"/>
                  </w14:solidFill>
                </w14:textFill>
              </w:rPr>
              <w:t>m</w:t>
            </w:r>
            <w:r>
              <w:rPr>
                <w:rFonts w:hint="default" w:ascii="Times New Roman"/>
                <w:color w:val="000000" w:themeColor="text1"/>
                <w:sz w:val="24"/>
                <w:szCs w:val="24"/>
                <w:highlight w:val="none"/>
                <w:vertAlign w:val="superscript"/>
                <w14:textFill>
                  <w14:solidFill>
                    <w14:schemeClr w14:val="tx1"/>
                  </w14:solidFill>
                </w14:textFill>
              </w:rPr>
              <w:t>3</w:t>
            </w:r>
            <w:r>
              <w:rPr>
                <w:rFonts w:hint="default" w:ascii="Times New Roman"/>
                <w:color w:val="000000" w:themeColor="text1"/>
                <w:sz w:val="24"/>
                <w:szCs w:val="24"/>
                <w:highlight w:val="none"/>
                <w14:textFill>
                  <w14:solidFill>
                    <w14:schemeClr w14:val="tx1"/>
                  </w14:solidFill>
                </w14:textFill>
              </w:rPr>
              <w:t>/人·a</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则</w:t>
            </w:r>
            <w:r>
              <w:rPr>
                <w:rFonts w:hint="default" w:ascii="Times New Roman" w:hAnsi="Times New Roman" w:cs="Times New Roman"/>
                <w:color w:val="000000" w:themeColor="text1"/>
                <w:sz w:val="24"/>
                <w:szCs w:val="24"/>
                <w:highlight w:val="none"/>
                <w14:textFill>
                  <w14:solidFill>
                    <w14:schemeClr w14:val="tx1"/>
                  </w14:solidFill>
                </w14:textFill>
              </w:rPr>
              <w:t>用水量为</w:t>
            </w:r>
            <w:r>
              <w:rPr>
                <w:rFonts w:hint="eastAsia" w:cs="Times New Roman"/>
                <w:color w:val="000000" w:themeColor="text1"/>
                <w:sz w:val="24"/>
                <w:szCs w:val="24"/>
                <w:highlight w:val="none"/>
                <w:lang w:val="en-US" w:eastAsia="zh-CN"/>
                <w14:textFill>
                  <w14:solidFill>
                    <w14:schemeClr w14:val="tx1"/>
                  </w14:solidFill>
                </w14:textFill>
              </w:rPr>
              <w:t>4.85</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/d</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1600</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/a</w:t>
            </w:r>
            <w:r>
              <w:rPr>
                <w:rFonts w:hint="eastAsia"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pPr>
            <w:r>
              <w:rPr>
                <w:rFonts w:hint="eastAsia" w:cs="Times New Roman"/>
                <w:b w:val="0"/>
                <w:bCs w:val="0"/>
                <w:color w:val="000000" w:themeColor="text1"/>
                <w:sz w:val="24"/>
                <w:szCs w:val="24"/>
                <w:highlight w:val="none"/>
                <w:lang w:eastAsia="zh-CN"/>
                <w14:textFill>
                  <w14:solidFill>
                    <w14:schemeClr w14:val="tx1"/>
                  </w14:solidFill>
                </w14:textFill>
              </w:rPr>
              <w:t>（</w:t>
            </w:r>
            <w:r>
              <w:rPr>
                <w:rFonts w:hint="eastAsia" w:cs="Times New Roman"/>
                <w:b w:val="0"/>
                <w:bCs w:val="0"/>
                <w:color w:val="000000" w:themeColor="text1"/>
                <w:sz w:val="24"/>
                <w:szCs w:val="24"/>
                <w:highlight w:val="none"/>
                <w:lang w:val="en-US" w:eastAsia="zh-CN"/>
                <w14:textFill>
                  <w14:solidFill>
                    <w14:schemeClr w14:val="tx1"/>
                  </w14:solidFill>
                </w14:textFill>
              </w:rPr>
              <w:t>2</w:t>
            </w:r>
            <w:r>
              <w:rPr>
                <w:rFonts w:hint="eastAsia" w:cs="Times New Roman"/>
                <w:b w:val="0"/>
                <w:bCs w:val="0"/>
                <w:color w:val="000000" w:themeColor="text1"/>
                <w:sz w:val="24"/>
                <w:szCs w:val="24"/>
                <w:highlight w:val="none"/>
                <w:lang w:eastAsia="zh-CN"/>
                <w14:textFill>
                  <w14:solidFill>
                    <w14:schemeClr w14:val="tx1"/>
                  </w14:solidFill>
                </w14:textFill>
              </w:rPr>
              <w:t>）排水</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项目运营期废水为员工生活</w:t>
            </w:r>
            <w:r>
              <w:rPr>
                <w:rFonts w:hint="eastAsia" w:cs="Times New Roman"/>
                <w:color w:val="000000" w:themeColor="text1"/>
                <w:sz w:val="24"/>
                <w:szCs w:val="24"/>
                <w:highlight w:val="none"/>
                <w:lang w:eastAsia="zh-CN"/>
                <w14:textFill>
                  <w14:solidFill>
                    <w14:schemeClr w14:val="tx1"/>
                  </w14:solidFill>
                </w14:textFill>
              </w:rPr>
              <w:t>污水</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员工生活污水产生量按用水量的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80%计，则员工生活污水产生量为3.88m³/d（1280.4m³/a）。员工生活污水经化粪池不外排，定期抽运，用于农田施肥。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w:t>
            </w:r>
            <w:r>
              <w:rPr>
                <w:rFonts w:hint="default" w:ascii="Times New Roman" w:hAnsi="Times New Roman" w:cs="Times New Roman"/>
                <w:color w:val="000000" w:themeColor="text1"/>
                <w:sz w:val="24"/>
                <w:szCs w:val="24"/>
                <w:highlight w:val="none"/>
                <w:lang w:eastAsia="zh-CN"/>
                <w14:textFill>
                  <w14:solidFill>
                    <w14:schemeClr w14:val="tx1"/>
                  </w14:solidFill>
                </w14:textFill>
              </w:rPr>
              <w:t>水平衡详</w:t>
            </w:r>
            <w:r>
              <w:rPr>
                <w:rFonts w:hint="default" w:ascii="Times New Roman" w:hAnsi="Times New Roman" w:cs="Times New Roman"/>
                <w:color w:val="000000" w:themeColor="text1"/>
                <w:sz w:val="24"/>
                <w:szCs w:val="24"/>
                <w:highlight w:val="none"/>
                <w14:textFill>
                  <w14:solidFill>
                    <w14:schemeClr w14:val="tx1"/>
                  </w14:solidFill>
                </w14:textFill>
              </w:rPr>
              <w:t>见表</w:t>
            </w:r>
            <w:r>
              <w:rPr>
                <w:rFonts w:hint="eastAsia"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水平衡图见图2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p>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表</w:t>
            </w: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 xml:space="preserve">2-5  </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项目</w:t>
            </w:r>
            <w:r>
              <w:rPr>
                <w:rFonts w:hint="default" w:ascii="Times New Roman" w:hAnsi="Times New Roman" w:eastAsia="黑体" w:cs="Times New Roman"/>
                <w:b w:val="0"/>
                <w:bCs w:val="0"/>
                <w:color w:val="000000" w:themeColor="text1"/>
                <w:sz w:val="24"/>
                <w:szCs w:val="24"/>
                <w:highlight w:val="none"/>
                <w:lang w:eastAsia="zh-CN"/>
                <w14:textFill>
                  <w14:solidFill>
                    <w14:schemeClr w14:val="tx1"/>
                  </w14:solidFill>
                </w14:textFill>
              </w:rPr>
              <w:t>给排水</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情况一览表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212"/>
              <w:gridCol w:w="1627"/>
              <w:gridCol w:w="1812"/>
              <w:gridCol w:w="1604"/>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序号</w:t>
                  </w:r>
                </w:p>
              </w:tc>
              <w:tc>
                <w:tcPr>
                  <w:tcW w:w="1212"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类别</w:t>
                  </w:r>
                </w:p>
              </w:tc>
              <w:tc>
                <w:tcPr>
                  <w:tcW w:w="1627"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新鲜水用量</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/（m³/d）</w:t>
                  </w:r>
                </w:p>
              </w:tc>
              <w:tc>
                <w:tcPr>
                  <w:tcW w:w="1812"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回用水量</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/（m³/d）</w:t>
                  </w:r>
                </w:p>
              </w:tc>
              <w:tc>
                <w:tcPr>
                  <w:tcW w:w="1604"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消耗量</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/（m³/d）</w:t>
                  </w:r>
                </w:p>
              </w:tc>
              <w:tc>
                <w:tcPr>
                  <w:tcW w:w="1607"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产生量</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14"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12"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生活用水</w:t>
                  </w:r>
                </w:p>
              </w:tc>
              <w:tc>
                <w:tcPr>
                  <w:tcW w:w="1627"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4.85</w:t>
                  </w:r>
                </w:p>
              </w:tc>
              <w:tc>
                <w:tcPr>
                  <w:tcW w:w="1812"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604"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0.97</w:t>
                  </w:r>
                </w:p>
              </w:tc>
              <w:tc>
                <w:tcPr>
                  <w:tcW w:w="1607"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212"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1627"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4.85</w:t>
                  </w:r>
                </w:p>
              </w:tc>
              <w:tc>
                <w:tcPr>
                  <w:tcW w:w="1812"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604"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0.97</w:t>
                  </w:r>
                </w:p>
              </w:tc>
              <w:tc>
                <w:tcPr>
                  <w:tcW w:w="1607" w:type="dxa"/>
                  <w:vAlign w:val="center"/>
                </w:tcPr>
                <w:p>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3.88</w:t>
                  </w:r>
                </w:p>
              </w:tc>
            </w:tr>
          </w:tbl>
          <w:p>
            <w:pPr>
              <w:pStyle w:val="4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2402205</wp:posOffset>
                      </wp:positionH>
                      <wp:positionV relativeFrom="paragraph">
                        <wp:posOffset>106680</wp:posOffset>
                      </wp:positionV>
                      <wp:extent cx="581025" cy="252095"/>
                      <wp:effectExtent l="0" t="0" r="0" b="0"/>
                      <wp:wrapNone/>
                      <wp:docPr id="24" name="文本框 24"/>
                      <wp:cNvGraphicFramePr/>
                      <a:graphic xmlns:a="http://schemas.openxmlformats.org/drawingml/2006/main">
                        <a:graphicData uri="http://schemas.microsoft.com/office/word/2010/wordprocessingShape">
                          <wps:wsp>
                            <wps:cNvSpPr txBox="1"/>
                            <wps:spPr>
                              <a:xfrm>
                                <a:off x="3124200" y="2337435"/>
                                <a:ext cx="581025"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15pt;margin-top:8.4pt;height:19.85pt;width:45.75pt;z-index:251694080;mso-width-relative:page;mso-height-relative:page;" filled="f" stroked="f" coordsize="21600,21600" o:gfxdata="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y4bFXaAAAACQEAAA8AAAAAAAAA&#10;AQAgAAAAIgAAAGRycy9kb3ducmV2LnhtbFBLAQIUABQAAAAIAIdO4kC5CE1bSAIAAHMEAAAOAAAA&#10;AAAAAAEAIAAAACk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0.97</w:t>
                            </w:r>
                          </w:p>
                        </w:txbxContent>
                      </v:textbox>
                    </v:shape>
                  </w:pict>
                </mc:Fallback>
              </mc:AlternateContent>
            </w:r>
          </w:p>
          <w:p>
            <w:pPr>
              <w:pStyle w:val="4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711200</wp:posOffset>
                      </wp:positionH>
                      <wp:positionV relativeFrom="paragraph">
                        <wp:posOffset>138430</wp:posOffset>
                      </wp:positionV>
                      <wp:extent cx="772160" cy="316865"/>
                      <wp:effectExtent l="4445" t="4445" r="23495" b="21590"/>
                      <wp:wrapNone/>
                      <wp:docPr id="5" name="文本框 5"/>
                      <wp:cNvGraphicFramePr/>
                      <a:graphic xmlns:a="http://schemas.openxmlformats.org/drawingml/2006/main">
                        <a:graphicData uri="http://schemas.microsoft.com/office/word/2010/wordprocessingShape">
                          <wps:wsp>
                            <wps:cNvSpPr txBox="1"/>
                            <wps:spPr>
                              <a:xfrm>
                                <a:off x="1838325" y="2569210"/>
                                <a:ext cx="772160" cy="31686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lang w:eastAsia="zh-CN"/>
                                    </w:rPr>
                                  </w:pPr>
                                  <w:r>
                                    <w:rPr>
                                      <w:rFonts w:hint="eastAsia"/>
                                      <w:lang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10.9pt;height:24.95pt;width:60.8pt;z-index:251688960;mso-width-relative:page;mso-height-relative:page;" filled="f" stroked="t" coordsize="21600,21600" o:gfxdata="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HQVZ9kAAAAJAQAADwAAAAAAAAABACAAAAAiAAAAZHJzL2Rvd25yZXYueG1sUEsBAhQAFAAAAAgA&#10;h07iQCdi8YNdAgAAmQQAAA4AAAAAAAAAAQAgAAAAKAEAAGRycy9lMm9Eb2MueG1sUEsFBgAAAAAG&#10;AAYAWQEAAPcFA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lang w:eastAsia="zh-CN"/>
                              </w:rPr>
                            </w:pPr>
                            <w:r>
                              <w:rPr>
                                <w:rFonts w:hint="eastAsia"/>
                                <w:lang w:eastAsia="zh-CN"/>
                              </w:rPr>
                              <w:t>新鲜水</w:t>
                            </w:r>
                          </w:p>
                        </w:txbxContent>
                      </v:textbox>
                    </v:shape>
                  </w:pict>
                </mc:Fallback>
              </mc:AlternateContent>
            </w: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1838960</wp:posOffset>
                      </wp:positionH>
                      <wp:positionV relativeFrom="paragraph">
                        <wp:posOffset>138430</wp:posOffset>
                      </wp:positionV>
                      <wp:extent cx="1322705" cy="316865"/>
                      <wp:effectExtent l="4445" t="4445" r="6350" b="21590"/>
                      <wp:wrapNone/>
                      <wp:docPr id="16" name="文本框 16"/>
                      <wp:cNvGraphicFramePr/>
                      <a:graphic xmlns:a="http://schemas.openxmlformats.org/drawingml/2006/main">
                        <a:graphicData uri="http://schemas.microsoft.com/office/word/2010/wordprocessingShape">
                          <wps:wsp>
                            <wps:cNvSpPr txBox="1"/>
                            <wps:spPr>
                              <a:xfrm>
                                <a:off x="0" y="0"/>
                                <a:ext cx="1322705" cy="31686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lang w:eastAsia="zh-CN"/>
                                    </w:rPr>
                                  </w:pPr>
                                  <w:r>
                                    <w:rPr>
                                      <w:rFonts w:hint="eastAsia"/>
                                      <w:lang w:eastAsia="zh-CN"/>
                                    </w:rPr>
                                    <w:t>职工生活用水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8pt;margin-top:10.9pt;height:24.95pt;width:104.15pt;z-index:251691008;mso-width-relative:page;mso-height-relative:page;" filled="f" stroked="t" coordsize="21600,21600" o:gfxdata="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sU1w9oAAAAJAQAA&#10;DwAAAAAAAAABACAAAAAiAAAAZHJzL2Rvd25yZXYueG1sUEsBAhQAFAAAAAgAh07iQBJ8AtNQAgAA&#10;kAQAAA4AAAAAAAAAAQAgAAAAKQEAAGRycy9lMm9Eb2MueG1sUEsFBgAAAAAGAAYAWQEAAOsFAAAA&#10;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lang w:eastAsia="zh-CN"/>
                              </w:rPr>
                            </w:pPr>
                            <w:r>
                              <w:rPr>
                                <w:rFonts w:hint="eastAsia"/>
                                <w:lang w:eastAsia="zh-CN"/>
                              </w:rPr>
                              <w:t>职工生活用水</w:t>
                            </w:r>
                          </w:p>
                        </w:txbxContent>
                      </v:textbox>
                    </v:shape>
                  </w:pict>
                </mc:Fallback>
              </mc:AlternateContent>
            </w: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3151505</wp:posOffset>
                      </wp:positionH>
                      <wp:positionV relativeFrom="paragraph">
                        <wp:posOffset>39370</wp:posOffset>
                      </wp:positionV>
                      <wp:extent cx="569595" cy="25209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69595"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15pt;margin-top:3.1pt;height:19.85pt;width:44.85pt;z-index:251697152;mso-width-relative:page;mso-height-relative:page;" filled="f" stroked="f" coordsize="21600,21600" o:gfxdata="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81bRtkAAAAIAQAADwAAAAAAAAABACAAAAAiAAAAZHJz&#10;L2Rvd25yZXYueG1sUEsBAhQAFAAAAAgAh07iQAE1CXE8AgAAZwQAAA4AAAAAAAAAAQAgAAAAKAEA&#10;AGRycy9lMm9Eb2MueG1sUEsFBgAAAAAGAAYAWQEAANY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3.88</w:t>
                            </w:r>
                          </w:p>
                        </w:txbxContent>
                      </v:textbox>
                    </v:shape>
                  </w:pict>
                </mc:Fallback>
              </mc:AlternateContent>
            </w: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3169920</wp:posOffset>
                      </wp:positionH>
                      <wp:positionV relativeFrom="paragraph">
                        <wp:posOffset>287020</wp:posOffset>
                      </wp:positionV>
                      <wp:extent cx="431800" cy="0"/>
                      <wp:effectExtent l="0" t="38100" r="6350" b="38100"/>
                      <wp:wrapNone/>
                      <wp:docPr id="20" name="直接箭头连接符 20"/>
                      <wp:cNvGraphicFramePr/>
                      <a:graphic xmlns:a="http://schemas.openxmlformats.org/drawingml/2006/main">
                        <a:graphicData uri="http://schemas.microsoft.com/office/word/2010/wordprocessingShape">
                          <wps:wsp>
                            <wps:cNvCnPr/>
                            <wps:spPr>
                              <a:xfrm>
                                <a:off x="4002405" y="2727960"/>
                                <a:ext cx="431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9.6pt;margin-top:22.6pt;height:0pt;width:34pt;z-index:251692032;mso-width-relative:page;mso-height-relative:page;" filled="f" stroked="t" coordsize="21600,21600" o:gfxdata="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h2NdUAAAAJAQAADwAAAAAAAAAB&#10;ACAAAAAiAAAAZHJzL2Rvd25yZXYueG1sUEsBAhQAFAAAAAgAh07iQC/+iE8TAgAA7gMAAA4AAAAA&#10;AAAAAQAgAAAAJAEAAGRycy9lMm9Eb2MueG1sUEsFBgAAAAAGAAYAWQEAAKkFAAAAAA==&#10;">
                      <v:fill on="f" focussize="0,0"/>
                      <v:stroke weight="0.5pt" color="#000000 [3213]" miterlimit="8" joinstyle="miter" endarrow="block"/>
                      <v:imagedata o:title=""/>
                      <o:lock v:ext="edit" aspectratio="f"/>
                    </v:shape>
                  </w:pict>
                </mc:Fallback>
              </mc:AlternateContent>
            </w: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3632200</wp:posOffset>
                      </wp:positionH>
                      <wp:positionV relativeFrom="paragraph">
                        <wp:posOffset>129540</wp:posOffset>
                      </wp:positionV>
                      <wp:extent cx="772160" cy="316865"/>
                      <wp:effectExtent l="4445" t="4445" r="23495" b="21590"/>
                      <wp:wrapNone/>
                      <wp:docPr id="21" name="文本框 21"/>
                      <wp:cNvGraphicFramePr/>
                      <a:graphic xmlns:a="http://schemas.openxmlformats.org/drawingml/2006/main">
                        <a:graphicData uri="http://schemas.microsoft.com/office/word/2010/wordprocessingShape">
                          <wps:wsp>
                            <wps:cNvSpPr txBox="1"/>
                            <wps:spPr>
                              <a:xfrm>
                                <a:off x="0" y="0"/>
                                <a:ext cx="772160" cy="31686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lang w:eastAsia="zh-CN"/>
                                    </w:rPr>
                                  </w:pPr>
                                  <w:r>
                                    <w:rPr>
                                      <w:rFonts w:hint="eastAsia"/>
                                      <w:lang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pt;margin-top:10.2pt;height:24.95pt;width:60.8pt;z-index:251693056;mso-width-relative:page;mso-height-relative:page;" filled="f" stroked="t" coordsize="21600,21600" o:gfxdata="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MbH9oAAAAJAQAA&#10;DwAAAAAAAAABACAAAAAiAAAAZHJzL2Rvd25yZXYueG1sUEsBAhQAFAAAAAgAh07iQIPmRJBQAgAA&#10;jwQAAA4AAAAAAAAAAQAgAAAAKQEAAGRycy9lMm9Eb2MueG1sUEsFBgAAAAAGAAYAWQEAAOsFAAAA&#10;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lang w:eastAsia="zh-CN"/>
                              </w:rPr>
                            </w:pPr>
                            <w:r>
                              <w:rPr>
                                <w:rFonts w:hint="eastAsia"/>
                                <w:lang w:eastAsia="zh-CN"/>
                              </w:rPr>
                              <w:t>化粪池</w:t>
                            </w:r>
                          </w:p>
                        </w:txbxContent>
                      </v:textbox>
                    </v:shape>
                  </w:pict>
                </mc:Fallback>
              </mc:AlternateContent>
            </w: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1483360</wp:posOffset>
                      </wp:positionH>
                      <wp:positionV relativeFrom="paragraph">
                        <wp:posOffset>297180</wp:posOffset>
                      </wp:positionV>
                      <wp:extent cx="360045" cy="0"/>
                      <wp:effectExtent l="0" t="38100" r="1905" b="38100"/>
                      <wp:wrapNone/>
                      <wp:docPr id="9" name="直接箭头连接符 9"/>
                      <wp:cNvGraphicFramePr/>
                      <a:graphic xmlns:a="http://schemas.openxmlformats.org/drawingml/2006/main">
                        <a:graphicData uri="http://schemas.microsoft.com/office/word/2010/wordprocessingShape">
                          <wps:wsp>
                            <wps:cNvCnPr>
                              <a:stCxn id="5" idx="3"/>
                            </wps:cNvCnPr>
                            <wps:spPr>
                              <a:xfrm>
                                <a:off x="2610485" y="2727960"/>
                                <a:ext cx="3600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6.8pt;margin-top:23.4pt;height:0pt;width:28.35pt;z-index:251689984;mso-width-relative:page;mso-height-relative:page;" filled="f" stroked="t" coordsize="21600,21600" o:gfxdata="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y7HjNUA&#10;AAAJAQAADwAAAAAAAAABACAAAAAiAAAAZHJzL2Rvd25yZXYueG1sUEsBAhQAFAAAAAgAh07iQNmJ&#10;S18iAgAAEgQAAA4AAAAAAAAAAQAgAAAAJAEAAGRycy9lMm9Eb2MueG1sUEsFBgAAAAAGAAYAWQEA&#10;ALgFAAAAAA==&#10;">
                      <v:fill on="f" focussize="0,0"/>
                      <v:stroke weight="0.5pt" color="#000000 [3213]" miterlimit="8" joinstyle="miter" endarrow="block"/>
                      <v:imagedata o:title=""/>
                      <o:lock v:ext="edit" aspectratio="f"/>
                    </v:shape>
                  </w:pict>
                </mc:Fallback>
              </mc:AlternateContent>
            </w: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1444625</wp:posOffset>
                      </wp:positionH>
                      <wp:positionV relativeFrom="paragraph">
                        <wp:posOffset>46990</wp:posOffset>
                      </wp:positionV>
                      <wp:extent cx="496570" cy="25209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96570"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auto"/>
                                      <w:lang w:val="en-US" w:eastAsia="zh-CN"/>
                                    </w:rPr>
                                  </w:pPr>
                                  <w:r>
                                    <w:rPr>
                                      <w:rFonts w:hint="eastAsia"/>
                                      <w:color w:val="auto"/>
                                      <w:lang w:val="en-US" w:eastAsia="zh-CN"/>
                                    </w:rPr>
                                    <w:t>4.85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5pt;margin-top:3.7pt;height:19.85pt;width:39.1pt;z-index:251696128;mso-width-relative:page;mso-height-relative:page;" filled="f" stroked="f" coordsize="21600,21600" o:gfxdata="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8Emg2gAAAAgBAAAPAAAAAAAAAAEAIAAAACIAAABk&#10;cnMvZG93bnJldi54bWxQSwECFAAUAAAACACHTuJAUMm6oj0CAABnBAAADgAAAAAAAAABACAAAAAp&#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auto"/>
                                <w:lang w:val="en-US" w:eastAsia="zh-CN"/>
                              </w:rPr>
                            </w:pPr>
                            <w:r>
                              <w:rPr>
                                <w:rFonts w:hint="eastAsia"/>
                                <w:color w:val="auto"/>
                                <w:lang w:val="en-US" w:eastAsia="zh-CN"/>
                              </w:rPr>
                              <w:t>4.85</w:t>
                            </w:r>
                          </w:p>
                        </w:txbxContent>
                      </v:textbox>
                    </v:shape>
                  </w:pict>
                </mc:Fallback>
              </mc:AlternateContent>
            </w:r>
            <w:r>
              <w:rPr>
                <w:rFonts w:hint="default"/>
                <w:color w:val="000000" w:themeColor="text1"/>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2245995</wp:posOffset>
                      </wp:positionH>
                      <wp:positionV relativeFrom="paragraph">
                        <wp:posOffset>10795</wp:posOffset>
                      </wp:positionV>
                      <wp:extent cx="138430" cy="86360"/>
                      <wp:effectExtent l="3175" t="0" r="10795" b="8890"/>
                      <wp:wrapNone/>
                      <wp:docPr id="23" name="任意多边形 23"/>
                      <wp:cNvGraphicFramePr/>
                      <a:graphic xmlns:a="http://schemas.openxmlformats.org/drawingml/2006/main">
                        <a:graphicData uri="http://schemas.microsoft.com/office/word/2010/wordprocessingShape">
                          <wps:wsp>
                            <wps:cNvSpPr/>
                            <wps:spPr>
                              <a:xfrm>
                                <a:off x="0" y="0"/>
                                <a:ext cx="138430" cy="86360"/>
                              </a:xfrm>
                              <a:custGeom>
                                <a:avLst/>
                                <a:gdLst/>
                                <a:ahLst/>
                                <a:cxnLst>
                                  <a:cxn ang="0">
                                    <a:pos x="0" y="136"/>
                                  </a:cxn>
                                  <a:cxn ang="0">
                                    <a:pos x="114" y="33"/>
                                  </a:cxn>
                                  <a:cxn ang="0">
                                    <a:pos x="105" y="98"/>
                                  </a:cxn>
                                  <a:cxn ang="0">
                                    <a:pos x="218" y="0"/>
                                  </a:cxn>
                                </a:cxnLst>
                                <a:pathLst>
                                  <a:path w="218" h="159">
                                    <a:moveTo>
                                      <a:pt x="0" y="159"/>
                                    </a:moveTo>
                                    <a:lnTo>
                                      <a:pt x="114" y="39"/>
                                    </a:lnTo>
                                    <a:lnTo>
                                      <a:pt x="105" y="114"/>
                                    </a:lnTo>
                                    <a:lnTo>
                                      <a:pt x="218" y="0"/>
                                    </a:lnTo>
                                  </a:path>
                                </a:pathLst>
                              </a:custGeom>
                              <a:noFill/>
                              <a:ln w="6350" cap="flat" cmpd="sng">
                                <a:solidFill>
                                  <a:srgbClr val="000000"/>
                                </a:solidFill>
                                <a:prstDash val="solid"/>
                                <a:headEnd type="none" w="med" len="med"/>
                                <a:tailEnd type="stealth" w="sm" len="sm"/>
                              </a:ln>
                            </wps:spPr>
                            <wps:bodyPr upright="1"/>
                          </wps:wsp>
                        </a:graphicData>
                      </a:graphic>
                    </wp:anchor>
                  </w:drawing>
                </mc:Choice>
                <mc:Fallback>
                  <w:pict>
                    <v:shape id="_x0000_s1026" o:spid="_x0000_s1026" o:spt="100" style="position:absolute;left:0pt;margin-left:176.85pt;margin-top:0.85pt;height:6.8pt;width:10.9pt;z-index:251695104;mso-width-relative:page;mso-height-relative:page;" filled="f" stroked="t" coordsize="218,159" o:gfxdata="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qgtL1wAAAAgBAAAPAAAAAAAA&#10;AAEAIAAAACIAAABkcnMvZG93bnJldi54bWxQSwECFAAUAAAACACHTuJA5FVRX4UCAACfBQAADgAA&#10;AAAAAAABACAAAAAmAQAAZHJzL2Uyb0RvYy54bWxQSwUGAAAAAAYABgBZAQAAHQYAAAAA&#10;" path="m0,159l114,39,105,114,218,0e">
                      <v:path o:connectlocs="0,136;114,33;105,98;218,0" o:connectangles="0,0,0,0"/>
                      <v:fill on="f" focussize="0,0"/>
                      <v:stroke weight="0.5pt" color="#000000" joinstyle="round" endarrow="classic" endarrowwidth="narrow" endarrowlength="short"/>
                      <v:imagedata o:title=""/>
                      <o:lock v:ext="edit" aspectratio="f"/>
                    </v:shape>
                  </w:pict>
                </mc:Fallback>
              </mc:AlternateContent>
            </w:r>
          </w:p>
          <w:p>
            <w:pPr>
              <w:pStyle w:val="4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highlight w:val="none"/>
                <w:lang w:eastAsia="zh-CN"/>
                <w14:textFill>
                  <w14:solidFill>
                    <w14:schemeClr w14:val="tx1"/>
                  </w14:solidFill>
                </w14:textFill>
              </w:rPr>
            </w:pPr>
          </w:p>
          <w:p>
            <w:pPr>
              <w:pStyle w:val="45"/>
              <w:keepNext w:val="0"/>
              <w:keepLines w:val="0"/>
              <w:widowControl/>
              <w:suppressLineNumbers w:val="0"/>
              <w:spacing w:before="0" w:beforeAutospacing="0" w:after="0" w:afterAutospacing="0" w:line="360" w:lineRule="auto"/>
              <w:ind w:left="0" w:right="0"/>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图</w:t>
            </w: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 xml:space="preserve">2-1  </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项目用水平衡图（单位：m</w:t>
            </w:r>
            <w:r>
              <w:rPr>
                <w:rFonts w:hint="default" w:ascii="Times New Roman" w:hAnsi="Times New Roman" w:eastAsia="黑体" w:cs="Times New Roman"/>
                <w:b w:val="0"/>
                <w:bCs w:val="0"/>
                <w:color w:val="000000" w:themeColor="text1"/>
                <w:sz w:val="24"/>
                <w:szCs w:val="24"/>
                <w:highlight w:val="none"/>
                <w:vertAlign w:val="superscript"/>
                <w14:textFill>
                  <w14:solidFill>
                    <w14:schemeClr w14:val="tx1"/>
                  </w14:solidFill>
                </w14:textFill>
              </w:rPr>
              <w:t>3</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/d）</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8、公辅设施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）供电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本项目用电依托厂区现有配电设施，</w:t>
            </w:r>
            <w:r>
              <w:rPr>
                <w:rFonts w:hint="default" w:ascii="Times New Roman" w:hAnsi="Times New Roman" w:cs="Times New Roman"/>
                <w:color w:val="000000" w:themeColor="text1"/>
                <w:highlight w:val="none"/>
                <w:lang w:eastAsia="zh-CN"/>
                <w14:textFill>
                  <w14:solidFill>
                    <w14:schemeClr w14:val="tx1"/>
                  </w14:solidFill>
                </w14:textFill>
              </w:rPr>
              <w:t>年耗电量</w:t>
            </w:r>
            <w:r>
              <w:rPr>
                <w:rFonts w:hint="default" w:ascii="Times New Roman" w:hAnsi="Times New Roman" w:cs="Times New Roman"/>
                <w:color w:val="000000" w:themeColor="text1"/>
                <w:highlight w:val="none"/>
                <w:lang w:val="en-US" w:eastAsia="zh-CN"/>
                <w14:textFill>
                  <w14:solidFill>
                    <w14:schemeClr w14:val="tx1"/>
                  </w14:solidFill>
                </w14:textFill>
              </w:rPr>
              <w:t>24万kWh。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）供暖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本项目生产用热采用电加热，办公生活采暖采用空调取暖。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tcBorders>
              <w:top w:val="single" w:color="auto" w:sz="4" w:space="0"/>
              <w:left w:val="single" w:color="auto" w:sz="8" w:space="0"/>
              <w:bottom w:val="single" w:color="auto" w:sz="4" w:space="0"/>
              <w:right w:val="single" w:color="auto" w:sz="4" w:space="0"/>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工艺流程和产排污环节</w:t>
            </w:r>
          </w:p>
        </w:tc>
        <w:tc>
          <w:tcPr>
            <w:tcW w:w="8635" w:type="dxa"/>
            <w:tcBorders>
              <w:top w:val="single" w:color="auto" w:sz="4" w:space="0"/>
              <w:left w:val="single" w:color="auto" w:sz="4" w:space="0"/>
              <w:bottom w:val="single" w:color="auto" w:sz="4" w:space="0"/>
              <w:right w:val="single" w:color="auto" w:sz="8" w:space="0"/>
            </w:tcBorders>
            <w:shd w:val="clear" w:color="auto" w:fill="auto"/>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bCs/>
                <w:color w:val="000000" w:themeColor="text1"/>
                <w:sz w:val="24"/>
                <w:highlight w:val="none"/>
                <w:lang w:eastAsia="zh-CN"/>
                <w14:textFill>
                  <w14:solidFill>
                    <w14:schemeClr w14:val="tx1"/>
                  </w14:solidFill>
                </w14:textFill>
              </w:rPr>
            </w:pP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eastAsia="zh-CN"/>
                <w14:textFill>
                  <w14:solidFill>
                    <w14:schemeClr w14:val="tx1"/>
                  </w14:solidFill>
                </w14:textFill>
              </w:rPr>
              <w:t>木质家具工艺流程</w:t>
            </w:r>
          </w:p>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000000" w:themeColor="text1"/>
                <w:kern w:val="2"/>
                <w:sz w:val="24"/>
                <w:szCs w:val="21"/>
                <w:highlight w:val="none"/>
                <w:lang w:val="en-US" w:eastAsia="zh-CN" w:bidi="ar-SA"/>
                <w14:textFill>
                  <w14:solidFill>
                    <w14:schemeClr w14:val="tx1"/>
                  </w14:solidFill>
                </w14:textFill>
              </w:rPr>
            </w:pPr>
            <w:r>
              <w:rPr>
                <w:rFonts w:hint="eastAsia" w:ascii="Times New Roman" w:hAnsi="Times New Roman" w:eastAsiaTheme="minorEastAsia" w:cstheme="minorBidi"/>
                <w:b/>
                <w:bCs/>
                <w:color w:val="000000" w:themeColor="text1"/>
                <w:kern w:val="2"/>
                <w:sz w:val="24"/>
                <w:szCs w:val="24"/>
                <w:highlight w:val="none"/>
                <w:lang w:val="en-US" w:eastAsia="zh-CN" w:bidi="ar-SA"/>
                <w14:textFill>
                  <w14:solidFill>
                    <w14:schemeClr w14:val="tx1"/>
                  </w14:solidFill>
                </w14:textFill>
              </w:rPr>
              <w:t>开料：</w:t>
            </w:r>
            <w:r>
              <w:rPr>
                <w:rFonts w:hint="default" w:ascii="Times New Roman" w:hAnsi="Times New Roman" w:eastAsia="宋体" w:cs="Times New Roman"/>
                <w:bCs/>
                <w:color w:val="000000" w:themeColor="text1"/>
                <w:kern w:val="2"/>
                <w:sz w:val="24"/>
                <w:szCs w:val="21"/>
                <w:highlight w:val="none"/>
                <w:lang w:val="en-US" w:eastAsia="zh-CN" w:bidi="ar-SA"/>
                <w14:textFill>
                  <w14:solidFill>
                    <w14:schemeClr w14:val="tx1"/>
                  </w14:solidFill>
                </w14:textFill>
              </w:rPr>
              <w:t>根据</w:t>
            </w:r>
            <w:r>
              <w:rPr>
                <w:rFonts w:hint="eastAsia" w:eastAsia="宋体" w:cs="Times New Roman"/>
                <w:bCs/>
                <w:color w:val="000000" w:themeColor="text1"/>
                <w:kern w:val="2"/>
                <w:sz w:val="24"/>
                <w:szCs w:val="21"/>
                <w:highlight w:val="none"/>
                <w:lang w:val="en-US" w:eastAsia="zh-CN" w:bidi="ar-SA"/>
                <w14:textFill>
                  <w14:solidFill>
                    <w14:schemeClr w14:val="tx1"/>
                  </w14:solidFill>
                </w14:textFill>
              </w:rPr>
              <w:t>客户要求，依据设计图纸将原料板材通过开料机裁切成合适尺寸。</w:t>
            </w:r>
          </w:p>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textAlignment w:val="auto"/>
              <w:rPr>
                <w:rFonts w:hint="default"/>
                <w:b/>
                <w:bCs/>
                <w:color w:val="000000" w:themeColor="text1"/>
                <w:highlight w:val="none"/>
                <w:lang w:val="en-US" w:eastAsia="zh-CN"/>
                <w14:textFill>
                  <w14:solidFill>
                    <w14:schemeClr w14:val="tx1"/>
                  </w14:solidFill>
                </w14:textFill>
              </w:rPr>
            </w:pPr>
            <w:r>
              <w:rPr>
                <w:rFonts w:hint="default" w:ascii="Times New Roman"/>
                <w:b/>
                <w:bCs/>
                <w:color w:val="000000" w:themeColor="text1"/>
                <w:highlight w:val="none"/>
                <w14:textFill>
                  <w14:solidFill>
                    <w14:schemeClr w14:val="tx1"/>
                  </w14:solidFill>
                </w14:textFill>
              </w:rPr>
              <w:t>该工序</w:t>
            </w:r>
            <w:r>
              <w:rPr>
                <w:rFonts w:hint="eastAsia"/>
                <w:b/>
                <w:bCs/>
                <w:color w:val="000000" w:themeColor="text1"/>
                <w:highlight w:val="none"/>
                <w:lang w:val="en-US" w:eastAsia="zh-CN"/>
                <w14:textFill>
                  <w14:solidFill>
                    <w14:schemeClr w14:val="tx1"/>
                  </w14:solidFill>
                </w14:textFill>
              </w:rPr>
              <w:t>主要污染物为</w:t>
            </w:r>
            <w:r>
              <w:rPr>
                <w:rFonts w:hint="default" w:ascii="Times New Roman"/>
                <w:b/>
                <w:bCs/>
                <w:color w:val="000000" w:themeColor="text1"/>
                <w:highlight w:val="none"/>
                <w14:textFill>
                  <w14:solidFill>
                    <w14:schemeClr w14:val="tx1"/>
                  </w14:solidFill>
                </w14:textFill>
              </w:rPr>
              <w:t>设备运行噪声N，</w:t>
            </w:r>
            <w:r>
              <w:rPr>
                <w:rFonts w:hint="eastAsia"/>
                <w:b/>
                <w:bCs/>
                <w:color w:val="000000" w:themeColor="text1"/>
                <w:highlight w:val="none"/>
                <w:lang w:val="en-US" w:eastAsia="zh-CN"/>
                <w14:textFill>
                  <w14:solidFill>
                    <w14:schemeClr w14:val="tx1"/>
                  </w14:solidFill>
                </w14:textFill>
              </w:rPr>
              <w:t>废气</w:t>
            </w:r>
            <w:r>
              <w:rPr>
                <w:rFonts w:hint="default" w:ascii="Times New Roman"/>
                <w:b/>
                <w:bCs/>
                <w:color w:val="000000" w:themeColor="text1"/>
                <w:highlight w:val="none"/>
                <w14:textFill>
                  <w14:solidFill>
                    <w14:schemeClr w14:val="tx1"/>
                  </w14:solidFill>
                </w14:textFill>
              </w:rPr>
              <w:t>为</w:t>
            </w:r>
            <w:r>
              <w:rPr>
                <w:rFonts w:hint="eastAsia"/>
                <w:b/>
                <w:bCs/>
                <w:color w:val="000000" w:themeColor="text1"/>
                <w:highlight w:val="none"/>
                <w:lang w:eastAsia="zh-CN"/>
                <w14:textFill>
                  <w14:solidFill>
                    <w14:schemeClr w14:val="tx1"/>
                  </w14:solidFill>
                </w14:textFill>
              </w:rPr>
              <w:t>开料</w:t>
            </w:r>
            <w:r>
              <w:rPr>
                <w:rFonts w:hint="eastAsia"/>
                <w:b/>
                <w:bCs/>
                <w:color w:val="000000" w:themeColor="text1"/>
                <w:highlight w:val="none"/>
                <w:lang w:val="en-US" w:eastAsia="zh-CN"/>
                <w14:textFill>
                  <w14:solidFill>
                    <w14:schemeClr w14:val="tx1"/>
                  </w14:solidFill>
                </w14:textFill>
              </w:rPr>
              <w:t>过程</w:t>
            </w:r>
            <w:r>
              <w:rPr>
                <w:rFonts w:hint="default" w:ascii="Times New Roman"/>
                <w:b/>
                <w:bCs/>
                <w:color w:val="000000" w:themeColor="text1"/>
                <w:highlight w:val="none"/>
                <w14:textFill>
                  <w14:solidFill>
                    <w14:schemeClr w14:val="tx1"/>
                  </w14:solidFill>
                </w14:textFill>
              </w:rPr>
              <w:t>产生的废气G</w:t>
            </w:r>
            <w:r>
              <w:rPr>
                <w:rFonts w:hint="eastAsia"/>
                <w:b/>
                <w:bCs/>
                <w:color w:val="000000" w:themeColor="text1"/>
                <w:highlight w:val="none"/>
                <w:lang w:val="en-US" w:eastAsia="zh-CN"/>
                <w14:textFill>
                  <w14:solidFill>
                    <w14:schemeClr w14:val="tx1"/>
                  </w14:solidFill>
                </w14:textFill>
              </w:rPr>
              <w:t>1</w:t>
            </w:r>
            <w:r>
              <w:rPr>
                <w:rFonts w:hint="default" w:ascii="Times New Roman"/>
                <w:b/>
                <w:bCs/>
                <w:color w:val="000000" w:themeColor="text1"/>
                <w:highlight w:val="none"/>
                <w14:textFill>
                  <w14:solidFill>
                    <w14:schemeClr w14:val="tx1"/>
                  </w14:solidFill>
                </w14:textFill>
              </w:rPr>
              <w:t>，主要污染因子为</w:t>
            </w:r>
            <w:r>
              <w:rPr>
                <w:rFonts w:hint="eastAsia"/>
                <w:b/>
                <w:bCs/>
                <w:color w:val="000000" w:themeColor="text1"/>
                <w:highlight w:val="none"/>
                <w:lang w:val="en-US" w:eastAsia="zh-CN"/>
                <w14:textFill>
                  <w14:solidFill>
                    <w14:schemeClr w14:val="tx1"/>
                  </w14:solidFill>
                </w14:textFill>
              </w:rPr>
              <w:t>颗粒物，固体废物S1为废木质边角料。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cs="Times New Roman"/>
                <w:bCs/>
                <w:color w:val="000000" w:themeColor="text1"/>
                <w:kern w:val="2"/>
                <w:sz w:val="24"/>
                <w:szCs w:val="21"/>
                <w:highlight w:val="none"/>
                <w:lang w:val="en-US" w:eastAsia="zh-CN" w:bidi="ar-SA"/>
                <w14:textFill>
                  <w14:solidFill>
                    <w14:schemeClr w14:val="tx1"/>
                  </w14:solidFill>
                </w14:textFill>
              </w:rPr>
            </w:pPr>
            <w:r>
              <w:rPr>
                <w:rFonts w:hint="eastAsia" w:ascii="Times New Roman" w:hAnsi="Times New Roman" w:eastAsiaTheme="minorEastAsia" w:cstheme="minorBidi"/>
                <w:b/>
                <w:bCs/>
                <w:color w:val="000000" w:themeColor="text1"/>
                <w:kern w:val="2"/>
                <w:sz w:val="24"/>
                <w:szCs w:val="24"/>
                <w:highlight w:val="none"/>
                <w:lang w:val="en-US" w:eastAsia="zh-CN" w:bidi="ar-SA"/>
                <w14:textFill>
                  <w14:solidFill>
                    <w14:schemeClr w14:val="tx1"/>
                  </w14:solidFill>
                </w14:textFill>
              </w:rPr>
              <w:t>封边：</w:t>
            </w:r>
            <w:r>
              <w:rPr>
                <w:rFonts w:hint="eastAsia" w:cs="Times New Roman"/>
                <w:bCs/>
                <w:color w:val="000000" w:themeColor="text1"/>
                <w:kern w:val="2"/>
                <w:sz w:val="24"/>
                <w:szCs w:val="21"/>
                <w:highlight w:val="none"/>
                <w:lang w:val="en-US" w:eastAsia="zh-CN" w:bidi="ar-SA"/>
                <w14:textFill>
                  <w14:solidFill>
                    <w14:schemeClr w14:val="tx1"/>
                  </w14:solidFill>
                </w14:textFill>
              </w:rPr>
              <w:t>封边机自带电加热溶胶装置，通过电加热升温至130℃-150℃，使封边胶呈熔融状态，将PVC封边条贴纸板材边框。自动封边机自带修边刀将多余封边条切掉。</w:t>
            </w:r>
          </w:p>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textAlignment w:val="auto"/>
              <w:rPr>
                <w:rFonts w:hint="eastAsia"/>
                <w:b/>
                <w:bCs/>
                <w:color w:val="000000" w:themeColor="text1"/>
                <w:highlight w:val="none"/>
                <w:lang w:val="en-US" w:eastAsia="zh-CN"/>
                <w14:textFill>
                  <w14:solidFill>
                    <w14:schemeClr w14:val="tx1"/>
                  </w14:solidFill>
                </w14:textFill>
              </w:rPr>
            </w:pPr>
            <w:r>
              <w:rPr>
                <w:rFonts w:hint="default" w:ascii="Times New Roman"/>
                <w:b/>
                <w:bCs/>
                <w:color w:val="000000" w:themeColor="text1"/>
                <w:highlight w:val="none"/>
                <w14:textFill>
                  <w14:solidFill>
                    <w14:schemeClr w14:val="tx1"/>
                  </w14:solidFill>
                </w14:textFill>
              </w:rPr>
              <w:t>该工序</w:t>
            </w:r>
            <w:r>
              <w:rPr>
                <w:rFonts w:hint="eastAsia"/>
                <w:b/>
                <w:bCs/>
                <w:color w:val="000000" w:themeColor="text1"/>
                <w:highlight w:val="none"/>
                <w:lang w:val="en-US" w:eastAsia="zh-CN"/>
                <w14:textFill>
                  <w14:solidFill>
                    <w14:schemeClr w14:val="tx1"/>
                  </w14:solidFill>
                </w14:textFill>
              </w:rPr>
              <w:t>主要污染物</w:t>
            </w:r>
            <w:r>
              <w:rPr>
                <w:rFonts w:hint="default" w:ascii="Times New Roman"/>
                <w:b/>
                <w:bCs/>
                <w:color w:val="000000" w:themeColor="text1"/>
                <w:highlight w:val="none"/>
                <w14:textFill>
                  <w14:solidFill>
                    <w14:schemeClr w14:val="tx1"/>
                  </w14:solidFill>
                </w14:textFill>
              </w:rPr>
              <w:t>为设备运行噪声N，</w:t>
            </w:r>
            <w:r>
              <w:rPr>
                <w:rFonts w:hint="eastAsia"/>
                <w:b/>
                <w:bCs/>
                <w:color w:val="000000" w:themeColor="text1"/>
                <w:highlight w:val="none"/>
                <w:lang w:val="en-US" w:eastAsia="zh-CN"/>
                <w14:textFill>
                  <w14:solidFill>
                    <w14:schemeClr w14:val="tx1"/>
                  </w14:solidFill>
                </w14:textFill>
              </w:rPr>
              <w:t>废气</w:t>
            </w:r>
            <w:r>
              <w:rPr>
                <w:rFonts w:hint="default" w:ascii="Times New Roman"/>
                <w:b/>
                <w:bCs/>
                <w:color w:val="000000" w:themeColor="text1"/>
                <w:highlight w:val="none"/>
                <w14:textFill>
                  <w14:solidFill>
                    <w14:schemeClr w14:val="tx1"/>
                  </w14:solidFill>
                </w14:textFill>
              </w:rPr>
              <w:t>为</w:t>
            </w:r>
            <w:r>
              <w:rPr>
                <w:rFonts w:hint="eastAsia"/>
                <w:b/>
                <w:bCs/>
                <w:color w:val="000000" w:themeColor="text1"/>
                <w:highlight w:val="none"/>
                <w:lang w:eastAsia="zh-CN"/>
                <w14:textFill>
                  <w14:solidFill>
                    <w14:schemeClr w14:val="tx1"/>
                  </w14:solidFill>
                </w14:textFill>
              </w:rPr>
              <w:t>封边</w:t>
            </w:r>
            <w:r>
              <w:rPr>
                <w:rFonts w:hint="default" w:ascii="Times New Roman"/>
                <w:b/>
                <w:bCs/>
                <w:color w:val="000000" w:themeColor="text1"/>
                <w:highlight w:val="none"/>
                <w14:textFill>
                  <w14:solidFill>
                    <w14:schemeClr w14:val="tx1"/>
                  </w14:solidFill>
                </w14:textFill>
              </w:rPr>
              <w:t>时产生的废气G</w:t>
            </w:r>
            <w:r>
              <w:rPr>
                <w:rFonts w:hint="eastAsia"/>
                <w:b/>
                <w:bCs/>
                <w:color w:val="000000" w:themeColor="text1"/>
                <w:highlight w:val="none"/>
                <w:lang w:val="en-US" w:eastAsia="zh-CN"/>
                <w14:textFill>
                  <w14:solidFill>
                    <w14:schemeClr w14:val="tx1"/>
                  </w14:solidFill>
                </w14:textFill>
              </w:rPr>
              <w:t>2</w:t>
            </w:r>
            <w:r>
              <w:rPr>
                <w:rFonts w:hint="default" w:ascii="Times New Roman"/>
                <w:b/>
                <w:bCs/>
                <w:color w:val="000000" w:themeColor="text1"/>
                <w:highlight w:val="none"/>
                <w14:textFill>
                  <w14:solidFill>
                    <w14:schemeClr w14:val="tx1"/>
                  </w14:solidFill>
                </w14:textFill>
              </w:rPr>
              <w:t>，主要污染因子为</w:t>
            </w:r>
            <w:r>
              <w:rPr>
                <w:rFonts w:hint="eastAsia"/>
                <w:b/>
                <w:bCs/>
                <w:color w:val="000000" w:themeColor="text1"/>
                <w:highlight w:val="none"/>
                <w:lang w:val="en-US" w:eastAsia="zh-CN"/>
                <w14:textFill>
                  <w14:solidFill>
                    <w14:schemeClr w14:val="tx1"/>
                  </w14:solidFill>
                </w14:textFill>
              </w:rPr>
              <w:t>非甲烷总烃、颗粒物。固体废物S2为废胶袋、S3废封边条。</w:t>
            </w:r>
          </w:p>
          <w:p>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color w:val="000000" w:themeColor="text1"/>
                <w:sz w:val="24"/>
                <w:szCs w:val="24"/>
                <w:highlight w:val="none"/>
                <w:lang w:eastAsia="zh-CN"/>
                <w14:textFill>
                  <w14:solidFill>
                    <w14:schemeClr w14:val="tx1"/>
                  </w14:solidFill>
                </w14:textFill>
              </w:rPr>
            </w:pPr>
            <w:r>
              <w:rPr>
                <w:rFonts w:hint="eastAsia" w:ascii="Times New Roman" w:hAnsi="Times New Roman" w:eastAsiaTheme="minorEastAsia" w:cstheme="minorBidi"/>
                <w:b/>
                <w:bCs/>
                <w:color w:val="000000" w:themeColor="text1"/>
                <w:kern w:val="2"/>
                <w:sz w:val="24"/>
                <w:szCs w:val="24"/>
                <w:highlight w:val="none"/>
                <w:lang w:val="en-US" w:eastAsia="zh-CN" w:bidi="ar-SA"/>
                <w14:textFill>
                  <w14:solidFill>
                    <w14:schemeClr w14:val="tx1"/>
                  </w14:solidFill>
                </w14:textFill>
              </w:rPr>
              <w:t>打孔</w:t>
            </w:r>
            <w:r>
              <w:rPr>
                <w:rFonts w:hint="eastAsia"/>
                <w:color w:val="000000" w:themeColor="text1"/>
                <w:sz w:val="24"/>
                <w:szCs w:val="24"/>
                <w:highlight w:val="none"/>
                <w:lang w:eastAsia="zh-CN"/>
                <w14:textFill>
                  <w14:solidFill>
                    <w14:schemeClr w14:val="tx1"/>
                  </w14:solidFill>
                </w14:textFill>
              </w:rPr>
              <w:t>：根据产品设计，在完成封边的</w:t>
            </w:r>
            <w:r>
              <w:rPr>
                <w:rFonts w:hint="eastAsia"/>
                <w:color w:val="000000" w:themeColor="text1"/>
                <w:sz w:val="24"/>
                <w:szCs w:val="24"/>
                <w:highlight w:val="none"/>
                <w:lang w:val="en-US" w:eastAsia="zh-CN"/>
                <w14:textFill>
                  <w14:solidFill>
                    <w14:schemeClr w14:val="tx1"/>
                  </w14:solidFill>
                </w14:textFill>
              </w:rPr>
              <w:t>家具</w:t>
            </w:r>
            <w:r>
              <w:rPr>
                <w:rFonts w:hint="eastAsia"/>
                <w:color w:val="000000" w:themeColor="text1"/>
                <w:sz w:val="24"/>
                <w:szCs w:val="24"/>
                <w:highlight w:val="none"/>
                <w:lang w:eastAsia="zh-CN"/>
                <w14:textFill>
                  <w14:solidFill>
                    <w14:schemeClr w14:val="tx1"/>
                  </w14:solidFill>
                </w14:textFill>
              </w:rPr>
              <w:t>上</w:t>
            </w:r>
            <w:r>
              <w:rPr>
                <w:rFonts w:hint="eastAsia"/>
                <w:color w:val="000000" w:themeColor="text1"/>
                <w:sz w:val="24"/>
                <w:szCs w:val="24"/>
                <w:highlight w:val="none"/>
                <w:lang w:val="en-US" w:eastAsia="zh-CN"/>
                <w14:textFill>
                  <w14:solidFill>
                    <w14:schemeClr w14:val="tx1"/>
                  </w14:solidFill>
                </w14:textFill>
              </w:rPr>
              <w:t>利用排钻机</w:t>
            </w:r>
            <w:r>
              <w:rPr>
                <w:rFonts w:hint="eastAsia"/>
                <w:color w:val="000000" w:themeColor="text1"/>
                <w:sz w:val="24"/>
                <w:szCs w:val="24"/>
                <w:highlight w:val="none"/>
                <w:lang w:eastAsia="zh-CN"/>
                <w14:textFill>
                  <w14:solidFill>
                    <w14:schemeClr w14:val="tx1"/>
                  </w14:solidFill>
                </w14:textFill>
              </w:rPr>
              <w:t>进行打孔。</w:t>
            </w:r>
          </w:p>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textAlignment w:val="auto"/>
              <w:rPr>
                <w:rFonts w:hint="default"/>
                <w:color w:val="000000" w:themeColor="text1"/>
                <w:highlight w:val="none"/>
                <w:lang w:val="en-US" w:eastAsia="zh-CN"/>
                <w14:textFill>
                  <w14:solidFill>
                    <w14:schemeClr w14:val="tx1"/>
                  </w14:solidFill>
                </w14:textFill>
              </w:rPr>
            </w:pPr>
            <w:r>
              <w:rPr>
                <w:rFonts w:hint="default" w:ascii="Times New Roman"/>
                <w:b/>
                <w:bCs/>
                <w:color w:val="000000" w:themeColor="text1"/>
                <w:highlight w:val="none"/>
                <w14:textFill>
                  <w14:solidFill>
                    <w14:schemeClr w14:val="tx1"/>
                  </w14:solidFill>
                </w14:textFill>
              </w:rPr>
              <w:t>该工序</w:t>
            </w:r>
            <w:r>
              <w:rPr>
                <w:rFonts w:hint="eastAsia"/>
                <w:b/>
                <w:bCs/>
                <w:color w:val="000000" w:themeColor="text1"/>
                <w:highlight w:val="none"/>
                <w:lang w:val="en-US" w:eastAsia="zh-CN"/>
                <w14:textFill>
                  <w14:solidFill>
                    <w14:schemeClr w14:val="tx1"/>
                  </w14:solidFill>
                </w14:textFill>
              </w:rPr>
              <w:t>主要污染物</w:t>
            </w:r>
            <w:r>
              <w:rPr>
                <w:rFonts w:hint="default" w:ascii="Times New Roman"/>
                <w:b/>
                <w:bCs/>
                <w:color w:val="000000" w:themeColor="text1"/>
                <w:highlight w:val="none"/>
                <w14:textFill>
                  <w14:solidFill>
                    <w14:schemeClr w14:val="tx1"/>
                  </w14:solidFill>
                </w14:textFill>
              </w:rPr>
              <w:t>为设备运行噪声N，</w:t>
            </w:r>
            <w:r>
              <w:rPr>
                <w:rFonts w:hint="eastAsia"/>
                <w:b/>
                <w:bCs/>
                <w:color w:val="000000" w:themeColor="text1"/>
                <w:highlight w:val="none"/>
                <w:lang w:val="en-US" w:eastAsia="zh-CN"/>
                <w14:textFill>
                  <w14:solidFill>
                    <w14:schemeClr w14:val="tx1"/>
                  </w14:solidFill>
                </w14:textFill>
              </w:rPr>
              <w:t>废气</w:t>
            </w:r>
            <w:r>
              <w:rPr>
                <w:rFonts w:hint="default" w:ascii="Times New Roman"/>
                <w:b/>
                <w:bCs/>
                <w:color w:val="000000" w:themeColor="text1"/>
                <w:highlight w:val="none"/>
                <w14:textFill>
                  <w14:solidFill>
                    <w14:schemeClr w14:val="tx1"/>
                  </w14:solidFill>
                </w14:textFill>
              </w:rPr>
              <w:t>污染物为</w:t>
            </w:r>
            <w:r>
              <w:rPr>
                <w:rFonts w:hint="eastAsia"/>
                <w:b/>
                <w:bCs/>
                <w:color w:val="000000" w:themeColor="text1"/>
                <w:highlight w:val="none"/>
                <w:lang w:eastAsia="zh-CN"/>
                <w14:textFill>
                  <w14:solidFill>
                    <w14:schemeClr w14:val="tx1"/>
                  </w14:solidFill>
                </w14:textFill>
              </w:rPr>
              <w:t>打孔</w:t>
            </w:r>
            <w:r>
              <w:rPr>
                <w:rFonts w:hint="default" w:ascii="Times New Roman"/>
                <w:b/>
                <w:bCs/>
                <w:color w:val="000000" w:themeColor="text1"/>
                <w:highlight w:val="none"/>
                <w14:textFill>
                  <w14:solidFill>
                    <w14:schemeClr w14:val="tx1"/>
                  </w14:solidFill>
                </w14:textFill>
              </w:rPr>
              <w:t>时产生的废气G</w:t>
            </w:r>
            <w:r>
              <w:rPr>
                <w:rFonts w:hint="eastAsia"/>
                <w:b/>
                <w:bCs/>
                <w:color w:val="000000" w:themeColor="text1"/>
                <w:highlight w:val="none"/>
                <w:lang w:val="en-US" w:eastAsia="zh-CN"/>
                <w14:textFill>
                  <w14:solidFill>
                    <w14:schemeClr w14:val="tx1"/>
                  </w14:solidFill>
                </w14:textFill>
              </w:rPr>
              <w:t>3</w:t>
            </w:r>
            <w:r>
              <w:rPr>
                <w:rFonts w:hint="default" w:ascii="Times New Roman"/>
                <w:b/>
                <w:bCs/>
                <w:color w:val="000000" w:themeColor="text1"/>
                <w:highlight w:val="none"/>
                <w14:textFill>
                  <w14:solidFill>
                    <w14:schemeClr w14:val="tx1"/>
                  </w14:solidFill>
                </w14:textFill>
              </w:rPr>
              <w:t>，主要污染因子为</w:t>
            </w:r>
            <w:r>
              <w:rPr>
                <w:rFonts w:hint="eastAsia"/>
                <w:b/>
                <w:bCs/>
                <w:color w:val="000000" w:themeColor="text1"/>
                <w:highlight w:val="none"/>
                <w:lang w:val="en-US" w:eastAsia="zh-CN"/>
                <w14:textFill>
                  <w14:solidFill>
                    <w14:schemeClr w14:val="tx1"/>
                  </w14:solidFill>
                </w14:textFill>
              </w:rPr>
              <w:t>颗粒物，固体废物S1为废木质边角料。</w:t>
            </w:r>
          </w:p>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eastAsia" w:ascii="Times New Roman" w:hAnsi="Times New Roman"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Theme="minorEastAsia" w:cstheme="minorBidi"/>
                <w:b/>
                <w:bCs/>
                <w:color w:val="000000" w:themeColor="text1"/>
                <w:kern w:val="2"/>
                <w:sz w:val="24"/>
                <w:szCs w:val="24"/>
                <w:highlight w:val="none"/>
                <w:lang w:val="en-US" w:eastAsia="zh-CN" w:bidi="ar-SA"/>
                <w14:textFill>
                  <w14:solidFill>
                    <w14:schemeClr w14:val="tx1"/>
                  </w14:solidFill>
                </w14:textFill>
              </w:rPr>
              <w:t>擦拭</w:t>
            </w:r>
            <w:r>
              <w:rPr>
                <w:rFonts w:hint="eastAsia" w:ascii="Times New Roman" w:hAnsi="Times New Roman" w:eastAsiaTheme="minorEastAsia" w:cstheme="minorBidi"/>
                <w:b w:val="0"/>
                <w:bCs w:val="0"/>
                <w:color w:val="000000" w:themeColor="text1"/>
                <w:kern w:val="2"/>
                <w:sz w:val="24"/>
                <w:szCs w:val="24"/>
                <w:highlight w:val="none"/>
                <w:lang w:val="en-US" w:eastAsia="zh-CN" w:bidi="ar-SA"/>
                <w14:textFill>
                  <w14:solidFill>
                    <w14:schemeClr w14:val="tx1"/>
                  </w14:solidFill>
                </w14:textFill>
              </w:rPr>
              <w:t>：完成打孔后的家具利用抹布进行擦拭。</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Theme="minorEastAsia" w:cstheme="minorBidi"/>
                <w:b/>
                <w:bCs/>
                <w:color w:val="000000" w:themeColor="text1"/>
                <w:kern w:val="2"/>
                <w:sz w:val="24"/>
                <w:szCs w:val="24"/>
                <w:highlight w:val="none"/>
                <w:lang w:val="en-US" w:eastAsia="zh-CN" w:bidi="ar-SA"/>
                <w14:textFill>
                  <w14:solidFill>
                    <w14:schemeClr w14:val="tx1"/>
                  </w14:solidFill>
                </w14:textFill>
              </w:rPr>
              <w:t>组装</w:t>
            </w:r>
            <w:r>
              <w:rPr>
                <w:rFonts w:hint="eastAsia" w:cstheme="minorBidi"/>
                <w:b/>
                <w:bCs/>
                <w:color w:val="000000" w:themeColor="text1"/>
                <w:kern w:val="2"/>
                <w:sz w:val="24"/>
                <w:szCs w:val="24"/>
                <w:highlight w:val="none"/>
                <w:lang w:val="en-US" w:eastAsia="zh-CN" w:bidi="ar-SA"/>
                <w14:textFill>
                  <w14:solidFill>
                    <w14:schemeClr w14:val="tx1"/>
                  </w14:solidFill>
                </w14:textFill>
              </w:rPr>
              <w:t>打包</w:t>
            </w:r>
            <w:r>
              <w:rPr>
                <w:rFonts w:hint="eastAsia" w:cstheme="minorBidi"/>
                <w:b w:val="0"/>
                <w:bCs w:val="0"/>
                <w:color w:val="000000" w:themeColor="text1"/>
                <w:kern w:val="2"/>
                <w:sz w:val="24"/>
                <w:szCs w:val="24"/>
                <w:highlight w:val="none"/>
                <w:lang w:val="en-US" w:eastAsia="zh-CN" w:bidi="ar-SA"/>
                <w14:textFill>
                  <w14:solidFill>
                    <w14:schemeClr w14:val="tx1"/>
                  </w14:solidFill>
                </w14:textFill>
              </w:rPr>
              <w:t>：擦拭后的家具按客户要求进行组装，组装完成后家具打包，分类码放、待售。</w:t>
            </w:r>
          </w:p>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eastAsia" w:ascii="Times New Roman" w:hAnsi="Times New Roman" w:eastAsiaTheme="minorEastAsia" w:cstheme="minorBidi"/>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Theme="minorEastAsia" w:cstheme="minorBidi"/>
                <w:b/>
                <w:bCs/>
                <w:color w:val="000000" w:themeColor="text1"/>
                <w:kern w:val="2"/>
                <w:sz w:val="24"/>
                <w:szCs w:val="24"/>
                <w:highlight w:val="none"/>
                <w:lang w:val="en-US" w:eastAsia="zh-CN" w:bidi="ar-SA"/>
                <w14:textFill>
                  <w14:solidFill>
                    <w14:schemeClr w14:val="tx1"/>
                  </w14:solidFill>
                </w14:textFill>
              </w:rPr>
              <w:t>该工序固体废物S4为废纸箱纸板。</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bCs/>
                <w:color w:val="000000" w:themeColor="text1"/>
                <w:sz w:val="24"/>
                <w:highlight w:val="none"/>
                <w:lang w:eastAsia="zh-CN"/>
                <w14:textFill>
                  <w14:solidFill>
                    <w14:schemeClr w14:val="tx1"/>
                  </w14:solidFill>
                </w14:textFill>
              </w:rPr>
              <w:t>木质家具生产</w:t>
            </w:r>
            <w:r>
              <w:rPr>
                <w:rFonts w:hint="default" w:ascii="Times New Roman" w:hAnsi="Times New Roman" w:cs="Times New Roman"/>
                <w:color w:val="000000" w:themeColor="text1"/>
                <w:sz w:val="24"/>
                <w:highlight w:val="none"/>
                <w14:textFill>
                  <w14:solidFill>
                    <w14:schemeClr w14:val="tx1"/>
                  </w14:solidFill>
                </w14:textFill>
              </w:rPr>
              <w:t>产排污环节详见表</w:t>
            </w:r>
            <w:r>
              <w:rPr>
                <w:rFonts w:hint="eastAsia" w:cs="Times New Roman"/>
                <w:color w:val="000000" w:themeColor="text1"/>
                <w:sz w:val="24"/>
                <w:highlight w:val="none"/>
                <w:lang w:val="en-US" w:eastAsia="zh-CN"/>
                <w14:textFill>
                  <w14:solidFill>
                    <w14:schemeClr w14:val="tx1"/>
                  </w14:solidFill>
                </w14:textFill>
              </w:rPr>
              <w:t>2-6。</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黑体" w:cs="Times New Roman"/>
                <w:color w:val="000000" w:themeColor="text1"/>
                <w:highlight w:val="none"/>
                <w:lang w:val="en-US" w:eastAsia="zh-CN"/>
                <w14:textFill>
                  <w14:solidFill>
                    <w14:schemeClr w14:val="tx1"/>
                  </w14:solidFill>
                </w14:textFill>
              </w:rPr>
            </w:pPr>
            <w:r>
              <w:rPr>
                <w:rFonts w:hint="default" w:ascii="Times New Roman" w:hAnsi="Times New Roman" w:eastAsia="黑体" w:cs="Times New Roman"/>
                <w:color w:val="000000" w:themeColor="text1"/>
                <w:highlight w:val="none"/>
                <w:lang w:val="en-US" w:eastAsia="zh-CN"/>
                <w14:textFill>
                  <w14:solidFill>
                    <w14:schemeClr w14:val="tx1"/>
                  </w14:solidFill>
                </w14:textFill>
              </w:rPr>
              <w:t>表2-</w:t>
            </w:r>
            <w:r>
              <w:rPr>
                <w:rFonts w:hint="eastAsia" w:eastAsia="黑体" w:cs="Times New Roman"/>
                <w:color w:val="000000" w:themeColor="text1"/>
                <w:highlight w:val="none"/>
                <w:lang w:val="en-US" w:eastAsia="zh-CN"/>
                <w14:textFill>
                  <w14:solidFill>
                    <w14:schemeClr w14:val="tx1"/>
                  </w14:solidFill>
                </w14:textFill>
              </w:rPr>
              <w:t>6</w:t>
            </w:r>
            <w:r>
              <w:rPr>
                <w:rFonts w:hint="default" w:ascii="Times New Roman" w:hAnsi="Times New Roman" w:eastAsia="黑体" w:cs="Times New Roman"/>
                <w:color w:val="000000" w:themeColor="text1"/>
                <w:highlight w:val="none"/>
                <w:lang w:val="en-US" w:eastAsia="zh-CN"/>
                <w14:textFill>
                  <w14:solidFill>
                    <w14:schemeClr w14:val="tx1"/>
                  </w14:solidFill>
                </w14:textFill>
              </w:rPr>
              <w:t xml:space="preserve">  木质家具主要排污节点一览表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91"/>
              <w:gridCol w:w="955"/>
              <w:gridCol w:w="1799"/>
              <w:gridCol w:w="1209"/>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blHeader/>
                <w:jc w:val="center"/>
              </w:trPr>
              <w:tc>
                <w:tcPr>
                  <w:tcW w:w="411"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类别</w:t>
                  </w:r>
                </w:p>
              </w:tc>
              <w:tc>
                <w:tcPr>
                  <w:tcW w:w="568"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序号</w:t>
                  </w:r>
                </w:p>
              </w:tc>
              <w:tc>
                <w:tcPr>
                  <w:tcW w:w="1070"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排污节点</w:t>
                  </w:r>
                </w:p>
              </w:tc>
              <w:tc>
                <w:tcPr>
                  <w:tcW w:w="719"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污染物</w:t>
                  </w:r>
                </w:p>
              </w:tc>
              <w:tc>
                <w:tcPr>
                  <w:tcW w:w="2231"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4" w:hRule="atLeast"/>
                <w:jc w:val="center"/>
              </w:trPr>
              <w:tc>
                <w:tcPr>
                  <w:tcW w:w="411" w:type="pct"/>
                  <w:vMerge w:val="restar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废气</w:t>
                  </w:r>
                </w:p>
              </w:tc>
              <w:tc>
                <w:tcPr>
                  <w:tcW w:w="56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G</w:t>
                  </w:r>
                  <w:r>
                    <w:rPr>
                      <w:rFonts w:hint="eastAsia" w:eastAsia="宋体" w:cs="Times New Roman"/>
                      <w:bCs/>
                      <w:color w:val="000000" w:themeColor="text1"/>
                      <w:sz w:val="21"/>
                      <w:szCs w:val="21"/>
                      <w:highlight w:val="none"/>
                      <w:lang w:val="en-US" w:eastAsia="zh-CN"/>
                      <w14:textFill>
                        <w14:solidFill>
                          <w14:schemeClr w14:val="tx1"/>
                        </w14:solidFill>
                      </w14:textFill>
                    </w:rPr>
                    <w:t>1</w:t>
                  </w:r>
                </w:p>
              </w:tc>
              <w:tc>
                <w:tcPr>
                  <w:tcW w:w="107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开料工序</w:t>
                  </w:r>
                </w:p>
              </w:tc>
              <w:tc>
                <w:tcPr>
                  <w:tcW w:w="71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颗粒物</w:t>
                  </w:r>
                </w:p>
              </w:tc>
              <w:tc>
                <w:tcPr>
                  <w:tcW w:w="2231"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集气罩</w:t>
                  </w: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布袋除尘器</w:t>
                  </w: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15m高排气筒排放</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DA001</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411"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6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G</w:t>
                  </w:r>
                  <w:r>
                    <w:rPr>
                      <w:rFonts w:hint="eastAsia" w:eastAsia="宋体" w:cs="Times New Roman"/>
                      <w:bCs/>
                      <w:color w:val="000000" w:themeColor="text1"/>
                      <w:sz w:val="21"/>
                      <w:szCs w:val="21"/>
                      <w:highlight w:val="none"/>
                      <w:lang w:val="en-US" w:eastAsia="zh-CN"/>
                      <w14:textFill>
                        <w14:solidFill>
                          <w14:schemeClr w14:val="tx1"/>
                        </w14:solidFill>
                      </w14:textFill>
                    </w:rPr>
                    <w:t>2</w:t>
                  </w:r>
                </w:p>
              </w:tc>
              <w:tc>
                <w:tcPr>
                  <w:tcW w:w="107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封边工序</w:t>
                  </w:r>
                </w:p>
              </w:tc>
              <w:tc>
                <w:tcPr>
                  <w:tcW w:w="71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颗粒物</w:t>
                  </w:r>
                  <w:r>
                    <w:rPr>
                      <w:rFonts w:hint="eastAsia" w:eastAsia="宋体" w:cs="Times New Roman"/>
                      <w:bCs/>
                      <w:color w:val="000000" w:themeColor="text1"/>
                      <w:sz w:val="21"/>
                      <w:szCs w:val="21"/>
                      <w:highlight w:val="none"/>
                      <w:lang w:val="en-US" w:eastAsia="zh-CN"/>
                      <w14:textFill>
                        <w14:solidFill>
                          <w14:schemeClr w14:val="tx1"/>
                        </w14:solidFill>
                      </w14:textFill>
                    </w:rPr>
                    <w:t>、非甲烷总烃</w:t>
                  </w:r>
                </w:p>
              </w:tc>
              <w:tc>
                <w:tcPr>
                  <w:tcW w:w="2231"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411"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6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G</w:t>
                  </w:r>
                  <w:r>
                    <w:rPr>
                      <w:rFonts w:hint="eastAsia" w:eastAsia="宋体" w:cs="Times New Roman"/>
                      <w:bCs/>
                      <w:color w:val="000000" w:themeColor="text1"/>
                      <w:sz w:val="21"/>
                      <w:szCs w:val="21"/>
                      <w:highlight w:val="none"/>
                      <w:lang w:val="en-US" w:eastAsia="zh-CN"/>
                      <w14:textFill>
                        <w14:solidFill>
                          <w14:schemeClr w14:val="tx1"/>
                        </w14:solidFill>
                      </w14:textFill>
                    </w:rPr>
                    <w:t>3</w:t>
                  </w:r>
                </w:p>
              </w:tc>
              <w:tc>
                <w:tcPr>
                  <w:tcW w:w="107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打孔工序</w:t>
                  </w:r>
                </w:p>
              </w:tc>
              <w:tc>
                <w:tcPr>
                  <w:tcW w:w="71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颗粒物</w:t>
                  </w:r>
                </w:p>
              </w:tc>
              <w:tc>
                <w:tcPr>
                  <w:tcW w:w="2231"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11"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568"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1070"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生产设备</w:t>
                  </w:r>
                </w:p>
              </w:tc>
              <w:tc>
                <w:tcPr>
                  <w:tcW w:w="719"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A声级</w:t>
                  </w:r>
                </w:p>
              </w:tc>
              <w:tc>
                <w:tcPr>
                  <w:tcW w:w="2231"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基础减振、厂房隔声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11" w:type="pct"/>
                  <w:vMerge w:val="restar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568"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1</w:t>
                  </w:r>
                </w:p>
              </w:tc>
              <w:tc>
                <w:tcPr>
                  <w:tcW w:w="1070"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打孔</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工序</w:t>
                  </w:r>
                </w:p>
              </w:tc>
              <w:tc>
                <w:tcPr>
                  <w:tcW w:w="719"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木质边角料</w:t>
                  </w:r>
                </w:p>
              </w:tc>
              <w:tc>
                <w:tcPr>
                  <w:tcW w:w="2231"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11"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8"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2</w:t>
                  </w:r>
                </w:p>
              </w:tc>
              <w:tc>
                <w:tcPr>
                  <w:tcW w:w="1070" w:type="pct"/>
                  <w:vMerge w:val="restar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封边工序</w:t>
                  </w:r>
                </w:p>
              </w:tc>
              <w:tc>
                <w:tcPr>
                  <w:tcW w:w="719"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废胶</w:t>
                  </w:r>
                  <w:r>
                    <w:rPr>
                      <w:rFonts w:hint="eastAsia" w:cs="Times New Roman"/>
                      <w:color w:val="000000" w:themeColor="text1"/>
                      <w:sz w:val="21"/>
                      <w:szCs w:val="21"/>
                      <w:highlight w:val="none"/>
                      <w:lang w:val="en-US" w:eastAsia="zh-CN"/>
                      <w14:textFill>
                        <w14:solidFill>
                          <w14:schemeClr w14:val="tx1"/>
                        </w14:solidFill>
                      </w14:textFill>
                    </w:rPr>
                    <w:t>袋</w:t>
                  </w:r>
                </w:p>
              </w:tc>
              <w:tc>
                <w:tcPr>
                  <w:tcW w:w="2231"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危废间暂存，定期由有资质单位处理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411"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8"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3</w:t>
                  </w:r>
                </w:p>
              </w:tc>
              <w:tc>
                <w:tcPr>
                  <w:tcW w:w="1070"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19"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废封边条</w:t>
                  </w:r>
                </w:p>
              </w:tc>
              <w:tc>
                <w:tcPr>
                  <w:tcW w:w="2231" w:type="pct"/>
                  <w:vMerge w:val="restar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3" w:hRule="atLeast"/>
                <w:jc w:val="center"/>
              </w:trPr>
              <w:tc>
                <w:tcPr>
                  <w:tcW w:w="411"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8"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4</w:t>
                  </w:r>
                </w:p>
              </w:tc>
              <w:tc>
                <w:tcPr>
                  <w:tcW w:w="1070"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组装打包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工序</w:t>
                  </w:r>
                </w:p>
              </w:tc>
              <w:tc>
                <w:tcPr>
                  <w:tcW w:w="719"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废纸箱纸板</w:t>
                  </w:r>
                </w:p>
              </w:tc>
              <w:tc>
                <w:tcPr>
                  <w:tcW w:w="2231"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411"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8"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5</w:t>
                  </w:r>
                </w:p>
              </w:tc>
              <w:tc>
                <w:tcPr>
                  <w:tcW w:w="1070" w:type="pct"/>
                  <w:vMerge w:val="restar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机械设备</w:t>
                  </w:r>
                </w:p>
              </w:tc>
              <w:tc>
                <w:tcPr>
                  <w:tcW w:w="719"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废机油</w:t>
                  </w:r>
                </w:p>
              </w:tc>
              <w:tc>
                <w:tcPr>
                  <w:tcW w:w="2231" w:type="pct"/>
                  <w:vMerge w:val="restar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危废间暂存，定期由有资质单位处理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411"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8"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S6</w:t>
                  </w:r>
                </w:p>
              </w:tc>
              <w:tc>
                <w:tcPr>
                  <w:tcW w:w="1070"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19"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废油桶</w:t>
                  </w:r>
                </w:p>
              </w:tc>
              <w:tc>
                <w:tcPr>
                  <w:tcW w:w="2231"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bl>
          <w:p>
            <w:pPr>
              <w:pStyle w:val="18"/>
              <w:keepNext w:val="0"/>
              <w:keepLines w:val="0"/>
              <w:suppressLineNumbers w:val="0"/>
              <w:spacing w:before="0" w:beforeAutospacing="0" w:after="0" w:afterAutospacing="0"/>
              <w:ind w:right="0"/>
              <w:rPr>
                <w:rFonts w:hint="default"/>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g">
                  <w:drawing>
                    <wp:anchor distT="0" distB="0" distL="114300" distR="114300" simplePos="0" relativeHeight="251703296" behindDoc="0" locked="0" layoutInCell="1" allowOverlap="1">
                      <wp:simplePos x="0" y="0"/>
                      <wp:positionH relativeFrom="column">
                        <wp:posOffset>1276350</wp:posOffset>
                      </wp:positionH>
                      <wp:positionV relativeFrom="paragraph">
                        <wp:posOffset>34290</wp:posOffset>
                      </wp:positionV>
                      <wp:extent cx="2766695" cy="3630930"/>
                      <wp:effectExtent l="6350" t="6350" r="8255" b="0"/>
                      <wp:wrapNone/>
                      <wp:docPr id="18" name="组合 18"/>
                      <wp:cNvGraphicFramePr/>
                      <a:graphic xmlns:a="http://schemas.openxmlformats.org/drawingml/2006/main">
                        <a:graphicData uri="http://schemas.microsoft.com/office/word/2010/wordprocessingGroup">
                          <wpg:wgp>
                            <wpg:cNvGrpSpPr/>
                            <wpg:grpSpPr>
                              <a:xfrm>
                                <a:off x="0" y="0"/>
                                <a:ext cx="2766695" cy="3630930"/>
                                <a:chOff x="4937" y="275985"/>
                                <a:chExt cx="4357" cy="5718"/>
                              </a:xfrm>
                            </wpg:grpSpPr>
                            <wps:wsp>
                              <wps:cNvPr id="81" name="矩形 81"/>
                              <wps:cNvSpPr/>
                              <wps:spPr>
                                <a:xfrm>
                                  <a:off x="4937" y="275985"/>
                                  <a:ext cx="17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文本框 92"/>
                              <wps:cNvSpPr txBox="1"/>
                              <wps:spPr>
                                <a:xfrm>
                                  <a:off x="5458" y="275986"/>
                                  <a:ext cx="968"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color w:val="auto"/>
                                        <w:lang w:eastAsia="zh-CN"/>
                                      </w:rPr>
                                    </w:pPr>
                                    <w:r>
                                      <w:rPr>
                                        <w:rFonts w:hint="eastAsia"/>
                                        <w:color w:val="auto"/>
                                        <w:lang w:eastAsia="zh-CN"/>
                                      </w:rPr>
                                      <w:t>板材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直接连接符 93"/>
                              <wps:cNvCnPr/>
                              <wps:spPr>
                                <a:xfrm flipH="1">
                                  <a:off x="5809" y="276478"/>
                                  <a:ext cx="1" cy="3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矩形 94"/>
                              <wps:cNvSpPr/>
                              <wps:spPr>
                                <a:xfrm>
                                  <a:off x="4937" y="276848"/>
                                  <a:ext cx="17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文本框 95"/>
                              <wps:cNvSpPr txBox="1"/>
                              <wps:spPr>
                                <a:xfrm>
                                  <a:off x="5478" y="276859"/>
                                  <a:ext cx="968"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color w:val="auto"/>
                                        <w:lang w:eastAsia="zh-CN"/>
                                      </w:rPr>
                                    </w:pPr>
                                    <w:r>
                                      <w:rPr>
                                        <w:rFonts w:hint="eastAsia"/>
                                        <w:color w:val="auto"/>
                                        <w:lang w:eastAsia="zh-CN"/>
                                      </w:rPr>
                                      <w:t>开料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矩形 97"/>
                              <wps:cNvSpPr/>
                              <wps:spPr>
                                <a:xfrm>
                                  <a:off x="4953" y="277728"/>
                                  <a:ext cx="17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文本框 96"/>
                              <wps:cNvSpPr txBox="1"/>
                              <wps:spPr>
                                <a:xfrm>
                                  <a:off x="5494" y="277739"/>
                                  <a:ext cx="968"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color w:val="auto"/>
                                        <w:lang w:eastAsia="zh-CN"/>
                                      </w:rPr>
                                    </w:pPr>
                                    <w:r>
                                      <w:rPr>
                                        <w:rFonts w:hint="eastAsia"/>
                                        <w:color w:val="auto"/>
                                        <w:lang w:eastAsia="zh-CN"/>
                                      </w:rPr>
                                      <w:t>封边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直接连接符 98"/>
                              <wps:cNvCnPr/>
                              <wps:spPr>
                                <a:xfrm flipH="1">
                                  <a:off x="5809" y="277347"/>
                                  <a:ext cx="1" cy="3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矩形 99"/>
                              <wps:cNvSpPr/>
                              <wps:spPr>
                                <a:xfrm>
                                  <a:off x="4953" y="278592"/>
                                  <a:ext cx="17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 name="文本框 101"/>
                              <wps:cNvSpPr txBox="1"/>
                              <wps:spPr>
                                <a:xfrm>
                                  <a:off x="5494" y="278603"/>
                                  <a:ext cx="968"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color w:val="auto"/>
                                        <w:lang w:eastAsia="zh-CN"/>
                                      </w:rPr>
                                    </w:pPr>
                                    <w:r>
                                      <w:rPr>
                                        <w:rFonts w:hint="eastAsia"/>
                                        <w:color w:val="auto"/>
                                        <w:lang w:eastAsia="zh-CN"/>
                                      </w:rPr>
                                      <w:t>打孔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直接连接符 100"/>
                              <wps:cNvCnPr/>
                              <wps:spPr>
                                <a:xfrm flipH="1">
                                  <a:off x="5809" y="278211"/>
                                  <a:ext cx="1" cy="3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直接连接符 106"/>
                              <wps:cNvCnPr/>
                              <wps:spPr>
                                <a:xfrm flipH="1">
                                  <a:off x="5809" y="279075"/>
                                  <a:ext cx="1" cy="3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矩形 110"/>
                              <wps:cNvSpPr/>
                              <wps:spPr>
                                <a:xfrm>
                                  <a:off x="4969" y="279492"/>
                                  <a:ext cx="17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 name="文本框 109"/>
                              <wps:cNvSpPr txBox="1"/>
                              <wps:spPr>
                                <a:xfrm>
                                  <a:off x="5471" y="279495"/>
                                  <a:ext cx="968"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auto"/>
                                        <w:lang w:val="en-US" w:eastAsia="zh-CN"/>
                                      </w:rPr>
                                    </w:pPr>
                                    <w:r>
                                      <w:rPr>
                                        <w:rFonts w:hint="eastAsia"/>
                                        <w:color w:val="auto"/>
                                        <w:lang w:val="en-US" w:eastAsia="zh-CN"/>
                                      </w:rPr>
                                      <w:t>擦拭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7252" y="280405"/>
                                  <a:ext cx="1596" cy="5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Theme="minorEastAsia"/>
                                        <w:lang w:val="en-US" w:eastAsia="zh-CN"/>
                                      </w:rPr>
                                    </w:pPr>
                                    <w:r>
                                      <w:rPr>
                                        <w:rFonts w:hint="eastAsia"/>
                                        <w:lang w:val="en-US" w:eastAsia="zh-CN"/>
                                      </w:rPr>
                                      <w:t>S4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直接连接符 111"/>
                              <wps:cNvCnPr/>
                              <wps:spPr>
                                <a:xfrm flipH="1">
                                  <a:off x="5841" y="280855"/>
                                  <a:ext cx="1" cy="3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文本框 112"/>
                              <wps:cNvSpPr txBox="1"/>
                              <wps:spPr>
                                <a:xfrm>
                                  <a:off x="5487" y="281239"/>
                                  <a:ext cx="968"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auto"/>
                                        <w:lang w:val="en-US" w:eastAsia="zh-CN"/>
                                      </w:rPr>
                                    </w:pPr>
                                    <w:r>
                                      <w:rPr>
                                        <w:rFonts w:hint="eastAsia"/>
                                        <w:color w:val="auto"/>
                                        <w:lang w:val="en-US" w:eastAsia="zh-CN"/>
                                      </w:rPr>
                                      <w:t>待售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直接箭头连接符 114"/>
                              <wps:cNvCnPr/>
                              <wps:spPr>
                                <a:xfrm>
                                  <a:off x="6704" y="277087"/>
                                  <a:ext cx="516"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文本框 116"/>
                              <wps:cNvSpPr txBox="1"/>
                              <wps:spPr>
                                <a:xfrm>
                                  <a:off x="7376" y="276864"/>
                                  <a:ext cx="1596" cy="5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Theme="minorEastAsia"/>
                                        <w:lang w:val="en-US" w:eastAsia="zh-CN"/>
                                      </w:rPr>
                                    </w:pPr>
                                    <w:r>
                                      <w:rPr>
                                        <w:rFonts w:hint="eastAsia"/>
                                        <w:lang w:val="en-US" w:eastAsia="zh-CN"/>
                                      </w:rPr>
                                      <w:t>G1、N、S1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直接箭头连接符 118"/>
                              <wps:cNvCnPr/>
                              <wps:spPr>
                                <a:xfrm>
                                  <a:off x="6720" y="277922"/>
                                  <a:ext cx="516"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文本框 117"/>
                              <wps:cNvSpPr txBox="1"/>
                              <wps:spPr>
                                <a:xfrm>
                                  <a:off x="7392" y="277699"/>
                                  <a:ext cx="1902" cy="5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Theme="minorEastAsia"/>
                                        <w:lang w:val="en-US" w:eastAsia="zh-CN"/>
                                      </w:rPr>
                                    </w:pPr>
                                    <w:r>
                                      <w:rPr>
                                        <w:rFonts w:hint="eastAsia"/>
                                        <w:lang w:val="en-US" w:eastAsia="zh-CN"/>
                                      </w:rPr>
                                      <w:t>G2、N、S2、S3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直接箭头连接符 120"/>
                              <wps:cNvCnPr/>
                              <wps:spPr>
                                <a:xfrm>
                                  <a:off x="6736" y="278802"/>
                                  <a:ext cx="516"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9" name="文本框 119"/>
                              <wps:cNvSpPr txBox="1"/>
                              <wps:spPr>
                                <a:xfrm>
                                  <a:off x="7408" y="278579"/>
                                  <a:ext cx="1596" cy="5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Theme="minorEastAsia"/>
                                        <w:lang w:val="en-US" w:eastAsia="zh-CN"/>
                                      </w:rPr>
                                    </w:pPr>
                                    <w:r>
                                      <w:rPr>
                                        <w:rFonts w:hint="eastAsia"/>
                                        <w:lang w:val="en-US" w:eastAsia="zh-CN"/>
                                      </w:rPr>
                                      <w:t>G3、N、S1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直接箭头连接符 27"/>
                              <wps:cNvCnPr/>
                              <wps:spPr>
                                <a:xfrm>
                                  <a:off x="6760" y="280627"/>
                                  <a:ext cx="516"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矩形 12"/>
                              <wps:cNvSpPr/>
                              <wps:spPr>
                                <a:xfrm>
                                  <a:off x="4985" y="280340"/>
                                  <a:ext cx="17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直接连接符 7"/>
                              <wps:cNvCnPr/>
                              <wps:spPr>
                                <a:xfrm flipH="1">
                                  <a:off x="5841" y="279960"/>
                                  <a:ext cx="1" cy="3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文本框 8"/>
                              <wps:cNvSpPr txBox="1"/>
                              <wps:spPr>
                                <a:xfrm>
                                  <a:off x="5197" y="280363"/>
                                  <a:ext cx="1402"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auto"/>
                                        <w:lang w:val="en-US" w:eastAsia="zh-CN"/>
                                      </w:rPr>
                                    </w:pPr>
                                    <w:r>
                                      <w:rPr>
                                        <w:rFonts w:hint="eastAsia"/>
                                        <w:color w:val="auto"/>
                                        <w:lang w:val="en-US" w:eastAsia="zh-CN"/>
                                      </w:rPr>
                                      <w:t>组装打包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0.5pt;margin-top:2.7pt;height:285.9pt;width:217.85pt;z-index:251703296;mso-width-relative:page;mso-height-relative:page;" coordorigin="4937,275985" coordsize="4357,5718" o:gfxdata="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DZmd532QAAAAkBAAAPAAAAAAAAAAEAIAAAACIAAABkcnMvZG93bnJldi54bWxQSwECFAAUAAAA&#10;CACHTuJA+yuw2wwHAADbRAAADgAAAAAAAAABACAAAAAoAQAAZHJzL2Uyb0RvYy54bWxQSwUGAAAA&#10;AAYABgBZAQAApgoAAAAA&#10;">
                      <o:lock v:ext="edit" aspectratio="f"/>
                      <v:rect id="_x0000_s1026" o:spid="_x0000_s1026" o:spt="1" style="position:absolute;left:4937;top:275985;height:483;width:1767;v-text-anchor:middle;" filled="f" stroked="t" coordsize="21600,21600" o:gfxdata="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q4B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shape id="_x0000_s1026" o:spid="_x0000_s1026" o:spt="202" type="#_x0000_t202" style="position:absolute;left:5458;top:275986;height:465;width:968;"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color w:val="auto"/>
                                  <w:lang w:eastAsia="zh-CN"/>
                                </w:rPr>
                              </w:pPr>
                              <w:r>
                                <w:rPr>
                                  <w:rFonts w:hint="eastAsia"/>
                                  <w:color w:val="auto"/>
                                  <w:lang w:eastAsia="zh-CN"/>
                                </w:rPr>
                                <w:t>板材</w:t>
                              </w:r>
                            </w:p>
                          </w:txbxContent>
                        </v:textbox>
                      </v:shape>
                      <v:line id="_x0000_s1026" o:spid="_x0000_s1026" o:spt="20" style="position:absolute;left:5809;top:276478;flip:x;height:383;width:1;" filled="f" stroked="t" coordsize="21600,21600" o:gfxdata="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zXD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rect id="_x0000_s1026" o:spid="_x0000_s1026" o:spt="1" style="position:absolute;left:4937;top:276848;height:483;width:1767;v-text-anchor:middle;" filled="f" stroked="t" coordsize="21600,21600" o:gfxdata="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AJtE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shape id="_x0000_s1026" o:spid="_x0000_s1026" o:spt="202" type="#_x0000_t202" style="position:absolute;left:5478;top:276859;height:465;width:968;" filled="f" stroked="f" coordsize="21600,21600" o:gfxdata="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OlC&#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color w:val="auto"/>
                                  <w:lang w:eastAsia="zh-CN"/>
                                </w:rPr>
                              </w:pPr>
                              <w:r>
                                <w:rPr>
                                  <w:rFonts w:hint="eastAsia"/>
                                  <w:color w:val="auto"/>
                                  <w:lang w:eastAsia="zh-CN"/>
                                </w:rPr>
                                <w:t>开料</w:t>
                              </w:r>
                            </w:p>
                          </w:txbxContent>
                        </v:textbox>
                      </v:shape>
                      <v:rect id="_x0000_s1026" o:spid="_x0000_s1026" o:spt="1" style="position:absolute;left:4953;top:277728;height:483;width:1767;v-text-anchor:middle;" filled="f" stroked="t" coordsize="21600,21600" o:gfxdata="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IFM7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shape id="_x0000_s1026" o:spid="_x0000_s1026" o:spt="202" type="#_x0000_t202" style="position:absolute;left:5494;top:277739;height:465;width:968;" filled="f" stroked="f" coordsize="21600,21600" o:gfxdata="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nc1&#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color w:val="auto"/>
                                  <w:lang w:eastAsia="zh-CN"/>
                                </w:rPr>
                              </w:pPr>
                              <w:r>
                                <w:rPr>
                                  <w:rFonts w:hint="eastAsia"/>
                                  <w:color w:val="auto"/>
                                  <w:lang w:eastAsia="zh-CN"/>
                                </w:rPr>
                                <w:t>封边</w:t>
                              </w:r>
                            </w:p>
                          </w:txbxContent>
                        </v:textbox>
                      </v:shape>
                      <v:line id="_x0000_s1026" o:spid="_x0000_s1026" o:spt="20" style="position:absolute;left:5809;top:277347;flip:x;height:383;width:1;" filled="f" stroked="t" coordsize="21600,21600" o:gfxdata="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Tp7K5AAAA2w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rect id="_x0000_s1026" o:spid="_x0000_s1026" o:spt="1" style="position:absolute;left:4953;top:278592;height:483;width:1767;v-text-anchor:middle;" filled="f" stroked="t" coordsize="21600,21600" o:gfxdata="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ATTa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shape id="_x0000_s1026" o:spid="_x0000_s1026" o:spt="202" type="#_x0000_t202" style="position:absolute;left:5494;top:278603;height:465;width:968;" filled="f" stroked="f" coordsize="21600,21600" o:gfxdata="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GqB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color w:val="auto"/>
                                  <w:lang w:eastAsia="zh-CN"/>
                                </w:rPr>
                              </w:pPr>
                              <w:r>
                                <w:rPr>
                                  <w:rFonts w:hint="eastAsia"/>
                                  <w:color w:val="auto"/>
                                  <w:lang w:eastAsia="zh-CN"/>
                                </w:rPr>
                                <w:t>打孔</w:t>
                              </w:r>
                            </w:p>
                          </w:txbxContent>
                        </v:textbox>
                      </v:shape>
                      <v:line id="_x0000_s1026" o:spid="_x0000_s1026" o:spt="20" style="position:absolute;left:5809;top:278211;flip:x;height:383;width:1;" filled="f" stroked="t" coordsize="21600,21600" o:gfxdata="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G+6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5809;top:279075;flip:x;height:383;width:1;" filled="f" stroked="t" coordsize="21600,21600" o:gfxdata="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SDBr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rect id="_x0000_s1026" o:spid="_x0000_s1026" o:spt="1" style="position:absolute;left:4969;top:279492;height:483;width:1767;v-text-anchor:middle;" filled="f" stroked="t" coordsize="21600,21600" o:gfxdata="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cFa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shape id="_x0000_s1026" o:spid="_x0000_s1026" o:spt="202" type="#_x0000_t202" style="position:absolute;left:5471;top:279495;height:465;width:968;"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auto"/>
                                  <w:lang w:val="en-US" w:eastAsia="zh-CN"/>
                                </w:rPr>
                              </w:pPr>
                              <w:r>
                                <w:rPr>
                                  <w:rFonts w:hint="eastAsia"/>
                                  <w:color w:val="auto"/>
                                  <w:lang w:val="en-US" w:eastAsia="zh-CN"/>
                                </w:rPr>
                                <w:t>擦拭</w:t>
                              </w:r>
                            </w:p>
                          </w:txbxContent>
                        </v:textbox>
                      </v:shape>
                      <v:shape id="_x0000_s1026" o:spid="_x0000_s1026" o:spt="202" type="#_x0000_t202" style="position:absolute;left:7252;top:280405;height:533;width:1596;" fillcolor="#FFFFFF [3201]" filled="t" stroked="f" coordsize="21600,21600" o:gfxdata="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EuqbA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ind w:left="0" w:leftChars="0" w:firstLine="0" w:firstLineChars="0"/>
                                <w:rPr>
                                  <w:rFonts w:hint="default" w:eastAsiaTheme="minorEastAsia"/>
                                  <w:lang w:val="en-US" w:eastAsia="zh-CN"/>
                                </w:rPr>
                              </w:pPr>
                              <w:r>
                                <w:rPr>
                                  <w:rFonts w:hint="eastAsia"/>
                                  <w:lang w:val="en-US" w:eastAsia="zh-CN"/>
                                </w:rPr>
                                <w:t>S4</w:t>
                              </w:r>
                            </w:p>
                          </w:txbxContent>
                        </v:textbox>
                      </v:shape>
                      <v:line id="_x0000_s1026" o:spid="_x0000_s1026" o:spt="20" style="position:absolute;left:5841;top:280855;flip:x;height:383;width:1;" filled="f" stroked="t" coordsize="21600,21600" o:gfxdata="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Nr7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shape id="_x0000_s1026" o:spid="_x0000_s1026" o:spt="202" type="#_x0000_t202" style="position:absolute;left:5487;top:281239;height:465;width:968;" filled="f" stroked="f" coordsize="21600,21600" o:gfxdata="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2gv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auto"/>
                                  <w:lang w:val="en-US" w:eastAsia="zh-CN"/>
                                </w:rPr>
                              </w:pPr>
                              <w:r>
                                <w:rPr>
                                  <w:rFonts w:hint="eastAsia"/>
                                  <w:color w:val="auto"/>
                                  <w:lang w:val="en-US" w:eastAsia="zh-CN"/>
                                </w:rPr>
                                <w:t>待售</w:t>
                              </w:r>
                            </w:p>
                          </w:txbxContent>
                        </v:textbox>
                      </v:shape>
                      <v:shape id="_x0000_s1026" o:spid="_x0000_s1026" o:spt="32" type="#_x0000_t32" style="position:absolute;left:6704;top:277087;height:1;width:516;" filled="f" stroked="t" coordsize="21600,21600" o:gfxdata="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h+5B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_x0000_s1026" o:spid="_x0000_s1026" o:spt="202" type="#_x0000_t202" style="position:absolute;left:7376;top:276864;height:533;width:1596;" fillcolor="#FFFFFF [3201]" filled="t" stroked="f" coordsize="21600,21600" o:gfxdata="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ubxd7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ind w:left="0" w:leftChars="0" w:firstLine="0" w:firstLineChars="0"/>
                                <w:rPr>
                                  <w:rFonts w:hint="default" w:eastAsiaTheme="minorEastAsia"/>
                                  <w:lang w:val="en-US" w:eastAsia="zh-CN"/>
                                </w:rPr>
                              </w:pPr>
                              <w:r>
                                <w:rPr>
                                  <w:rFonts w:hint="eastAsia"/>
                                  <w:lang w:val="en-US" w:eastAsia="zh-CN"/>
                                </w:rPr>
                                <w:t>G1、N、S1</w:t>
                              </w:r>
                            </w:p>
                          </w:txbxContent>
                        </v:textbox>
                      </v:shape>
                      <v:shape id="_x0000_s1026" o:spid="_x0000_s1026" o:spt="32" type="#_x0000_t32" style="position:absolute;left:6720;top:277922;height:1;width:516;" filled="f" stroked="t" coordsize="21600,21600" o:gfxdata="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K5ES/&#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202" type="#_x0000_t202" style="position:absolute;left:7392;top:277699;height:533;width:1902;" fillcolor="#FFFFFF [3201]" filled="t" stroked="f" coordsize="21600,21600" o:gfxdata="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2qVOy2AAAA3A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ind w:left="0" w:leftChars="0" w:firstLine="0" w:firstLineChars="0"/>
                                <w:rPr>
                                  <w:rFonts w:hint="default" w:eastAsiaTheme="minorEastAsia"/>
                                  <w:lang w:val="en-US" w:eastAsia="zh-CN"/>
                                </w:rPr>
                              </w:pPr>
                              <w:r>
                                <w:rPr>
                                  <w:rFonts w:hint="eastAsia"/>
                                  <w:lang w:val="en-US" w:eastAsia="zh-CN"/>
                                </w:rPr>
                                <w:t>G2、N、S2、S3</w:t>
                              </w:r>
                            </w:p>
                          </w:txbxContent>
                        </v:textbox>
                      </v:shape>
                      <v:shape id="_x0000_s1026" o:spid="_x0000_s1026" o:spt="32" type="#_x0000_t32" style="position:absolute;left:6736;top:278802;height:1;width:516;" filled="f" stroked="t" coordsize="21600,21600" o:gfxdata="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Ai/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202" type="#_x0000_t202" style="position:absolute;left:7408;top:278579;height:533;width:1596;" fillcolor="#FFFFFF [3201]" filled="t" stroked="f" coordsize="21600,21600" o:gfxdata="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N5ZQW2AAAA3A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ind w:left="0" w:leftChars="0" w:firstLine="0" w:firstLineChars="0"/>
                                <w:rPr>
                                  <w:rFonts w:hint="default" w:eastAsiaTheme="minorEastAsia"/>
                                  <w:lang w:val="en-US" w:eastAsia="zh-CN"/>
                                </w:rPr>
                              </w:pPr>
                              <w:r>
                                <w:rPr>
                                  <w:rFonts w:hint="eastAsia"/>
                                  <w:lang w:val="en-US" w:eastAsia="zh-CN"/>
                                </w:rPr>
                                <w:t>G3、N、S1</w:t>
                              </w:r>
                            </w:p>
                          </w:txbxContent>
                        </v:textbox>
                      </v:shape>
                      <v:shape id="_x0000_s1026" o:spid="_x0000_s1026" o:spt="32" type="#_x0000_t32" style="position:absolute;left:6760;top:280627;height:1;width:516;" filled="f" stroked="t" coordsize="21600,21600" o:gfxdata="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Jvzu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rect id="_x0000_s1026" o:spid="_x0000_s1026" o:spt="1" style="position:absolute;left:4985;top:280340;height:483;width:1767;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rect>
                      <v:line id="_x0000_s1026" o:spid="_x0000_s1026" o:spt="20" style="position:absolute;left:5841;top:279960;flip:x;height:383;width:1;" filled="f" stroked="t" coordsize="21600,21600" o:gfxdata="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rBnq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shape id="_x0000_s1026" o:spid="_x0000_s1026" o:spt="202" type="#_x0000_t202" style="position:absolute;left:5197;top:280363;height:465;width:1402;"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color w:val="auto"/>
                                  <w:lang w:val="en-US" w:eastAsia="zh-CN"/>
                                </w:rPr>
                              </w:pPr>
                              <w:r>
                                <w:rPr>
                                  <w:rFonts w:hint="eastAsia"/>
                                  <w:color w:val="auto"/>
                                  <w:lang w:val="en-US" w:eastAsia="zh-CN"/>
                                </w:rPr>
                                <w:t>组装打包</w:t>
                              </w:r>
                            </w:p>
                          </w:txbxContent>
                        </v:textbox>
                      </v:shape>
                    </v:group>
                  </w:pict>
                </mc:Fallback>
              </mc:AlternateContent>
            </w:r>
          </w:p>
          <w:p>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p>
            <w:pPr>
              <w:pStyle w:val="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p>
            <w:pPr>
              <w:pStyle w:val="8"/>
              <w:keepNext w:val="0"/>
              <w:keepLines w:val="0"/>
              <w:suppressLineNumbers w:val="0"/>
              <w:spacing w:before="0" w:beforeAutospacing="0" w:afterAutospacing="0"/>
              <w:ind w:left="0" w:right="0"/>
              <w:rPr>
                <w:rFonts w:hint="default"/>
                <w:color w:val="000000" w:themeColor="text1"/>
                <w:highlight w:val="none"/>
                <w14:textFill>
                  <w14:solidFill>
                    <w14:schemeClr w14:val="tx1"/>
                  </w14:solidFill>
                </w14:textFill>
              </w:rPr>
            </w:pPr>
          </w:p>
          <w:p>
            <w:pPr>
              <w:pStyle w:val="18"/>
              <w:keepNext w:val="0"/>
              <w:keepLines w:val="0"/>
              <w:suppressLineNumbers w:val="0"/>
              <w:spacing w:before="0" w:beforeAutospacing="0" w:after="0" w:afterAutospacing="0"/>
              <w:ind w:right="0"/>
              <w:rPr>
                <w:rFonts w:hint="default"/>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p>
            <w:pPr>
              <w:pStyle w:val="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p>
            <w:pPr>
              <w:pStyle w:val="8"/>
              <w:keepNext w:val="0"/>
              <w:keepLines w:val="0"/>
              <w:suppressLineNumbers w:val="0"/>
              <w:spacing w:before="0" w:beforeAutospacing="0" w:afterAutospacing="0"/>
              <w:ind w:left="0" w:right="0"/>
              <w:rPr>
                <w:rFonts w:hint="default"/>
                <w:color w:val="000000" w:themeColor="text1"/>
                <w:highlight w:val="none"/>
                <w14:textFill>
                  <w14:solidFill>
                    <w14:schemeClr w14:val="tx1"/>
                  </w14:solidFill>
                </w14:textFill>
              </w:rPr>
            </w:pPr>
          </w:p>
          <w:p>
            <w:pPr>
              <w:pStyle w:val="18"/>
              <w:keepNext w:val="0"/>
              <w:keepLines w:val="0"/>
              <w:suppressLineNumbers w:val="0"/>
              <w:spacing w:before="0" w:beforeAutospacing="0" w:after="0" w:afterAutospacing="0"/>
              <w:ind w:right="0"/>
              <w:rPr>
                <w:rFonts w:hint="default"/>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p>
            <w:pPr>
              <w:pStyle w:val="32"/>
              <w:keepNext w:val="0"/>
              <w:keepLines w:val="0"/>
              <w:suppressLineNumbers w:val="0"/>
              <w:spacing w:before="0" w:beforeAutospacing="0" w:after="0" w:afterAutospacing="0"/>
              <w:ind w:right="0"/>
              <w:rPr>
                <w:rFonts w:hint="default"/>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highlight w:val="none"/>
                <w14:textFill>
                  <w14:solidFill>
                    <w14:schemeClr w14:val="tx1"/>
                  </w14:solidFill>
                </w14:textFill>
              </w:rPr>
              <w:t>（排污节点：</w:t>
            </w:r>
            <w:r>
              <w:rPr>
                <w:rFonts w:hint="eastAsia" w:cs="Times New Roman"/>
                <w:b w:val="0"/>
                <w:bCs w:val="0"/>
                <w:color w:val="000000" w:themeColor="text1"/>
                <w:sz w:val="21"/>
                <w:szCs w:val="21"/>
                <w:highlight w:val="none"/>
                <w:lang w:val="en-US" w:eastAsia="zh-CN"/>
                <w14:textFill>
                  <w14:solidFill>
                    <w14:schemeClr w14:val="tx1"/>
                  </w14:solidFill>
                </w14:textFill>
              </w:rPr>
              <w:t>G废气</w:t>
            </w:r>
            <w:r>
              <w:rPr>
                <w:rFonts w:hint="default" w:ascii="Times New Roman" w:hAnsi="Times New Roman" w:cs="Times New Roman"/>
                <w:b w:val="0"/>
                <w:bCs w:val="0"/>
                <w:color w:val="000000" w:themeColor="text1"/>
                <w:sz w:val="21"/>
                <w:szCs w:val="21"/>
                <w:highlight w:val="none"/>
                <w14:textFill>
                  <w14:solidFill>
                    <w14:schemeClr w14:val="tx1"/>
                  </w14:solidFill>
                </w14:textFill>
              </w:rPr>
              <w:t>；N噪声</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S固体废物</w:t>
            </w:r>
            <w:r>
              <w:rPr>
                <w:rFonts w:hint="default" w:ascii="Times New Roman" w:hAnsi="Times New Roman" w:cs="Times New Roman"/>
                <w:b w:val="0"/>
                <w:bCs w:val="0"/>
                <w:color w:val="000000" w:themeColor="text1"/>
                <w:sz w:val="21"/>
                <w:szCs w:val="21"/>
                <w:highlight w:val="none"/>
                <w14:textFill>
                  <w14:solidFill>
                    <w14:schemeClr w14:val="tx1"/>
                  </w14:solidFill>
                </w14:textFill>
              </w:rPr>
              <w:t>）</w:t>
            </w:r>
          </w:p>
          <w:p>
            <w:pPr>
              <w:pStyle w:val="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Times New Roman" w:hAnsi="Times New Roman" w:cs="Times New Roman" w:eastAsiaTheme="minorEastAsia"/>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图2-</w:t>
            </w:r>
            <w:r>
              <w:rPr>
                <w:rFonts w:hint="eastAsia" w:eastAsia="黑体" w:cs="Times New Roman"/>
                <w:b w:val="0"/>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b w:val="0"/>
                <w:bCs w:val="0"/>
                <w:color w:val="000000" w:themeColor="text1"/>
                <w:sz w:val="24"/>
                <w:szCs w:val="24"/>
                <w:highlight w:val="none"/>
                <w:lang w:eastAsia="zh-CN"/>
                <w14:textFill>
                  <w14:solidFill>
                    <w14:schemeClr w14:val="tx1"/>
                  </w14:solidFill>
                </w14:textFill>
              </w:rPr>
              <w:t>木质家具</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主要</w:t>
            </w:r>
            <w:r>
              <w:rPr>
                <w:rFonts w:hint="default" w:ascii="Times New Roman" w:hAnsi="Times New Roman" w:eastAsia="黑体" w:cs="Times New Roman"/>
                <w:b w:val="0"/>
                <w:bCs w:val="0"/>
                <w:color w:val="000000" w:themeColor="text1"/>
                <w:sz w:val="24"/>
                <w:szCs w:val="24"/>
                <w:highlight w:val="none"/>
                <w:lang w:eastAsia="zh-CN"/>
                <w14:textFill>
                  <w14:solidFill>
                    <w14:schemeClr w14:val="tx1"/>
                  </w14:solidFill>
                </w14:textFill>
              </w:rPr>
              <w:t>工艺</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流程及产污节点图</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Cs/>
                <w:color w:val="000000" w:themeColor="text1"/>
                <w:sz w:val="24"/>
                <w:highlight w:val="none"/>
                <w:lang w:eastAsia="zh-CN"/>
                <w14:textFill>
                  <w14:solidFill>
                    <w14:schemeClr w14:val="tx1"/>
                  </w14:solidFill>
                </w14:textFill>
              </w:rPr>
            </w:pP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2</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eastAsia="zh-CN"/>
                <w14:textFill>
                  <w14:solidFill>
                    <w14:schemeClr w14:val="tx1"/>
                  </w14:solidFill>
                </w14:textFill>
              </w:rPr>
              <w:t>金属家具生产工艺</w:t>
            </w:r>
          </w:p>
          <w:p>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eastAsia="zh-CN"/>
                <w14:textFill>
                  <w14:solidFill>
                    <w14:schemeClr w14:val="tx1"/>
                  </w14:solidFill>
                </w14:textFill>
              </w:rPr>
              <w:t>切割</w:t>
            </w:r>
            <w:r>
              <w:rPr>
                <w:rFonts w:hint="eastAsia"/>
                <w:color w:val="000000" w:themeColor="text1"/>
                <w:sz w:val="24"/>
                <w:szCs w:val="24"/>
                <w:highlight w:val="none"/>
                <w:lang w:eastAsia="zh-CN"/>
                <w14:textFill>
                  <w14:solidFill>
                    <w14:schemeClr w14:val="tx1"/>
                  </w14:solidFill>
                </w14:textFill>
              </w:rPr>
              <w:t>：钢管等原材料进厂后根据生产需求、设计图纸，对原材料进行激光切割。</w:t>
            </w:r>
          </w:p>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textAlignment w:val="auto"/>
              <w:rPr>
                <w:rFonts w:hint="default" w:ascii="Times New Roman" w:eastAsiaTheme="minorEastAsia"/>
                <w:b/>
                <w:bCs/>
                <w:color w:val="000000" w:themeColor="text1"/>
                <w:highlight w:val="none"/>
                <w:lang w:val="en-US" w:eastAsia="zh-CN"/>
                <w14:textFill>
                  <w14:solidFill>
                    <w14:schemeClr w14:val="tx1"/>
                  </w14:solidFill>
                </w14:textFill>
              </w:rPr>
            </w:pPr>
            <w:r>
              <w:rPr>
                <w:rFonts w:hint="default" w:ascii="Times New Roman"/>
                <w:b/>
                <w:bCs/>
                <w:color w:val="000000" w:themeColor="text1"/>
                <w:highlight w:val="none"/>
                <w14:textFill>
                  <w14:solidFill>
                    <w14:schemeClr w14:val="tx1"/>
                  </w14:solidFill>
                </w14:textFill>
              </w:rPr>
              <w:t>该工序噪声为设备运行噪声N，</w:t>
            </w:r>
            <w:r>
              <w:rPr>
                <w:rFonts w:hint="eastAsia"/>
                <w:b/>
                <w:bCs/>
                <w:color w:val="000000" w:themeColor="text1"/>
                <w:highlight w:val="none"/>
                <w:lang w:val="en-US" w:eastAsia="zh-CN"/>
                <w14:textFill>
                  <w14:solidFill>
                    <w14:schemeClr w14:val="tx1"/>
                  </w14:solidFill>
                </w14:textFill>
              </w:rPr>
              <w:t>废气为</w:t>
            </w:r>
            <w:r>
              <w:rPr>
                <w:rFonts w:hint="eastAsia"/>
                <w:b/>
                <w:bCs/>
                <w:color w:val="000000" w:themeColor="text1"/>
                <w:highlight w:val="none"/>
                <w:lang w:eastAsia="zh-CN"/>
                <w14:textFill>
                  <w14:solidFill>
                    <w14:schemeClr w14:val="tx1"/>
                  </w14:solidFill>
                </w14:textFill>
              </w:rPr>
              <w:t>切割</w:t>
            </w:r>
            <w:r>
              <w:rPr>
                <w:rFonts w:hint="eastAsia"/>
                <w:b/>
                <w:bCs/>
                <w:color w:val="000000" w:themeColor="text1"/>
                <w:highlight w:val="none"/>
                <w:lang w:val="en-US" w:eastAsia="zh-CN"/>
                <w14:textFill>
                  <w14:solidFill>
                    <w14:schemeClr w14:val="tx1"/>
                  </w14:solidFill>
                </w14:textFill>
              </w:rPr>
              <w:t>过程</w:t>
            </w:r>
            <w:r>
              <w:rPr>
                <w:rFonts w:hint="default" w:ascii="Times New Roman"/>
                <w:b/>
                <w:bCs/>
                <w:color w:val="000000" w:themeColor="text1"/>
                <w:highlight w:val="none"/>
                <w14:textFill>
                  <w14:solidFill>
                    <w14:schemeClr w14:val="tx1"/>
                  </w14:solidFill>
                </w14:textFill>
              </w:rPr>
              <w:t>产生的废气G</w:t>
            </w:r>
            <w:r>
              <w:rPr>
                <w:rFonts w:hint="eastAsia"/>
                <w:b/>
                <w:bCs/>
                <w:color w:val="000000" w:themeColor="text1"/>
                <w:highlight w:val="none"/>
                <w:lang w:val="en-US" w:eastAsia="zh-CN"/>
                <w14:textFill>
                  <w14:solidFill>
                    <w14:schemeClr w14:val="tx1"/>
                  </w14:solidFill>
                </w14:textFill>
              </w:rPr>
              <w:t>4</w:t>
            </w:r>
            <w:r>
              <w:rPr>
                <w:rFonts w:hint="default" w:ascii="Times New Roman"/>
                <w:b/>
                <w:bCs/>
                <w:color w:val="000000" w:themeColor="text1"/>
                <w:highlight w:val="none"/>
                <w14:textFill>
                  <w14:solidFill>
                    <w14:schemeClr w14:val="tx1"/>
                  </w14:solidFill>
                </w14:textFill>
              </w:rPr>
              <w:t>，主要污染因子为颗粒物</w:t>
            </w:r>
            <w:r>
              <w:rPr>
                <w:rFonts w:hint="eastAsia"/>
                <w:b/>
                <w:bCs/>
                <w:color w:val="000000" w:themeColor="text1"/>
                <w:highlight w:val="none"/>
                <w:lang w:eastAsia="zh-CN"/>
                <w14:textFill>
                  <w14:solidFill>
                    <w14:schemeClr w14:val="tx1"/>
                  </w14:solidFill>
                </w14:textFill>
              </w:rPr>
              <w:t>，固体废物</w:t>
            </w:r>
            <w:r>
              <w:rPr>
                <w:rFonts w:hint="eastAsia"/>
                <w:b/>
                <w:bCs/>
                <w:color w:val="000000" w:themeColor="text1"/>
                <w:highlight w:val="none"/>
                <w:lang w:val="en-US" w:eastAsia="zh-CN"/>
                <w14:textFill>
                  <w14:solidFill>
                    <w14:schemeClr w14:val="tx1"/>
                  </w14:solidFill>
                </w14:textFill>
              </w:rPr>
              <w:t>S7为废金属边角料。</w:t>
            </w:r>
          </w:p>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eastAsia" w:eastAsia="宋体"/>
                <w:color w:val="000000" w:themeColor="text1"/>
                <w:highlight w:val="none"/>
                <w:lang w:eastAsia="zh-CN"/>
                <w14:textFill>
                  <w14:solidFill>
                    <w14:schemeClr w14:val="tx1"/>
                  </w14:solidFill>
                </w14:textFill>
              </w:rPr>
            </w:pPr>
            <w:r>
              <w:rPr>
                <w:rFonts w:hint="eastAsia" w:ascii="Times New Roman"/>
                <w:b/>
                <w:bCs/>
                <w:color w:val="000000" w:themeColor="text1"/>
                <w:highlight w:val="none"/>
                <w:lang w:eastAsia="zh-CN"/>
                <w14:textFill>
                  <w14:solidFill>
                    <w14:schemeClr w14:val="tx1"/>
                  </w14:solidFill>
                </w14:textFill>
              </w:rPr>
              <w:t>焊接</w:t>
            </w:r>
            <w:r>
              <w:rPr>
                <w:rFonts w:hint="eastAsia" w:ascii="Times New Roman"/>
                <w:b w:val="0"/>
                <w:bCs w:val="0"/>
                <w:color w:val="000000" w:themeColor="text1"/>
                <w:highlight w:val="none"/>
                <w:lang w:eastAsia="zh-CN"/>
                <w14:textFill>
                  <w14:solidFill>
                    <w14:schemeClr w14:val="tx1"/>
                  </w14:solidFill>
                </w14:textFill>
              </w:rPr>
              <w:t>：将激光切割好的钢管，根据</w:t>
            </w:r>
            <w:r>
              <w:rPr>
                <w:rFonts w:hint="eastAsia"/>
                <w:color w:val="000000" w:themeColor="text1"/>
                <w:sz w:val="24"/>
                <w:szCs w:val="24"/>
                <w:highlight w:val="none"/>
                <w:lang w:eastAsia="zh-CN"/>
                <w14:textFill>
                  <w14:solidFill>
                    <w14:schemeClr w14:val="tx1"/>
                  </w14:solidFill>
                </w14:textFill>
              </w:rPr>
              <w:t>生产需求、设计图纸，通过自动焊接机器人进行焊接。</w:t>
            </w:r>
          </w:p>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textAlignment w:val="auto"/>
              <w:rPr>
                <w:rFonts w:hint="default" w:ascii="Times New Roman" w:eastAsiaTheme="minorEastAsia"/>
                <w:b/>
                <w:bCs/>
                <w:color w:val="000000" w:themeColor="text1"/>
                <w:highlight w:val="none"/>
                <w:lang w:val="en-US" w:eastAsia="zh-CN"/>
                <w14:textFill>
                  <w14:solidFill>
                    <w14:schemeClr w14:val="tx1"/>
                  </w14:solidFill>
                </w14:textFill>
              </w:rPr>
            </w:pPr>
            <w:r>
              <w:rPr>
                <w:rFonts w:hint="default" w:ascii="Times New Roman"/>
                <w:b/>
                <w:bCs/>
                <w:color w:val="000000" w:themeColor="text1"/>
                <w:highlight w:val="none"/>
                <w14:textFill>
                  <w14:solidFill>
                    <w14:schemeClr w14:val="tx1"/>
                  </w14:solidFill>
                </w14:textFill>
              </w:rPr>
              <w:t>该工序噪声为设备运行噪声N，</w:t>
            </w:r>
            <w:r>
              <w:rPr>
                <w:rFonts w:hint="eastAsia"/>
                <w:b/>
                <w:bCs/>
                <w:color w:val="000000" w:themeColor="text1"/>
                <w:highlight w:val="none"/>
                <w:lang w:val="en-US" w:eastAsia="zh-CN"/>
                <w14:textFill>
                  <w14:solidFill>
                    <w14:schemeClr w14:val="tx1"/>
                  </w14:solidFill>
                </w14:textFill>
              </w:rPr>
              <w:t>废气</w:t>
            </w:r>
            <w:r>
              <w:rPr>
                <w:rFonts w:hint="default" w:ascii="Times New Roman"/>
                <w:b/>
                <w:bCs/>
                <w:color w:val="000000" w:themeColor="text1"/>
                <w:highlight w:val="none"/>
                <w14:textFill>
                  <w14:solidFill>
                    <w14:schemeClr w14:val="tx1"/>
                  </w14:solidFill>
                </w14:textFill>
              </w:rPr>
              <w:t>为</w:t>
            </w:r>
            <w:r>
              <w:rPr>
                <w:rFonts w:hint="eastAsia"/>
                <w:b/>
                <w:bCs/>
                <w:color w:val="000000" w:themeColor="text1"/>
                <w:highlight w:val="none"/>
                <w:lang w:eastAsia="zh-CN"/>
                <w14:textFill>
                  <w14:solidFill>
                    <w14:schemeClr w14:val="tx1"/>
                  </w14:solidFill>
                </w14:textFill>
              </w:rPr>
              <w:t>焊接</w:t>
            </w:r>
            <w:r>
              <w:rPr>
                <w:rFonts w:hint="eastAsia"/>
                <w:b/>
                <w:bCs/>
                <w:color w:val="000000" w:themeColor="text1"/>
                <w:highlight w:val="none"/>
                <w:lang w:val="en-US" w:eastAsia="zh-CN"/>
                <w14:textFill>
                  <w14:solidFill>
                    <w14:schemeClr w14:val="tx1"/>
                  </w14:solidFill>
                </w14:textFill>
              </w:rPr>
              <w:t>过程</w:t>
            </w:r>
            <w:r>
              <w:rPr>
                <w:rFonts w:hint="default" w:ascii="Times New Roman"/>
                <w:b/>
                <w:bCs/>
                <w:color w:val="000000" w:themeColor="text1"/>
                <w:highlight w:val="none"/>
                <w14:textFill>
                  <w14:solidFill>
                    <w14:schemeClr w14:val="tx1"/>
                  </w14:solidFill>
                </w14:textFill>
              </w:rPr>
              <w:t>产生的废气G</w:t>
            </w:r>
            <w:r>
              <w:rPr>
                <w:rFonts w:hint="eastAsia"/>
                <w:b/>
                <w:bCs/>
                <w:color w:val="000000" w:themeColor="text1"/>
                <w:highlight w:val="none"/>
                <w:lang w:val="en-US" w:eastAsia="zh-CN"/>
                <w14:textFill>
                  <w14:solidFill>
                    <w14:schemeClr w14:val="tx1"/>
                  </w14:solidFill>
                </w14:textFill>
              </w:rPr>
              <w:t>5</w:t>
            </w:r>
            <w:r>
              <w:rPr>
                <w:rFonts w:hint="default" w:ascii="Times New Roman"/>
                <w:b/>
                <w:bCs/>
                <w:color w:val="000000" w:themeColor="text1"/>
                <w:highlight w:val="none"/>
                <w14:textFill>
                  <w14:solidFill>
                    <w14:schemeClr w14:val="tx1"/>
                  </w14:solidFill>
                </w14:textFill>
              </w:rPr>
              <w:t>，主要污染因子为颗粒物</w:t>
            </w:r>
            <w:r>
              <w:rPr>
                <w:rFonts w:hint="eastAsia"/>
                <w:b/>
                <w:bCs/>
                <w:color w:val="000000" w:themeColor="text1"/>
                <w:highlight w:val="none"/>
                <w:lang w:val="en-US" w:eastAsia="zh-CN"/>
                <w14:textFill>
                  <w14:solidFill>
                    <w14:schemeClr w14:val="tx1"/>
                  </w14:solidFill>
                </w14:textFill>
              </w:rPr>
              <w:t>。</w:t>
            </w:r>
          </w:p>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textAlignment w:val="auto"/>
              <w:rPr>
                <w:rFonts w:hint="eastAsia" w:cstheme="minorBidi"/>
                <w:b w:val="0"/>
                <w:bCs w:val="0"/>
                <w:color w:val="000000" w:themeColor="text1"/>
                <w:kern w:val="2"/>
                <w:sz w:val="24"/>
                <w:szCs w:val="24"/>
                <w:highlight w:val="none"/>
                <w:shd w:val="clear"/>
                <w:lang w:val="en-US" w:eastAsia="zh-CN" w:bidi="ar-SA"/>
                <w14:textFill>
                  <w14:solidFill>
                    <w14:schemeClr w14:val="tx1"/>
                  </w14:solidFill>
                </w14:textFill>
              </w:rPr>
            </w:pPr>
            <w:r>
              <w:rPr>
                <w:rFonts w:hint="eastAsia" w:ascii="Times New Roman" w:hAnsi="Times New Roman" w:eastAsiaTheme="minorEastAsia" w:cstheme="minorBidi"/>
                <w:b/>
                <w:bCs/>
                <w:color w:val="000000" w:themeColor="text1"/>
                <w:kern w:val="2"/>
                <w:sz w:val="24"/>
                <w:szCs w:val="24"/>
                <w:highlight w:val="none"/>
                <w:shd w:val="clear"/>
                <w:lang w:val="en-US" w:eastAsia="zh-CN" w:bidi="ar-SA"/>
                <w14:textFill>
                  <w14:solidFill>
                    <w14:schemeClr w14:val="tx1"/>
                  </w14:solidFill>
                </w14:textFill>
              </w:rPr>
              <w:t>喷粉</w:t>
            </w:r>
            <w:r>
              <w:rPr>
                <w:rFonts w:hint="eastAsia" w:cstheme="minorBidi"/>
                <w:b w:val="0"/>
                <w:bCs w:val="0"/>
                <w:color w:val="000000" w:themeColor="text1"/>
                <w:kern w:val="2"/>
                <w:sz w:val="24"/>
                <w:szCs w:val="24"/>
                <w:highlight w:val="none"/>
                <w:shd w:val="clear"/>
                <w:lang w:val="en-US" w:eastAsia="zh-CN" w:bidi="ar-SA"/>
                <w14:textFill>
                  <w14:solidFill>
                    <w14:schemeClr w14:val="tx1"/>
                  </w14:solidFill>
                </w14:textFill>
              </w:rPr>
              <w:t>：焊接成型后工件进入喷粉房进行静电喷粉，静电喷粉即在喷枪与工件之间形成一个高压电晕放电电场，当粉末粒子由喷枪口喷出经过放电区时，便补集了大量的电子，成为带负电的微粒，在静电吸引的作用下，被吸附到带正电荷的工件上去。当粉末附着到一定厚度时，则会发生“同性相斥”的作用，不能再吸附粉末，从而使各部分的粉层厚度均匀</w:t>
            </w:r>
          </w:p>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textAlignment w:val="auto"/>
              <w:rPr>
                <w:rFonts w:hint="eastAsia"/>
                <w:b/>
                <w:bCs/>
                <w:color w:val="000000" w:themeColor="text1"/>
                <w:highlight w:val="none"/>
                <w:lang w:val="en-US" w:eastAsia="zh-CN"/>
                <w14:textFill>
                  <w14:solidFill>
                    <w14:schemeClr w14:val="tx1"/>
                  </w14:solidFill>
                </w14:textFill>
              </w:rPr>
            </w:pPr>
            <w:r>
              <w:rPr>
                <w:rFonts w:hint="default" w:ascii="Times New Roman"/>
                <w:b/>
                <w:bCs/>
                <w:color w:val="000000" w:themeColor="text1"/>
                <w:highlight w:val="none"/>
                <w14:textFill>
                  <w14:solidFill>
                    <w14:schemeClr w14:val="tx1"/>
                  </w14:solidFill>
                </w14:textFill>
              </w:rPr>
              <w:t>该工序噪声为设备运行噪声N，</w:t>
            </w:r>
            <w:r>
              <w:rPr>
                <w:rFonts w:hint="eastAsia"/>
                <w:b/>
                <w:bCs/>
                <w:color w:val="000000" w:themeColor="text1"/>
                <w:highlight w:val="none"/>
                <w:lang w:val="en-US" w:eastAsia="zh-CN"/>
                <w14:textFill>
                  <w14:solidFill>
                    <w14:schemeClr w14:val="tx1"/>
                  </w14:solidFill>
                </w14:textFill>
              </w:rPr>
              <w:t>废气</w:t>
            </w:r>
            <w:r>
              <w:rPr>
                <w:rFonts w:hint="default" w:ascii="Times New Roman"/>
                <w:b/>
                <w:bCs/>
                <w:color w:val="000000" w:themeColor="text1"/>
                <w:highlight w:val="none"/>
                <w14:textFill>
                  <w14:solidFill>
                    <w14:schemeClr w14:val="tx1"/>
                  </w14:solidFill>
                </w14:textFill>
              </w:rPr>
              <w:t>为</w:t>
            </w:r>
            <w:r>
              <w:rPr>
                <w:rFonts w:hint="eastAsia"/>
                <w:b/>
                <w:bCs/>
                <w:color w:val="000000" w:themeColor="text1"/>
                <w:highlight w:val="none"/>
                <w:lang w:eastAsia="zh-CN"/>
                <w14:textFill>
                  <w14:solidFill>
                    <w14:schemeClr w14:val="tx1"/>
                  </w14:solidFill>
                </w14:textFill>
              </w:rPr>
              <w:t>喷粉</w:t>
            </w:r>
            <w:r>
              <w:rPr>
                <w:rFonts w:hint="eastAsia"/>
                <w:b/>
                <w:bCs/>
                <w:color w:val="000000" w:themeColor="text1"/>
                <w:highlight w:val="none"/>
                <w:lang w:val="en-US" w:eastAsia="zh-CN"/>
                <w14:textFill>
                  <w14:solidFill>
                    <w14:schemeClr w14:val="tx1"/>
                  </w14:solidFill>
                </w14:textFill>
              </w:rPr>
              <w:t>过程</w:t>
            </w:r>
            <w:r>
              <w:rPr>
                <w:rFonts w:hint="default" w:ascii="Times New Roman"/>
                <w:b/>
                <w:bCs/>
                <w:color w:val="000000" w:themeColor="text1"/>
                <w:highlight w:val="none"/>
                <w14:textFill>
                  <w14:solidFill>
                    <w14:schemeClr w14:val="tx1"/>
                  </w14:solidFill>
                </w14:textFill>
              </w:rPr>
              <w:t>产生的废气G</w:t>
            </w:r>
            <w:r>
              <w:rPr>
                <w:rFonts w:hint="eastAsia"/>
                <w:b/>
                <w:bCs/>
                <w:color w:val="000000" w:themeColor="text1"/>
                <w:highlight w:val="none"/>
                <w:lang w:val="en-US" w:eastAsia="zh-CN"/>
                <w14:textFill>
                  <w14:solidFill>
                    <w14:schemeClr w14:val="tx1"/>
                  </w14:solidFill>
                </w14:textFill>
              </w:rPr>
              <w:t>6</w:t>
            </w:r>
            <w:r>
              <w:rPr>
                <w:rFonts w:hint="default" w:ascii="Times New Roman"/>
                <w:b/>
                <w:bCs/>
                <w:color w:val="000000" w:themeColor="text1"/>
                <w:highlight w:val="none"/>
                <w14:textFill>
                  <w14:solidFill>
                    <w14:schemeClr w14:val="tx1"/>
                  </w14:solidFill>
                </w14:textFill>
              </w:rPr>
              <w:t>，主要污染因子为颗粒物</w:t>
            </w:r>
            <w:r>
              <w:rPr>
                <w:rFonts w:hint="eastAsia"/>
                <w:b/>
                <w:bCs/>
                <w:color w:val="000000" w:themeColor="text1"/>
                <w:highlight w:val="none"/>
                <w:lang w:eastAsia="zh-CN"/>
                <w14:textFill>
                  <w14:solidFill>
                    <w14:schemeClr w14:val="tx1"/>
                  </w14:solidFill>
                </w14:textFill>
              </w:rPr>
              <w:t>，产生的固体废物</w:t>
            </w:r>
            <w:r>
              <w:rPr>
                <w:rFonts w:hint="eastAsia"/>
                <w:b/>
                <w:bCs/>
                <w:color w:val="000000" w:themeColor="text1"/>
                <w:highlight w:val="none"/>
                <w:lang w:val="en-US" w:eastAsia="zh-CN"/>
                <w14:textFill>
                  <w14:solidFill>
                    <w14:schemeClr w14:val="tx1"/>
                  </w14:solidFill>
                </w14:textFill>
              </w:rPr>
              <w:t>S8为回收塑粉。</w:t>
            </w:r>
          </w:p>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eastAsia" w:ascii="Times New Roman" w:hAnsi="Times New Roman"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Theme="minorEastAsia" w:cstheme="minorBidi"/>
                <w:b/>
                <w:bCs/>
                <w:color w:val="000000" w:themeColor="text1"/>
                <w:kern w:val="2"/>
                <w:sz w:val="24"/>
                <w:szCs w:val="24"/>
                <w:highlight w:val="none"/>
                <w:lang w:val="en-US" w:eastAsia="zh-CN" w:bidi="ar-SA"/>
                <w14:textFill>
                  <w14:solidFill>
                    <w14:schemeClr w14:val="tx1"/>
                  </w14:solidFill>
                </w14:textFill>
              </w:rPr>
              <w:t>固化</w:t>
            </w:r>
            <w:r>
              <w:rPr>
                <w:rFonts w:hint="eastAsia" w:ascii="Times New Roman" w:hAnsi="Times New Roman" w:eastAsiaTheme="minorEastAsia" w:cstheme="minorBidi"/>
                <w:b w:val="0"/>
                <w:bCs w:val="0"/>
                <w:color w:val="000000" w:themeColor="text1"/>
                <w:kern w:val="2"/>
                <w:sz w:val="24"/>
                <w:szCs w:val="24"/>
                <w:highlight w:val="none"/>
                <w:lang w:val="en-US" w:eastAsia="zh-CN" w:bidi="ar-SA"/>
                <w14:textFill>
                  <w14:solidFill>
                    <w14:schemeClr w14:val="tx1"/>
                  </w14:solidFill>
                </w14:textFill>
              </w:rPr>
              <w:t>：喷粉工件需要进行固化处理，工件随生产线进入固化室，固化室通过电加热升温至180℃-200℃，固化15-20分钟，使塑粉固化成涂层。</w:t>
            </w:r>
          </w:p>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textAlignment w:val="auto"/>
              <w:rPr>
                <w:rFonts w:hint="eastAsia"/>
                <w:b/>
                <w:bCs/>
                <w:color w:val="000000" w:themeColor="text1"/>
                <w:highlight w:val="none"/>
                <w:lang w:val="en-US" w:eastAsia="zh-CN"/>
                <w14:textFill>
                  <w14:solidFill>
                    <w14:schemeClr w14:val="tx1"/>
                  </w14:solidFill>
                </w14:textFill>
              </w:rPr>
            </w:pPr>
            <w:r>
              <w:rPr>
                <w:rFonts w:hint="default" w:ascii="Times New Roman"/>
                <w:b/>
                <w:bCs/>
                <w:color w:val="000000" w:themeColor="text1"/>
                <w:highlight w:val="none"/>
                <w14:textFill>
                  <w14:solidFill>
                    <w14:schemeClr w14:val="tx1"/>
                  </w14:solidFill>
                </w14:textFill>
              </w:rPr>
              <w:t>该工序噪声为设备运行噪声N，污染物为</w:t>
            </w:r>
            <w:r>
              <w:rPr>
                <w:rFonts w:hint="eastAsia"/>
                <w:b/>
                <w:bCs/>
                <w:color w:val="000000" w:themeColor="text1"/>
                <w:highlight w:val="none"/>
                <w:lang w:val="en-US" w:eastAsia="zh-CN"/>
                <w14:textFill>
                  <w14:solidFill>
                    <w14:schemeClr w14:val="tx1"/>
                  </w14:solidFill>
                </w14:textFill>
              </w:rPr>
              <w:t>固化时</w:t>
            </w:r>
            <w:r>
              <w:rPr>
                <w:rFonts w:hint="default" w:ascii="Times New Roman"/>
                <w:b/>
                <w:bCs/>
                <w:color w:val="000000" w:themeColor="text1"/>
                <w:highlight w:val="none"/>
                <w14:textFill>
                  <w14:solidFill>
                    <w14:schemeClr w14:val="tx1"/>
                  </w14:solidFill>
                </w14:textFill>
              </w:rPr>
              <w:t>产生的废气G</w:t>
            </w:r>
            <w:r>
              <w:rPr>
                <w:rFonts w:hint="eastAsia"/>
                <w:b/>
                <w:bCs/>
                <w:color w:val="000000" w:themeColor="text1"/>
                <w:highlight w:val="none"/>
                <w:lang w:val="en-US" w:eastAsia="zh-CN"/>
                <w14:textFill>
                  <w14:solidFill>
                    <w14:schemeClr w14:val="tx1"/>
                  </w14:solidFill>
                </w14:textFill>
              </w:rPr>
              <w:t>7</w:t>
            </w:r>
            <w:r>
              <w:rPr>
                <w:rFonts w:hint="default" w:ascii="Times New Roman"/>
                <w:b/>
                <w:bCs/>
                <w:color w:val="000000" w:themeColor="text1"/>
                <w:highlight w:val="none"/>
                <w14:textFill>
                  <w14:solidFill>
                    <w14:schemeClr w14:val="tx1"/>
                  </w14:solidFill>
                </w14:textFill>
              </w:rPr>
              <w:t>，主要污染因子为</w:t>
            </w:r>
            <w:r>
              <w:rPr>
                <w:rFonts w:hint="eastAsia"/>
                <w:b/>
                <w:bCs/>
                <w:color w:val="000000" w:themeColor="text1"/>
                <w:highlight w:val="none"/>
                <w:lang w:val="en-US" w:eastAsia="zh-CN"/>
                <w14:textFill>
                  <w14:solidFill>
                    <w14:schemeClr w14:val="tx1"/>
                  </w14:solidFill>
                </w14:textFill>
              </w:rPr>
              <w:t>非甲烷总烃，产生的固体废物S9为废活性炭。</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color w:val="000000" w:themeColor="text1"/>
                <w:highlight w:val="none"/>
                <w:lang w:val="en-US" w:eastAsia="zh-CN"/>
                <w14:textFill>
                  <w14:solidFill>
                    <w14:schemeClr w14:val="tx1"/>
                  </w14:solidFill>
                </w14:textFill>
              </w:rPr>
            </w:pPr>
            <w:r>
              <w:rPr>
                <w:rFonts w:hint="eastAsia" w:eastAsiaTheme="minorEastAsia" w:cstheme="minorBidi"/>
                <w:b/>
                <w:bCs/>
                <w:color w:val="000000" w:themeColor="text1"/>
                <w:kern w:val="2"/>
                <w:sz w:val="24"/>
                <w:szCs w:val="24"/>
                <w:highlight w:val="none"/>
                <w:lang w:val="en-US" w:eastAsia="zh-CN" w:bidi="ar-SA"/>
                <w14:textFill>
                  <w14:solidFill>
                    <w14:schemeClr w14:val="tx1"/>
                  </w14:solidFill>
                </w14:textFill>
              </w:rPr>
              <w:t>组装打包</w:t>
            </w:r>
            <w:r>
              <w:rPr>
                <w:rFonts w:hint="eastAsia" w:ascii="Times New Roman" w:hAnsi="Times New Roman" w:eastAsiaTheme="minorEastAsia" w:cstheme="minorBidi"/>
                <w:b/>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Theme="minorEastAsia" w:cstheme="minorBidi"/>
                <w:b w:val="0"/>
                <w:color w:val="000000" w:themeColor="text1"/>
                <w:kern w:val="2"/>
                <w:sz w:val="24"/>
                <w:szCs w:val="24"/>
                <w:highlight w:val="none"/>
                <w:lang w:val="en-US" w:eastAsia="zh-CN" w:bidi="ar-SA"/>
                <w14:textFill>
                  <w14:solidFill>
                    <w14:schemeClr w14:val="tx1"/>
                  </w14:solidFill>
                </w14:textFill>
              </w:rPr>
              <w:t>将</w:t>
            </w:r>
            <w:r>
              <w:rPr>
                <w:rFonts w:hint="eastAsia" w:eastAsiaTheme="minorEastAsia" w:cstheme="minorBidi"/>
                <w:b w:val="0"/>
                <w:color w:val="000000" w:themeColor="text1"/>
                <w:kern w:val="2"/>
                <w:sz w:val="24"/>
                <w:szCs w:val="24"/>
                <w:highlight w:val="none"/>
                <w:lang w:val="en-US" w:eastAsia="zh-CN" w:bidi="ar-SA"/>
                <w14:textFill>
                  <w14:solidFill>
                    <w14:schemeClr w14:val="tx1"/>
                  </w14:solidFill>
                </w14:textFill>
              </w:rPr>
              <w:t>固化成型后的半成品与配件进行组装、打包</w:t>
            </w:r>
            <w:r>
              <w:rPr>
                <w:rFonts w:hint="eastAsia" w:ascii="Times New Roman" w:hAnsi="Times New Roman" w:eastAsiaTheme="minorEastAsia" w:cstheme="minorBidi"/>
                <w:b w:val="0"/>
                <w:color w:val="000000" w:themeColor="text1"/>
                <w:kern w:val="2"/>
                <w:sz w:val="24"/>
                <w:szCs w:val="24"/>
                <w:highlight w:val="none"/>
                <w:lang w:val="en-US" w:eastAsia="zh-CN" w:bidi="ar-SA"/>
                <w14:textFill>
                  <w14:solidFill>
                    <w14:schemeClr w14:val="tx1"/>
                  </w14:solidFill>
                </w14:textFill>
              </w:rPr>
              <w:t>码放，</w:t>
            </w:r>
            <w:r>
              <w:rPr>
                <w:rFonts w:hint="eastAsia" w:cstheme="minorBidi"/>
                <w:b w:val="0"/>
                <w:bCs w:val="0"/>
                <w:color w:val="000000" w:themeColor="text1"/>
                <w:kern w:val="2"/>
                <w:sz w:val="24"/>
                <w:szCs w:val="24"/>
                <w:highlight w:val="none"/>
                <w:lang w:val="en-US" w:eastAsia="zh-CN" w:bidi="ar-SA"/>
                <w14:textFill>
                  <w14:solidFill>
                    <w14:schemeClr w14:val="tx1"/>
                  </w14:solidFill>
                </w14:textFill>
              </w:rPr>
              <w:t>分类码放、待售。</w:t>
            </w:r>
          </w:p>
          <w:p>
            <w:pPr>
              <w:pStyle w:val="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该工序</w:t>
            </w:r>
            <w:r>
              <w:rPr>
                <w:rFonts w:hint="eastAsia"/>
                <w:b/>
                <w:bCs/>
                <w:color w:val="000000" w:themeColor="text1"/>
                <w:highlight w:val="none"/>
                <w:lang w:eastAsia="zh-CN"/>
                <w14:textFill>
                  <w14:solidFill>
                    <w14:schemeClr w14:val="tx1"/>
                  </w14:solidFill>
                </w14:textFill>
              </w:rPr>
              <w:t>产生的固体废物</w:t>
            </w:r>
            <w:r>
              <w:rPr>
                <w:rFonts w:hint="eastAsia"/>
                <w:b/>
                <w:bCs/>
                <w:color w:val="000000" w:themeColor="text1"/>
                <w:highlight w:val="none"/>
                <w:lang w:val="en-US" w:eastAsia="zh-CN"/>
                <w14:textFill>
                  <w14:solidFill>
                    <w14:schemeClr w14:val="tx1"/>
                  </w14:solidFill>
                </w14:textFill>
              </w:rPr>
              <w:t>S10为废纸箱纸板。</w:t>
            </w:r>
          </w:p>
          <w:p>
            <w:pPr>
              <w:pStyle w:val="4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cs="Times New Roman" w:eastAsiaTheme="minorEastAsia"/>
                <w:b w:val="0"/>
                <w:bCs/>
                <w:color w:val="000000" w:themeColor="text1"/>
                <w:kern w:val="2"/>
                <w:sz w:val="24"/>
                <w:szCs w:val="24"/>
                <w:highlight w:val="none"/>
                <w:lang w:val="en-US" w:eastAsia="zh-CN" w:bidi="ar-SA"/>
                <w14:textFill>
                  <w14:solidFill>
                    <w14:schemeClr w14:val="tx1"/>
                  </w14:solidFill>
                </w14:textFill>
              </w:rPr>
            </w:pPr>
            <w:r>
              <w:rPr>
                <w:rFonts w:hint="eastAsia" w:cs="Times New Roman" w:eastAsiaTheme="minorEastAsia"/>
                <w:b w:val="0"/>
                <w:bCs/>
                <w:color w:val="000000" w:themeColor="text1"/>
                <w:kern w:val="2"/>
                <w:sz w:val="24"/>
                <w:szCs w:val="24"/>
                <w:highlight w:val="none"/>
                <w:lang w:val="en-US" w:eastAsia="zh-CN" w:bidi="ar-SA"/>
                <w14:textFill>
                  <w14:solidFill>
                    <w14:schemeClr w14:val="tx1"/>
                  </w14:solidFill>
                </w14:textFill>
              </w:rPr>
              <w:t>金属家具生产</w:t>
            </w:r>
            <w:r>
              <w:rPr>
                <w:rFonts w:hint="eastAsia" w:ascii="Times New Roman" w:hAnsi="Times New Roman" w:cs="Times New Roman" w:eastAsiaTheme="minorEastAsia"/>
                <w:b w:val="0"/>
                <w:bCs/>
                <w:color w:val="000000" w:themeColor="text1"/>
                <w:kern w:val="2"/>
                <w:sz w:val="24"/>
                <w:szCs w:val="24"/>
                <w:highlight w:val="none"/>
                <w:lang w:val="en-US" w:eastAsia="zh-CN" w:bidi="ar-SA"/>
                <w14:textFill>
                  <w14:solidFill>
                    <w14:schemeClr w14:val="tx1"/>
                  </w14:solidFill>
                </w14:textFill>
              </w:rPr>
              <w:t>产污环节详见表</w:t>
            </w:r>
            <w:r>
              <w:rPr>
                <w:rFonts w:hint="eastAsia" w:cs="Times New Roman" w:eastAsiaTheme="minorEastAsia"/>
                <w:b w:val="0"/>
                <w:bCs/>
                <w:color w:val="000000" w:themeColor="text1"/>
                <w:kern w:val="2"/>
                <w:sz w:val="24"/>
                <w:szCs w:val="24"/>
                <w:highlight w:val="none"/>
                <w:lang w:val="en-US" w:eastAsia="zh-CN" w:bidi="ar-SA"/>
                <w14:textFill>
                  <w14:solidFill>
                    <w14:schemeClr w14:val="tx1"/>
                  </w14:solidFill>
                </w14:textFill>
              </w:rPr>
              <w:t>2-7。</w:t>
            </w: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1497965</wp:posOffset>
                      </wp:positionH>
                      <wp:positionV relativeFrom="paragraph">
                        <wp:posOffset>158750</wp:posOffset>
                      </wp:positionV>
                      <wp:extent cx="1089660" cy="273050"/>
                      <wp:effectExtent l="0" t="0" r="0" b="0"/>
                      <wp:wrapNone/>
                      <wp:docPr id="4" name="文本框 4"/>
                      <wp:cNvGraphicFramePr/>
                      <a:graphic xmlns:a="http://schemas.openxmlformats.org/drawingml/2006/main">
                        <a:graphicData uri="http://schemas.microsoft.com/office/word/2010/wordprocessingShape">
                          <wps:wsp>
                            <wps:cNvSpPr txBox="1"/>
                            <wps:spPr>
                              <a:xfrm>
                                <a:off x="2740660" y="2592070"/>
                                <a:ext cx="108966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原材料进厂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12.5pt;height:21.5pt;width:85.8pt;z-index:251661312;mso-width-relative:page;mso-height-relative:page;" filled="f" stroked="f" coordsize="21600,21600" o:gfxdata="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5uH12gAAAAkBAAAPAAAAAAAAAAEAIAAA&#10;ACIAAABkcnMvZG93bnJldi54bWxQSwECFAAUAAAACACHTuJAGZrDskMCAAByBAAADgAAAAAAAAAB&#10;ACAAAAAp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原材料进厂</w:t>
                            </w:r>
                          </w:p>
                        </w:txbxContent>
                      </v:textbox>
                    </v:shape>
                  </w:pict>
                </mc:Fallback>
              </mc:AlternateContent>
            </w: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1452245</wp:posOffset>
                      </wp:positionH>
                      <wp:positionV relativeFrom="paragraph">
                        <wp:posOffset>142875</wp:posOffset>
                      </wp:positionV>
                      <wp:extent cx="1143000" cy="317500"/>
                      <wp:effectExtent l="6350" t="6350" r="12700" b="19050"/>
                      <wp:wrapNone/>
                      <wp:docPr id="1" name="矩形 1"/>
                      <wp:cNvGraphicFramePr/>
                      <a:graphic xmlns:a="http://schemas.openxmlformats.org/drawingml/2006/main">
                        <a:graphicData uri="http://schemas.microsoft.com/office/word/2010/wordprocessingShape">
                          <wps:wsp>
                            <wps:cNvSpPr/>
                            <wps:spPr>
                              <a:xfrm>
                                <a:off x="2694940" y="2576195"/>
                                <a:ext cx="1143000" cy="31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35pt;margin-top:11.25pt;height:25pt;width:90pt;z-index:251660288;v-text-anchor:middle;mso-width-relative:page;mso-height-relative:page;" filled="f" stroked="t" coordsize="21600,21600" o:gfxdata="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HO8mTWAAAACQEAAA8AAAAAAAAAAQAgAAAAIgAAAGRycy9kb3ducmV2&#10;LnhtbFBLAQIUABQAAAAIAIdO4kAajjLEcAIAANcEAAAOAAAAAAAAAAEAIAAAACUBAABkcnMvZTJv&#10;RG9jLnhtbFBLBQYAAAAABgAGAFkBAAAHBgAAAAA=&#10;">
                      <v:fill on="f" focussize="0,0"/>
                      <v:stroke weight="1pt" color="#000000 [3213]" miterlimit="8" joinstyle="miter"/>
                      <v:imagedata o:title=""/>
                      <o:lock v:ext="edit" aspectratio="f"/>
                    </v:rect>
                  </w:pict>
                </mc:Fallback>
              </mc:AlternateContent>
            </w:r>
          </w:p>
          <w:p>
            <w:pPr>
              <w:pStyle w:val="18"/>
              <w:keepNext w:val="0"/>
              <w:keepLines w:val="0"/>
              <w:suppressLineNumbers w:val="0"/>
              <w:spacing w:before="0" w:beforeAutospacing="0" w:after="0" w:afterAutospacing="0"/>
              <w:ind w:right="0"/>
              <w:rPr>
                <w:rFonts w:hint="eastAsia"/>
                <w:color w:val="000000" w:themeColor="text1"/>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2023745</wp:posOffset>
                      </wp:positionH>
                      <wp:positionV relativeFrom="paragraph">
                        <wp:posOffset>198120</wp:posOffset>
                      </wp:positionV>
                      <wp:extent cx="635" cy="301625"/>
                      <wp:effectExtent l="4445" t="0" r="13970" b="3175"/>
                      <wp:wrapNone/>
                      <wp:docPr id="13" name="直接箭头连接符 13"/>
                      <wp:cNvGraphicFramePr/>
                      <a:graphic xmlns:a="http://schemas.openxmlformats.org/drawingml/2006/main">
                        <a:graphicData uri="http://schemas.microsoft.com/office/word/2010/wordprocessingShape">
                          <wps:wsp>
                            <wps:cNvCnPr>
                              <a:stCxn id="1" idx="2"/>
                            </wps:cNvCnPr>
                            <wps:spPr>
                              <a:xfrm>
                                <a:off x="3266440" y="2893695"/>
                                <a:ext cx="635" cy="30162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9.35pt;margin-top:15.6pt;height:23.75pt;width:0.05pt;z-index:251662336;mso-width-relative:page;mso-height-relative:page;" filled="f" stroked="t" coordsize="21600,21600" o:gfxdata="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FesbnX&#10;AAAACQEAAA8AAAAAAAAAAQAgAAAAIgAAAGRycy9kb3ducmV2LnhtbFBLAQIUABQAAAAIAIdO4kBS&#10;MwlkIQIAABIEAAAOAAAAAAAAAAEAIAAAACYBAABkcnMvZTJvRG9jLnhtbFBLBQYAAAAABgAGAFkB&#10;AAC5BQAAAAA=&#10;">
                      <v:fill on="f" focussize="0,0"/>
                      <v:stroke weight="0.5pt" color="#000000 [3213]" miterlimit="8" joinstyle="miter"/>
                      <v:imagedata o:title=""/>
                      <o:lock v:ext="edit" aspectratio="f"/>
                    </v:shape>
                  </w:pict>
                </mc:Fallback>
              </mc:AlternateContent>
            </w:r>
          </w:p>
          <w:p>
            <w:pPr>
              <w:keepNext w:val="0"/>
              <w:keepLines w:val="0"/>
              <w:suppressLineNumbers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1508125</wp:posOffset>
                      </wp:positionH>
                      <wp:positionV relativeFrom="paragraph">
                        <wp:posOffset>219710</wp:posOffset>
                      </wp:positionV>
                      <wp:extent cx="1089660" cy="273050"/>
                      <wp:effectExtent l="0" t="0" r="0" b="0"/>
                      <wp:wrapNone/>
                      <wp:docPr id="33" name="文本框 33"/>
                      <wp:cNvGraphicFramePr/>
                      <a:graphic xmlns:a="http://schemas.openxmlformats.org/drawingml/2006/main">
                        <a:graphicData uri="http://schemas.microsoft.com/office/word/2010/wordprocessingShape">
                          <wps:wsp>
                            <wps:cNvSpPr txBox="1"/>
                            <wps:spPr>
                              <a:xfrm>
                                <a:off x="2750820" y="3211830"/>
                                <a:ext cx="108966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切割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75pt;margin-top:17.3pt;height:21.5pt;width:85.8pt;z-index:251664384;mso-width-relative:page;mso-height-relative:page;" filled="f" stroked="f" coordsize="21600,21600" o:gfxdata="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H8X5jbAAAACQEAAA8AAAAAAAAA&#10;AQAgAAAAIgAAAGRycy9kb3ducmV2LnhtbFBLAQIUABQAAAAIAIdO4kD0HHyfRwIAAHQEAAAOAAAA&#10;AAAAAAEAIAAAACo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切割</w:t>
                            </w:r>
                          </w:p>
                        </w:txbxContent>
                      </v:textbox>
                    </v:shape>
                  </w:pict>
                </mc:Fallback>
              </mc:AlternateContent>
            </w: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1462405</wp:posOffset>
                      </wp:positionH>
                      <wp:positionV relativeFrom="paragraph">
                        <wp:posOffset>203835</wp:posOffset>
                      </wp:positionV>
                      <wp:extent cx="1143000" cy="317500"/>
                      <wp:effectExtent l="6350" t="6350" r="12700" b="19050"/>
                      <wp:wrapNone/>
                      <wp:docPr id="38" name="矩形 38"/>
                      <wp:cNvGraphicFramePr/>
                      <a:graphic xmlns:a="http://schemas.openxmlformats.org/drawingml/2006/main">
                        <a:graphicData uri="http://schemas.microsoft.com/office/word/2010/wordprocessingShape">
                          <wps:wsp>
                            <wps:cNvSpPr/>
                            <wps:spPr>
                              <a:xfrm>
                                <a:off x="2705100" y="3195955"/>
                                <a:ext cx="1143000" cy="31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15pt;margin-top:16.05pt;height:25pt;width:90pt;z-index:251663360;v-text-anchor:middle;mso-width-relative:page;mso-height-relative:page;" filled="f" stroked="t" coordsize="21600,21600" o:gfxdata="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9mDGw1wAAAAkBAAAPAAAAAAAAAAEAIAAAACIAAABkcnMvZG93bnJl&#10;di54bWxQSwECFAAUAAAACACHTuJAt/M+gHACAADZBAAADgAAAAAAAAABACAAAAAmAQAAZHJzL2Uy&#10;b0RvYy54bWxQSwUGAAAAAAYABgBZAQAACAYAAAAA&#10;">
                      <v:fill on="f" focussize="0,0"/>
                      <v:stroke weight="1pt" color="#000000 [3213]" miterlimit="8" joinstyle="miter"/>
                      <v:imagedata o:title=""/>
                      <o:lock v:ext="edit" aspectratio="f"/>
                    </v:rect>
                  </w:pict>
                </mc:Fallback>
              </mc:AlternateContent>
            </w: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3011170</wp:posOffset>
                      </wp:positionH>
                      <wp:positionV relativeFrom="paragraph">
                        <wp:posOffset>208915</wp:posOffset>
                      </wp:positionV>
                      <wp:extent cx="920750" cy="296545"/>
                      <wp:effectExtent l="0" t="0" r="0" b="0"/>
                      <wp:wrapNone/>
                      <wp:docPr id="82" name="文本框 82"/>
                      <wp:cNvGraphicFramePr/>
                      <a:graphic xmlns:a="http://schemas.openxmlformats.org/drawingml/2006/main">
                        <a:graphicData uri="http://schemas.microsoft.com/office/word/2010/wordprocessingShape">
                          <wps:wsp>
                            <wps:cNvSpPr txBox="1"/>
                            <wps:spPr>
                              <a:xfrm>
                                <a:off x="4253865" y="3201035"/>
                                <a:ext cx="920750"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lang w:val="en-US" w:eastAsia="zh-CN"/>
                                    </w:rPr>
                                  </w:pPr>
                                  <w:r>
                                    <w:rPr>
                                      <w:rFonts w:hint="eastAsia"/>
                                      <w:lang w:val="en-US" w:eastAsia="zh-CN"/>
                                    </w:rPr>
                                    <w:t>G4、N、S7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1pt;margin-top:16.45pt;height:23.35pt;width:72.5pt;z-index:251677696;mso-width-relative:page;mso-height-relative:page;" filled="f" stroked="f" coordsize="21600,21600" o:gfxdata="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P6wTQ2wAAAAkBAAAPAAAAAAAA&#10;AAEAIAAAACIAAABkcnMvZG93bnJldi54bWxQSwECFAAUAAAACACHTuJAMTQtRkgCAABzBAAADgAA&#10;AAAAAAABACAAAAAq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lang w:val="en-US" w:eastAsia="zh-CN"/>
                              </w:rPr>
                            </w:pPr>
                            <w:r>
                              <w:rPr>
                                <w:rFonts w:hint="eastAsia"/>
                                <w:lang w:val="en-US" w:eastAsia="zh-CN"/>
                              </w:rPr>
                              <w:t>G4、N、S7</w:t>
                            </w:r>
                          </w:p>
                        </w:txbxContent>
                      </v:textbox>
                    </v:shape>
                  </w:pict>
                </mc:Fallback>
              </mc:AlternateContent>
            </w:r>
          </w:p>
          <w:p>
            <w:pPr>
              <w:pStyle w:val="6"/>
              <w:keepNext w:val="0"/>
              <w:keepLines w:val="0"/>
              <w:suppressLineNumbers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2023745</wp:posOffset>
                      </wp:positionH>
                      <wp:positionV relativeFrom="paragraph">
                        <wp:posOffset>248285</wp:posOffset>
                      </wp:positionV>
                      <wp:extent cx="635" cy="301625"/>
                      <wp:effectExtent l="4445" t="0" r="13970" b="3175"/>
                      <wp:wrapNone/>
                      <wp:docPr id="39" name="直接箭头连接符 39"/>
                      <wp:cNvGraphicFramePr/>
                      <a:graphic xmlns:a="http://schemas.openxmlformats.org/drawingml/2006/main">
                        <a:graphicData uri="http://schemas.microsoft.com/office/word/2010/wordprocessingShape">
                          <wps:wsp>
                            <wps:cNvCnPr/>
                            <wps:spPr>
                              <a:xfrm>
                                <a:off x="3266440" y="3503295"/>
                                <a:ext cx="635" cy="30162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9.35pt;margin-top:19.55pt;height:23.75pt;width:0.05pt;z-index:251665408;mso-width-relative:page;mso-height-relative:page;" filled="f" stroked="t" coordsize="21600,21600" o:gfxdata="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Mz4g9gAAAAJAQAADwAAAAAAAAAB&#10;ACAAAAAiAAAAZHJzL2Rvd25yZXYueG1sUEsBAhQAFAAAAAgAh07iQFIBHEUQAgAA7AMAAA4AAAAA&#10;AAAAAQAgAAAAJwEAAGRycy9lMm9Eb2MueG1sUEsFBgAAAAAGAAYAWQEAAKkFAAAAAA==&#10;">
                      <v:fill on="f" focussize="0,0"/>
                      <v:stroke weight="0.5pt" color="#000000 [3213]" miterlimit="8" joinstyle="miter"/>
                      <v:imagedata o:title=""/>
                      <o:lock v:ext="edit" aspectratio="f"/>
                    </v:shape>
                  </w:pict>
                </mc:Fallback>
              </mc:AlternateContent>
            </w: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2628265</wp:posOffset>
                      </wp:positionH>
                      <wp:positionV relativeFrom="paragraph">
                        <wp:posOffset>93345</wp:posOffset>
                      </wp:positionV>
                      <wp:extent cx="360045" cy="0"/>
                      <wp:effectExtent l="0" t="48895" r="1905" b="65405"/>
                      <wp:wrapNone/>
                      <wp:docPr id="80" name="直接箭头连接符 80"/>
                      <wp:cNvGraphicFramePr/>
                      <a:graphic xmlns:a="http://schemas.openxmlformats.org/drawingml/2006/main">
                        <a:graphicData uri="http://schemas.microsoft.com/office/word/2010/wordprocessingShape">
                          <wps:wsp>
                            <wps:cNvCnPr/>
                            <wps:spPr>
                              <a:xfrm>
                                <a:off x="3870960" y="3348355"/>
                                <a:ext cx="3600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95pt;margin-top:7.35pt;height:0pt;width:28.35pt;z-index:251676672;mso-width-relative:page;mso-height-relative:page;" filled="f" stroked="t" coordsize="21600,21600" o:gfxdata="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ipnq1wAAAAkBAAAPAAAAAAAAAAEA&#10;IAAAACIAAABkcnMvZG93bnJldi54bWxQSwECFAAUAAAACACHTuJA3u213hACAADrAwAADgAAAAAA&#10;AAABACAAAAAmAQAAZHJzL2Uyb0RvYy54bWxQSwUGAAAAAAYABgBZAQAAqAUAAAAA&#10;">
                      <v:fill on="f" focussize="0,0"/>
                      <v:stroke weight="0.5pt" color="#000000 [3213]" miterlimit="8" joinstyle="miter" endarrow="open"/>
                      <v:imagedata o:title=""/>
                      <o:lock v:ext="edit" aspectratio="f"/>
                    </v:shape>
                  </w:pict>
                </mc:Fallback>
              </mc:AlternateContent>
            </w:r>
          </w:p>
          <w:p>
            <w:pPr>
              <w:keepNext w:val="0"/>
              <w:keepLines w:val="0"/>
              <w:suppressLineNumbers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1426845</wp:posOffset>
                      </wp:positionH>
                      <wp:positionV relativeFrom="paragraph">
                        <wp:posOffset>251460</wp:posOffset>
                      </wp:positionV>
                      <wp:extent cx="1333500" cy="273050"/>
                      <wp:effectExtent l="0" t="0" r="0" b="0"/>
                      <wp:wrapNone/>
                      <wp:docPr id="42" name="文本框 42"/>
                      <wp:cNvGraphicFramePr/>
                      <a:graphic xmlns:a="http://schemas.openxmlformats.org/drawingml/2006/main">
                        <a:graphicData uri="http://schemas.microsoft.com/office/word/2010/wordprocessingShape">
                          <wps:wsp>
                            <wps:cNvSpPr txBox="1"/>
                            <wps:spPr>
                              <a:xfrm>
                                <a:off x="2669540" y="3813175"/>
                                <a:ext cx="133350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35pt;margin-top:19.8pt;height:21.5pt;width:105pt;z-index:251667456;mso-width-relative:page;mso-height-relative:page;" filled="f" stroked="f" coordsize="21600,21600" o:gfxdata="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2DQvK2wAAAAkBAAAPAAAAAAAA&#10;AAEAIAAAACIAAABkcnMvZG93bnJldi54bWxQSwECFAAUAAAACACHTuJALsPySUgCAAB0BAAADgAA&#10;AAAAAAABACAAAAAq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焊接</w:t>
                            </w:r>
                          </w:p>
                        </w:txbxContent>
                      </v:textbox>
                    </v:shape>
                  </w:pict>
                </mc:Fallback>
              </mc:AlternateContent>
            </w: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1452245</wp:posOffset>
                      </wp:positionH>
                      <wp:positionV relativeFrom="paragraph">
                        <wp:posOffset>235585</wp:posOffset>
                      </wp:positionV>
                      <wp:extent cx="1143000" cy="317500"/>
                      <wp:effectExtent l="6350" t="6350" r="12700" b="19050"/>
                      <wp:wrapNone/>
                      <wp:docPr id="41" name="矩形 41"/>
                      <wp:cNvGraphicFramePr/>
                      <a:graphic xmlns:a="http://schemas.openxmlformats.org/drawingml/2006/main">
                        <a:graphicData uri="http://schemas.microsoft.com/office/word/2010/wordprocessingShape">
                          <wps:wsp>
                            <wps:cNvSpPr/>
                            <wps:spPr>
                              <a:xfrm>
                                <a:off x="2694940" y="3797300"/>
                                <a:ext cx="1143000" cy="31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35pt;margin-top:18.55pt;height:25pt;width:90pt;z-index:251666432;v-text-anchor:middle;mso-width-relative:page;mso-height-relative:page;" filled="f" stroked="t" coordsize="21600,21600" o:gfxdata="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93h+sdcAAAAJAQAADwAAAAAAAAABACAAAAAiAAAAZHJzL2Rvd25y&#10;ZXYueG1sUEsBAhQAFAAAAAgAh07iQOkdezJxAgAA2QQAAA4AAAAAAAAAAQAgAAAAJgEAAGRycy9l&#10;Mm9Eb2MueG1sUEsFBgAAAAAGAAYAWQEAAAkGAAAAAA==&#10;">
                      <v:fill on="f" focussize="0,0"/>
                      <v:stroke weight="1pt" color="#000000 [3213]" miterlimit="8" joinstyle="miter"/>
                      <v:imagedata o:title=""/>
                      <o:lock v:ext="edit" aspectratio="f"/>
                    </v:rect>
                  </w:pict>
                </mc:Fallback>
              </mc:AlternateContent>
            </w: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3001010</wp:posOffset>
                      </wp:positionH>
                      <wp:positionV relativeFrom="paragraph">
                        <wp:posOffset>228600</wp:posOffset>
                      </wp:positionV>
                      <wp:extent cx="688340" cy="296545"/>
                      <wp:effectExtent l="0" t="0" r="0" b="0"/>
                      <wp:wrapNone/>
                      <wp:docPr id="83" name="文本框 83"/>
                      <wp:cNvGraphicFramePr/>
                      <a:graphic xmlns:a="http://schemas.openxmlformats.org/drawingml/2006/main">
                        <a:graphicData uri="http://schemas.microsoft.com/office/word/2010/wordprocessingShape">
                          <wps:wsp>
                            <wps:cNvSpPr txBox="1"/>
                            <wps:spPr>
                              <a:xfrm>
                                <a:off x="4243705" y="3790315"/>
                                <a:ext cx="688340"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lang w:val="en-US" w:eastAsia="zh-CN"/>
                                    </w:rPr>
                                  </w:pPr>
                                  <w:r>
                                    <w:rPr>
                                      <w:rFonts w:hint="eastAsia"/>
                                      <w:lang w:val="en-US" w:eastAsia="zh-CN"/>
                                    </w:rPr>
                                    <w:t>G5、N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3pt;margin-top:18pt;height:23.35pt;width:54.2pt;z-index:251679744;mso-width-relative:page;mso-height-relative:page;" filled="f" stroked="f" coordsize="21600,21600" o:gfxdata="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O3+XzbAAAACQEAAA8AAAAA&#10;AAAAAQAgAAAAIgAAAGRycy9kb3ducmV2LnhtbFBLAQIUABQAAAAIAIdO4kCCFUaqSgIAAHMEAAAO&#10;AAAAAAAAAAEAIAAAACo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lang w:val="en-US" w:eastAsia="zh-CN"/>
                              </w:rPr>
                            </w:pPr>
                            <w:r>
                              <w:rPr>
                                <w:rFonts w:hint="eastAsia"/>
                                <w:lang w:val="en-US" w:eastAsia="zh-CN"/>
                              </w:rPr>
                              <w:t>G5、N</w:t>
                            </w:r>
                          </w:p>
                        </w:txbxContent>
                      </v:textbox>
                    </v:shape>
                  </w:pict>
                </mc:Fallback>
              </mc:AlternateContent>
            </w:r>
          </w:p>
          <w:p>
            <w:pPr>
              <w:pStyle w:val="6"/>
              <w:keepNext w:val="0"/>
              <w:keepLines w:val="0"/>
              <w:suppressLineNumbers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2618105</wp:posOffset>
                      </wp:positionH>
                      <wp:positionV relativeFrom="paragraph">
                        <wp:posOffset>113030</wp:posOffset>
                      </wp:positionV>
                      <wp:extent cx="360045" cy="0"/>
                      <wp:effectExtent l="0" t="48895" r="1905" b="65405"/>
                      <wp:wrapNone/>
                      <wp:docPr id="84" name="直接箭头连接符 84"/>
                      <wp:cNvGraphicFramePr/>
                      <a:graphic xmlns:a="http://schemas.openxmlformats.org/drawingml/2006/main">
                        <a:graphicData uri="http://schemas.microsoft.com/office/word/2010/wordprocessingShape">
                          <wps:wsp>
                            <wps:cNvCnPr/>
                            <wps:spPr>
                              <a:xfrm>
                                <a:off x="3860800" y="3937635"/>
                                <a:ext cx="3600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15pt;margin-top:8.9pt;height:0pt;width:28.35pt;z-index:251678720;mso-width-relative:page;mso-height-relative:page;" filled="f" stroked="t" coordsize="21600,21600" o:gfxdata="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8Gze1wAAAAkBAAAPAAAAAAAAAAEA&#10;IAAAACIAAABkcnMvZG93bnJldi54bWxQSwECFAAUAAAACACHTuJAk2K2bhACAADrAwAADgAAAAAA&#10;AAABACAAAAAmAQAAZHJzL2Uyb0RvYy54bWxQSwUGAAAAAAYABgBZAQAAqAUAAAAA&#10;">
                      <v:fill on="f" focussize="0,0"/>
                      <v:stroke weight="0.5pt" color="#000000 [3213]" miterlimit="8" joinstyle="miter" endarrow="open"/>
                      <v:imagedata o:title=""/>
                      <o:lock v:ext="edit" aspectratio="f"/>
                    </v:shape>
                  </w:pict>
                </mc:Fallback>
              </mc:AlternateContent>
            </w:r>
          </w:p>
          <w:p>
            <w:pPr>
              <w:pStyle w:val="6"/>
              <w:keepNext w:val="0"/>
              <w:keepLines w:val="0"/>
              <w:suppressLineNumbers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2052320</wp:posOffset>
                      </wp:positionH>
                      <wp:positionV relativeFrom="paragraph">
                        <wp:posOffset>65405</wp:posOffset>
                      </wp:positionV>
                      <wp:extent cx="635" cy="301625"/>
                      <wp:effectExtent l="4445" t="0" r="13970" b="3175"/>
                      <wp:wrapNone/>
                      <wp:docPr id="49" name="直接箭头连接符 49"/>
                      <wp:cNvGraphicFramePr/>
                      <a:graphic xmlns:a="http://schemas.openxmlformats.org/drawingml/2006/main">
                        <a:graphicData uri="http://schemas.microsoft.com/office/word/2010/wordprocessingShape">
                          <wps:wsp>
                            <wps:cNvCnPr/>
                            <wps:spPr>
                              <a:xfrm>
                                <a:off x="3295015" y="5335905"/>
                                <a:ext cx="635" cy="30162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1.6pt;margin-top:5.15pt;height:23.75pt;width:0.05pt;z-index:251668480;mso-width-relative:page;mso-height-relative:page;" filled="f" stroked="t" coordsize="21600,21600" o:gfxdata="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ogVN2AAAAAkBAAAPAAAAAAAA&#10;AAEAIAAAACIAAABkcnMvZG93bnJldi54bWxQSwECFAAUAAAACACHTuJAwg5vihICAADsAwAADgAA&#10;AAAAAAABACAAAAAnAQAAZHJzL2Uyb0RvYy54bWxQSwUGAAAAAAYABgBZAQAAqwUAAAAA&#10;">
                      <v:fill on="f" focussize="0,0"/>
                      <v:stroke weight="0.5pt" color="#000000 [3213]" miterlimit="8" joinstyle="miter"/>
                      <v:imagedata o:title=""/>
                      <o:lock v:ext="edit" aspectratio="f"/>
                    </v:shape>
                  </w:pict>
                </mc:Fallback>
              </mc:AlternateContent>
            </w:r>
          </w:p>
          <w:p>
            <w:pPr>
              <w:pStyle w:val="6"/>
              <w:keepNext w:val="0"/>
              <w:keepLines w:val="0"/>
              <w:suppressLineNumbers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1468755</wp:posOffset>
                      </wp:positionH>
                      <wp:positionV relativeFrom="paragraph">
                        <wp:posOffset>108585</wp:posOffset>
                      </wp:positionV>
                      <wp:extent cx="1143000" cy="317500"/>
                      <wp:effectExtent l="6350" t="6350" r="12700" b="19050"/>
                      <wp:wrapNone/>
                      <wp:docPr id="62" name="矩形 62"/>
                      <wp:cNvGraphicFramePr/>
                      <a:graphic xmlns:a="http://schemas.openxmlformats.org/drawingml/2006/main">
                        <a:graphicData uri="http://schemas.microsoft.com/office/word/2010/wordprocessingShape">
                          <wps:wsp>
                            <wps:cNvSpPr/>
                            <wps:spPr>
                              <a:xfrm>
                                <a:off x="2745740" y="6853555"/>
                                <a:ext cx="1143000" cy="31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65pt;margin-top:8.55pt;height:25pt;width:90pt;z-index:251669504;v-text-anchor:middle;mso-width-relative:page;mso-height-relative:page;" filled="f" stroked="t" coordsize="21600,21600" o:gfxdata="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i2UxNYAAAAJAQAADwAAAAAAAAABACAAAAAiAAAAZHJzL2Rvd25y&#10;ZXYueG1sUEsBAhQAFAAAAAgAh07iQPJoysVyAgAA2QQAAA4AAAAAAAAAAQAgAAAAJQEAAGRycy9l&#10;Mm9Eb2MueG1sUEsFBgAAAAAGAAYAWQEAAAkGAAAAAA==&#10;">
                      <v:fill on="f" focussize="0,0"/>
                      <v:stroke weight="1pt" color="#000000 [3213]" miterlimit="8" joinstyle="miter"/>
                      <v:imagedata o:title=""/>
                      <o:lock v:ext="edit" aspectratio="f"/>
                    </v:rect>
                  </w:pict>
                </mc:Fallback>
              </mc:AlternateContent>
            </w: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2997200</wp:posOffset>
                      </wp:positionH>
                      <wp:positionV relativeFrom="paragraph">
                        <wp:posOffset>103505</wp:posOffset>
                      </wp:positionV>
                      <wp:extent cx="889635" cy="296545"/>
                      <wp:effectExtent l="0" t="0" r="0" b="0"/>
                      <wp:wrapNone/>
                      <wp:docPr id="87" name="文本框 87"/>
                      <wp:cNvGraphicFramePr/>
                      <a:graphic xmlns:a="http://schemas.openxmlformats.org/drawingml/2006/main">
                        <a:graphicData uri="http://schemas.microsoft.com/office/word/2010/wordprocessingShape">
                          <wps:wsp>
                            <wps:cNvSpPr txBox="1"/>
                            <wps:spPr>
                              <a:xfrm>
                                <a:off x="4274185" y="6848475"/>
                                <a:ext cx="88963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lang w:val="en-US" w:eastAsia="zh-CN"/>
                                    </w:rPr>
                                  </w:pPr>
                                  <w:r>
                                    <w:rPr>
                                      <w:rFonts w:hint="eastAsia"/>
                                      <w:lang w:val="en-US" w:eastAsia="zh-CN"/>
                                    </w:rPr>
                                    <w:t>G6、N、S8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pt;margin-top:8.15pt;height:23.35pt;width:70.05pt;z-index:251681792;mso-width-relative:page;mso-height-relative:page;" filled="f" stroked="f" coordsize="21600,21600" o:gfxdata="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Tk3PdoAAAAJAQAADwAAAAAA&#10;AAABACAAAAAiAAAAZHJzL2Rvd25yZXYueG1sUEsBAhQAFAAAAAgAh07iQDPBGPlKAgAAcwQAAA4A&#10;AAAAAAAAAQAgAAAAKQ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lang w:val="en-US" w:eastAsia="zh-CN"/>
                              </w:rPr>
                            </w:pPr>
                            <w:r>
                              <w:rPr>
                                <w:rFonts w:hint="eastAsia"/>
                                <w:lang w:val="en-US" w:eastAsia="zh-CN"/>
                              </w:rPr>
                              <w:t>G6、N、S8</w:t>
                            </w:r>
                          </w:p>
                        </w:txbxContent>
                      </v:textbox>
                    </v:shape>
                  </w:pict>
                </mc:Fallback>
              </mc:AlternateContent>
            </w: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1423035</wp:posOffset>
                      </wp:positionH>
                      <wp:positionV relativeFrom="paragraph">
                        <wp:posOffset>104140</wp:posOffset>
                      </wp:positionV>
                      <wp:extent cx="1280160" cy="273050"/>
                      <wp:effectExtent l="0" t="0" r="0" b="0"/>
                      <wp:wrapNone/>
                      <wp:docPr id="61" name="文本框 61"/>
                      <wp:cNvGraphicFramePr/>
                      <a:graphic xmlns:a="http://schemas.openxmlformats.org/drawingml/2006/main">
                        <a:graphicData uri="http://schemas.microsoft.com/office/word/2010/wordprocessingShape">
                          <wps:wsp>
                            <wps:cNvSpPr txBox="1"/>
                            <wps:spPr>
                              <a:xfrm>
                                <a:off x="2700020" y="6849110"/>
                                <a:ext cx="128016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喷粉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05pt;margin-top:8.2pt;height:21.5pt;width:100.8pt;z-index:251670528;mso-width-relative:page;mso-height-relative:page;" filled="f" stroked="f" coordsize="21600,21600" o:gfxdata="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Y9OmPaAAAACQEAAA8AAAAAAAAAAQAg&#10;AAAAIgAAAGRycy9kb3ducmV2LnhtbFBLAQIUABQAAAAIAIdO4kAF+JWDRQIAAHQEAAAOAAAAAAAA&#10;AAEAIAAAACkBAABkcnMvZTJvRG9jLnhtbFBLBQYAAAAABgAGAFkBAADg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喷粉</w:t>
                            </w:r>
                          </w:p>
                        </w:txbxContent>
                      </v:textbox>
                    </v:shape>
                  </w:pict>
                </mc:Fallback>
              </mc:AlternateContent>
            </w: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2614295</wp:posOffset>
                      </wp:positionH>
                      <wp:positionV relativeFrom="paragraph">
                        <wp:posOffset>250825</wp:posOffset>
                      </wp:positionV>
                      <wp:extent cx="360045" cy="0"/>
                      <wp:effectExtent l="0" t="48895" r="1905" b="65405"/>
                      <wp:wrapNone/>
                      <wp:docPr id="88" name="直接箭头连接符 88"/>
                      <wp:cNvGraphicFramePr/>
                      <a:graphic xmlns:a="http://schemas.openxmlformats.org/drawingml/2006/main">
                        <a:graphicData uri="http://schemas.microsoft.com/office/word/2010/wordprocessingShape">
                          <wps:wsp>
                            <wps:cNvCnPr/>
                            <wps:spPr>
                              <a:xfrm>
                                <a:off x="3891280" y="6995795"/>
                                <a:ext cx="3600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85pt;margin-top:19.75pt;height:0pt;width:28.35pt;z-index:251680768;mso-width-relative:page;mso-height-relative:page;" filled="f" stroked="t" coordsize="21600,21600" o:gfxdata="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MGCW2AAAAAkBAAAPAAAAAAAA&#10;AAEAIAAAACIAAABkcnMvZG93bnJldi54bWxQSwECFAAUAAAACACHTuJAdSuEThICAADrAwAADgAA&#10;AAAAAAABACAAAAAnAQAAZHJzL2Uyb0RvYy54bWxQSwUGAAAAAAYABgBZAQAAqwUAAAAA&#10;">
                      <v:fill on="f" focussize="0,0"/>
                      <v:stroke weight="0.5pt" color="#000000 [3213]" miterlimit="8" joinstyle="miter" endarrow="open"/>
                      <v:imagedata o:title=""/>
                      <o:lock v:ext="edit" aspectratio="f"/>
                    </v:shape>
                  </w:pict>
                </mc:Fallback>
              </mc:AlternateContent>
            </w:r>
          </w:p>
          <w:p>
            <w:pPr>
              <w:pStyle w:val="8"/>
              <w:keepNext w:val="0"/>
              <w:keepLines w:val="0"/>
              <w:suppressLineNumbers w:val="0"/>
              <w:spacing w:before="0" w:beforeAutospacing="0" w:afterAutospacing="0"/>
              <w:ind w:left="0" w:right="0"/>
              <w:rPr>
                <w:rFonts w:hint="eastAsia"/>
                <w:color w:val="000000" w:themeColor="text1"/>
                <w:highlight w:val="none"/>
                <w:lang w:eastAsia="zh-CN"/>
                <w14:textFill>
                  <w14:solidFill>
                    <w14:schemeClr w14:val="tx1"/>
                  </w14:solidFill>
                </w14:textFill>
              </w:rPr>
            </w:pP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2028190</wp:posOffset>
                      </wp:positionH>
                      <wp:positionV relativeFrom="paragraph">
                        <wp:posOffset>123190</wp:posOffset>
                      </wp:positionV>
                      <wp:extent cx="635" cy="301625"/>
                      <wp:effectExtent l="4445" t="0" r="13970" b="3175"/>
                      <wp:wrapNone/>
                      <wp:docPr id="63" name="直接箭头连接符 63"/>
                      <wp:cNvGraphicFramePr/>
                      <a:graphic xmlns:a="http://schemas.openxmlformats.org/drawingml/2006/main">
                        <a:graphicData uri="http://schemas.microsoft.com/office/word/2010/wordprocessingShape">
                          <wps:wsp>
                            <wps:cNvCnPr/>
                            <wps:spPr>
                              <a:xfrm>
                                <a:off x="3305175" y="7174865"/>
                                <a:ext cx="635" cy="30162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9.7pt;margin-top:9.7pt;height:23.75pt;width:0.05pt;z-index:251671552;mso-width-relative:page;mso-height-relative:page;" filled="f" stroked="t" coordsize="21600,21600" o:gfxdata="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Ac/G/YAAAACQEAAA8AAAAAAAAA&#10;AQAgAAAAIgAAAGRycy9kb3ducmV2LnhtbFBLAQIUABQAAAAIAIdO4kDCuxs0EQIAAOwDAAAOAAAA&#10;AAAAAAEAIAAAACcBAABkcnMvZTJvRG9jLnhtbFBLBQYAAAAABgAGAFkBAACqBQAAAAA=&#10;">
                      <v:fill on="f" focussize="0,0"/>
                      <v:stroke weight="0.5pt" color="#000000 [3213]" miterlimit="8" joinstyle="miter"/>
                      <v:imagedata o:title=""/>
                      <o:lock v:ext="edit" aspectratio="f"/>
                    </v:shape>
                  </w:pict>
                </mc:Fallback>
              </mc:AlternateContent>
            </w:r>
          </w:p>
          <w:p>
            <w:pPr>
              <w:pStyle w:val="18"/>
              <w:keepNext w:val="0"/>
              <w:keepLines w:val="0"/>
              <w:suppressLineNumbers w:val="0"/>
              <w:spacing w:before="0" w:beforeAutospacing="0" w:after="0" w:afterAutospacing="0"/>
              <w:ind w:right="0"/>
              <w:rPr>
                <w:rFonts w:hint="eastAsia"/>
                <w:color w:val="000000" w:themeColor="text1"/>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1468755</wp:posOffset>
                      </wp:positionH>
                      <wp:positionV relativeFrom="paragraph">
                        <wp:posOffset>82550</wp:posOffset>
                      </wp:positionV>
                      <wp:extent cx="1143000" cy="317500"/>
                      <wp:effectExtent l="6350" t="6350" r="12700" b="19050"/>
                      <wp:wrapNone/>
                      <wp:docPr id="64" name="矩形 64"/>
                      <wp:cNvGraphicFramePr/>
                      <a:graphic xmlns:a="http://schemas.openxmlformats.org/drawingml/2006/main">
                        <a:graphicData uri="http://schemas.microsoft.com/office/word/2010/wordprocessingShape">
                          <wps:wsp>
                            <wps:cNvSpPr/>
                            <wps:spPr>
                              <a:xfrm>
                                <a:off x="2745740" y="7473315"/>
                                <a:ext cx="1143000" cy="31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65pt;margin-top:6.5pt;height:25pt;width:90pt;z-index:251672576;v-text-anchor:middle;mso-width-relative:page;mso-height-relative:page;" filled="f" stroked="t" coordsize="21600,21600" o:gfxdata="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3EuKbWAAAACQEAAA8AAAAAAAAAAQAgAAAAIgAAAGRycy9kb3du&#10;cmV2LnhtbFBLAQIUABQAAAAIAIdO4kBMELRccwIAANkEAAAOAAAAAAAAAAEAIAAAACUBAABkcnMv&#10;ZTJvRG9jLnhtbFBLBQYAAAAABgAGAFkBAAAKBgAAAAA=&#10;">
                      <v:fill on="f" focussize="0,0"/>
                      <v:stroke weight="1pt" color="#000000 [3213]" miterlimit="8" joinstyle="miter"/>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2614295</wp:posOffset>
                      </wp:positionH>
                      <wp:positionV relativeFrom="paragraph">
                        <wp:posOffset>224790</wp:posOffset>
                      </wp:positionV>
                      <wp:extent cx="360045" cy="0"/>
                      <wp:effectExtent l="0" t="48895" r="1905" b="65405"/>
                      <wp:wrapNone/>
                      <wp:docPr id="90" name="直接箭头连接符 90"/>
                      <wp:cNvGraphicFramePr/>
                      <a:graphic xmlns:a="http://schemas.openxmlformats.org/drawingml/2006/main">
                        <a:graphicData uri="http://schemas.microsoft.com/office/word/2010/wordprocessingShape">
                          <wps:wsp>
                            <wps:cNvCnPr/>
                            <wps:spPr>
                              <a:xfrm>
                                <a:off x="3891280" y="7615555"/>
                                <a:ext cx="3600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85pt;margin-top:17.7pt;height:0pt;width:28.35pt;z-index:251682816;mso-width-relative:page;mso-height-relative:page;" filled="f" stroked="t" coordsize="21600,21600" o:gfxdata="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ojG11wAAAAkBAAAPAAAAAAAAAAEA&#10;IAAAACIAAABkcnMvZG93bnJldi54bWxQSwECFAAUAAAACACHTuJAkj9CDRACAADrAwAADgAAAAAA&#10;AAABACAAAAAmAQAAZHJzL2Uyb0RvYy54bWxQSwUGAAAAAAYABgBZAQAAqAUAAAAA&#10;">
                      <v:fill on="f" focussize="0,0"/>
                      <v:stroke weight="0.5pt" color="#000000 [3213]"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1423035</wp:posOffset>
                      </wp:positionH>
                      <wp:positionV relativeFrom="paragraph">
                        <wp:posOffset>78105</wp:posOffset>
                      </wp:positionV>
                      <wp:extent cx="1280160" cy="273050"/>
                      <wp:effectExtent l="0" t="0" r="0" b="0"/>
                      <wp:wrapNone/>
                      <wp:docPr id="65" name="文本框 65"/>
                      <wp:cNvGraphicFramePr/>
                      <a:graphic xmlns:a="http://schemas.openxmlformats.org/drawingml/2006/main">
                        <a:graphicData uri="http://schemas.microsoft.com/office/word/2010/wordprocessingShape">
                          <wps:wsp>
                            <wps:cNvSpPr txBox="1"/>
                            <wps:spPr>
                              <a:xfrm>
                                <a:off x="2700020" y="7468870"/>
                                <a:ext cx="128016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05pt;margin-top:6.15pt;height:21.5pt;width:100.8pt;z-index:251673600;mso-width-relative:page;mso-height-relative:page;" filled="f" stroked="f" coordsize="21600,21600" o:gfxdata="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tHI2gAAAAkBAAAPAAAAAAAAAAEA&#10;IAAAACIAAABkcnMvZG93bnJldi54bWxQSwECFAAUAAAACACHTuJAwfMB7EYCAAB0BAAADgAAAAAA&#10;AAABACAAAAApAQAAZHJzL2Uyb0RvYy54bWxQSwUGAAAAAAYABgBZAQAA4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固化</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2997200</wp:posOffset>
                      </wp:positionH>
                      <wp:positionV relativeFrom="paragraph">
                        <wp:posOffset>77470</wp:posOffset>
                      </wp:positionV>
                      <wp:extent cx="1069975" cy="296545"/>
                      <wp:effectExtent l="0" t="0" r="0" b="0"/>
                      <wp:wrapNone/>
                      <wp:docPr id="89" name="文本框 89"/>
                      <wp:cNvGraphicFramePr/>
                      <a:graphic xmlns:a="http://schemas.openxmlformats.org/drawingml/2006/main">
                        <a:graphicData uri="http://schemas.microsoft.com/office/word/2010/wordprocessingShape">
                          <wps:wsp>
                            <wps:cNvSpPr txBox="1"/>
                            <wps:spPr>
                              <a:xfrm>
                                <a:off x="4274185" y="7468235"/>
                                <a:ext cx="106997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lang w:val="en-US" w:eastAsia="zh-CN"/>
                                    </w:rPr>
                                  </w:pPr>
                                  <w:r>
                                    <w:rPr>
                                      <w:rFonts w:hint="eastAsia"/>
                                      <w:lang w:val="en-US" w:eastAsia="zh-CN"/>
                                    </w:rPr>
                                    <w:t>G7、N、S9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pt;margin-top:6.1pt;height:23.35pt;width:84.25pt;z-index:251683840;mso-width-relative:page;mso-height-relative:page;" filled="f" stroked="f" coordsize="21600,21600" o:gfxdata="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xV4B9oAAAAJAQAADwAAAAAA&#10;AAABACAAAAAiAAAAZHJzL2Rvd25yZXYueG1sUEsBAhQAFAAAAAgAh07iQBzQPf9KAgAAdAQAAA4A&#10;AAAAAAAAAQAgAAAAKQ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lang w:val="en-US" w:eastAsia="zh-CN"/>
                              </w:rPr>
                            </w:pPr>
                            <w:r>
                              <w:rPr>
                                <w:rFonts w:hint="eastAsia"/>
                                <w:lang w:val="en-US" w:eastAsia="zh-CN"/>
                              </w:rPr>
                              <w:t>G7、N、S9</w:t>
                            </w:r>
                          </w:p>
                        </w:txbxContent>
                      </v:textbox>
                    </v:shape>
                  </w:pict>
                </mc:Fallback>
              </mc:AlternateContent>
            </w:r>
          </w:p>
          <w:p>
            <w:pPr>
              <w:keepNext w:val="0"/>
              <w:keepLines w:val="0"/>
              <w:suppressLineNumbers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2028190</wp:posOffset>
                      </wp:positionH>
                      <wp:positionV relativeFrom="paragraph">
                        <wp:posOffset>97155</wp:posOffset>
                      </wp:positionV>
                      <wp:extent cx="635" cy="301625"/>
                      <wp:effectExtent l="4445" t="0" r="13970" b="3175"/>
                      <wp:wrapNone/>
                      <wp:docPr id="14" name="直接箭头连接符 14"/>
                      <wp:cNvGraphicFramePr/>
                      <a:graphic xmlns:a="http://schemas.openxmlformats.org/drawingml/2006/main">
                        <a:graphicData uri="http://schemas.microsoft.com/office/word/2010/wordprocessingShape">
                          <wps:wsp>
                            <wps:cNvCnPr/>
                            <wps:spPr>
                              <a:xfrm>
                                <a:off x="0" y="0"/>
                                <a:ext cx="635" cy="30162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9.7pt;margin-top:7.65pt;height:23.75pt;width:0.05pt;z-index:251700224;mso-width-relative:page;mso-height-relative:page;" filled="f" stroked="t" coordsize="21600,21600" o:gfxdata="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5r7YY2AAAAAkBAAAPAAAAAAAAAAEAIAAAACIAAABkcnMv&#10;ZG93bnJldi54bWxQSwECFAAUAAAACACHTuJAocy8/QMCAADgAwAADgAAAAAAAAABACAAAAAnAQAA&#10;ZHJzL2Uyb0RvYy54bWxQSwUGAAAAAAYABgBZAQAAnAUAAAAA&#10;">
                      <v:fill on="f" focussize="0,0"/>
                      <v:stroke weight="0.5pt" color="#000000 [3213]" miterlimit="8" joinstyle="miter"/>
                      <v:imagedata o:title=""/>
                      <o:lock v:ext="edit" aspectratio="f"/>
                    </v:shape>
                  </w:pict>
                </mc:Fallback>
              </mc:AlternateContent>
            </w:r>
          </w:p>
          <w:p>
            <w:pPr>
              <w:pStyle w:val="6"/>
              <w:keepNext w:val="0"/>
              <w:keepLines w:val="0"/>
              <w:suppressLineNumbers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3002280</wp:posOffset>
                      </wp:positionH>
                      <wp:positionV relativeFrom="paragraph">
                        <wp:posOffset>202565</wp:posOffset>
                      </wp:positionV>
                      <wp:extent cx="889635" cy="29654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88963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lang w:val="en-US" w:eastAsia="zh-CN"/>
                                    </w:rPr>
                                  </w:pPr>
                                  <w:r>
                                    <w:rPr>
                                      <w:rFonts w:hint="eastAsia"/>
                                      <w:lang w:val="en-US" w:eastAsia="zh-CN"/>
                                    </w:rPr>
                                    <w:t>S4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4pt;margin-top:15.95pt;height:23.35pt;width:70.05pt;z-index:251699200;mso-width-relative:page;mso-height-relative:page;" filled="f" stroked="f" coordsize="21600,21600" o:gfxdata="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LOTMNsAAAAJAQAADwAAAAAAAAABACAAAAAiAAAAZHJz&#10;L2Rvd25yZXYueG1sUEsBAhQAFAAAAAgAh07iQHpJXfo6AgAAZwQAAA4AAAAAAAAAAQAgAAAAKgEA&#10;AGRycy9lMm9Eb2MueG1sUEsFBgAAAAAGAAYAWQEAANY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Theme="minorEastAsia"/>
                                <w:lang w:val="en-US" w:eastAsia="zh-CN"/>
                              </w:rPr>
                            </w:pPr>
                            <w:r>
                              <w:rPr>
                                <w:rFonts w:hint="eastAsia"/>
                                <w:lang w:val="en-US" w:eastAsia="zh-CN"/>
                              </w:rPr>
                              <w:t>S4</w:t>
                            </w:r>
                          </w:p>
                        </w:txbxContent>
                      </v:textbox>
                    </v:shape>
                  </w:pict>
                </mc:Fallback>
              </mc:AlternateContent>
            </w: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1423035</wp:posOffset>
                      </wp:positionH>
                      <wp:positionV relativeFrom="paragraph">
                        <wp:posOffset>118110</wp:posOffset>
                      </wp:positionV>
                      <wp:extent cx="1280160" cy="27305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28016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组装</w:t>
                                  </w:r>
                                  <w:r>
                                    <w:rPr>
                                      <w:rFonts w:hint="eastAsia"/>
                                      <w:color w:val="000000" w:themeColor="text1"/>
                                      <w:lang w:val="en-US" w:eastAsia="zh-CN"/>
                                      <w14:textFill>
                                        <w14:solidFill>
                                          <w14:schemeClr w14:val="tx1"/>
                                        </w14:solidFill>
                                      </w14:textFill>
                                    </w:rPr>
                                    <w:t>打包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05pt;margin-top:9.3pt;height:21.5pt;width:100.8pt;z-index:251702272;mso-width-relative:page;mso-height-relative:page;" filled="f" stroked="f" coordsize="21600,21600" o:gfxdata="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MTv2jaAAAACQEAAA8AAAAAAAAAAQAgAAAAIgAAAGRy&#10;cy9kb3ducmV2LnhtbFBLAQIUABQAAAAIAIdO4kAFbdQyPAIAAGgEAAAOAAAAAAAAAAEAIAAAACk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组装</w:t>
                            </w:r>
                            <w:r>
                              <w:rPr>
                                <w:rFonts w:hint="eastAsia"/>
                                <w:color w:val="000000" w:themeColor="text1"/>
                                <w:lang w:val="en-US" w:eastAsia="zh-CN"/>
                                <w14:textFill>
                                  <w14:solidFill>
                                    <w14:schemeClr w14:val="tx1"/>
                                  </w14:solidFill>
                                </w14:textFill>
                              </w:rPr>
                              <w:t>打包</w:t>
                            </w:r>
                          </w:p>
                        </w:txbxContent>
                      </v:textbox>
                    </v:shape>
                  </w:pict>
                </mc:Fallback>
              </mc:AlternateContent>
            </w: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1468755</wp:posOffset>
                      </wp:positionH>
                      <wp:positionV relativeFrom="paragraph">
                        <wp:posOffset>122555</wp:posOffset>
                      </wp:positionV>
                      <wp:extent cx="1143000" cy="317500"/>
                      <wp:effectExtent l="6350" t="6350" r="12700" b="19050"/>
                      <wp:wrapNone/>
                      <wp:docPr id="15" name="矩形 15"/>
                      <wp:cNvGraphicFramePr/>
                      <a:graphic xmlns:a="http://schemas.openxmlformats.org/drawingml/2006/main">
                        <a:graphicData uri="http://schemas.microsoft.com/office/word/2010/wordprocessingShape">
                          <wps:wsp>
                            <wps:cNvSpPr/>
                            <wps:spPr>
                              <a:xfrm>
                                <a:off x="0" y="0"/>
                                <a:ext cx="1143000" cy="31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65pt;margin-top:9.65pt;height:25pt;width:90pt;z-index:251701248;v-text-anchor:middle;mso-width-relative:page;mso-height-relative:page;" filled="f" stroked="t" coordsize="21600,21600" o:gfxdata="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RwsMNYAAAAJAQAADwAAAAAAAAABACAAAAAiAAAAZHJzL2Rvd25yZXYueG1sUEsBAhQA&#10;FAAAAAgAh07iQLmfdJhmAgAAzQQAAA4AAAAAAAAAAQAgAAAAJQEAAGRycy9lMm9Eb2MueG1sUEsF&#10;BgAAAAAGAAYAWQEAAP0FAAAAAA==&#10;">
                      <v:fill on="f" focussize="0,0"/>
                      <v:stroke weight="1pt" color="#000000 [3213]" miterlimit="8" joinstyle="miter"/>
                      <v:imagedata o:title=""/>
                      <o:lock v:ext="edit" aspectratio="f"/>
                    </v:rect>
                  </w:pict>
                </mc:Fallback>
              </mc:AlternateContent>
            </w:r>
          </w:p>
          <w:p>
            <w:pPr>
              <w:pStyle w:val="6"/>
              <w:keepNext w:val="0"/>
              <w:keepLines w:val="0"/>
              <w:suppressLineNumbers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2016760</wp:posOffset>
                      </wp:positionH>
                      <wp:positionV relativeFrom="paragraph">
                        <wp:posOffset>124460</wp:posOffset>
                      </wp:positionV>
                      <wp:extent cx="635" cy="301625"/>
                      <wp:effectExtent l="4445" t="0" r="13970" b="3175"/>
                      <wp:wrapNone/>
                      <wp:docPr id="72" name="直接箭头连接符 72"/>
                      <wp:cNvGraphicFramePr/>
                      <a:graphic xmlns:a="http://schemas.openxmlformats.org/drawingml/2006/main">
                        <a:graphicData uri="http://schemas.microsoft.com/office/word/2010/wordprocessingShape">
                          <wps:wsp>
                            <wps:cNvCnPr/>
                            <wps:spPr>
                              <a:xfrm>
                                <a:off x="3305175" y="9013825"/>
                                <a:ext cx="635" cy="30162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8.8pt;margin-top:9.8pt;height:23.75pt;width:0.05pt;z-index:251674624;mso-width-relative:page;mso-height-relative:page;" filled="f" stroked="t" coordsize="21600,21600" o:gfxdata="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WZgRDYAAAACQEAAA8AAAAAAAAA&#10;AQAgAAAAIgAAAGRycy9kb3ducmV2LnhtbFBLAQIUABQAAAAIAIdO4kAye0atEQIAAOwDAAAOAAAA&#10;AAAAAAEAIAAAACcBAABkcnMvZTJvRG9jLnhtbFBLBQYAAAAABgAGAFkBAACqBQAAAAA=&#10;">
                      <v:fill on="f" focussize="0,0"/>
                      <v:stroke weight="0.5pt" color="#000000 [3213]" miterlimit="8" joinstyle="miter"/>
                      <v:imagedata o:title=""/>
                      <o:lock v:ext="edit" aspectratio="f"/>
                    </v:shape>
                  </w:pict>
                </mc:Fallback>
              </mc:AlternateContent>
            </w:r>
            <w:r>
              <w:rPr>
                <w:rFonts w:hint="default"/>
                <w:color w:val="000000" w:themeColor="text1"/>
                <w:sz w:val="28"/>
                <w:highlight w:val="none"/>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2607945</wp:posOffset>
                      </wp:positionH>
                      <wp:positionV relativeFrom="paragraph">
                        <wp:posOffset>8255</wp:posOffset>
                      </wp:positionV>
                      <wp:extent cx="360045" cy="0"/>
                      <wp:effectExtent l="0" t="48895" r="1905" b="65405"/>
                      <wp:wrapNone/>
                      <wp:docPr id="22" name="直接箭头连接符 22"/>
                      <wp:cNvGraphicFramePr/>
                      <a:graphic xmlns:a="http://schemas.openxmlformats.org/drawingml/2006/main">
                        <a:graphicData uri="http://schemas.microsoft.com/office/word/2010/wordprocessingShape">
                          <wps:wsp>
                            <wps:cNvCnPr/>
                            <wps:spPr>
                              <a:xfrm>
                                <a:off x="0" y="0"/>
                                <a:ext cx="3600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35pt;margin-top:0.65pt;height:0pt;width:28.35pt;z-index:251698176;mso-width-relative:page;mso-height-relative:page;" filled="f" stroked="t" coordsize="21600,21600" o:gfxdata="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4pfXUAAAABwEAAA8AAAAAAAAAAQAgAAAAIgAAAGRycy9kb3du&#10;cmV2LnhtbFBLAQIUABQAAAAIAIdO4kCtkYKYAwIAAN8DAAAOAAAAAAAAAAEAIAAAACMBAABkcnMv&#10;ZTJvRG9jLnhtbFBLBQYAAAAABgAGAFkBAACYBQAAAAA=&#10;">
                      <v:fill on="f" focussize="0,0"/>
                      <v:stroke weight="0.5pt" color="#000000 [3213]" miterlimit="8" joinstyle="miter" endarrow="open"/>
                      <v:imagedata o:title=""/>
                      <o:lock v:ext="edit" aspectratio="f"/>
                    </v:shape>
                  </w:pict>
                </mc:Fallback>
              </mc:AlternateContent>
            </w:r>
          </w:p>
          <w:p>
            <w:pPr>
              <w:keepNext w:val="0"/>
              <w:keepLines w:val="0"/>
              <w:suppressLineNumbers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default"/>
                <w:color w:val="000000" w:themeColor="text1"/>
                <w:sz w:val="24"/>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1366520</wp:posOffset>
                      </wp:positionH>
                      <wp:positionV relativeFrom="paragraph">
                        <wp:posOffset>123190</wp:posOffset>
                      </wp:positionV>
                      <wp:extent cx="1280160" cy="273050"/>
                      <wp:effectExtent l="0" t="0" r="0" b="0"/>
                      <wp:wrapNone/>
                      <wp:docPr id="77" name="文本框 77"/>
                      <wp:cNvGraphicFramePr/>
                      <a:graphic xmlns:a="http://schemas.openxmlformats.org/drawingml/2006/main">
                        <a:graphicData uri="http://schemas.microsoft.com/office/word/2010/wordprocessingShape">
                          <wps:wsp>
                            <wps:cNvSpPr txBox="1"/>
                            <wps:spPr>
                              <a:xfrm>
                                <a:off x="2700020" y="9307830"/>
                                <a:ext cx="128016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待售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pt;margin-top:9.7pt;height:21.5pt;width:100.8pt;z-index:251675648;mso-width-relative:page;mso-height-relative:page;" filled="f" stroked="f" coordsize="21600,21600" o:gfxdata="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ND3KNoAAAAJAQAADwAAAAAAAAAB&#10;ACAAAAAiAAAAZHJzL2Rvd25yZXYueG1sUEsBAhQAFAAAAAgAh07iQO3yFxlHAgAAdAQAAA4AAAAA&#10;AAAAAQAgAAAAKQEAAGRycy9lMm9Eb2MueG1sUEsFBgAAAAAGAAYAWQEAAOI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待售</w:t>
                            </w:r>
                          </w:p>
                        </w:txbxContent>
                      </v:textbox>
                    </v:shape>
                  </w:pict>
                </mc:Fallback>
              </mc:AlternateConten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cs="Times New Roman"/>
                <w:b w:val="0"/>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highlight w:val="none"/>
                <w14:textFill>
                  <w14:solidFill>
                    <w14:schemeClr w14:val="tx1"/>
                  </w14:solidFill>
                </w14:textFill>
              </w:rPr>
              <w:t>（排污节点：</w:t>
            </w:r>
            <w:r>
              <w:rPr>
                <w:rFonts w:hint="eastAsia" w:cs="Times New Roman"/>
                <w:b w:val="0"/>
                <w:bCs w:val="0"/>
                <w:color w:val="000000" w:themeColor="text1"/>
                <w:sz w:val="21"/>
                <w:szCs w:val="21"/>
                <w:highlight w:val="none"/>
                <w:lang w:val="en-US" w:eastAsia="zh-CN"/>
                <w14:textFill>
                  <w14:solidFill>
                    <w14:schemeClr w14:val="tx1"/>
                  </w14:solidFill>
                </w14:textFill>
              </w:rPr>
              <w:t>G废气</w:t>
            </w:r>
            <w:r>
              <w:rPr>
                <w:rFonts w:hint="default" w:ascii="Times New Roman" w:hAnsi="Times New Roman" w:cs="Times New Roman"/>
                <w:b w:val="0"/>
                <w:bCs w:val="0"/>
                <w:color w:val="000000" w:themeColor="text1"/>
                <w:sz w:val="21"/>
                <w:szCs w:val="21"/>
                <w:highlight w:val="none"/>
                <w14:textFill>
                  <w14:solidFill>
                    <w14:schemeClr w14:val="tx1"/>
                  </w14:solidFill>
                </w14:textFill>
              </w:rPr>
              <w:t>；N噪声</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S固废</w:t>
            </w:r>
            <w:r>
              <w:rPr>
                <w:rFonts w:hint="default" w:ascii="Times New Roman" w:hAnsi="Times New Roman" w:cs="Times New Roman"/>
                <w:b w:val="0"/>
                <w:bCs w:val="0"/>
                <w:color w:val="000000" w:themeColor="text1"/>
                <w:sz w:val="21"/>
                <w:szCs w:val="21"/>
                <w:highlight w:val="none"/>
                <w14:textFill>
                  <w14:solidFill>
                    <w14:schemeClr w14:val="tx1"/>
                  </w14:solidFill>
                </w14:textFill>
              </w:rPr>
              <w:t>）</w:t>
            </w:r>
          </w:p>
          <w:p>
            <w:pPr>
              <w:pStyle w:val="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图2-</w:t>
            </w:r>
            <w:r>
              <w:rPr>
                <w:rFonts w:hint="eastAsia" w:eastAsia="黑体" w:cs="Times New Roman"/>
                <w:b w:val="0"/>
                <w:bC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b w:val="0"/>
                <w:bCs w:val="0"/>
                <w:color w:val="000000" w:themeColor="text1"/>
                <w:sz w:val="24"/>
                <w:szCs w:val="24"/>
                <w:highlight w:val="none"/>
                <w:lang w:eastAsia="zh-CN"/>
                <w14:textFill>
                  <w14:solidFill>
                    <w14:schemeClr w14:val="tx1"/>
                  </w14:solidFill>
                </w14:textFill>
              </w:rPr>
              <w:t>金属家具生产工艺</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流程及产污节点图</w:t>
            </w:r>
          </w:p>
          <w:p>
            <w:pPr>
              <w:pStyle w:val="47"/>
              <w:keepNext w:val="0"/>
              <w:keepLines w:val="0"/>
              <w:suppressLineNumbers w:val="0"/>
              <w:spacing w:before="0" w:beforeAutospacing="0" w:after="0" w:afterAutospacing="0"/>
              <w:ind w:left="0" w:right="0"/>
              <w:rPr>
                <w:rFonts w:hint="default" w:ascii="Times New Roman" w:hAnsi="Times New Roman" w:eastAsia="黑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color w:val="000000" w:themeColor="text1"/>
                <w:sz w:val="24"/>
                <w:szCs w:val="24"/>
                <w:highlight w:val="none"/>
                <w14:textFill>
                  <w14:solidFill>
                    <w14:schemeClr w14:val="tx1"/>
                  </w14:solidFill>
                </w14:textFill>
              </w:rPr>
              <w:t>表2-</w:t>
            </w:r>
            <w:r>
              <w:rPr>
                <w:rFonts w:hint="eastAsia" w:eastAsia="黑体" w:cs="Times New Roman"/>
                <w:b w:val="0"/>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黑体" w:cs="Times New Roman"/>
                <w:b w:val="0"/>
                <w:bCs/>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b w:val="0"/>
                <w:bCs/>
                <w:color w:val="000000" w:themeColor="text1"/>
                <w:sz w:val="24"/>
                <w:szCs w:val="24"/>
                <w:highlight w:val="none"/>
                <w:lang w:eastAsia="zh-CN"/>
                <w14:textFill>
                  <w14:solidFill>
                    <w14:schemeClr w14:val="tx1"/>
                  </w14:solidFill>
                </w14:textFill>
              </w:rPr>
              <w:t>金属家具生产</w:t>
            </w:r>
            <w:r>
              <w:rPr>
                <w:rFonts w:hint="default" w:ascii="Times New Roman" w:hAnsi="Times New Roman" w:eastAsia="黑体" w:cs="Times New Roman"/>
                <w:b w:val="0"/>
                <w:bCs/>
                <w:color w:val="000000" w:themeColor="text1"/>
                <w:sz w:val="24"/>
                <w:szCs w:val="24"/>
                <w:highlight w:val="none"/>
                <w14:textFill>
                  <w14:solidFill>
                    <w14:schemeClr w14:val="tx1"/>
                  </w14:solidFill>
                </w14:textFill>
              </w:rPr>
              <w:t>主要排污节点一览表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15"/>
              <w:gridCol w:w="881"/>
              <w:gridCol w:w="2096"/>
              <w:gridCol w:w="1177"/>
              <w:gridCol w:w="3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425"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类别</w:t>
                  </w:r>
                </w:p>
              </w:tc>
              <w:tc>
                <w:tcPr>
                  <w:tcW w:w="524"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序号</w:t>
                  </w:r>
                </w:p>
              </w:tc>
              <w:tc>
                <w:tcPr>
                  <w:tcW w:w="1246"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排污节点</w:t>
                  </w:r>
                </w:p>
              </w:tc>
              <w:tc>
                <w:tcPr>
                  <w:tcW w:w="700"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污染物</w:t>
                  </w:r>
                </w:p>
              </w:tc>
              <w:tc>
                <w:tcPr>
                  <w:tcW w:w="2102"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425" w:type="pct"/>
                  <w:vMerge w:val="restar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废气</w:t>
                  </w:r>
                </w:p>
              </w:tc>
              <w:tc>
                <w:tcPr>
                  <w:tcW w:w="52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G</w:t>
                  </w:r>
                  <w:r>
                    <w:rPr>
                      <w:rFonts w:hint="eastAsia" w:eastAsia="宋体" w:cs="Times New Roman"/>
                      <w:bCs/>
                      <w:color w:val="000000" w:themeColor="text1"/>
                      <w:sz w:val="21"/>
                      <w:szCs w:val="21"/>
                      <w:highlight w:val="none"/>
                      <w:lang w:val="en-US" w:eastAsia="zh-CN"/>
                      <w14:textFill>
                        <w14:solidFill>
                          <w14:schemeClr w14:val="tx1"/>
                        </w14:solidFill>
                      </w14:textFill>
                    </w:rPr>
                    <w:t>4</w:t>
                  </w:r>
                </w:p>
              </w:tc>
              <w:tc>
                <w:tcPr>
                  <w:tcW w:w="12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切割工序</w:t>
                  </w:r>
                </w:p>
              </w:tc>
              <w:tc>
                <w:tcPr>
                  <w:tcW w:w="70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颗粒物</w:t>
                  </w:r>
                </w:p>
              </w:tc>
              <w:tc>
                <w:tcPr>
                  <w:tcW w:w="210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车间密闭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425"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2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G</w:t>
                  </w:r>
                  <w:r>
                    <w:rPr>
                      <w:rFonts w:hint="eastAsia" w:eastAsia="宋体" w:cs="Times New Roman"/>
                      <w:bCs/>
                      <w:color w:val="000000" w:themeColor="text1"/>
                      <w:sz w:val="21"/>
                      <w:szCs w:val="21"/>
                      <w:highlight w:val="none"/>
                      <w:lang w:val="en-US" w:eastAsia="zh-CN"/>
                      <w14:textFill>
                        <w14:solidFill>
                          <w14:schemeClr w14:val="tx1"/>
                        </w14:solidFill>
                      </w14:textFill>
                    </w:rPr>
                    <w:t>5</w:t>
                  </w:r>
                </w:p>
              </w:tc>
              <w:tc>
                <w:tcPr>
                  <w:tcW w:w="12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焊接工序</w:t>
                  </w:r>
                </w:p>
              </w:tc>
              <w:tc>
                <w:tcPr>
                  <w:tcW w:w="70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颗粒物</w:t>
                  </w:r>
                </w:p>
              </w:tc>
              <w:tc>
                <w:tcPr>
                  <w:tcW w:w="210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eastAsia="宋体" w:cs="Times New Roman"/>
                      <w:bCs/>
                      <w:color w:val="000000" w:themeColor="text1"/>
                      <w:sz w:val="21"/>
                      <w:szCs w:val="21"/>
                      <w:highlight w:val="none"/>
                      <w:lang w:val="en-US" w:eastAsia="zh-CN"/>
                      <w14:textFill>
                        <w14:solidFill>
                          <w14:schemeClr w14:val="tx1"/>
                        </w14:solidFill>
                      </w14:textFill>
                    </w:rPr>
                    <w:t>布袋除尘器</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r>
                    <w:rPr>
                      <w:rFonts w:hint="eastAsia" w:eastAsia="宋体" w:cs="Times New Roman"/>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m高排气筒（DA00</w:t>
                  </w:r>
                  <w:r>
                    <w:rPr>
                      <w:rFonts w:hint="eastAsia" w:eastAsia="宋体" w:cs="Times New Roman"/>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425"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2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G</w:t>
                  </w:r>
                  <w:r>
                    <w:rPr>
                      <w:rFonts w:hint="eastAsia" w:eastAsia="宋体" w:cs="Times New Roman"/>
                      <w:bCs/>
                      <w:color w:val="000000" w:themeColor="text1"/>
                      <w:sz w:val="21"/>
                      <w:szCs w:val="21"/>
                      <w:highlight w:val="none"/>
                      <w:lang w:val="en-US" w:eastAsia="zh-CN"/>
                      <w14:textFill>
                        <w14:solidFill>
                          <w14:schemeClr w14:val="tx1"/>
                        </w14:solidFill>
                      </w14:textFill>
                    </w:rPr>
                    <w:t>6</w:t>
                  </w:r>
                </w:p>
              </w:tc>
              <w:tc>
                <w:tcPr>
                  <w:tcW w:w="12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喷粉工序</w:t>
                  </w:r>
                </w:p>
              </w:tc>
              <w:tc>
                <w:tcPr>
                  <w:tcW w:w="70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颗粒物</w:t>
                  </w:r>
                </w:p>
              </w:tc>
              <w:tc>
                <w:tcPr>
                  <w:tcW w:w="210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设备密闭、</w:t>
                  </w:r>
                  <w:r>
                    <w:rPr>
                      <w:rFonts w:hint="eastAsia" w:eastAsia="宋体" w:cs="Times New Roman"/>
                      <w:bCs/>
                      <w:color w:val="000000" w:themeColor="text1"/>
                      <w:sz w:val="21"/>
                      <w:szCs w:val="21"/>
                      <w:highlight w:val="none"/>
                      <w:lang w:val="en-US" w:eastAsia="zh-CN"/>
                      <w14:textFill>
                        <w14:solidFill>
                          <w14:schemeClr w14:val="tx1"/>
                        </w14:solidFill>
                      </w14:textFill>
                    </w:rPr>
                    <w:t>滤芯过滤</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回收系统+1</w:t>
                  </w:r>
                  <w:r>
                    <w:rPr>
                      <w:rFonts w:hint="eastAsia" w:eastAsia="宋体" w:cs="Times New Roman"/>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m高排气筒（DA003）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425"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2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G</w:t>
                  </w:r>
                  <w:r>
                    <w:rPr>
                      <w:rFonts w:hint="eastAsia" w:eastAsia="宋体" w:cs="Times New Roman"/>
                      <w:bCs/>
                      <w:color w:val="000000" w:themeColor="text1"/>
                      <w:sz w:val="21"/>
                      <w:szCs w:val="21"/>
                      <w:highlight w:val="none"/>
                      <w:lang w:val="en-US" w:eastAsia="zh-CN"/>
                      <w14:textFill>
                        <w14:solidFill>
                          <w14:schemeClr w14:val="tx1"/>
                        </w14:solidFill>
                      </w14:textFill>
                    </w:rPr>
                    <w:t>7</w:t>
                  </w:r>
                </w:p>
              </w:tc>
              <w:tc>
                <w:tcPr>
                  <w:tcW w:w="12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固化工序</w:t>
                  </w:r>
                </w:p>
              </w:tc>
              <w:tc>
                <w:tcPr>
                  <w:tcW w:w="70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非甲烷总烃</w:t>
                  </w:r>
                </w:p>
              </w:tc>
              <w:tc>
                <w:tcPr>
                  <w:tcW w:w="210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pacing w:val="3"/>
                      <w:sz w:val="21"/>
                      <w:szCs w:val="21"/>
                      <w:highlight w:val="none"/>
                      <w:lang w:eastAsia="zh-CN"/>
                      <w14:textFill>
                        <w14:solidFill>
                          <w14:schemeClr w14:val="tx1"/>
                        </w14:solidFill>
                      </w14:textFill>
                    </w:rPr>
                    <w:t>两</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级活性炭吸附</w:t>
                  </w:r>
                  <w:r>
                    <w:rPr>
                      <w:rFonts w:hint="eastAsia" w:eastAsia="宋体" w:cs="Times New Roman"/>
                      <w:color w:val="000000" w:themeColor="text1"/>
                      <w:spacing w:val="3"/>
                      <w:sz w:val="21"/>
                      <w:szCs w:val="21"/>
                      <w:highlight w:val="none"/>
                      <w:lang w:val="en-US" w:eastAsia="zh-CN"/>
                      <w14:textFill>
                        <w14:solidFill>
                          <w14:schemeClr w14:val="tx1"/>
                        </w14:solidFill>
                      </w14:textFill>
                    </w:rPr>
                    <w:t>装置</w:t>
                  </w: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15m高排气筒</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（DA00</w:t>
                  </w:r>
                  <w:r>
                    <w:rPr>
                      <w:rFonts w:hint="eastAsia" w:eastAsia="宋体" w:cs="Times New Roman"/>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25"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524"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1246"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生产设备</w:t>
                  </w:r>
                </w:p>
              </w:tc>
              <w:tc>
                <w:tcPr>
                  <w:tcW w:w="700"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A声级</w:t>
                  </w:r>
                </w:p>
              </w:tc>
              <w:tc>
                <w:tcPr>
                  <w:tcW w:w="2102"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基础减振、厂房隔声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25" w:type="pct"/>
                  <w:vMerge w:val="restar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524"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7</w:t>
                  </w:r>
                </w:p>
              </w:tc>
              <w:tc>
                <w:tcPr>
                  <w:tcW w:w="1246"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切割工序</w:t>
                  </w:r>
                </w:p>
              </w:tc>
              <w:tc>
                <w:tcPr>
                  <w:tcW w:w="700"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边角料</w:t>
                  </w:r>
                </w:p>
              </w:tc>
              <w:tc>
                <w:tcPr>
                  <w:tcW w:w="2102"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25"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4"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8</w:t>
                  </w:r>
                </w:p>
              </w:tc>
              <w:tc>
                <w:tcPr>
                  <w:tcW w:w="1246"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喷粉工序</w:t>
                  </w:r>
                </w:p>
              </w:tc>
              <w:tc>
                <w:tcPr>
                  <w:tcW w:w="700"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塑粉</w:t>
                  </w:r>
                </w:p>
              </w:tc>
              <w:tc>
                <w:tcPr>
                  <w:tcW w:w="2102"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收集后回用于生产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25"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4"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9</w:t>
                  </w:r>
                </w:p>
              </w:tc>
              <w:tc>
                <w:tcPr>
                  <w:tcW w:w="1246"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两级活性炭吸附装置</w:t>
                  </w:r>
                </w:p>
              </w:tc>
              <w:tc>
                <w:tcPr>
                  <w:tcW w:w="700"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废活性炭</w:t>
                  </w:r>
                </w:p>
              </w:tc>
              <w:tc>
                <w:tcPr>
                  <w:tcW w:w="2102"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危废间暂存，定期由有资质单位处理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25"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4"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4</w:t>
                  </w:r>
                </w:p>
              </w:tc>
              <w:tc>
                <w:tcPr>
                  <w:tcW w:w="1246"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组装打包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工序</w:t>
                  </w:r>
                </w:p>
              </w:tc>
              <w:tc>
                <w:tcPr>
                  <w:tcW w:w="700"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废纸箱纸板</w:t>
                  </w:r>
                </w:p>
              </w:tc>
              <w:tc>
                <w:tcPr>
                  <w:tcW w:w="2102" w:type="pc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25"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4"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5</w:t>
                  </w:r>
                </w:p>
              </w:tc>
              <w:tc>
                <w:tcPr>
                  <w:tcW w:w="1246" w:type="pct"/>
                  <w:vMerge w:val="restar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机械设备</w:t>
                  </w:r>
                </w:p>
              </w:tc>
              <w:tc>
                <w:tcPr>
                  <w:tcW w:w="700"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废机油</w:t>
                  </w:r>
                </w:p>
              </w:tc>
              <w:tc>
                <w:tcPr>
                  <w:tcW w:w="2102" w:type="pct"/>
                  <w:vMerge w:val="restart"/>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危废间暂存，定期由有资质单位处理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25"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4"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S6</w:t>
                  </w:r>
                </w:p>
              </w:tc>
              <w:tc>
                <w:tcPr>
                  <w:tcW w:w="1246"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00" w:type="pct"/>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废油桶</w:t>
                  </w:r>
                </w:p>
              </w:tc>
              <w:tc>
                <w:tcPr>
                  <w:tcW w:w="2102" w:type="pct"/>
                  <w:vMerge w:val="continue"/>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bl>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2" w:hRule="atLeast"/>
          <w:jc w:val="center"/>
        </w:trPr>
        <w:tc>
          <w:tcPr>
            <w:tcW w:w="425" w:type="dxa"/>
            <w:tcBorders>
              <w:top w:val="single" w:color="auto" w:sz="4" w:space="0"/>
              <w:left w:val="single" w:color="auto" w:sz="8" w:space="0"/>
              <w:bottom w:val="single" w:color="auto" w:sz="8"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与项目有关的原有环境污染问题</w:t>
            </w:r>
          </w:p>
        </w:tc>
        <w:tc>
          <w:tcPr>
            <w:tcW w:w="8635" w:type="dxa"/>
            <w:tcBorders>
              <w:top w:val="single" w:color="auto" w:sz="4" w:space="0"/>
              <w:left w:val="single" w:color="auto" w:sz="4" w:space="0"/>
              <w:bottom w:val="single" w:color="auto" w:sz="8" w:space="0"/>
              <w:right w:val="single" w:color="auto" w:sz="8" w:space="0"/>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与本项目有关的原有污染情况及主要环境问题</w:t>
            </w:r>
            <w:r>
              <w:rPr>
                <w:rFonts w:hint="eastAsia"/>
                <w:color w:val="000000" w:themeColor="text1"/>
                <w:highlight w:val="non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本项目为新建项目，租赁宽城经济开发区龙须门片区</w:t>
            </w:r>
            <w:r>
              <w:rPr>
                <w:rFonts w:hint="eastAsia"/>
                <w:color w:val="000000" w:themeColor="text1"/>
                <w:highlight w:val="none"/>
                <w:lang w:val="en-US" w:eastAsia="zh-CN"/>
                <w14:textFill>
                  <w14:solidFill>
                    <w14:schemeClr w14:val="tx1"/>
                  </w14:solidFill>
                </w14:textFill>
              </w:rPr>
              <w:t>3间</w:t>
            </w:r>
            <w:r>
              <w:rPr>
                <w:rFonts w:hint="eastAsia"/>
                <w:color w:val="000000" w:themeColor="text1"/>
                <w:highlight w:val="none"/>
                <w:lang w:eastAsia="zh-CN"/>
                <w14:textFill>
                  <w14:solidFill>
                    <w14:schemeClr w14:val="tx1"/>
                  </w14:solidFill>
                </w14:textFill>
              </w:rPr>
              <w:t>现有厂房，经现场查勘，无现有环境问题。</w:t>
            </w: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tc>
      </w:tr>
    </w:tbl>
    <w:p>
      <w:pPr>
        <w:rPr>
          <w:rFonts w:ascii="黑体" w:hAnsi="宋体" w:eastAsia="黑体" w:cs="Times New Roman"/>
          <w:snapToGrid w:val="0"/>
          <w:color w:val="000000" w:themeColor="text1"/>
          <w:sz w:val="36"/>
          <w:szCs w:val="36"/>
          <w:highlight w:val="none"/>
          <w:lang w:bidi="ar"/>
          <w14:textFill>
            <w14:solidFill>
              <w14:schemeClr w14:val="tx1"/>
            </w14:solidFill>
          </w14:textFill>
        </w:rPr>
        <w:sectPr>
          <w:pgSz w:w="11906" w:h="16838"/>
          <w:pgMar w:top="1702" w:right="1531" w:bottom="1702" w:left="1531" w:header="851" w:footer="851" w:gutter="0"/>
          <w:pgNumType w:fmt="decimal"/>
          <w:cols w:space="425" w:num="1"/>
          <w:docGrid w:type="lines" w:linePitch="312" w:charSpace="0"/>
        </w:sectPr>
      </w:pPr>
    </w:p>
    <w:p>
      <w:pPr>
        <w:pStyle w:val="20"/>
        <w:jc w:val="center"/>
        <w:outlineLvl w:val="0"/>
        <w:rPr>
          <w:rFonts w:hint="default" w:ascii="黑体" w:eastAsia="黑体" w:cs="黑体"/>
          <w:color w:val="000000" w:themeColor="text1"/>
          <w:sz w:val="30"/>
          <w:szCs w:val="30"/>
          <w:highlight w:val="none"/>
          <w14:textFill>
            <w14:solidFill>
              <w14:schemeClr w14:val="tx1"/>
            </w14:solidFill>
          </w14:textFill>
        </w:rPr>
      </w:pPr>
      <w:r>
        <w:rPr>
          <w:rFonts w:ascii="黑体" w:eastAsia="黑体" w:cs="黑体"/>
          <w:snapToGrid w:val="0"/>
          <w:color w:val="000000" w:themeColor="text1"/>
          <w:sz w:val="30"/>
          <w:szCs w:val="30"/>
          <w:highlight w:val="none"/>
          <w14:textFill>
            <w14:solidFill>
              <w14:schemeClr w14:val="tx1"/>
            </w14:solidFill>
          </w14:textFill>
        </w:rPr>
        <w:t>三、区域环境质量现状、环境保护目标及评价标准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80" w:hRule="atLeast"/>
          <w:jc w:val="center"/>
        </w:trPr>
        <w:tc>
          <w:tcPr>
            <w:tcW w:w="454" w:type="dxa"/>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现状</w:t>
            </w:r>
          </w:p>
        </w:tc>
        <w:tc>
          <w:tcPr>
            <w:tcW w:w="8615" w:type="dxa"/>
            <w:tcBorders>
              <w:top w:val="single" w:color="auto" w:sz="8" w:space="0"/>
              <w:left w:val="single" w:color="auto" w:sz="4" w:space="0"/>
              <w:bottom w:val="single" w:color="auto" w:sz="4" w:space="0"/>
              <w:right w:val="single" w:color="auto" w:sz="8"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cs="Times New Roman"/>
                <w:b w:val="0"/>
                <w:bCs/>
                <w:color w:val="000000" w:themeColor="text1"/>
                <w:sz w:val="24"/>
                <w:highlight w:val="none"/>
                <w14:textFill>
                  <w14:solidFill>
                    <w14:schemeClr w14:val="tx1"/>
                  </w14:solidFill>
                </w14:textFill>
              </w:rPr>
            </w:pPr>
            <w:r>
              <w:rPr>
                <w:rFonts w:hint="default" w:ascii="Times New Roman" w:hAnsi="Times New Roman" w:cs="Times New Roman"/>
                <w:b w:val="0"/>
                <w:bCs/>
                <w:color w:val="000000" w:themeColor="text1"/>
                <w:sz w:val="24"/>
                <w:highlight w:val="none"/>
                <w14:textFill>
                  <w14:solidFill>
                    <w14:schemeClr w14:val="tx1"/>
                  </w14:solidFill>
                </w14:textFill>
              </w:rPr>
              <w:t>1、环境空气质量现状</w:t>
            </w:r>
          </w:p>
          <w:p>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（1）环境质量公报</w:t>
            </w:r>
          </w:p>
          <w:p>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项目所在区域环境空气质量执行《环境空气质量标准》（GB3095-2012）</w:t>
            </w:r>
            <w:r>
              <w:rPr>
                <w:rFonts w:hint="eastAsia"/>
                <w:color w:val="000000" w:themeColor="text1"/>
                <w:highlight w:val="none"/>
                <w:lang w:eastAsia="zh-CN"/>
                <w14:textFill>
                  <w14:solidFill>
                    <w14:schemeClr w14:val="tx1"/>
                  </w14:solidFill>
                </w14:textFill>
              </w:rPr>
              <w:t>两级</w:t>
            </w:r>
            <w:r>
              <w:rPr>
                <w:rFonts w:hint="default"/>
                <w:color w:val="000000" w:themeColor="text1"/>
                <w:highlight w:val="none"/>
                <w14:textFill>
                  <w14:solidFill>
                    <w14:schemeClr w14:val="tx1"/>
                  </w14:solidFill>
                </w14:textFill>
              </w:rPr>
              <w:t>标准。本评价引用《</w:t>
            </w:r>
            <w:r>
              <w:rPr>
                <w:rFonts w:hint="eastAsia"/>
                <w:color w:val="000000" w:themeColor="text1"/>
                <w:highlight w:val="none"/>
                <w:lang w:val="en-US" w:eastAsia="zh-CN"/>
                <w14:textFill>
                  <w14:solidFill>
                    <w14:schemeClr w14:val="tx1"/>
                  </w14:solidFill>
                </w14:textFill>
              </w:rPr>
              <w:t>2022年</w:t>
            </w:r>
            <w:r>
              <w:rPr>
                <w:rFonts w:hint="default"/>
                <w:color w:val="000000" w:themeColor="text1"/>
                <w:highlight w:val="none"/>
                <w14:textFill>
                  <w14:solidFill>
                    <w14:schemeClr w14:val="tx1"/>
                  </w14:solidFill>
                </w14:textFill>
              </w:rPr>
              <w:t>承德市环境</w:t>
            </w:r>
            <w:r>
              <w:rPr>
                <w:rFonts w:hint="eastAsia"/>
                <w:color w:val="000000" w:themeColor="text1"/>
                <w:highlight w:val="none"/>
                <w14:textFill>
                  <w14:solidFill>
                    <w14:schemeClr w14:val="tx1"/>
                  </w14:solidFill>
                </w14:textFill>
              </w:rPr>
              <w:t>状况</w:t>
            </w:r>
            <w:r>
              <w:rPr>
                <w:rFonts w:hint="default"/>
                <w:color w:val="000000" w:themeColor="text1"/>
                <w:highlight w:val="none"/>
                <w14:textFill>
                  <w14:solidFill>
                    <w14:schemeClr w14:val="tx1"/>
                  </w14:solidFill>
                </w14:textFill>
              </w:rPr>
              <w:t>公报》</w:t>
            </w:r>
            <w:r>
              <w:rPr>
                <w:rFonts w:hint="eastAsia"/>
                <w:color w:val="000000" w:themeColor="text1"/>
                <w:highlight w:val="none"/>
                <w14:textFill>
                  <w14:solidFill>
                    <w14:schemeClr w14:val="tx1"/>
                  </w14:solidFill>
                </w14:textFill>
              </w:rPr>
              <w:t>（承德市生态环境保护局，202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月）</w:t>
            </w:r>
            <w:r>
              <w:rPr>
                <w:rFonts w:hint="default"/>
                <w:color w:val="000000" w:themeColor="text1"/>
                <w:highlight w:val="none"/>
                <w14:textFill>
                  <w14:solidFill>
                    <w14:schemeClr w14:val="tx1"/>
                  </w14:solidFill>
                </w14:textFill>
              </w:rPr>
              <w:t>中</w:t>
            </w:r>
            <w:r>
              <w:rPr>
                <w:rFonts w:hint="eastAsia"/>
                <w:color w:val="000000" w:themeColor="text1"/>
                <w:highlight w:val="none"/>
                <w:lang w:eastAsia="zh-CN"/>
                <w14:textFill>
                  <w14:solidFill>
                    <w14:schemeClr w14:val="tx1"/>
                  </w14:solidFill>
                </w14:textFill>
              </w:rPr>
              <w:t>宽城满族自治县</w:t>
            </w:r>
            <w:r>
              <w:rPr>
                <w:rFonts w:hint="default"/>
                <w:color w:val="000000" w:themeColor="text1"/>
                <w:highlight w:val="none"/>
                <w14:textFill>
                  <w14:solidFill>
                    <w14:schemeClr w14:val="tx1"/>
                  </w14:solidFill>
                </w14:textFill>
              </w:rPr>
              <w:t>环境空气常规现状监测统计资料，来说明</w:t>
            </w:r>
            <w:r>
              <w:rPr>
                <w:rFonts w:hint="eastAsia"/>
                <w:color w:val="000000" w:themeColor="text1"/>
                <w:highlight w:val="none"/>
                <w14:textFill>
                  <w14:solidFill>
                    <w14:schemeClr w14:val="tx1"/>
                  </w14:solidFill>
                </w14:textFill>
              </w:rPr>
              <w:t>项目所在</w:t>
            </w:r>
            <w:r>
              <w:rPr>
                <w:rFonts w:hint="default"/>
                <w:color w:val="000000" w:themeColor="text1"/>
                <w:highlight w:val="none"/>
                <w14:textFill>
                  <w14:solidFill>
                    <w14:schemeClr w14:val="tx1"/>
                  </w14:solidFill>
                </w14:textFill>
              </w:rPr>
              <w:t>地区的环境空气质量，监测结果见表</w:t>
            </w:r>
            <w:r>
              <w:rPr>
                <w:rFonts w:hint="eastAsia"/>
                <w:color w:val="000000" w:themeColor="text1"/>
                <w:highlight w:val="none"/>
                <w14:textFill>
                  <w14:solidFill>
                    <w14:schemeClr w14:val="tx1"/>
                  </w14:solidFill>
                </w14:textFill>
              </w:rPr>
              <w:t>3</w:t>
            </w:r>
            <w:r>
              <w:rPr>
                <w:rFonts w:hint="default"/>
                <w:color w:val="000000" w:themeColor="text1"/>
                <w:highlight w:val="none"/>
                <w14:textFill>
                  <w14:solidFill>
                    <w14:schemeClr w14:val="tx1"/>
                  </w14:solidFill>
                </w14:textFill>
              </w:rPr>
              <w:t>-1。</w:t>
            </w:r>
          </w:p>
          <w:p>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rightChars="0" w:firstLine="0" w:firstLineChars="0"/>
              <w:jc w:val="center"/>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表3-1  202</w:t>
            </w:r>
            <w:r>
              <w:rPr>
                <w:rFonts w:hint="eastAsia" w:eastAsia="黑体" w:cs="Times New Roman"/>
                <w:b w:val="0"/>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年</w:t>
            </w:r>
            <w:r>
              <w:rPr>
                <w:rFonts w:hint="default" w:ascii="Times New Roman" w:hAnsi="Times New Roman" w:eastAsia="黑体" w:cs="Times New Roman"/>
                <w:b w:val="0"/>
                <w:bCs w:val="0"/>
                <w:color w:val="000000" w:themeColor="text1"/>
                <w:sz w:val="24"/>
                <w:szCs w:val="24"/>
                <w:highlight w:val="none"/>
                <w:lang w:eastAsia="zh-CN"/>
                <w14:textFill>
                  <w14:solidFill>
                    <w14:schemeClr w14:val="tx1"/>
                  </w14:solidFill>
                </w14:textFill>
              </w:rPr>
              <w:t>宽城满族自治县</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环境空气质量监测结果表</w:t>
            </w:r>
          </w:p>
          <w:tbl>
            <w:tblPr>
              <w:tblStyle w:val="24"/>
              <w:tblW w:w="83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55"/>
              <w:gridCol w:w="989"/>
              <w:gridCol w:w="2129"/>
              <w:gridCol w:w="977"/>
              <w:gridCol w:w="1489"/>
              <w:gridCol w:w="1489"/>
              <w:gridCol w:w="6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3" w:hRule="atLeast"/>
                <w:jc w:val="center"/>
              </w:trPr>
              <w:tc>
                <w:tcPr>
                  <w:tcW w:w="39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区域</w:t>
                  </w:r>
                </w:p>
              </w:tc>
              <w:tc>
                <w:tcPr>
                  <w:tcW w:w="5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污染物</w:t>
                  </w:r>
                </w:p>
              </w:tc>
              <w:tc>
                <w:tcPr>
                  <w:tcW w:w="12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评价指标</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现状浓度（µg/m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标准值（µg/m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占标率/%</w:t>
                  </w: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达标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宽城满族自治县</w:t>
                  </w:r>
                </w:p>
              </w:tc>
              <w:tc>
                <w:tcPr>
                  <w:tcW w:w="5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PM</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10</w:t>
                  </w:r>
                </w:p>
              </w:tc>
              <w:tc>
                <w:tcPr>
                  <w:tcW w:w="12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年平均值</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49</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70</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70</w:t>
                  </w: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5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PM</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2.5</w:t>
                  </w:r>
                </w:p>
              </w:tc>
              <w:tc>
                <w:tcPr>
                  <w:tcW w:w="12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年平均值</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26</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35</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74</w:t>
                  </w: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5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SO</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w:t>
                  </w:r>
                </w:p>
              </w:tc>
              <w:tc>
                <w:tcPr>
                  <w:tcW w:w="12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年平均值</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13</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60</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22</w:t>
                  </w: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5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NO</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w:t>
                  </w:r>
                </w:p>
              </w:tc>
              <w:tc>
                <w:tcPr>
                  <w:tcW w:w="12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年平均值</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22</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40</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55</w:t>
                  </w: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5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CO</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（mg/m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12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第95百分位数日平均值</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1.2</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4</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30</w:t>
                  </w: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39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5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O</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3</w:t>
                  </w:r>
                </w:p>
              </w:tc>
              <w:tc>
                <w:tcPr>
                  <w:tcW w:w="12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第90百分位数日最大8小时平均值</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182</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160</w:t>
                  </w:r>
                </w:p>
              </w:tc>
              <w:tc>
                <w:tcPr>
                  <w:tcW w:w="8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114</w:t>
                  </w: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超标</w:t>
                  </w:r>
                </w:p>
              </w:tc>
            </w:tr>
          </w:tbl>
          <w:p>
            <w:pPr>
              <w:keepNext w:val="0"/>
              <w:keepLines w:val="0"/>
              <w:pageBreakBefore w:val="0"/>
              <w:suppressLineNumbers w:val="0"/>
              <w:kinsoku/>
              <w:wordWrap/>
              <w:overflowPunct/>
              <w:autoSpaceDE w:val="0"/>
              <w:autoSpaceDN w:val="0"/>
              <w:bidi w:val="0"/>
              <w:adjustRightInd w:val="0"/>
              <w:snapToGrid w:val="0"/>
              <w:spacing w:before="0" w:beforeAutospacing="0" w:after="0" w:afterAutospacing="0"/>
              <w:ind w:left="0" w:right="0" w:rightChars="0" w:firstLine="0" w:firstLineChars="0"/>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注：1.CO的浓度单位是mg/m</w:t>
            </w:r>
            <w:r>
              <w:rPr>
                <w:rFonts w:hint="default" w:ascii="Times New Roman" w:hAnsi="Times New Roman" w:cs="Times New Roman"/>
                <w:b/>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color w:val="000000" w:themeColor="text1"/>
                <w:sz w:val="21"/>
                <w:szCs w:val="21"/>
                <w:highlight w:val="none"/>
                <w14:textFill>
                  <w14:solidFill>
                    <w14:schemeClr w14:val="tx1"/>
                  </w14:solidFill>
                </w14:textFill>
              </w:rPr>
              <w:t>，PM</w:t>
            </w:r>
            <w:r>
              <w:rPr>
                <w:rFonts w:hint="default" w:ascii="Times New Roman" w:hAnsi="Times New Roman" w:cs="Times New Roman"/>
                <w:b/>
                <w:color w:val="000000" w:themeColor="text1"/>
                <w:sz w:val="21"/>
                <w:szCs w:val="21"/>
                <w:highlight w:val="none"/>
                <w:vertAlign w:val="subscript"/>
                <w14:textFill>
                  <w14:solidFill>
                    <w14:schemeClr w14:val="tx1"/>
                  </w14:solidFill>
                </w14:textFill>
              </w:rPr>
              <w:t>2.5</w:t>
            </w:r>
            <w:r>
              <w:rPr>
                <w:rFonts w:hint="default" w:ascii="Times New Roman" w:hAnsi="Times New Roman" w:cs="Times New Roman"/>
                <w:b/>
                <w:color w:val="000000" w:themeColor="text1"/>
                <w:sz w:val="21"/>
                <w:szCs w:val="21"/>
                <w:highlight w:val="none"/>
                <w14:textFill>
                  <w14:solidFill>
                    <w14:schemeClr w14:val="tx1"/>
                  </w14:solidFill>
                </w14:textFill>
              </w:rPr>
              <w:t>、PM</w:t>
            </w:r>
            <w:r>
              <w:rPr>
                <w:rFonts w:hint="default" w:ascii="Times New Roman" w:hAnsi="Times New Roman" w:cs="Times New Roman"/>
                <w:b/>
                <w:color w:val="000000" w:themeColor="text1"/>
                <w:sz w:val="21"/>
                <w:szCs w:val="21"/>
                <w:highlight w:val="none"/>
                <w:vertAlign w:val="subscript"/>
                <w14:textFill>
                  <w14:solidFill>
                    <w14:schemeClr w14:val="tx1"/>
                  </w14:solidFill>
                </w14:textFill>
              </w:rPr>
              <w:t>10</w:t>
            </w:r>
            <w:r>
              <w:rPr>
                <w:rFonts w:hint="default" w:ascii="Times New Roman" w:hAnsi="Times New Roman" w:cs="Times New Roman"/>
                <w:b/>
                <w:color w:val="000000" w:themeColor="text1"/>
                <w:sz w:val="21"/>
                <w:szCs w:val="21"/>
                <w:highlight w:val="none"/>
                <w14:textFill>
                  <w14:solidFill>
                    <w14:schemeClr w14:val="tx1"/>
                  </w14:solidFill>
                </w14:textFill>
              </w:rPr>
              <w:t>、NO</w:t>
            </w:r>
            <w:r>
              <w:rPr>
                <w:rFonts w:hint="default" w:ascii="Times New Roman" w:hAnsi="Times New Roman" w:cs="Times New Roman"/>
                <w:b/>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color w:val="000000" w:themeColor="text1"/>
                <w:sz w:val="21"/>
                <w:szCs w:val="21"/>
                <w:highlight w:val="none"/>
                <w14:textFill>
                  <w14:solidFill>
                    <w14:schemeClr w14:val="tx1"/>
                  </w14:solidFill>
                </w14:textFill>
              </w:rPr>
              <w:t>、SO</w:t>
            </w:r>
            <w:r>
              <w:rPr>
                <w:rFonts w:hint="default" w:ascii="Times New Roman" w:hAnsi="Times New Roman" w:cs="Times New Roman"/>
                <w:b/>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color w:val="000000" w:themeColor="text1"/>
                <w:sz w:val="21"/>
                <w:szCs w:val="21"/>
                <w:highlight w:val="none"/>
                <w14:textFill>
                  <w14:solidFill>
                    <w14:schemeClr w14:val="tx1"/>
                  </w14:solidFill>
                </w14:textFill>
              </w:rPr>
              <w:t>、O</w:t>
            </w:r>
            <w:r>
              <w:rPr>
                <w:rFonts w:hint="default" w:ascii="Times New Roman" w:hAnsi="Times New Roman" w:cs="Times New Roman"/>
                <w:b/>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
                <w:color w:val="000000" w:themeColor="text1"/>
                <w:sz w:val="21"/>
                <w:szCs w:val="21"/>
                <w:highlight w:val="none"/>
                <w14:textFill>
                  <w14:solidFill>
                    <w14:schemeClr w14:val="tx1"/>
                  </w14:solidFill>
                </w14:textFill>
              </w:rPr>
              <w:t>的浓度单位是μg/m</w:t>
            </w:r>
            <w:r>
              <w:rPr>
                <w:rFonts w:hint="default" w:ascii="Times New Roman" w:hAnsi="Times New Roman" w:cs="Times New Roman"/>
                <w:b/>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color w:val="000000" w:themeColor="text1"/>
                <w:sz w:val="21"/>
                <w:szCs w:val="21"/>
                <w:highlight w:val="none"/>
                <w14:textFill>
                  <w14:solidFill>
                    <w14:schemeClr w14:val="tx1"/>
                  </w14:solidFill>
                </w14:textFill>
              </w:rPr>
              <w:t>；2.CO为24小时平均第95百分位数，O</w:t>
            </w:r>
            <w:r>
              <w:rPr>
                <w:rFonts w:hint="default" w:ascii="Times New Roman" w:hAnsi="Times New Roman" w:cs="Times New Roman"/>
                <w:b/>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
                <w:color w:val="000000" w:themeColor="text1"/>
                <w:sz w:val="21"/>
                <w:szCs w:val="21"/>
                <w:highlight w:val="none"/>
                <w14:textFill>
                  <w14:solidFill>
                    <w14:schemeClr w14:val="tx1"/>
                  </w14:solidFill>
                </w14:textFill>
              </w:rPr>
              <w:t>为日最大8小时平均第90百分位数。</w:t>
            </w:r>
          </w:p>
          <w:p>
            <w:pPr>
              <w:keepNext w:val="0"/>
              <w:keepLines w:val="0"/>
              <w:suppressLineNumbers w:val="0"/>
              <w:bidi w:val="0"/>
              <w:spacing w:before="0" w:beforeAutospacing="0" w:after="0" w:afterAutospacing="0"/>
              <w:ind w:left="0" w:right="0"/>
              <w:rPr>
                <w:rFonts w:hint="default" w:ascii="Times New Roman"/>
                <w:color w:val="000000" w:themeColor="text1"/>
                <w:szCs w:val="21"/>
                <w:highlight w:val="none"/>
                <w14:textFill>
                  <w14:solidFill>
                    <w14:schemeClr w14:val="tx1"/>
                  </w14:solidFill>
                </w14:textFill>
              </w:rPr>
            </w:pPr>
            <w:r>
              <w:rPr>
                <w:rFonts w:hint="default"/>
                <w:color w:val="000000" w:themeColor="text1"/>
                <w:highlight w:val="none"/>
                <w14:textFill>
                  <w14:solidFill>
                    <w14:schemeClr w14:val="tx1"/>
                  </w14:solidFill>
                </w14:textFill>
              </w:rPr>
              <w:t>由上表可知，</w:t>
            </w:r>
            <w:r>
              <w:rPr>
                <w:rFonts w:hint="eastAsia"/>
                <w:color w:val="000000" w:themeColor="text1"/>
                <w:highlight w:val="none"/>
                <w:lang w:eastAsia="zh-CN"/>
                <w14:textFill>
                  <w14:solidFill>
                    <w14:schemeClr w14:val="tx1"/>
                  </w14:solidFill>
                </w14:textFill>
              </w:rPr>
              <w:t>宽城满族自治县</w:t>
            </w:r>
            <w:r>
              <w:rPr>
                <w:rFonts w:hint="default"/>
                <w:color w:val="000000" w:themeColor="text1"/>
                <w:highlight w:val="none"/>
                <w14:textFill>
                  <w14:solidFill>
                    <w14:schemeClr w14:val="tx1"/>
                  </w14:solidFill>
                </w14:textFill>
              </w:rPr>
              <w:t>环境空气质量中PM</w:t>
            </w:r>
            <w:r>
              <w:rPr>
                <w:rFonts w:hint="default"/>
                <w:color w:val="000000" w:themeColor="text1"/>
                <w:highlight w:val="none"/>
                <w:vertAlign w:val="subscript"/>
                <w14:textFill>
                  <w14:solidFill>
                    <w14:schemeClr w14:val="tx1"/>
                  </w14:solidFill>
                </w14:textFill>
              </w:rPr>
              <w:t>2.5</w:t>
            </w:r>
            <w:r>
              <w:rPr>
                <w:rFonts w:hint="default"/>
                <w:color w:val="000000" w:themeColor="text1"/>
                <w:highlight w:val="none"/>
                <w14:textFill>
                  <w14:solidFill>
                    <w14:schemeClr w14:val="tx1"/>
                  </w14:solidFill>
                </w14:textFill>
              </w:rPr>
              <w:t>、PM</w:t>
            </w:r>
            <w:r>
              <w:rPr>
                <w:rFonts w:hint="default"/>
                <w:color w:val="000000" w:themeColor="text1"/>
                <w:highlight w:val="none"/>
                <w:vertAlign w:val="subscript"/>
                <w14:textFill>
                  <w14:solidFill>
                    <w14:schemeClr w14:val="tx1"/>
                  </w14:solidFill>
                </w14:textFill>
              </w:rPr>
              <w:t>10</w:t>
            </w:r>
            <w:r>
              <w:rPr>
                <w:rFonts w:hint="default"/>
                <w:color w:val="000000" w:themeColor="text1"/>
                <w:highlight w:val="none"/>
                <w14:textFill>
                  <w14:solidFill>
                    <w14:schemeClr w14:val="tx1"/>
                  </w14:solidFill>
                </w14:textFill>
              </w:rPr>
              <w:t>、SO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、CO、O</w:t>
            </w:r>
            <w:r>
              <w:rPr>
                <w:rFonts w:hint="default"/>
                <w:color w:val="000000" w:themeColor="text1"/>
                <w:highlight w:val="none"/>
                <w:vertAlign w:val="subscript"/>
                <w14:textFill>
                  <w14:solidFill>
                    <w14:schemeClr w14:val="tx1"/>
                  </w14:solidFill>
                </w14:textFill>
              </w:rPr>
              <w:t>3</w:t>
            </w:r>
            <w:r>
              <w:rPr>
                <w:rFonts w:hint="default"/>
                <w:color w:val="000000" w:themeColor="text1"/>
                <w:highlight w:val="none"/>
                <w14:textFill>
                  <w14:solidFill>
                    <w14:schemeClr w14:val="tx1"/>
                  </w14:solidFill>
                </w14:textFill>
              </w:rPr>
              <w:t>、NO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六项常规污染物监测结果中：SO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、PM</w:t>
            </w:r>
            <w:r>
              <w:rPr>
                <w:rFonts w:hint="default"/>
                <w:color w:val="000000" w:themeColor="text1"/>
                <w:highlight w:val="none"/>
                <w:vertAlign w:val="subscript"/>
                <w14:textFill>
                  <w14:solidFill>
                    <w14:schemeClr w14:val="tx1"/>
                  </w14:solidFill>
                </w14:textFill>
              </w:rPr>
              <w:t>10</w:t>
            </w:r>
            <w:r>
              <w:rPr>
                <w:rFonts w:hint="default"/>
                <w:color w:val="000000" w:themeColor="text1"/>
                <w:highlight w:val="none"/>
                <w14:textFill>
                  <w14:solidFill>
                    <w14:schemeClr w14:val="tx1"/>
                  </w14:solidFill>
                </w14:textFill>
              </w:rPr>
              <w:t>、PM</w:t>
            </w:r>
            <w:r>
              <w:rPr>
                <w:rFonts w:hint="default"/>
                <w:color w:val="000000" w:themeColor="text1"/>
                <w:highlight w:val="none"/>
                <w:vertAlign w:val="subscript"/>
                <w14:textFill>
                  <w14:solidFill>
                    <w14:schemeClr w14:val="tx1"/>
                  </w14:solidFill>
                </w14:textFill>
              </w:rPr>
              <w:t>2.5</w:t>
            </w:r>
            <w:r>
              <w:rPr>
                <w:rFonts w:hint="default"/>
                <w:color w:val="000000" w:themeColor="text1"/>
                <w:highlight w:val="none"/>
                <w14:textFill>
                  <w14:solidFill>
                    <w14:schemeClr w14:val="tx1"/>
                  </w14:solidFill>
                </w14:textFill>
              </w:rPr>
              <w:t>、NO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的年平均质量浓度</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CO的第95百分位数24小时平均浓度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均</w:t>
            </w:r>
            <w:r>
              <w:rPr>
                <w:rFonts w:hint="default"/>
                <w:color w:val="000000" w:themeColor="text1"/>
                <w:highlight w:val="none"/>
                <w14:textFill>
                  <w14:solidFill>
                    <w14:schemeClr w14:val="tx1"/>
                  </w14:solidFill>
                </w14:textFill>
              </w:rPr>
              <w:t>满足《环境空气质量标准》（GB3095-2012）及其修改单</w:t>
            </w:r>
            <w:r>
              <w:rPr>
                <w:rFonts w:hint="eastAsia"/>
                <w:color w:val="000000" w:themeColor="text1"/>
                <w:highlight w:val="none"/>
                <w:lang w:eastAsia="zh-CN"/>
                <w14:textFill>
                  <w14:solidFill>
                    <w14:schemeClr w14:val="tx1"/>
                  </w14:solidFill>
                </w14:textFill>
              </w:rPr>
              <w:t>两级</w:t>
            </w:r>
            <w:r>
              <w:rPr>
                <w:rFonts w:hint="default"/>
                <w:color w:val="000000" w:themeColor="text1"/>
                <w:highlight w:val="none"/>
                <w14:textFill>
                  <w14:solidFill>
                    <w14:schemeClr w14:val="tx1"/>
                  </w14:solidFill>
                </w14:textFill>
              </w:rPr>
              <w:t>标准要求</w:t>
            </w:r>
            <w:r>
              <w:rPr>
                <w:rFonts w:hint="eastAsia"/>
                <w:color w:val="000000" w:themeColor="text1"/>
                <w:highlight w:val="none"/>
                <w:lang w:eastAsia="zh-CN"/>
                <w14:textFill>
                  <w14:solidFill>
                    <w14:schemeClr w14:val="tx1"/>
                  </w14:solidFill>
                </w14:textFill>
              </w:rPr>
              <w:t>，但</w:t>
            </w:r>
            <w:r>
              <w:rPr>
                <w:rFonts w:hint="default"/>
                <w:color w:val="000000" w:themeColor="text1"/>
                <w:highlight w:val="none"/>
                <w14:textFill>
                  <w14:solidFill>
                    <w14:schemeClr w14:val="tx1"/>
                  </w14:solidFill>
                </w14:textFill>
              </w:rPr>
              <w:t>O</w:t>
            </w:r>
            <w:r>
              <w:rPr>
                <w:rFonts w:hint="default"/>
                <w:color w:val="000000" w:themeColor="text1"/>
                <w:highlight w:val="none"/>
                <w:vertAlign w:val="subscript"/>
                <w14:textFill>
                  <w14:solidFill>
                    <w14:schemeClr w14:val="tx1"/>
                  </w14:solidFill>
                </w14:textFill>
              </w:rPr>
              <w:t>3</w:t>
            </w:r>
            <w:r>
              <w:rPr>
                <w:rFonts w:hint="default"/>
                <w:color w:val="000000" w:themeColor="text1"/>
                <w:highlight w:val="none"/>
                <w14:textFill>
                  <w14:solidFill>
                    <w14:schemeClr w14:val="tx1"/>
                  </w14:solidFill>
                </w14:textFill>
              </w:rPr>
              <w:t>第90百分位数日最大8小时平均浓度</w:t>
            </w:r>
            <w:r>
              <w:rPr>
                <w:rFonts w:hint="default" w:ascii="Times New Roman"/>
                <w:color w:val="000000" w:themeColor="text1"/>
                <w:szCs w:val="21"/>
                <w:highlight w:val="none"/>
                <w14:textFill>
                  <w14:solidFill>
                    <w14:schemeClr w14:val="tx1"/>
                  </w14:solidFill>
                </w14:textFill>
              </w:rPr>
              <w:t>超过了《环境空气质量标准》</w:t>
            </w:r>
            <w:r>
              <w:rPr>
                <w:rFonts w:hint="eastAsia"/>
                <w:color w:val="000000" w:themeColor="text1"/>
                <w:szCs w:val="21"/>
                <w:highlight w:val="none"/>
                <w:lang w:eastAsia="zh-CN"/>
                <w14:textFill>
                  <w14:solidFill>
                    <w14:schemeClr w14:val="tx1"/>
                  </w14:solidFill>
                </w14:textFill>
              </w:rPr>
              <w:t>（</w:t>
            </w:r>
            <w:r>
              <w:rPr>
                <w:rFonts w:hint="default" w:ascii="Times New Roman"/>
                <w:color w:val="000000" w:themeColor="text1"/>
                <w:szCs w:val="21"/>
                <w:highlight w:val="none"/>
                <w14:textFill>
                  <w14:solidFill>
                    <w14:schemeClr w14:val="tx1"/>
                  </w14:solidFill>
                </w14:textFill>
              </w:rPr>
              <w:t>GB3095-2012</w:t>
            </w:r>
            <w:r>
              <w:rPr>
                <w:rFonts w:hint="eastAsia"/>
                <w:color w:val="000000" w:themeColor="text1"/>
                <w:szCs w:val="21"/>
                <w:highlight w:val="none"/>
                <w:lang w:eastAsia="zh-CN"/>
                <w14:textFill>
                  <w14:solidFill>
                    <w14:schemeClr w14:val="tx1"/>
                  </w14:solidFill>
                </w14:textFill>
              </w:rPr>
              <w:t>）</w:t>
            </w:r>
            <w:r>
              <w:rPr>
                <w:rFonts w:hint="default" w:ascii="Times New Roman"/>
                <w:color w:val="000000" w:themeColor="text1"/>
                <w:szCs w:val="21"/>
                <w:highlight w:val="none"/>
                <w14:textFill>
                  <w14:solidFill>
                    <w14:schemeClr w14:val="tx1"/>
                  </w14:solidFill>
                </w14:textFill>
              </w:rPr>
              <w:t>及修改单中</w:t>
            </w:r>
            <w:r>
              <w:rPr>
                <w:rFonts w:hint="eastAsia"/>
                <w:color w:val="000000" w:themeColor="text1"/>
                <w:szCs w:val="21"/>
                <w:highlight w:val="none"/>
                <w:lang w:eastAsia="zh-CN"/>
                <w14:textFill>
                  <w14:solidFill>
                    <w14:schemeClr w14:val="tx1"/>
                  </w14:solidFill>
                </w14:textFill>
              </w:rPr>
              <w:t>两级</w:t>
            </w:r>
            <w:r>
              <w:rPr>
                <w:rFonts w:hint="default" w:ascii="Times New Roman"/>
                <w:color w:val="000000" w:themeColor="text1"/>
                <w:szCs w:val="21"/>
                <w:highlight w:val="none"/>
                <w14:textFill>
                  <w14:solidFill>
                    <w14:schemeClr w14:val="tx1"/>
                  </w14:solidFill>
                </w14:textFill>
              </w:rPr>
              <w:t>标准要求</w:t>
            </w:r>
            <w:r>
              <w:rPr>
                <w:rFonts w:hint="eastAsia" w:ascii="Times New Roman"/>
                <w:color w:val="000000" w:themeColor="text1"/>
                <w:szCs w:val="21"/>
                <w:highlight w:val="none"/>
                <w:lang w:eastAsia="zh-CN"/>
                <w14:textFill>
                  <w14:solidFill>
                    <w14:schemeClr w14:val="tx1"/>
                  </w14:solidFill>
                </w14:textFill>
              </w:rPr>
              <w:t>。</w:t>
            </w:r>
            <w:r>
              <w:rPr>
                <w:rFonts w:hint="default" w:ascii="Times New Roman"/>
                <w:color w:val="000000" w:themeColor="text1"/>
                <w:szCs w:val="21"/>
                <w:highlight w:val="none"/>
                <w14:textFill>
                  <w14:solidFill>
                    <w14:schemeClr w14:val="tx1"/>
                  </w14:solidFill>
                </w14:textFill>
              </w:rPr>
              <w:t>根据《环境影响评价技术导则·大气环境》（HJ2.2-2018）中6.4.1项目所在区域达标判定规定：</w:t>
            </w:r>
            <w:r>
              <w:rPr>
                <w:rFonts w:hint="eastAsia"/>
                <w:color w:val="000000" w:themeColor="text1"/>
                <w:szCs w:val="21"/>
                <w:highlight w:val="none"/>
                <w:lang w:eastAsia="zh-CN"/>
                <w14:textFill>
                  <w14:solidFill>
                    <w14:schemeClr w14:val="tx1"/>
                  </w14:solidFill>
                </w14:textFill>
              </w:rPr>
              <w:t>“</w:t>
            </w:r>
            <w:r>
              <w:rPr>
                <w:rFonts w:hint="default" w:ascii="Times New Roman"/>
                <w:color w:val="000000" w:themeColor="text1"/>
                <w:szCs w:val="21"/>
                <w:highlight w:val="none"/>
                <w14:textFill>
                  <w14:solidFill>
                    <w14:schemeClr w14:val="tx1"/>
                  </w14:solidFill>
                </w14:textFill>
              </w:rPr>
              <w:t>城市环境空气质量达标情况评价指标为SO</w:t>
            </w:r>
            <w:r>
              <w:rPr>
                <w:rFonts w:hint="default" w:ascii="Times New Roman"/>
                <w:color w:val="000000" w:themeColor="text1"/>
                <w:szCs w:val="21"/>
                <w:highlight w:val="none"/>
                <w:vertAlign w:val="subscript"/>
                <w14:textFill>
                  <w14:solidFill>
                    <w14:schemeClr w14:val="tx1"/>
                  </w14:solidFill>
                </w14:textFill>
              </w:rPr>
              <w:t>2</w:t>
            </w:r>
            <w:r>
              <w:rPr>
                <w:rFonts w:hint="default" w:ascii="Times New Roman"/>
                <w:color w:val="000000" w:themeColor="text1"/>
                <w:szCs w:val="21"/>
                <w:highlight w:val="none"/>
                <w14:textFill>
                  <w14:solidFill>
                    <w14:schemeClr w14:val="tx1"/>
                  </w14:solidFill>
                </w14:textFill>
              </w:rPr>
              <w:t>、NO</w:t>
            </w:r>
            <w:r>
              <w:rPr>
                <w:rFonts w:hint="default" w:ascii="Times New Roman"/>
                <w:color w:val="000000" w:themeColor="text1"/>
                <w:szCs w:val="21"/>
                <w:highlight w:val="none"/>
                <w:vertAlign w:val="subscript"/>
                <w14:textFill>
                  <w14:solidFill>
                    <w14:schemeClr w14:val="tx1"/>
                  </w14:solidFill>
                </w14:textFill>
              </w:rPr>
              <w:t>2</w:t>
            </w:r>
            <w:r>
              <w:rPr>
                <w:rFonts w:hint="default" w:ascii="Times New Roman"/>
                <w:color w:val="000000" w:themeColor="text1"/>
                <w:szCs w:val="21"/>
                <w:highlight w:val="none"/>
                <w14:textFill>
                  <w14:solidFill>
                    <w14:schemeClr w14:val="tx1"/>
                  </w14:solidFill>
                </w14:textFill>
              </w:rPr>
              <w:t>、PM</w:t>
            </w:r>
            <w:r>
              <w:rPr>
                <w:rFonts w:hint="default" w:ascii="Times New Roman"/>
                <w:color w:val="000000" w:themeColor="text1"/>
                <w:szCs w:val="21"/>
                <w:highlight w:val="none"/>
                <w:vertAlign w:val="subscript"/>
                <w14:textFill>
                  <w14:solidFill>
                    <w14:schemeClr w14:val="tx1"/>
                  </w14:solidFill>
                </w14:textFill>
              </w:rPr>
              <w:t>10</w:t>
            </w:r>
            <w:r>
              <w:rPr>
                <w:rFonts w:hint="default" w:ascii="Times New Roman"/>
                <w:color w:val="000000" w:themeColor="text1"/>
                <w:szCs w:val="21"/>
                <w:highlight w:val="none"/>
                <w14:textFill>
                  <w14:solidFill>
                    <w14:schemeClr w14:val="tx1"/>
                  </w14:solidFill>
                </w14:textFill>
              </w:rPr>
              <w:t>、PM</w:t>
            </w:r>
            <w:r>
              <w:rPr>
                <w:rFonts w:hint="default" w:ascii="Times New Roman"/>
                <w:color w:val="000000" w:themeColor="text1"/>
                <w:szCs w:val="21"/>
                <w:highlight w:val="none"/>
                <w:vertAlign w:val="subscript"/>
                <w14:textFill>
                  <w14:solidFill>
                    <w14:schemeClr w14:val="tx1"/>
                  </w14:solidFill>
                </w14:textFill>
              </w:rPr>
              <w:t>2.5</w:t>
            </w:r>
            <w:r>
              <w:rPr>
                <w:rFonts w:hint="default" w:ascii="Times New Roman"/>
                <w:color w:val="000000" w:themeColor="text1"/>
                <w:szCs w:val="21"/>
                <w:highlight w:val="none"/>
                <w14:textFill>
                  <w14:solidFill>
                    <w14:schemeClr w14:val="tx1"/>
                  </w14:solidFill>
                </w14:textFill>
              </w:rPr>
              <w:t>、CO、O</w:t>
            </w:r>
            <w:r>
              <w:rPr>
                <w:rFonts w:hint="default" w:ascii="Times New Roman"/>
                <w:color w:val="000000" w:themeColor="text1"/>
                <w:szCs w:val="21"/>
                <w:highlight w:val="none"/>
                <w:vertAlign w:val="subscript"/>
                <w14:textFill>
                  <w14:solidFill>
                    <w14:schemeClr w14:val="tx1"/>
                  </w14:solidFill>
                </w14:textFill>
              </w:rPr>
              <w:t>3</w:t>
            </w:r>
            <w:r>
              <w:rPr>
                <w:rFonts w:hint="default" w:ascii="Times New Roman"/>
                <w:color w:val="000000" w:themeColor="text1"/>
                <w:szCs w:val="21"/>
                <w:highlight w:val="none"/>
                <w14:textFill>
                  <w14:solidFill>
                    <w14:schemeClr w14:val="tx1"/>
                  </w14:solidFill>
                </w14:textFill>
              </w:rPr>
              <w:t>六项污染物全部达标即为城市环境空气质量达标</w:t>
            </w:r>
            <w:r>
              <w:rPr>
                <w:rFonts w:hint="eastAsia"/>
                <w:color w:val="000000" w:themeColor="text1"/>
                <w:szCs w:val="21"/>
                <w:highlight w:val="none"/>
                <w:lang w:eastAsia="zh-CN"/>
                <w14:textFill>
                  <w14:solidFill>
                    <w14:schemeClr w14:val="tx1"/>
                  </w14:solidFill>
                </w14:textFill>
              </w:rPr>
              <w:t>”</w:t>
            </w:r>
            <w:r>
              <w:rPr>
                <w:rFonts w:hint="default" w:ascii="Times New Roman"/>
                <w:color w:val="000000" w:themeColor="text1"/>
                <w:szCs w:val="21"/>
                <w:highlight w:val="none"/>
                <w14:textFill>
                  <w14:solidFill>
                    <w14:schemeClr w14:val="tx1"/>
                  </w14:solidFill>
                </w14:textFill>
              </w:rPr>
              <w:t>可知，本项目所在区域属于不达标区。</w:t>
            </w:r>
          </w:p>
          <w:p>
            <w:pPr>
              <w:keepNext w:val="0"/>
              <w:keepLines w:val="0"/>
              <w:suppressLineNumbers w:val="0"/>
              <w:bidi w:val="0"/>
              <w:spacing w:before="0" w:beforeAutospacing="0" w:after="0" w:afterAutospacing="0"/>
              <w:ind w:left="0" w:right="0"/>
              <w:rPr>
                <w:rFonts w:hint="default" w:ascii="Times New Roman" w:eastAsiaTheme="minor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为逐步改善区域环境空气质量，宽城满族自治县相继出台了《大气污染防治综合治理实施意见》、《大气污染综合治理工作方案》等文件，坚持防治结合，精准、科学、依法、铁腕治污。加强大气污染联防联控，持续治理道路扬尘、秸秆露天燃烧、餐饮油烟、建筑工地扬尘，推进空气环境质量不断改善。</w:t>
            </w:r>
          </w:p>
          <w:p>
            <w:pPr>
              <w:pStyle w:val="35"/>
              <w:keepNext w:val="0"/>
              <w:keepLines w:val="0"/>
              <w:suppressLineNumbers w:val="0"/>
              <w:snapToGrid w:val="0"/>
              <w:spacing w:before="0" w:beforeAutospacing="0" w:after="0" w:afterAutospacing="0" w:line="360" w:lineRule="auto"/>
              <w:ind w:left="0" w:right="0" w:firstLine="480" w:firstLineChars="200"/>
              <w:jc w:val="both"/>
              <w:rPr>
                <w:rFonts w:hint="default"/>
                <w:color w:val="000000" w:themeColor="text1"/>
                <w:highlight w:val="none"/>
                <w14:textFill>
                  <w14:solidFill>
                    <w14:schemeClr w14:val="tx1"/>
                  </w14:solidFill>
                </w14:textFill>
              </w:rPr>
            </w:pPr>
            <w:r>
              <w:rPr>
                <w:rFonts w:hint="eastAsia" w:ascii="Times New Roman" w:cs="Times New Roman"/>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特征污染物的环境空气质量现状补充监测</w:t>
            </w:r>
          </w:p>
          <w:p>
            <w:pPr>
              <w:keepNext w:val="0"/>
              <w:keepLines w:val="0"/>
              <w:suppressLineNumbers w:val="0"/>
              <w:shd w:val="clear" w:color="auto" w:fill="FFFFFF"/>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color w:val="000000" w:themeColor="text1"/>
                <w:highlight w:val="none"/>
                <w14:textFill>
                  <w14:solidFill>
                    <w14:schemeClr w14:val="tx1"/>
                  </w14:solidFill>
                </w14:textFill>
              </w:rPr>
              <w:t>根据《建设项目环境影响报告表编制技术指南（污染影响类）（试行）》要求，本项目引用</w:t>
            </w:r>
            <w:r>
              <w:rPr>
                <w:rFonts w:hint="eastAsia" w:ascii="Times New Roman"/>
                <w:color w:val="000000" w:themeColor="text1"/>
                <w:highlight w:val="none"/>
                <w:lang w:eastAsia="zh-CN"/>
                <w14:textFill>
                  <w14:solidFill>
                    <w14:schemeClr w14:val="tx1"/>
                  </w14:solidFill>
                </w14:textFill>
              </w:rPr>
              <w:t>《河北宽城经济开发区总体规划环境空气质量现状监测》德普环检字（</w:t>
            </w:r>
            <w:r>
              <w:rPr>
                <w:rFonts w:hint="eastAsia" w:ascii="Times New Roman"/>
                <w:color w:val="000000" w:themeColor="text1"/>
                <w:highlight w:val="none"/>
                <w:lang w:val="en-US" w:eastAsia="zh-CN"/>
                <w14:textFill>
                  <w14:solidFill>
                    <w14:schemeClr w14:val="tx1"/>
                  </w14:solidFill>
                </w14:textFill>
              </w:rPr>
              <w:t>2022</w:t>
            </w:r>
            <w:r>
              <w:rPr>
                <w:rFonts w:hint="eastAsia" w:ascii="Times New Roman"/>
                <w:color w:val="000000" w:themeColor="text1"/>
                <w:highlight w:val="none"/>
                <w:lang w:eastAsia="zh-CN"/>
                <w14:textFill>
                  <w14:solidFill>
                    <w14:schemeClr w14:val="tx1"/>
                  </w14:solidFill>
                </w14:textFill>
              </w:rPr>
              <w:t>）第</w:t>
            </w:r>
            <w:r>
              <w:rPr>
                <w:rFonts w:hint="eastAsia" w:ascii="Times New Roman"/>
                <w:color w:val="000000" w:themeColor="text1"/>
                <w:highlight w:val="none"/>
                <w:lang w:val="en-US" w:eastAsia="zh-CN"/>
                <w14:textFill>
                  <w14:solidFill>
                    <w14:schemeClr w14:val="tx1"/>
                  </w14:solidFill>
                </w14:textFill>
              </w:rPr>
              <w:t>J0761号</w:t>
            </w:r>
            <w:r>
              <w:rPr>
                <w:rFonts w:hint="eastAsia"/>
                <w:color w:val="000000" w:themeColor="text1"/>
                <w:highlight w:val="none"/>
                <w:lang w:val="en-US" w:eastAsia="zh-CN"/>
                <w14:textFill>
                  <w14:solidFill>
                    <w14:schemeClr w14:val="tx1"/>
                  </w14:solidFill>
                </w14:textFill>
              </w:rPr>
              <w:t>骆驼场村点位</w:t>
            </w:r>
            <w:r>
              <w:rPr>
                <w:rFonts w:hint="eastAsia" w:ascii="Times New Roman"/>
                <w:color w:val="000000" w:themeColor="text1"/>
                <w:highlight w:val="none"/>
                <w:lang w:eastAsia="zh-CN"/>
                <w14:textFill>
                  <w14:solidFill>
                    <w14:schemeClr w14:val="tx1"/>
                  </w14:solidFill>
                </w14:textFill>
              </w:rPr>
              <w:t>监测数据，</w:t>
            </w:r>
            <w:r>
              <w:rPr>
                <w:rFonts w:hint="default" w:ascii="Times New Roman"/>
                <w:color w:val="000000" w:themeColor="text1"/>
                <w:highlight w:val="none"/>
                <w14:textFill>
                  <w14:solidFill>
                    <w14:schemeClr w14:val="tx1"/>
                  </w14:solidFill>
                </w14:textFill>
              </w:rPr>
              <w:t>引用点位距离及时限要求满足编制技术指南要求，引用监测点位置、监测时间及监测因子</w:t>
            </w:r>
            <w:r>
              <w:rPr>
                <w:rFonts w:hint="eastAsia" w:cs="Times New Roman"/>
                <w:color w:val="000000" w:themeColor="text1"/>
                <w:sz w:val="24"/>
                <w:highlight w:val="none"/>
                <w:lang w:val="en-US" w:eastAsia="zh-CN"/>
                <w14:textFill>
                  <w14:solidFill>
                    <w14:schemeClr w14:val="tx1"/>
                  </w14:solidFill>
                </w14:textFill>
              </w:rPr>
              <w:t>见表3-2。</w:t>
            </w:r>
          </w:p>
          <w:p>
            <w:pPr>
              <w:keepNext w:val="0"/>
              <w:keepLines w:val="0"/>
              <w:suppressLineNumbers w:val="0"/>
              <w:shd w:val="clear" w:color="auto" w:fill="FFFFFF"/>
              <w:adjustRightInd w:val="0"/>
              <w:snapToGrid w:val="0"/>
              <w:spacing w:before="0" w:beforeAutospacing="0" w:after="0" w:afterAutospacing="0" w:line="360" w:lineRule="auto"/>
              <w:ind w:left="0" w:right="0"/>
              <w:jc w:val="center"/>
              <w:rPr>
                <w:rFonts w:hint="default" w:ascii="Times New Roman" w:hAnsi="Times New Roman" w:eastAsia="黑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color w:val="000000" w:themeColor="text1"/>
                <w:sz w:val="24"/>
                <w:szCs w:val="24"/>
                <w:highlight w:val="none"/>
                <w14:textFill>
                  <w14:solidFill>
                    <w14:schemeClr w14:val="tx1"/>
                  </w14:solidFill>
                </w14:textFill>
              </w:rPr>
              <w:t>表3-2  环境空气质量监测结果表</w:t>
            </w: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63"/>
              <w:gridCol w:w="1498"/>
              <w:gridCol w:w="1381"/>
              <w:gridCol w:w="1031"/>
              <w:gridCol w:w="1036"/>
              <w:gridCol w:w="1180"/>
              <w:gridCol w:w="657"/>
              <w:gridCol w:w="9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监测点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名称</w:t>
                  </w:r>
                </w:p>
              </w:tc>
              <w:tc>
                <w:tcPr>
                  <w:tcW w:w="171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监测点坐标/°</w:t>
                  </w:r>
                </w:p>
              </w:tc>
              <w:tc>
                <w:tcPr>
                  <w:tcW w:w="123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监 测 因 子</w:t>
                  </w:r>
                </w:p>
              </w:tc>
              <w:tc>
                <w:tcPr>
                  <w:tcW w:w="70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监测时段</w:t>
                  </w:r>
                </w:p>
              </w:tc>
              <w:tc>
                <w:tcPr>
                  <w:tcW w:w="39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相对厂址方位</w:t>
                  </w:r>
                </w:p>
              </w:tc>
              <w:tc>
                <w:tcPr>
                  <w:tcW w:w="55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相对厂界距离/m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3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89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E</w:t>
                  </w:r>
                </w:p>
              </w:tc>
              <w:tc>
                <w:tcPr>
                  <w:tcW w:w="82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N</w:t>
                  </w:r>
                </w:p>
              </w:tc>
              <w:tc>
                <w:tcPr>
                  <w:tcW w:w="6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24小时平均</w:t>
                  </w: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1小时平均</w:t>
                  </w:r>
                </w:p>
              </w:tc>
              <w:tc>
                <w:tcPr>
                  <w:tcW w:w="70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39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55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骆驼场村</w:t>
                  </w:r>
                </w:p>
              </w:tc>
              <w:tc>
                <w:tcPr>
                  <w:tcW w:w="89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11</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29.47</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82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52.21</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6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TSP</w:t>
                  </w: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非甲烷总烃</w:t>
                  </w:r>
                </w:p>
              </w:tc>
              <w:tc>
                <w:tcPr>
                  <w:tcW w:w="70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202</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年</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月</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4日～</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月</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日</w:t>
                  </w:r>
                </w:p>
              </w:tc>
              <w:tc>
                <w:tcPr>
                  <w:tcW w:w="39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NE</w:t>
                  </w:r>
                </w:p>
              </w:tc>
              <w:tc>
                <w:tcPr>
                  <w:tcW w:w="5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515</w:t>
                  </w:r>
                </w:p>
              </w:tc>
            </w:tr>
          </w:tbl>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color w:val="000000" w:themeColor="text1"/>
                <w:highlight w:val="none"/>
                <w14:textFill>
                  <w14:solidFill>
                    <w14:schemeClr w14:val="tx1"/>
                  </w14:solidFill>
                </w14:textFill>
              </w:rPr>
            </w:pPr>
            <w:r>
              <w:rPr>
                <w:rFonts w:hint="default" w:ascii="Times New Roman"/>
                <w:color w:val="000000" w:themeColor="text1"/>
                <w:highlight w:val="none"/>
                <w14:textFill>
                  <w14:solidFill>
                    <w14:schemeClr w14:val="tx1"/>
                  </w14:solidFill>
                </w14:textFill>
              </w:rPr>
              <w:t>(2)监测及分析方法</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color w:val="000000" w:themeColor="text1"/>
                <w:highlight w:val="none"/>
                <w14:textFill>
                  <w14:solidFill>
                    <w14:schemeClr w14:val="tx1"/>
                  </w14:solidFill>
                </w14:textFill>
              </w:rPr>
            </w:pPr>
            <w:r>
              <w:rPr>
                <w:rFonts w:hint="default" w:ascii="Times New Roman"/>
                <w:color w:val="000000" w:themeColor="text1"/>
                <w:highlight w:val="none"/>
                <w14:textFill>
                  <w14:solidFill>
                    <w14:schemeClr w14:val="tx1"/>
                  </w14:solidFill>
                </w14:textFill>
              </w:rPr>
              <w:t>各监测因子的分析方法及其检出限见表3-3。</w:t>
            </w:r>
          </w:p>
          <w:p>
            <w:pPr>
              <w:keepNext w:val="0"/>
              <w:keepLines w:val="0"/>
              <w:suppressLineNumbers w:val="0"/>
              <w:shd w:val="clear" w:color="auto" w:fill="FFFFFF"/>
              <w:adjustRightInd w:val="0"/>
              <w:snapToGrid w:val="0"/>
              <w:spacing w:before="0" w:beforeAutospacing="0" w:after="0" w:afterAutospacing="0" w:line="360" w:lineRule="auto"/>
              <w:ind w:left="0" w:right="0"/>
              <w:jc w:val="center"/>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color w:val="000000" w:themeColor="text1"/>
                <w:sz w:val="24"/>
                <w:szCs w:val="24"/>
                <w:highlight w:val="none"/>
                <w14:textFill>
                  <w14:solidFill>
                    <w14:schemeClr w14:val="tx1"/>
                  </w14:solidFill>
                </w14:textFill>
              </w:rPr>
              <w:t>表3-3  各监测因子检测方法及检出浓度一览表</w:t>
            </w:r>
          </w:p>
          <w:tbl>
            <w:tblPr>
              <w:tblStyle w:val="24"/>
              <w:tblW w:w="83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72"/>
              <w:gridCol w:w="1322"/>
              <w:gridCol w:w="3975"/>
              <w:gridCol w:w="1222"/>
              <w:gridCol w:w="12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672" w:type="dxa"/>
                  <w:noWrap w:val="0"/>
                  <w:vAlign w:val="center"/>
                </w:tcPr>
                <w:p>
                  <w:pPr>
                    <w:keepNext w:val="0"/>
                    <w:keepLines w:val="0"/>
                    <w:pageBreakBefore w:val="0"/>
                    <w:widowControl w:val="0"/>
                    <w:suppressLineNumbers w:val="0"/>
                    <w:tabs>
                      <w:tab w:val="left" w:pos="1092"/>
                    </w:tabs>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序号</w:t>
                  </w:r>
                </w:p>
              </w:tc>
              <w:tc>
                <w:tcPr>
                  <w:tcW w:w="1322" w:type="dxa"/>
                  <w:noWrap w:val="0"/>
                  <w:vAlign w:val="center"/>
                </w:tcPr>
                <w:p>
                  <w:pPr>
                    <w:keepNext w:val="0"/>
                    <w:keepLines w:val="0"/>
                    <w:pageBreakBefore w:val="0"/>
                    <w:widowControl w:val="0"/>
                    <w:suppressLineNumbers w:val="0"/>
                    <w:tabs>
                      <w:tab w:val="left" w:pos="1092"/>
                    </w:tabs>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监测因子</w:t>
                  </w:r>
                </w:p>
              </w:tc>
              <w:tc>
                <w:tcPr>
                  <w:tcW w:w="3975" w:type="dxa"/>
                  <w:noWrap w:val="0"/>
                  <w:vAlign w:val="center"/>
                </w:tcPr>
                <w:p>
                  <w:pPr>
                    <w:keepNext w:val="0"/>
                    <w:keepLines w:val="0"/>
                    <w:pageBreakBefore w:val="0"/>
                    <w:widowControl w:val="0"/>
                    <w:suppressLineNumbers w:val="0"/>
                    <w:tabs>
                      <w:tab w:val="left" w:pos="1092"/>
                    </w:tabs>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检 测 方 法</w:t>
                  </w:r>
                </w:p>
              </w:tc>
              <w:tc>
                <w:tcPr>
                  <w:tcW w:w="2423" w:type="dxa"/>
                  <w:gridSpan w:val="2"/>
                  <w:noWrap w:val="0"/>
                  <w:vAlign w:val="center"/>
                </w:tcPr>
                <w:p>
                  <w:pPr>
                    <w:keepNext w:val="0"/>
                    <w:keepLines w:val="0"/>
                    <w:pageBreakBefore w:val="0"/>
                    <w:widowControl w:val="0"/>
                    <w:suppressLineNumbers w:val="0"/>
                    <w:tabs>
                      <w:tab w:val="left" w:pos="1092"/>
                    </w:tabs>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方法检出限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72" w:type="dxa"/>
                  <w:noWrap w:val="0"/>
                  <w:vAlign w:val="center"/>
                </w:tcPr>
                <w:p>
                  <w:pPr>
                    <w:keepNext w:val="0"/>
                    <w:keepLines w:val="0"/>
                    <w:pageBreakBefore w:val="0"/>
                    <w:widowControl w:val="0"/>
                    <w:suppressLineNumbers w:val="0"/>
                    <w:tabs>
                      <w:tab w:val="left" w:pos="1092"/>
                    </w:tabs>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w:t>
                  </w:r>
                </w:p>
              </w:tc>
              <w:tc>
                <w:tcPr>
                  <w:tcW w:w="132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TSP</w:t>
                  </w:r>
                </w:p>
              </w:tc>
              <w:tc>
                <w:tcPr>
                  <w:tcW w:w="3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《环境空气 总悬浮颗粒物的测定 重量法》GB/T15432-1995及修改单</w:t>
                  </w:r>
                </w:p>
              </w:tc>
              <w:tc>
                <w:tcPr>
                  <w:tcW w:w="122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24小时平均</w:t>
                  </w:r>
                </w:p>
              </w:tc>
              <w:tc>
                <w:tcPr>
                  <w:tcW w:w="12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0.001mg/m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672" w:type="dxa"/>
                  <w:noWrap w:val="0"/>
                  <w:vAlign w:val="center"/>
                </w:tcPr>
                <w:p>
                  <w:pPr>
                    <w:keepNext w:val="0"/>
                    <w:keepLines w:val="0"/>
                    <w:pageBreakBefore w:val="0"/>
                    <w:widowControl w:val="0"/>
                    <w:suppressLineNumbers w:val="0"/>
                    <w:tabs>
                      <w:tab w:val="left" w:pos="1092"/>
                    </w:tabs>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2</w:t>
                  </w:r>
                </w:p>
              </w:tc>
              <w:tc>
                <w:tcPr>
                  <w:tcW w:w="132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非甲烷总烃</w:t>
                  </w:r>
                </w:p>
              </w:tc>
              <w:tc>
                <w:tcPr>
                  <w:tcW w:w="3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环境空气</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 xml:space="preserve"> 总烃、甲烷和非甲烷总烃的测定 直接进样—气相色谱法</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HJ 604-2017</w:t>
                  </w:r>
                </w:p>
              </w:tc>
              <w:tc>
                <w:tcPr>
                  <w:tcW w:w="122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1小时平均</w:t>
                  </w:r>
                </w:p>
              </w:tc>
              <w:tc>
                <w:tcPr>
                  <w:tcW w:w="12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0.07mg/m</w:t>
                  </w:r>
                  <w:r>
                    <w:rPr>
                      <w:rFonts w:hint="default" w:ascii="Times New Roman" w:hAnsi="Times New Roman" w:eastAsia="宋体" w:cs="Times New Roman"/>
                      <w:color w:val="000000" w:themeColor="text1"/>
                      <w:spacing w:val="-10"/>
                      <w:sz w:val="21"/>
                      <w:szCs w:val="21"/>
                      <w:highlight w:val="none"/>
                      <w:vertAlign w:val="superscript"/>
                      <w:lang w:val="en-US" w:eastAsia="zh-CN"/>
                      <w14:textFill>
                        <w14:solidFill>
                          <w14:schemeClr w14:val="tx1"/>
                        </w14:solidFill>
                      </w14:textFill>
                    </w:rPr>
                    <w:t>3</w:t>
                  </w:r>
                </w:p>
              </w:tc>
            </w:tr>
          </w:tbl>
          <w:p>
            <w:pPr>
              <w:pStyle w:val="35"/>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污染物环境空气质量现状评价结果见表3-4。</w:t>
            </w:r>
          </w:p>
          <w:p>
            <w:pPr>
              <w:keepNext w:val="0"/>
              <w:keepLines w:val="0"/>
              <w:suppressLineNumbers w:val="0"/>
              <w:shd w:val="clear" w:color="auto" w:fill="FFFFFF"/>
              <w:adjustRightInd w:val="0"/>
              <w:snapToGrid w:val="0"/>
              <w:spacing w:before="0" w:beforeAutospacing="0" w:after="0" w:afterAutospacing="0" w:line="360" w:lineRule="auto"/>
              <w:ind w:left="0" w:right="0"/>
              <w:jc w:val="center"/>
              <w:rPr>
                <w:rFonts w:hint="default" w:ascii="Times New Roman" w:hAnsi="Times New Roman" w:eastAsia="黑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color w:val="000000" w:themeColor="text1"/>
                <w:sz w:val="24"/>
                <w:szCs w:val="24"/>
                <w:highlight w:val="none"/>
                <w14:textFill>
                  <w14:solidFill>
                    <w14:schemeClr w14:val="tx1"/>
                  </w14:solidFill>
                </w14:textFill>
              </w:rPr>
              <w:t>表3-4  其他污染物环境空气质量现状评价结果一览表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859"/>
              <w:gridCol w:w="919"/>
              <w:gridCol w:w="1088"/>
              <w:gridCol w:w="1414"/>
              <w:gridCol w:w="1261"/>
              <w:gridCol w:w="1033"/>
              <w:gridCol w:w="1035"/>
              <w:gridCol w:w="7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污染物</w:t>
                  </w:r>
                </w:p>
              </w:tc>
              <w:tc>
                <w:tcPr>
                  <w:tcW w:w="54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平均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时间</w:t>
                  </w:r>
                </w:p>
              </w:tc>
              <w:tc>
                <w:tcPr>
                  <w:tcW w:w="6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评价标准</w:t>
                  </w:r>
                </w:p>
              </w:tc>
              <w:tc>
                <w:tcPr>
                  <w:tcW w:w="8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监测浓度范围</w:t>
                  </w:r>
                </w:p>
              </w:tc>
              <w:tc>
                <w:tcPr>
                  <w:tcW w:w="7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最大浓度占标率/%</w:t>
                  </w:r>
                </w:p>
              </w:tc>
              <w:tc>
                <w:tcPr>
                  <w:tcW w:w="6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超标倍数</w:t>
                  </w: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超标率/%</w:t>
                  </w:r>
                </w:p>
              </w:tc>
              <w:tc>
                <w:tcPr>
                  <w:tcW w:w="4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达标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TSP</w:t>
                  </w:r>
                </w:p>
              </w:tc>
              <w:tc>
                <w:tcPr>
                  <w:tcW w:w="54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24小时</w:t>
                  </w:r>
                </w:p>
              </w:tc>
              <w:tc>
                <w:tcPr>
                  <w:tcW w:w="6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300μg/m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p>
              </w:tc>
              <w:tc>
                <w:tcPr>
                  <w:tcW w:w="8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6</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p>
              </w:tc>
              <w:tc>
                <w:tcPr>
                  <w:tcW w:w="7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53.33</w:t>
                  </w:r>
                </w:p>
              </w:tc>
              <w:tc>
                <w:tcPr>
                  <w:tcW w:w="6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0</w:t>
                  </w: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0</w:t>
                  </w:r>
                </w:p>
              </w:tc>
              <w:tc>
                <w:tcPr>
                  <w:tcW w:w="4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非甲烷总烃</w:t>
                  </w:r>
                </w:p>
              </w:tc>
              <w:tc>
                <w:tcPr>
                  <w:tcW w:w="54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小时</w:t>
                  </w:r>
                </w:p>
              </w:tc>
              <w:tc>
                <w:tcPr>
                  <w:tcW w:w="6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2m</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g/m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p>
              </w:tc>
              <w:tc>
                <w:tcPr>
                  <w:tcW w:w="8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0.55</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0.64m</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g/m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p>
              </w:tc>
              <w:tc>
                <w:tcPr>
                  <w:tcW w:w="7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32</w:t>
                  </w:r>
                </w:p>
              </w:tc>
              <w:tc>
                <w:tcPr>
                  <w:tcW w:w="6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0</w:t>
                  </w: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0</w:t>
                  </w:r>
                </w:p>
              </w:tc>
              <w:tc>
                <w:tcPr>
                  <w:tcW w:w="4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达标</w:t>
                  </w:r>
                </w:p>
              </w:tc>
            </w:tr>
          </w:tbl>
          <w:p>
            <w:pPr>
              <w:pStyle w:val="35"/>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pacing w:val="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根据监测结果，监测点TSP 24小时平均浓度满足《环境空气质量标准》</w:t>
            </w:r>
            <w:r>
              <w:rPr>
                <w:rFonts w:hint="eastAsia" w:asci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GB3095-2012</w:t>
            </w:r>
            <w:r>
              <w:rPr>
                <w:rFonts w:hint="eastAsia" w:asci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及修改单</w:t>
            </w:r>
            <w:r>
              <w:rPr>
                <w:rFonts w:hint="eastAsia" w:asci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环境保护部公告2018年第29号</w:t>
            </w:r>
            <w:r>
              <w:rPr>
                <w:rFonts w:hint="eastAsia" w:ascii="Times New Roman" w:cs="Times New Roman"/>
                <w:color w:val="000000" w:themeColor="text1"/>
                <w:sz w:val="24"/>
                <w:highlight w:val="none"/>
                <w:lang w:val="en-US" w:eastAsia="zh-CN"/>
                <w14:textFill>
                  <w14:solidFill>
                    <w14:schemeClr w14:val="tx1"/>
                  </w14:solidFill>
                </w14:textFill>
              </w:rPr>
              <w:t>）两级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标准要求，</w:t>
            </w:r>
            <w:r>
              <w:rPr>
                <w:rFonts w:hint="default" w:ascii="Times New Roman" w:hAnsi="Times New Roman" w:cs="Times New Roman"/>
                <w:color w:val="000000" w:themeColor="text1"/>
                <w:sz w:val="24"/>
                <w:highlight w:val="none"/>
                <w:lang w:val="en-US" w:eastAsia="zh-CN"/>
                <w14:textFill>
                  <w14:solidFill>
                    <w14:schemeClr w14:val="tx1"/>
                  </w14:solidFill>
                </w14:textFill>
              </w:rPr>
              <w:t>非甲烷总烃1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小时平均浓度满足《环境空气质量非甲烷总烃限值》（DB13/1577-2012）</w:t>
            </w:r>
            <w:r>
              <w:rPr>
                <w:rFonts w:hint="default" w:ascii="Times New Roman" w:hAnsi="Times New Roman" w:cs="Times New Roman"/>
                <w:color w:val="000000" w:themeColor="text1"/>
                <w:sz w:val="24"/>
                <w:highlight w:val="none"/>
                <w:lang w:val="en-US" w:eastAsia="zh-CN"/>
                <w14:textFill>
                  <w14:solidFill>
                    <w14:schemeClr w14:val="tx1"/>
                  </w14:solidFill>
                </w14:textFill>
              </w:rPr>
              <w:t>中表1</w:t>
            </w:r>
            <w:r>
              <w:rPr>
                <w:rFonts w:hint="eastAsia" w:ascii="Times New Roman" w:cs="Times New Roman"/>
                <w:color w:val="000000" w:themeColor="text1"/>
                <w:sz w:val="24"/>
                <w:highlight w:val="none"/>
                <w:lang w:val="en-US" w:eastAsia="zh-CN"/>
                <w14:textFill>
                  <w14:solidFill>
                    <w14:schemeClr w14:val="tx1"/>
                  </w14:solidFill>
                </w14:textFill>
              </w:rPr>
              <w:t>两级</w:t>
            </w:r>
            <w:r>
              <w:rPr>
                <w:rFonts w:hint="default" w:ascii="Times New Roman" w:hAnsi="Times New Roman" w:cs="Times New Roman"/>
                <w:color w:val="000000" w:themeColor="text1"/>
                <w:sz w:val="24"/>
                <w:highlight w:val="none"/>
                <w:lang w:val="en-US" w:eastAsia="zh-CN"/>
                <w14:textFill>
                  <w14:solidFill>
                    <w14:schemeClr w14:val="tx1"/>
                  </w14:solidFill>
                </w14:textFill>
              </w:rPr>
              <w:t>标准</w:t>
            </w:r>
            <w:r>
              <w:rPr>
                <w:rFonts w:hint="default" w:ascii="Times New Roman" w:hAnsi="Times New Roman" w:cs="Times New Roman"/>
                <w:color w:val="000000" w:themeColor="text1"/>
                <w:sz w:val="24"/>
                <w:highlight w:val="none"/>
                <w14:textFill>
                  <w14:solidFill>
                    <w14:schemeClr w14:val="tx1"/>
                  </w14:solidFill>
                </w14:textFill>
              </w:rPr>
              <w:t>。</w:t>
            </w:r>
          </w:p>
          <w:p>
            <w:pPr>
              <w:keepNext w:val="0"/>
              <w:keepLines w:val="0"/>
              <w:suppressLineNumbers w:val="0"/>
              <w:bidi w:val="0"/>
              <w:spacing w:before="0" w:beforeAutospacing="0" w:after="0" w:afterAutospacing="0"/>
              <w:ind w:left="0" w:right="0"/>
              <w:rPr>
                <w:rFonts w:hint="default"/>
                <w:b w:val="0"/>
                <w:bCs w:val="0"/>
                <w:color w:val="000000" w:themeColor="text1"/>
                <w:highlight w:val="none"/>
                <w14:textFill>
                  <w14:solidFill>
                    <w14:schemeClr w14:val="tx1"/>
                  </w14:solidFill>
                </w14:textFill>
              </w:rPr>
            </w:pPr>
            <w:r>
              <w:rPr>
                <w:rFonts w:hint="default"/>
                <w:b w:val="0"/>
                <w:bCs w:val="0"/>
                <w:color w:val="000000" w:themeColor="text1"/>
                <w:highlight w:val="none"/>
                <w14:textFill>
                  <w14:solidFill>
                    <w14:schemeClr w14:val="tx1"/>
                  </w14:solidFill>
                </w14:textFill>
              </w:rPr>
              <w:t>2、地表水环境质量现状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spacing w:val="0"/>
                <w:sz w:val="24"/>
                <w:highlight w:val="none"/>
                <w:lang w:val="en-US" w:eastAsia="zh-CN"/>
                <w14:textFill>
                  <w14:solidFill>
                    <w14:schemeClr w14:val="tx1"/>
                  </w14:solidFill>
                </w14:textFill>
              </w:rPr>
              <w:t>项目所在区域地表河流水体为西北侧150m处的瀑河，</w:t>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t>按照河北省水利厅与省环保局联合下发的《河北省水功能区划》</w:t>
            </w:r>
            <w:r>
              <w:rPr>
                <w:rFonts w:hint="default" w:ascii="Times New Roman" w:hAnsi="Times New Roman" w:cs="Times New Roman" w:eastAsiaTheme="minorEastAsia"/>
                <w:bCs/>
                <w:color w:val="000000" w:themeColor="text1"/>
                <w:spacing w:val="0"/>
                <w:sz w:val="24"/>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t>冀水资[2017]127号</w:t>
            </w:r>
            <w:r>
              <w:rPr>
                <w:rFonts w:hint="default" w:ascii="Times New Roman" w:hAnsi="Times New Roman" w:cs="Times New Roman" w:eastAsiaTheme="minorEastAsia"/>
                <w:bCs/>
                <w:color w:val="000000" w:themeColor="text1"/>
                <w:spacing w:val="0"/>
                <w:sz w:val="24"/>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t>的要求，</w:t>
            </w:r>
            <w:r>
              <w:rPr>
                <w:rFonts w:hint="default" w:ascii="Times New Roman" w:hAnsi="Times New Roman" w:cs="Times New Roman" w:eastAsiaTheme="minorEastAsia"/>
                <w:bCs/>
                <w:color w:val="000000" w:themeColor="text1"/>
                <w:spacing w:val="0"/>
                <w:sz w:val="24"/>
                <w:highlight w:val="none"/>
                <w:lang w:val="en-US" w:eastAsia="zh-CN"/>
                <w14:textFill>
                  <w14:solidFill>
                    <w14:schemeClr w14:val="tx1"/>
                  </w14:solidFill>
                </w14:textFill>
              </w:rPr>
              <w:t>瀑河</w:t>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t>属于</w:t>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fldChar w:fldCharType="begin"/>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instrText xml:space="preserve"> = 3 \* ROMAN \* MERGEFORMAT </w:instrText>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0"/>
                <w:sz w:val="24"/>
                <w:highlight w:val="none"/>
                <w14:textFill>
                  <w14:solidFill>
                    <w14:schemeClr w14:val="tx1"/>
                  </w14:solidFill>
                </w14:textFill>
              </w:rPr>
              <w:t>III</w:t>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fldChar w:fldCharType="end"/>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t>类水体，执行《地表水环境质量标准》（GB3838-2002）</w:t>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fldChar w:fldCharType="begin"/>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instrText xml:space="preserve"> = 3 \* ROMAN \* MERGEFORMAT </w:instrText>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0"/>
                <w:sz w:val="24"/>
                <w:highlight w:val="none"/>
                <w14:textFill>
                  <w14:solidFill>
                    <w14:schemeClr w14:val="tx1"/>
                  </w14:solidFill>
                </w14:textFill>
              </w:rPr>
              <w:t>III</w:t>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fldChar w:fldCharType="end"/>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t>类标准。</w:t>
            </w:r>
            <w:r>
              <w:rPr>
                <w:rFonts w:hint="default" w:ascii="Times New Roman" w:hAnsi="Times New Roman" w:cs="Times New Roman" w:eastAsiaTheme="minorEastAsia"/>
                <w:bCs/>
                <w:color w:val="000000" w:themeColor="text1"/>
                <w:spacing w:val="0"/>
                <w:sz w:val="24"/>
                <w:highlight w:val="none"/>
                <w:lang w:val="en-US" w:eastAsia="zh-CN"/>
                <w14:textFill>
                  <w14:solidFill>
                    <w14:schemeClr w14:val="tx1"/>
                  </w14:solidFill>
                </w14:textFill>
              </w:rPr>
              <w:t>2022年</w:t>
            </w:r>
            <w:r>
              <w:rPr>
                <w:rFonts w:hint="default" w:ascii="Times New Roman" w:hAnsi="Times New Roman" w:cs="Times New Roman" w:eastAsiaTheme="minorEastAsia"/>
                <w:bCs/>
                <w:color w:val="000000" w:themeColor="text1"/>
                <w:spacing w:val="0"/>
                <w:sz w:val="24"/>
                <w:highlight w:val="none"/>
                <w:lang w:eastAsia="zh-CN"/>
                <w14:textFill>
                  <w14:solidFill>
                    <w14:schemeClr w14:val="tx1"/>
                  </w14:solidFill>
                </w14:textFill>
              </w:rPr>
              <w:t>瀑河共设置常规监测断面</w:t>
            </w:r>
            <w:r>
              <w:rPr>
                <w:rFonts w:hint="default" w:ascii="Times New Roman" w:hAnsi="Times New Roman" w:cs="Times New Roman" w:eastAsiaTheme="minorEastAsia"/>
                <w:bCs/>
                <w:color w:val="000000" w:themeColor="text1"/>
                <w:spacing w:val="0"/>
                <w:sz w:val="24"/>
                <w:highlight w:val="none"/>
                <w:lang w:val="en-US" w:eastAsia="zh-CN"/>
                <w14:textFill>
                  <w14:solidFill>
                    <w14:schemeClr w14:val="tx1"/>
                  </w14:solidFill>
                </w14:textFill>
              </w:rPr>
              <w:t>2个，</w:t>
            </w:r>
            <w:r>
              <w:rPr>
                <w:rFonts w:hint="default" w:ascii="Times New Roman" w:hAnsi="Times New Roman" w:cs="Times New Roman" w:eastAsiaTheme="minorEastAsia"/>
                <w:color w:val="000000" w:themeColor="text1"/>
                <w:spacing w:val="0"/>
                <w:sz w:val="24"/>
                <w:highlight w:val="none"/>
                <w14:textFill>
                  <w14:solidFill>
                    <w14:schemeClr w14:val="tx1"/>
                  </w14:solidFill>
                </w14:textFill>
              </w:rPr>
              <w:t>本评价引用《承德市</w:t>
            </w:r>
            <w:r>
              <w:rPr>
                <w:rFonts w:hint="default" w:ascii="Times New Roman" w:hAnsi="Times New Roman" w:cs="Times New Roman" w:eastAsiaTheme="minorEastAsia"/>
                <w:color w:val="000000" w:themeColor="text1"/>
                <w:spacing w:val="0"/>
                <w:sz w:val="24"/>
                <w:highlight w:val="none"/>
                <w:lang w:eastAsia="zh-CN"/>
                <w14:textFill>
                  <w14:solidFill>
                    <w14:schemeClr w14:val="tx1"/>
                  </w14:solidFill>
                </w14:textFill>
              </w:rPr>
              <w:t>生态</w:t>
            </w:r>
            <w:r>
              <w:rPr>
                <w:rFonts w:hint="default" w:ascii="Times New Roman" w:hAnsi="Times New Roman" w:cs="Times New Roman" w:eastAsiaTheme="minorEastAsia"/>
                <w:color w:val="000000" w:themeColor="text1"/>
                <w:spacing w:val="0"/>
                <w:sz w:val="24"/>
                <w:highlight w:val="none"/>
                <w14:textFill>
                  <w14:solidFill>
                    <w14:schemeClr w14:val="tx1"/>
                  </w14:solidFill>
                </w14:textFill>
              </w:rPr>
              <w:t>环境状况公报》（承德市生态环境保护局，202</w:t>
            </w:r>
            <w:r>
              <w:rPr>
                <w:rFonts w:hint="default" w:ascii="Times New Roman" w:hAnsi="Times New Roman" w:cs="Times New Roman" w:eastAsiaTheme="minorEastAsia"/>
                <w:color w:val="000000" w:themeColor="text1"/>
                <w:spacing w:val="0"/>
                <w:sz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pacing w:val="0"/>
                <w:sz w:val="24"/>
                <w:highlight w:val="none"/>
                <w14:textFill>
                  <w14:solidFill>
                    <w14:schemeClr w14:val="tx1"/>
                  </w14:solidFill>
                </w14:textFill>
              </w:rPr>
              <w:t>年</w:t>
            </w:r>
            <w:r>
              <w:rPr>
                <w:rFonts w:hint="default" w:ascii="Times New Roman" w:hAnsi="Times New Roman" w:cs="Times New Roman" w:eastAsiaTheme="minorEastAsia"/>
                <w:color w:val="000000" w:themeColor="text1"/>
                <w:spacing w:val="0"/>
                <w:sz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pacing w:val="0"/>
                <w:sz w:val="24"/>
                <w:highlight w:val="none"/>
                <w14:textFill>
                  <w14:solidFill>
                    <w14:schemeClr w14:val="tx1"/>
                  </w14:solidFill>
                </w14:textFill>
              </w:rPr>
              <w:t>月）</w:t>
            </w:r>
            <w:r>
              <w:rPr>
                <w:rFonts w:hint="default" w:ascii="Times New Roman" w:hAnsi="Times New Roman" w:cs="Times New Roman" w:eastAsiaTheme="minorEastAsia"/>
                <w:bCs/>
                <w:color w:val="000000" w:themeColor="text1"/>
                <w:spacing w:val="0"/>
                <w:sz w:val="24"/>
                <w:highlight w:val="none"/>
                <w:lang w:eastAsia="zh-CN"/>
                <w14:textFill>
                  <w14:solidFill>
                    <w14:schemeClr w14:val="tx1"/>
                  </w14:solidFill>
                </w14:textFill>
              </w:rPr>
              <w:t>中大桑园断面和党坝断面监测结果，详见</w:t>
            </w:r>
            <w:r>
              <w:rPr>
                <w:rFonts w:hint="default" w:ascii="Times New Roman" w:hAnsi="Times New Roman" w:cs="Times New Roman" w:eastAsiaTheme="minorEastAsia"/>
                <w:bCs/>
                <w:color w:val="000000" w:themeColor="text1"/>
                <w:spacing w:val="0"/>
                <w:sz w:val="24"/>
                <w:highlight w:val="none"/>
                <w14:textFill>
                  <w14:solidFill>
                    <w14:schemeClr w14:val="tx1"/>
                  </w14:solidFill>
                </w14:textFill>
              </w:rPr>
              <w:t>下表</w:t>
            </w:r>
            <w:r>
              <w:rPr>
                <w:rFonts w:hint="default" w:ascii="Times New Roman" w:hAnsi="Times New Roman" w:cs="Times New Roman"/>
                <w:bCs/>
                <w:color w:val="000000" w:themeColor="text1"/>
                <w:spacing w:val="-10"/>
                <w:sz w:val="24"/>
                <w:highlight w:val="none"/>
                <w14:textFill>
                  <w14:solidFill>
                    <w14:schemeClr w14:val="tx1"/>
                  </w14:solidFill>
                </w14:textFill>
              </w:rPr>
              <w:t>：</w:t>
            </w:r>
          </w:p>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表3-</w:t>
            </w: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b w:val="0"/>
                <w:bCs w:val="0"/>
                <w:color w:val="000000" w:themeColor="text1"/>
                <w:sz w:val="24"/>
                <w:szCs w:val="24"/>
                <w:highlight w:val="none"/>
                <w:lang w:eastAsia="zh-CN"/>
                <w14:textFill>
                  <w14:solidFill>
                    <w14:schemeClr w14:val="tx1"/>
                  </w14:solidFill>
                </w14:textFill>
              </w:rPr>
              <w:t>瀑河常规</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断面监测结果表</w:t>
            </w:r>
          </w:p>
          <w:tbl>
            <w:tblPr>
              <w:tblStyle w:val="24"/>
              <w:tblW w:w="8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086"/>
              <w:gridCol w:w="1873"/>
              <w:gridCol w:w="1815"/>
              <w:gridCol w:w="1281"/>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断面名称</w:t>
                  </w:r>
                </w:p>
              </w:tc>
              <w:tc>
                <w:tcPr>
                  <w:tcW w:w="64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水质目标</w:t>
                  </w:r>
                </w:p>
              </w:tc>
              <w:tc>
                <w:tcPr>
                  <w:tcW w:w="11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202</w:t>
                  </w:r>
                  <w:r>
                    <w:rPr>
                      <w:rFonts w:hint="eastAsia" w:cs="Times New Roman"/>
                      <w:b w:val="0"/>
                      <w:bCs w:val="0"/>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年水质情况</w:t>
                  </w:r>
                </w:p>
              </w:tc>
              <w:tc>
                <w:tcPr>
                  <w:tcW w:w="107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202</w:t>
                  </w:r>
                  <w:r>
                    <w:rPr>
                      <w:rFonts w:hint="eastAsia" w:cs="Times New Roman"/>
                      <w:b w:val="0"/>
                      <w:bCs w:val="0"/>
                      <w:color w:val="000000" w:themeColor="text1"/>
                      <w:sz w:val="21"/>
                      <w:szCs w:val="21"/>
                      <w:highlight w:val="none"/>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年水质情况</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同比水质情况</w:t>
                  </w:r>
                </w:p>
              </w:tc>
              <w:tc>
                <w:tcPr>
                  <w:tcW w:w="76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水质达标情况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6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大桑园</w:t>
                  </w:r>
                </w:p>
              </w:tc>
              <w:tc>
                <w:tcPr>
                  <w:tcW w:w="64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color w:val="000000" w:themeColor="text1"/>
                      <w:sz w:val="21"/>
                      <w:szCs w:val="21"/>
                      <w:highlight w:val="none"/>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highlight w:val="none"/>
                      <w14:textFill>
                        <w14:solidFill>
                          <w14:schemeClr w14:val="tx1"/>
                        </w14:solidFill>
                      </w14:textFill>
                    </w:rPr>
                    <w:fldChar w:fldCharType="separate"/>
                  </w:r>
                  <w:r>
                    <w:rPr>
                      <w:rFonts w:hint="default"/>
                      <w:color w:val="000000" w:themeColor="text1"/>
                      <w:sz w:val="21"/>
                      <w:szCs w:val="21"/>
                      <w:highlight w:val="none"/>
                      <w14:textFill>
                        <w14:solidFill>
                          <w14:schemeClr w14:val="tx1"/>
                        </w14:solidFill>
                      </w14:textFill>
                    </w:rPr>
                    <w:t>III</w:t>
                  </w:r>
                  <w:r>
                    <w:rPr>
                      <w:rFonts w:hint="default" w:ascii="Times New Roman" w:hAnsi="Times New Roman" w:cs="Times New Roman"/>
                      <w:color w:val="000000" w:themeColor="text1"/>
                      <w:sz w:val="21"/>
                      <w:szCs w:val="21"/>
                      <w:highlight w:val="none"/>
                      <w14:textFill>
                        <w14:solidFill>
                          <w14:schemeClr w14:val="tx1"/>
                        </w14:solidFill>
                      </w14:textFill>
                    </w:rPr>
                    <w:fldChar w:fldCharType="end"/>
                  </w:r>
                </w:p>
              </w:tc>
              <w:tc>
                <w:tcPr>
                  <w:tcW w:w="110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II</w:t>
                  </w:r>
                </w:p>
              </w:tc>
              <w:tc>
                <w:tcPr>
                  <w:tcW w:w="107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II</w:t>
                  </w:r>
                </w:p>
              </w:tc>
              <w:tc>
                <w:tcPr>
                  <w:tcW w:w="756"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持平</w:t>
                  </w:r>
                </w:p>
              </w:tc>
              <w:tc>
                <w:tcPr>
                  <w:tcW w:w="76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6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党坝</w:t>
                  </w:r>
                </w:p>
              </w:tc>
              <w:tc>
                <w:tcPr>
                  <w:tcW w:w="64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color w:val="000000" w:themeColor="text1"/>
                      <w:sz w:val="21"/>
                      <w:szCs w:val="21"/>
                      <w:highlight w:val="none"/>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highlight w:val="none"/>
                      <w14:textFill>
                        <w14:solidFill>
                          <w14:schemeClr w14:val="tx1"/>
                        </w14:solidFill>
                      </w14:textFill>
                    </w:rPr>
                    <w:fldChar w:fldCharType="separate"/>
                  </w:r>
                  <w:r>
                    <w:rPr>
                      <w:rFonts w:hint="default"/>
                      <w:color w:val="000000" w:themeColor="text1"/>
                      <w:sz w:val="21"/>
                      <w:szCs w:val="21"/>
                      <w:highlight w:val="none"/>
                      <w14:textFill>
                        <w14:solidFill>
                          <w14:schemeClr w14:val="tx1"/>
                        </w14:solidFill>
                      </w14:textFill>
                    </w:rPr>
                    <w:t>III</w:t>
                  </w:r>
                  <w:r>
                    <w:rPr>
                      <w:rFonts w:hint="default" w:ascii="Times New Roman" w:hAnsi="Times New Roman" w:cs="Times New Roman"/>
                      <w:color w:val="000000" w:themeColor="text1"/>
                      <w:sz w:val="21"/>
                      <w:szCs w:val="21"/>
                      <w:highlight w:val="none"/>
                      <w14:textFill>
                        <w14:solidFill>
                          <w14:schemeClr w14:val="tx1"/>
                        </w14:solidFill>
                      </w14:textFill>
                    </w:rPr>
                    <w:fldChar w:fldCharType="end"/>
                  </w:r>
                </w:p>
              </w:tc>
              <w:tc>
                <w:tcPr>
                  <w:tcW w:w="110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II</w:t>
                  </w:r>
                </w:p>
              </w:tc>
              <w:tc>
                <w:tcPr>
                  <w:tcW w:w="107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II</w:t>
                  </w:r>
                </w:p>
              </w:tc>
              <w:tc>
                <w:tcPr>
                  <w:tcW w:w="756"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持平</w:t>
                  </w:r>
                </w:p>
              </w:tc>
              <w:tc>
                <w:tcPr>
                  <w:tcW w:w="76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瀑河水质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instrText xml:space="preserve"> = 2 \* ROMAN \* MERGEFORMAT </w:instrTex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fldChar w:fldCharType="separate"/>
            </w:r>
            <w:r>
              <w:rPr>
                <w:rFonts w:hint="default"/>
                <w:color w:val="000000" w:themeColor="text1"/>
                <w:highlight w:val="none"/>
                <w14:textFill>
                  <w14:solidFill>
                    <w14:schemeClr w14:val="tx1"/>
                  </w14:solidFill>
                </w14:textFill>
              </w:rPr>
              <w:t>II</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类，</w:t>
            </w:r>
            <w:r>
              <w:rPr>
                <w:rFonts w:hint="default" w:ascii="Times New Roman" w:hAnsi="Times New Roman" w:cs="Times New Roman"/>
                <w:color w:val="000000" w:themeColor="text1"/>
                <w:sz w:val="24"/>
                <w:szCs w:val="24"/>
                <w:highlight w:val="none"/>
                <w14:textFill>
                  <w14:solidFill>
                    <w14:schemeClr w14:val="tx1"/>
                  </w14:solidFill>
                </w14:textFill>
              </w:rPr>
              <w:t>项目所在区域地表水环境质量较好。</w:t>
            </w:r>
          </w:p>
          <w:p>
            <w:pPr>
              <w:keepNext w:val="0"/>
              <w:keepLines w:val="0"/>
              <w:suppressLineNumbers w:val="0"/>
              <w:bidi w:val="0"/>
              <w:spacing w:before="0" w:beforeAutospacing="0" w:after="0" w:afterAutospacing="0"/>
              <w:ind w:left="0" w:right="0"/>
              <w:rPr>
                <w:rFonts w:hint="eastAsia"/>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3、声环境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项目厂界外50m范围内无声环境保护目标，不开展声环境质量现状监测。</w:t>
            </w:r>
          </w:p>
          <w:p>
            <w:pPr>
              <w:pStyle w:val="4"/>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4、生态环境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项目位于</w:t>
            </w:r>
            <w:r>
              <w:rPr>
                <w:rFonts w:hint="eastAsia" w:cs="Times New Roman"/>
                <w:color w:val="000000" w:themeColor="text1"/>
                <w:sz w:val="24"/>
                <w:szCs w:val="24"/>
                <w:highlight w:val="none"/>
                <w:lang w:eastAsia="zh-CN"/>
                <w14:textFill>
                  <w14:solidFill>
                    <w14:schemeClr w14:val="tx1"/>
                  </w14:solidFill>
                </w14:textFill>
              </w:rPr>
              <w:t>宽城经济开发区龙须门片区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，用地范围内无生态环境保护目标</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不开展生态现状调查</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pStyle w:val="4"/>
              <w:numPr>
                <w:ilvl w:val="0"/>
                <w:numId w:val="0"/>
              </w:numPr>
              <w:suppressLineNumbers w:val="0"/>
              <w:spacing w:before="0" w:beforeAutospacing="0" w:after="0" w:afterAutospacing="0" w:line="360" w:lineRule="auto"/>
              <w:ind w:left="0" w:leftChars="0" w:right="0" w:rightChars="0" w:firstLine="480" w:firstLineChars="200"/>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cs="Times New Roman" w:eastAsiaTheme="minorEastAsia"/>
                <w:b w:val="0"/>
                <w:bC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电磁辐射</w:t>
            </w:r>
          </w:p>
          <w:p>
            <w:pPr>
              <w:keepNext w:val="0"/>
              <w:keepLines w:val="0"/>
              <w:suppressLineNumbers w:val="0"/>
              <w:spacing w:before="0" w:beforeAutospacing="0" w:after="0" w:afterAutospacing="0" w:line="360" w:lineRule="auto"/>
              <w:ind w:left="0" w:right="0" w:firstLine="484" w:firstLineChars="200"/>
              <w:rPr>
                <w:rFonts w:hint="default" w:ascii="Times New Roman"/>
                <w:color w:val="000000" w:themeColor="text1"/>
                <w:spacing w:val="1"/>
                <w:szCs w:val="21"/>
                <w:highlight w:val="none"/>
                <w14:textFill>
                  <w14:solidFill>
                    <w14:schemeClr w14:val="tx1"/>
                  </w14:solidFill>
                </w14:textFill>
              </w:rPr>
            </w:pPr>
            <w:r>
              <w:rPr>
                <w:rFonts w:hint="default" w:ascii="Times New Roman"/>
                <w:color w:val="000000" w:themeColor="text1"/>
                <w:spacing w:val="1"/>
                <w:szCs w:val="21"/>
                <w:highlight w:val="none"/>
                <w14:textFill>
                  <w14:solidFill>
                    <w14:schemeClr w14:val="tx1"/>
                  </w14:solidFill>
                </w14:textFill>
              </w:rPr>
              <w:t>项目不涉及电磁辐射，无需进行电磁辐射调查。</w:t>
            </w:r>
          </w:p>
          <w:p>
            <w:pPr>
              <w:pStyle w:val="4"/>
              <w:numPr>
                <w:ilvl w:val="0"/>
                <w:numId w:val="0"/>
              </w:numPr>
              <w:suppressLineNumbers w:val="0"/>
              <w:spacing w:before="0" w:beforeAutospacing="0" w:after="0" w:afterAutospacing="0" w:line="360" w:lineRule="auto"/>
              <w:ind w:left="480" w:leftChars="0" w:right="0" w:rightChars="0"/>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地下水</w:t>
            </w:r>
            <w:r>
              <w:rPr>
                <w:rFonts w:hint="eastAsia" w:cs="Times New Roman"/>
                <w:b w:val="0"/>
                <w:bCs w:val="0"/>
                <w:color w:val="000000" w:themeColor="text1"/>
                <w:sz w:val="24"/>
                <w:szCs w:val="24"/>
                <w:highlight w:val="none"/>
                <w:lang w:val="en-US" w:eastAsia="zh-CN"/>
                <w14:textFill>
                  <w14:solidFill>
                    <w14:schemeClr w14:val="tx1"/>
                  </w14:solidFill>
                </w14:textFill>
              </w:rPr>
              <w:t>土壤</w:t>
            </w:r>
            <w:r>
              <w:rPr>
                <w:rFonts w:hint="eastAsia" w:ascii="Times New Roman" w:hAnsi="Times New Roman" w:eastAsiaTheme="minorEastAsia"/>
                <w:b w:val="0"/>
                <w:bCs w:val="0"/>
                <w:color w:val="000000" w:themeColor="text1"/>
                <w:sz w:val="24"/>
                <w:szCs w:val="24"/>
                <w:highlight w:val="none"/>
                <w:lang w:val="en-US" w:eastAsia="zh-CN"/>
                <w14:textFill>
                  <w14:solidFill>
                    <w14:schemeClr w14:val="tx1"/>
                  </w14:solidFill>
                </w14:textFill>
              </w:rPr>
              <w:t>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4" w:firstLineChars="200"/>
              <w:textAlignment w:val="auto"/>
              <w:outlineLvl w:val="9"/>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color w:val="000000" w:themeColor="text1"/>
                <w:spacing w:val="1"/>
                <w:szCs w:val="21"/>
                <w:highlight w:val="none"/>
                <w14:textFill>
                  <w14:solidFill>
                    <w14:schemeClr w14:val="tx1"/>
                  </w14:solidFill>
                </w14:textFill>
              </w:rPr>
              <w:t>本项目根据可能泄漏至地面区域污染物的性质和生产单元的位置及构筑方式，采取相应的分区防护措施，减少土壤、地下水的污染途径，避免了对土壤、地下水造成影响，无需开展地下水、土壤环境质量现状调查</w:t>
            </w:r>
            <w:r>
              <w:rPr>
                <w:rFonts w:hint="default"/>
                <w:snapToGrid w:val="0"/>
                <w:color w:val="000000" w:themeColor="text1"/>
                <w:kern w:val="0"/>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6" w:hRule="atLeast"/>
          <w:jc w:val="center"/>
        </w:trPr>
        <w:tc>
          <w:tcPr>
            <w:tcW w:w="454"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bidi="ar"/>
                <w14:textFill>
                  <w14:solidFill>
                    <w14:schemeClr w14:val="tx1"/>
                  </w14:solidFill>
                </w14:textFill>
              </w:rPr>
              <w:t>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themeColor="text1"/>
                <w:kern w:val="0"/>
                <w:sz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bidi="ar"/>
                <w14:textFill>
                  <w14:solidFill>
                    <w14:schemeClr w14:val="tx1"/>
                  </w14:solidFill>
                </w14:textFill>
              </w:rPr>
              <w:t>保护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bidi="ar"/>
                <w14:textFill>
                  <w14:solidFill>
                    <w14:schemeClr w14:val="tx1"/>
                  </w14:solidFill>
                </w14:textFill>
              </w:rPr>
              <w:t>目标</w:t>
            </w:r>
          </w:p>
        </w:tc>
        <w:tc>
          <w:tcPr>
            <w:tcW w:w="861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rightChars="0" w:firstLine="0" w:firstLineChars="0"/>
              <w:rPr>
                <w:rFonts w:hint="eastAsia"/>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14:textFill>
                  <w14:solidFill>
                    <w14:schemeClr w14:val="tx1"/>
                  </w14:solidFill>
                </w14:textFill>
              </w:rPr>
              <w:t>主要环境保护目标</w:t>
            </w:r>
            <w:r>
              <w:rPr>
                <w:rFonts w:hint="eastAsia"/>
                <w:b w:val="0"/>
                <w:bCs w:val="0"/>
                <w:color w:val="000000" w:themeColor="text1"/>
                <w:highlight w:val="none"/>
                <w:lang w:val="en-US"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ascii="Times New Roman"/>
                <w:color w:val="000000" w:themeColor="text1"/>
                <w:szCs w:val="21"/>
                <w:highlight w:val="none"/>
                <w14:textFill>
                  <w14:solidFill>
                    <w14:schemeClr w14:val="tx1"/>
                  </w14:solidFill>
                </w14:textFill>
              </w:rPr>
            </w:pPr>
            <w:r>
              <w:rPr>
                <w:rFonts w:hint="default" w:ascii="Times New Roman"/>
                <w:color w:val="000000" w:themeColor="text1"/>
                <w:szCs w:val="21"/>
                <w:highlight w:val="none"/>
                <w14:textFill>
                  <w14:solidFill>
                    <w14:schemeClr w14:val="tx1"/>
                  </w14:solidFill>
                </w14:textFill>
              </w:rPr>
              <w:t>1、大气环境保护目标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本项目位于</w:t>
            </w:r>
            <w:r>
              <w:rPr>
                <w:rFonts w:hint="eastAsia" w:cs="Times New Roman"/>
                <w:color w:val="000000" w:themeColor="text1"/>
                <w:sz w:val="24"/>
                <w:szCs w:val="24"/>
                <w:highlight w:val="none"/>
                <w:lang w:eastAsia="zh-CN"/>
                <w14:textFill>
                  <w14:solidFill>
                    <w14:schemeClr w14:val="tx1"/>
                  </w14:solidFill>
                </w14:textFill>
              </w:rPr>
              <w:t>宽城经济开发区龙须门片区</w:t>
            </w:r>
            <w:r>
              <w:rPr>
                <w:rFonts w:hint="default" w:ascii="Times New Roman" w:hAnsi="Times New Roman" w:cs="Times New Roman"/>
                <w:color w:val="000000" w:themeColor="text1"/>
                <w:highlight w:val="none"/>
                <w:lang w:val="en-US" w:eastAsia="zh-CN"/>
                <w14:textFill>
                  <w14:solidFill>
                    <w14:schemeClr w14:val="tx1"/>
                  </w14:solidFill>
                </w14:textFill>
              </w:rPr>
              <w:t>，其500m范围内大气环境保护目标情况见表3-</w:t>
            </w:r>
            <w:r>
              <w:rPr>
                <w:rFonts w:hint="eastAsia" w:cs="Times New Roman"/>
                <w:color w:val="000000" w:themeColor="text1"/>
                <w:highlight w:val="none"/>
                <w:lang w:val="en-US" w:eastAsia="zh-CN"/>
                <w14:textFill>
                  <w14:solidFill>
                    <w14:schemeClr w14:val="tx1"/>
                  </w14:solidFill>
                </w14:textFill>
              </w:rPr>
              <w:t>6。</w:t>
            </w:r>
          </w:p>
          <w:p>
            <w:pPr>
              <w:keepNext w:val="0"/>
              <w:keepLines w:val="0"/>
              <w:suppressLineNumbers w:val="0"/>
              <w:bidi w:val="0"/>
              <w:spacing w:before="0" w:beforeAutospacing="0" w:after="0" w:afterAutospacing="0"/>
              <w:ind w:left="0" w:right="0"/>
              <w:jc w:val="center"/>
              <w:rPr>
                <w:rFonts w:hint="default" w:ascii="Times New Roman" w:hAnsi="Times New Roman" w:eastAsia="黑体" w:cs="Times New Roman"/>
                <w:color w:val="000000" w:themeColor="text1"/>
                <w:highlight w:val="none"/>
                <w:lang w:val="en-US" w:eastAsia="zh-CN"/>
                <w14:textFill>
                  <w14:solidFill>
                    <w14:schemeClr w14:val="tx1"/>
                  </w14:solidFill>
                </w14:textFill>
              </w:rPr>
            </w:pPr>
            <w:r>
              <w:rPr>
                <w:rFonts w:hint="default" w:ascii="Times New Roman" w:hAnsi="Times New Roman" w:eastAsia="黑体" w:cs="Times New Roman"/>
                <w:color w:val="000000" w:themeColor="text1"/>
                <w:highlight w:val="none"/>
                <w:lang w:val="en-US" w:eastAsia="zh-CN"/>
                <w14:textFill>
                  <w14:solidFill>
                    <w14:schemeClr w14:val="tx1"/>
                  </w14:solidFill>
                </w14:textFill>
              </w:rPr>
              <w:t>表3-6  大气环境保护目标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585"/>
              <w:gridCol w:w="1060"/>
              <w:gridCol w:w="2071"/>
              <w:gridCol w:w="1770"/>
              <w:gridCol w:w="1061"/>
              <w:gridCol w:w="183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744" w:hRule="atLeast"/>
                <w:jc w:val="center"/>
              </w:trPr>
              <w:tc>
                <w:tcPr>
                  <w:tcW w:w="426"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类别</w:t>
                  </w:r>
                </w:p>
              </w:tc>
              <w:tc>
                <w:tcPr>
                  <w:tcW w:w="709"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保护</w:t>
                  </w:r>
                  <w:r>
                    <w:rPr>
                      <w:rFonts w:hint="default" w:ascii="Times New Roman" w:hAnsi="Times New Roman" w:eastAsia="宋体" w:cs="Times New Roman"/>
                      <w:color w:val="000000" w:themeColor="text1"/>
                      <w:sz w:val="21"/>
                      <w:szCs w:val="21"/>
                      <w:highlight w:val="none"/>
                      <w14:textFill>
                        <w14:solidFill>
                          <w14:schemeClr w14:val="tx1"/>
                        </w14:solidFill>
                      </w14:textFill>
                    </w:rPr>
                    <w:t>目标</w:t>
                  </w:r>
                </w:p>
              </w:tc>
              <w:tc>
                <w:tcPr>
                  <w:tcW w:w="1311"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坐标</w:t>
                  </w:r>
                </w:p>
              </w:tc>
              <w:tc>
                <w:tcPr>
                  <w:tcW w:w="1132"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方位</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直线距离</w:t>
                  </w:r>
                </w:p>
              </w:tc>
              <w:tc>
                <w:tcPr>
                  <w:tcW w:w="709"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保护对象</w:t>
                  </w:r>
                </w:p>
              </w:tc>
              <w:tc>
                <w:tcPr>
                  <w:tcW w:w="709"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754" w:hRule="atLeast"/>
                <w:jc w:val="center"/>
              </w:trPr>
              <w:tc>
                <w:tcPr>
                  <w:tcW w:w="426" w:type="pct"/>
                  <w:vMerge w:val="restar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w:t>
                  </w:r>
                </w:p>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空气</w:t>
                  </w:r>
                </w:p>
              </w:tc>
              <w:tc>
                <w:tcPr>
                  <w:tcW w:w="709"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杨家庄</w:t>
                  </w:r>
                </w:p>
              </w:tc>
              <w:tc>
                <w:tcPr>
                  <w:tcW w:w="1311"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45.375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E</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13.054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32"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西</w:t>
                  </w:r>
                  <w:r>
                    <w:rPr>
                      <w:rFonts w:hint="default" w:ascii="Times New Roman" w:hAnsi="Times New Roman" w:eastAsia="宋体" w:cs="Times New Roman"/>
                      <w:color w:val="000000" w:themeColor="text1"/>
                      <w:sz w:val="21"/>
                      <w:szCs w:val="21"/>
                      <w:highlight w:val="none"/>
                      <w14:textFill>
                        <w14:solidFill>
                          <w14:schemeClr w14:val="tx1"/>
                        </w14:solidFill>
                      </w14:textFill>
                    </w:rPr>
                    <w:t>北侧</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709"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居民</w:t>
                  </w:r>
                </w:p>
              </w:tc>
              <w:tc>
                <w:tcPr>
                  <w:tcW w:w="709" w:type="pct"/>
                  <w:vMerge w:val="restar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《环境空气质量标准》（GB3095-2012）二级标准及2018年</w:t>
                  </w:r>
                </w:p>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修改清单</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754" w:hRule="atLeast"/>
                <w:jc w:val="center"/>
              </w:trPr>
              <w:tc>
                <w:tcPr>
                  <w:tcW w:w="426" w:type="pct"/>
                  <w:vMerge w:val="continue"/>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9"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张家庄</w:t>
                  </w:r>
                </w:p>
              </w:tc>
              <w:tc>
                <w:tcPr>
                  <w:tcW w:w="1311"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37.998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E</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7.222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32"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西北侧</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330m</w:t>
                  </w:r>
                </w:p>
              </w:tc>
              <w:tc>
                <w:tcPr>
                  <w:tcW w:w="709"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居民</w:t>
                  </w:r>
                </w:p>
              </w:tc>
              <w:tc>
                <w:tcPr>
                  <w:tcW w:w="709" w:type="pct"/>
                  <w:vMerge w:val="continue"/>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754" w:hRule="atLeast"/>
                <w:jc w:val="center"/>
              </w:trPr>
              <w:tc>
                <w:tcPr>
                  <w:tcW w:w="426" w:type="pct"/>
                  <w:vMerge w:val="continue"/>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9"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砖瓦窑村</w:t>
                  </w:r>
                </w:p>
              </w:tc>
              <w:tc>
                <w:tcPr>
                  <w:tcW w:w="1311"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17.614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E</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38.835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32"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东南侧</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380m</w:t>
                  </w:r>
                </w:p>
              </w:tc>
              <w:tc>
                <w:tcPr>
                  <w:tcW w:w="709" w:type="pct"/>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居民</w:t>
                  </w:r>
                </w:p>
              </w:tc>
              <w:tc>
                <w:tcPr>
                  <w:tcW w:w="709" w:type="pct"/>
                  <w:vMerge w:val="continue"/>
                  <w:tcBorders>
                    <w:tl2br w:val="nil"/>
                    <w:tr2bl w:val="nil"/>
                  </w:tcBorders>
                  <w:noWrap w:val="0"/>
                  <w:vAlign w:val="center"/>
                </w:tcPr>
                <w:p>
                  <w:pPr>
                    <w:pStyle w:val="72"/>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80" w:lineRule="exact"/>
                    <w:ind w:left="0" w:right="0" w:firstLine="0" w:firstLineChars="0"/>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color w:val="000000" w:themeColor="text1"/>
                <w:szCs w:val="21"/>
                <w:highlight w:val="none"/>
                <w14:textFill>
                  <w14:solidFill>
                    <w14:schemeClr w14:val="tx1"/>
                  </w14:solidFill>
                </w14:textFill>
              </w:rPr>
            </w:pPr>
            <w:r>
              <w:rPr>
                <w:rFonts w:hint="default" w:ascii="Times New Roman"/>
                <w:color w:val="000000" w:themeColor="text1"/>
                <w:szCs w:val="21"/>
                <w:highlight w:val="none"/>
                <w14:textFill>
                  <w14:solidFill>
                    <w14:schemeClr w14:val="tx1"/>
                  </w14:solidFill>
                </w14:textFill>
              </w:rPr>
              <w:t>2、声环境保护目标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color w:val="000000" w:themeColor="text1"/>
                <w:szCs w:val="21"/>
                <w:highlight w:val="none"/>
                <w14:textFill>
                  <w14:solidFill>
                    <w14:schemeClr w14:val="tx1"/>
                  </w14:solidFill>
                </w14:textFill>
              </w:rPr>
            </w:pPr>
            <w:r>
              <w:rPr>
                <w:rFonts w:hint="default" w:ascii="Times New Roman"/>
                <w:color w:val="000000" w:themeColor="text1"/>
                <w:szCs w:val="21"/>
                <w:highlight w:val="none"/>
                <w14:textFill>
                  <w14:solidFill>
                    <w14:schemeClr w14:val="tx1"/>
                  </w14:solidFill>
                </w14:textFill>
              </w:rPr>
              <w:t>经现场踏勘，建设项目厂界外50m范围内无声环境保护目标。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color w:val="000000" w:themeColor="text1"/>
                <w:szCs w:val="21"/>
                <w:highlight w:val="none"/>
                <w14:textFill>
                  <w14:solidFill>
                    <w14:schemeClr w14:val="tx1"/>
                  </w14:solidFill>
                </w14:textFill>
              </w:rPr>
            </w:pPr>
            <w:r>
              <w:rPr>
                <w:rFonts w:hint="default" w:ascii="Times New Roman"/>
                <w:color w:val="000000" w:themeColor="text1"/>
                <w:szCs w:val="21"/>
                <w:highlight w:val="none"/>
                <w14:textFill>
                  <w14:solidFill>
                    <w14:schemeClr w14:val="tx1"/>
                  </w14:solidFill>
                </w14:textFill>
              </w:rPr>
              <w:t>3、地下水环境保护目标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color w:val="000000" w:themeColor="text1"/>
                <w:szCs w:val="21"/>
                <w:highlight w:val="none"/>
                <w14:textFill>
                  <w14:solidFill>
                    <w14:schemeClr w14:val="tx1"/>
                  </w14:solidFill>
                </w14:textFill>
              </w:rPr>
            </w:pPr>
            <w:r>
              <w:rPr>
                <w:rFonts w:hint="default" w:ascii="Times New Roman"/>
                <w:color w:val="000000" w:themeColor="text1"/>
                <w:szCs w:val="21"/>
                <w:highlight w:val="none"/>
                <w14:textFill>
                  <w14:solidFill>
                    <w14:schemeClr w14:val="tx1"/>
                  </w14:solidFill>
                </w14:textFill>
              </w:rPr>
              <w:t>本项目所在区域及厂界外500m范围内无地下水集中式饮用水水源和热水、矿泉水、温泉等特殊地下水资源，因此无需设置地下水环境保护目标。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color w:val="000000" w:themeColor="text1"/>
                <w:szCs w:val="21"/>
                <w:highlight w:val="none"/>
                <w14:textFill>
                  <w14:solidFill>
                    <w14:schemeClr w14:val="tx1"/>
                  </w14:solidFill>
                </w14:textFill>
              </w:rPr>
            </w:pPr>
            <w:r>
              <w:rPr>
                <w:rFonts w:hint="default" w:ascii="Times New Roman"/>
                <w:color w:val="000000" w:themeColor="text1"/>
                <w:szCs w:val="21"/>
                <w:highlight w:val="none"/>
                <w14:textFill>
                  <w14:solidFill>
                    <w14:schemeClr w14:val="tx1"/>
                  </w14:solidFill>
                </w14:textFill>
              </w:rPr>
              <w:t>4、生态环境保护目标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b/>
                <w:bCs/>
                <w:color w:val="000000" w:themeColor="text1"/>
                <w:highlight w:val="none"/>
                <w:lang w:val="en-US" w:eastAsia="zh-CN"/>
                <w14:textFill>
                  <w14:solidFill>
                    <w14:schemeClr w14:val="tx1"/>
                  </w14:solidFill>
                </w14:textFill>
              </w:rPr>
            </w:pPr>
            <w:r>
              <w:rPr>
                <w:rFonts w:hint="default" w:ascii="Times New Roman"/>
                <w:color w:val="000000" w:themeColor="text1"/>
                <w:szCs w:val="21"/>
                <w:highlight w:val="none"/>
                <w14:textFill>
                  <w14:solidFill>
                    <w14:schemeClr w14:val="tx1"/>
                  </w14:solidFill>
                </w14:textFill>
              </w:rPr>
              <w:t>本项目位于</w:t>
            </w:r>
            <w:r>
              <w:rPr>
                <w:rFonts w:hint="eastAsia" w:cs="Times New Roman"/>
                <w:color w:val="000000" w:themeColor="text1"/>
                <w:sz w:val="24"/>
                <w:szCs w:val="24"/>
                <w:highlight w:val="none"/>
                <w:lang w:eastAsia="zh-CN"/>
                <w14:textFill>
                  <w14:solidFill>
                    <w14:schemeClr w14:val="tx1"/>
                  </w14:solidFill>
                </w14:textFill>
              </w:rPr>
              <w:t>宽城经济开发区龙须门片区</w:t>
            </w:r>
            <w:r>
              <w:rPr>
                <w:rFonts w:hint="default" w:ascii="Times New Roman"/>
                <w:color w:val="000000" w:themeColor="text1"/>
                <w:szCs w:val="21"/>
                <w:highlight w:val="none"/>
                <w14:textFill>
                  <w14:solidFill>
                    <w14:schemeClr w14:val="tx1"/>
                  </w14:solidFill>
                </w14:textFill>
              </w:rPr>
              <w:t>，不涉及生态环境保护目标。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1" w:hRule="atLeast"/>
          <w:jc w:val="center"/>
        </w:trPr>
        <w:tc>
          <w:tcPr>
            <w:tcW w:w="454"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物排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放控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制标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准</w:t>
            </w:r>
          </w:p>
        </w:tc>
        <w:tc>
          <w:tcPr>
            <w:tcW w:w="861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1、大气污染物排放标准</w:t>
            </w:r>
          </w:p>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本项目有组织</w:t>
            </w:r>
            <w:r>
              <w:rPr>
                <w:rFonts w:hint="eastAsia" w:cs="Times New Roman"/>
                <w:color w:val="000000" w:themeColor="text1"/>
                <w:highlight w:val="none"/>
                <w:lang w:val="en-US" w:eastAsia="zh-CN"/>
                <w14:textFill>
                  <w14:solidFill>
                    <w14:schemeClr w14:val="tx1"/>
                  </w14:solidFill>
                </w14:textFill>
              </w:rPr>
              <w:t>排放</w:t>
            </w:r>
            <w:r>
              <w:rPr>
                <w:rFonts w:hint="default" w:ascii="Times New Roman" w:hAnsi="Times New Roman" w:cs="Times New Roman"/>
                <w:color w:val="000000" w:themeColor="text1"/>
                <w:highlight w:val="none"/>
                <w:lang w:val="en-US" w:eastAsia="zh-CN"/>
                <w14:textFill>
                  <w14:solidFill>
                    <w14:schemeClr w14:val="tx1"/>
                  </w14:solidFill>
                </w14:textFill>
              </w:rPr>
              <w:t>颗粒物执行</w:t>
            </w:r>
            <w:r>
              <w:rPr>
                <w:rFonts w:hint="default" w:ascii="Times New Roman" w:hAnsi="Times New Roman" w:cs="Times New Roman"/>
                <w:color w:val="000000" w:themeColor="text1"/>
                <w:highlight w:val="none"/>
                <w:lang w:eastAsia="zh-CN"/>
                <w14:textFill>
                  <w14:solidFill>
                    <w14:schemeClr w14:val="tx1"/>
                  </w14:solidFill>
                </w14:textFill>
              </w:rPr>
              <w:t>《大气污染物综合排放标准》（GB16297-1996）表2排放浓度限值</w:t>
            </w:r>
            <w:r>
              <w:rPr>
                <w:rFonts w:hint="eastAsia" w:cs="Times New Roman"/>
                <w:color w:val="000000" w:themeColor="text1"/>
                <w:highlight w:val="none"/>
                <w:lang w:val="en-US" w:eastAsia="zh-CN"/>
                <w14:textFill>
                  <w14:solidFill>
                    <w14:schemeClr w14:val="tx1"/>
                  </w14:solidFill>
                </w14:textFill>
              </w:rPr>
              <w:t>要求</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染料尘、其他</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无组织排放颗粒物执行</w:t>
            </w:r>
            <w:r>
              <w:rPr>
                <w:rFonts w:hint="default" w:ascii="Times New Roman" w:hAnsi="Times New Roman" w:cs="Times New Roman"/>
                <w:color w:val="000000" w:themeColor="text1"/>
                <w:highlight w:val="none"/>
                <w:lang w:eastAsia="zh-CN"/>
                <w14:textFill>
                  <w14:solidFill>
                    <w14:schemeClr w14:val="tx1"/>
                  </w14:solidFill>
                </w14:textFill>
              </w:rPr>
              <w:t>《大气污染物综合排放标准》（GB16297-1996）表2</w:t>
            </w:r>
            <w:r>
              <w:rPr>
                <w:rFonts w:hint="eastAsia" w:cs="Times New Roman"/>
                <w:color w:val="000000" w:themeColor="text1"/>
                <w:highlight w:val="none"/>
                <w:lang w:val="en-US" w:eastAsia="zh-CN"/>
                <w14:textFill>
                  <w14:solidFill>
                    <w14:schemeClr w14:val="tx1"/>
                  </w14:solidFill>
                </w14:textFill>
              </w:rPr>
              <w:t>周界外浓度最高点限值要求；</w:t>
            </w:r>
            <w:r>
              <w:rPr>
                <w:rFonts w:hint="default" w:ascii="Times New Roman" w:hAnsi="Times New Roman" w:cs="Times New Roman"/>
                <w:color w:val="000000" w:themeColor="text1"/>
                <w:highlight w:val="none"/>
                <w:lang w:val="en-US" w:eastAsia="zh-CN"/>
                <w14:textFill>
                  <w14:solidFill>
                    <w14:schemeClr w14:val="tx1"/>
                  </w14:solidFill>
                </w14:textFill>
              </w:rPr>
              <w:t>有组织</w:t>
            </w:r>
            <w:r>
              <w:rPr>
                <w:rFonts w:hint="eastAsia" w:cs="Times New Roman"/>
                <w:color w:val="000000" w:themeColor="text1"/>
                <w:highlight w:val="none"/>
                <w:lang w:val="en-US" w:eastAsia="zh-CN"/>
                <w14:textFill>
                  <w14:solidFill>
                    <w14:schemeClr w14:val="tx1"/>
                  </w14:solidFill>
                </w14:textFill>
              </w:rPr>
              <w:t>排放</w:t>
            </w:r>
            <w:r>
              <w:rPr>
                <w:rFonts w:hint="default" w:ascii="Times New Roman" w:hAnsi="Times New Roman" w:cs="Times New Roman"/>
                <w:color w:val="000000" w:themeColor="text1"/>
                <w:highlight w:val="none"/>
                <w:lang w:val="en-US" w:eastAsia="zh-CN"/>
                <w14:textFill>
                  <w14:solidFill>
                    <w14:schemeClr w14:val="tx1"/>
                  </w14:solidFill>
                </w14:textFill>
              </w:rPr>
              <w:t>非甲烷总烃执行《工业企业挥发性有机物排放控制标准》（DB13/2322-2016）表1排放浓度限值，</w:t>
            </w:r>
            <w:r>
              <w:rPr>
                <w:rFonts w:hint="eastAsia" w:cs="Times New Roman"/>
                <w:color w:val="000000" w:themeColor="text1"/>
                <w:highlight w:val="none"/>
                <w:lang w:val="en-US" w:eastAsia="zh-CN"/>
                <w14:textFill>
                  <w14:solidFill>
                    <w14:schemeClr w14:val="tx1"/>
                  </w14:solidFill>
                </w14:textFill>
              </w:rPr>
              <w:t>无组织排放</w:t>
            </w:r>
            <w:r>
              <w:rPr>
                <w:rFonts w:hint="default" w:ascii="Times New Roman" w:hAnsi="Times New Roman" w:cs="Times New Roman"/>
                <w:color w:val="000000" w:themeColor="text1"/>
                <w:highlight w:val="none"/>
                <w14:textFill>
                  <w14:solidFill>
                    <w14:schemeClr w14:val="tx1"/>
                  </w14:solidFill>
                </w14:textFill>
              </w:rPr>
              <w:t>非甲烷总烃执行河北省</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工业企业挥发性有机物排放控制标准</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DB13/2322-2016</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表2企业边界浓度限值要求</w:t>
            </w:r>
            <w:r>
              <w:rPr>
                <w:rFonts w:hint="eastAsia" w:cs="Times New Roman"/>
                <w:color w:val="000000" w:themeColor="text1"/>
                <w:highlight w:val="none"/>
                <w:lang w:val="en-US" w:eastAsia="zh-CN"/>
                <w14:textFill>
                  <w14:solidFill>
                    <w14:schemeClr w14:val="tx1"/>
                  </w14:solidFill>
                </w14:textFill>
              </w:rPr>
              <w:t>及</w:t>
            </w:r>
            <w:r>
              <w:rPr>
                <w:rFonts w:hint="default" w:ascii="Times New Roman" w:hAnsi="Times New Roman" w:cs="Times New Roman"/>
                <w:color w:val="000000" w:themeColor="text1"/>
                <w:highlight w:val="none"/>
                <w14:textFill>
                  <w14:solidFill>
                    <w14:schemeClr w14:val="tx1"/>
                  </w14:solidFill>
                </w14:textFill>
              </w:rPr>
              <w:t>《挥发性有机物无组织排放控制标准》（GB37822-2019）中附录A要求</w:t>
            </w:r>
            <w:r>
              <w:rPr>
                <w:rFonts w:hint="default" w:ascii="Times New Roman" w:hAnsi="Times New Roman" w:cs="Times New Roman"/>
                <w:color w:val="000000" w:themeColor="text1"/>
                <w:highlight w:val="none"/>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表3-</w:t>
            </w:r>
            <w:r>
              <w:rPr>
                <w:rFonts w:hint="default" w:ascii="Times New Roman" w:hAnsi="Times New Roman" w:eastAsia="黑体" w:cs="Times New Roman"/>
                <w:color w:val="000000" w:themeColor="text1"/>
                <w:highlight w:val="none"/>
                <w:lang w:val="en-US" w:eastAsia="zh-CN"/>
                <w14:textFill>
                  <w14:solidFill>
                    <w14:schemeClr w14:val="tx1"/>
                  </w14:solidFill>
                </w14:textFill>
              </w:rPr>
              <w:t>7</w:t>
            </w:r>
            <w:r>
              <w:rPr>
                <w:rFonts w:hint="default" w:ascii="Times New Roman" w:hAnsi="Times New Roman" w:eastAsia="黑体" w:cs="Times New Roman"/>
                <w:color w:val="000000" w:themeColor="text1"/>
                <w:highlight w:val="none"/>
                <w14:textFill>
                  <w14:solidFill>
                    <w14:schemeClr w14:val="tx1"/>
                  </w14:solidFill>
                </w14:textFill>
              </w:rPr>
              <w:t xml:space="preserve">  废气污染物排放标准</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0"/>
              <w:gridCol w:w="621"/>
              <w:gridCol w:w="1482"/>
              <w:gridCol w:w="1252"/>
              <w:gridCol w:w="1034"/>
              <w:gridCol w:w="1524"/>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类别</w:t>
                  </w:r>
                </w:p>
              </w:tc>
              <w:tc>
                <w:tcPr>
                  <w:tcW w:w="3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排放形式</w:t>
                  </w:r>
                </w:p>
              </w:tc>
              <w:tc>
                <w:tcPr>
                  <w:tcW w:w="88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污染</w:t>
                  </w:r>
                  <w:r>
                    <w:rPr>
                      <w:rFonts w:hint="default" w:ascii="Times New Roman" w:hAnsi="Times New Roman" w:eastAsia="宋体" w:cs="Times New Roman"/>
                      <w:color w:val="000000" w:themeColor="text1"/>
                      <w:sz w:val="21"/>
                      <w:szCs w:val="21"/>
                      <w:highlight w:val="none"/>
                      <w14:textFill>
                        <w14:solidFill>
                          <w14:schemeClr w14:val="tx1"/>
                        </w14:solidFill>
                      </w14:textFill>
                    </w:rPr>
                    <w:t>因子</w:t>
                  </w:r>
                </w:p>
              </w:tc>
              <w:tc>
                <w:tcPr>
                  <w:tcW w:w="7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浓度限值</w:t>
                  </w:r>
                </w:p>
                <w:p>
                  <w:pPr>
                    <w:pStyle w:val="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16"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排放速率</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（kg/h）</w:t>
                  </w:r>
                </w:p>
              </w:tc>
              <w:tc>
                <w:tcPr>
                  <w:tcW w:w="90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有机废气排放口最低去除效率</w:t>
                  </w:r>
                </w:p>
              </w:tc>
              <w:tc>
                <w:tcPr>
                  <w:tcW w:w="1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标准值来源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37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有组织</w:t>
                  </w:r>
                </w:p>
              </w:tc>
              <w:tc>
                <w:tcPr>
                  <w:tcW w:w="88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7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6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1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《工业企业挥发性有机物排放控制标准》（DB13/2322-2016）表1</w:t>
                  </w:r>
                  <w:r>
                    <w:rPr>
                      <w:rFonts w:hint="eastAsia" w:eastAsia="宋体" w:cs="Times New Roman"/>
                      <w:color w:val="000000" w:themeColor="text1"/>
                      <w:sz w:val="21"/>
                      <w:szCs w:val="21"/>
                      <w:highlight w:val="none"/>
                      <w:lang w:val="en-US" w:eastAsia="zh-CN"/>
                      <w14:textFill>
                        <w14:solidFill>
                          <w14:schemeClr w14:val="tx1"/>
                        </w14:solidFill>
                      </w14:textFill>
                    </w:rPr>
                    <w:t>家具制造业</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88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颗粒物</w:t>
                  </w:r>
                </w:p>
              </w:tc>
              <w:tc>
                <w:tcPr>
                  <w:tcW w:w="7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120</w:t>
                  </w:r>
                </w:p>
              </w:tc>
              <w:tc>
                <w:tcPr>
                  <w:tcW w:w="6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（15m高排气筒）</w:t>
                  </w:r>
                </w:p>
              </w:tc>
              <w:tc>
                <w:tcPr>
                  <w:tcW w:w="9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34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88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18</w:t>
                  </w:r>
                </w:p>
              </w:tc>
              <w:tc>
                <w:tcPr>
                  <w:tcW w:w="6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0.51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（15m高排气筒）</w:t>
                  </w:r>
                </w:p>
              </w:tc>
              <w:tc>
                <w:tcPr>
                  <w:tcW w:w="9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w:t>
                  </w:r>
                </w:p>
              </w:tc>
              <w:tc>
                <w:tcPr>
                  <w:tcW w:w="134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w:t>
                  </w:r>
                </w:p>
              </w:tc>
              <w:tc>
                <w:tcPr>
                  <w:tcW w:w="88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7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6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2270"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生产车间或生产设备边界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企业边界2.0</w:t>
                  </w:r>
                </w:p>
              </w:tc>
              <w:tc>
                <w:tcPr>
                  <w:tcW w:w="1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《工业企业挥发性有机物排放控制标准》（DB13/2322-2016）表2标准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270"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厂房外监控点处1h平均浓度：6</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厂房外监控点处任意一次浓度：2</w:t>
                  </w:r>
                  <w:r>
                    <w:rPr>
                      <w:rFonts w:hint="eastAsia" w:eastAsia="宋体" w:cs="Times New Roman"/>
                      <w:color w:val="000000" w:themeColor="text1"/>
                      <w:sz w:val="21"/>
                      <w:szCs w:val="21"/>
                      <w:highlight w:val="none"/>
                      <w:lang w:val="en-US" w:eastAsia="zh-CN"/>
                      <w14:textFill>
                        <w14:solidFill>
                          <w14:schemeClr w14:val="tx1"/>
                        </w14:solidFill>
                      </w14:textFill>
                    </w:rPr>
                    <w:t>0</w:t>
                  </w:r>
                </w:p>
              </w:tc>
              <w:tc>
                <w:tcPr>
                  <w:tcW w:w="1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《挥发性有机物无组织排放控制标准》（GB37822-2019）中附录A</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标准</w:t>
                  </w:r>
                </w:p>
              </w:tc>
            </w:tr>
          </w:tbl>
          <w:p>
            <w:pPr>
              <w:pStyle w:val="35"/>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噪声排放标准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施工噪声执行《建筑施工场界环境噪声排放标准》（GB12523-2011）排放标准；营运期各厂界噪声排放标准执行《工业企业厂界噪声排放标准》（GB12348-20</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8）中的</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类区标准。具体标准值见下表：</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表3-</w:t>
            </w:r>
            <w:r>
              <w:rPr>
                <w:rFonts w:hint="default" w:ascii="Times New Roman" w:hAnsi="Times New Roman" w:eastAsia="黑体" w:cs="Times New Roman"/>
                <w:color w:val="000000" w:themeColor="text1"/>
                <w:highlight w:val="none"/>
                <w:lang w:val="en-US" w:eastAsia="zh-CN"/>
                <w14:textFill>
                  <w14:solidFill>
                    <w14:schemeClr w14:val="tx1"/>
                  </w14:solidFill>
                </w14:textFill>
              </w:rPr>
              <w:t>8</w:t>
            </w:r>
            <w:r>
              <w:rPr>
                <w:rFonts w:hint="default" w:ascii="Times New Roman" w:hAnsi="Times New Roman" w:eastAsia="黑体" w:cs="Times New Roman"/>
                <w:color w:val="000000" w:themeColor="text1"/>
                <w:highlight w:val="none"/>
                <w14:textFill>
                  <w14:solidFill>
                    <w14:schemeClr w14:val="tx1"/>
                  </w14:solidFill>
                </w14:textFill>
              </w:rPr>
              <w:t xml:space="preserve">  运营期噪声排放标准</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829"/>
              <w:gridCol w:w="720"/>
              <w:gridCol w:w="787"/>
              <w:gridCol w:w="2706"/>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8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类别</w:t>
                  </w:r>
                </w:p>
              </w:tc>
              <w:tc>
                <w:tcPr>
                  <w:tcW w:w="49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排放类型</w:t>
                  </w:r>
                </w:p>
              </w:tc>
              <w:tc>
                <w:tcPr>
                  <w:tcW w:w="898" w:type="pct"/>
                  <w:gridSpan w:val="2"/>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时段</w:t>
                  </w:r>
                </w:p>
              </w:tc>
              <w:tc>
                <w:tcPr>
                  <w:tcW w:w="1613"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标准限值</w:t>
                  </w:r>
                </w:p>
              </w:tc>
              <w:tc>
                <w:tcPr>
                  <w:tcW w:w="1613"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80"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494"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等效连续A声级</w:t>
                  </w:r>
                </w:p>
              </w:tc>
              <w:tc>
                <w:tcPr>
                  <w:tcW w:w="42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施工期</w:t>
                  </w:r>
                </w:p>
              </w:tc>
              <w:tc>
                <w:tcPr>
                  <w:tcW w:w="46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p>
              </w:tc>
              <w:tc>
                <w:tcPr>
                  <w:tcW w:w="1613"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70d</w:t>
                  </w:r>
                  <w:r>
                    <w:rPr>
                      <w:rFonts w:hint="default" w:ascii="Times New Roman" w:hAnsi="Times New Roman" w:eastAsia="宋体" w:cs="Times New Roman"/>
                      <w:color w:val="000000" w:themeColor="text1"/>
                      <w:sz w:val="21"/>
                      <w:szCs w:val="21"/>
                      <w:highlight w:val="none"/>
                      <w14:textFill>
                        <w14:solidFill>
                          <w14:schemeClr w14:val="tx1"/>
                        </w14:solidFill>
                      </w14:textFill>
                    </w:rPr>
                    <w:t>B(A)</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夜间≤5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dB(A)</w:t>
                  </w:r>
                </w:p>
              </w:tc>
              <w:tc>
                <w:tcPr>
                  <w:tcW w:w="1613"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80"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4"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2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运营期</w:t>
                  </w:r>
                </w:p>
              </w:tc>
              <w:tc>
                <w:tcPr>
                  <w:tcW w:w="46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p>
              </w:tc>
              <w:tc>
                <w:tcPr>
                  <w:tcW w:w="1613"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5d</w:t>
                  </w:r>
                  <w:r>
                    <w:rPr>
                      <w:rFonts w:hint="default" w:ascii="Times New Roman" w:hAnsi="Times New Roman" w:eastAsia="宋体" w:cs="Times New Roman"/>
                      <w:color w:val="000000" w:themeColor="text1"/>
                      <w:sz w:val="21"/>
                      <w:szCs w:val="21"/>
                      <w:highlight w:val="none"/>
                      <w14:textFill>
                        <w14:solidFill>
                          <w14:schemeClr w14:val="tx1"/>
                        </w14:solidFill>
                      </w14:textFill>
                    </w:rPr>
                    <w:t>B(A)</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夜间≤5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dB(A)</w:t>
                  </w:r>
                </w:p>
              </w:tc>
              <w:tc>
                <w:tcPr>
                  <w:tcW w:w="1613"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《工业企业厂界环境噪声排放标准》(GB12348-2008)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类区标准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14:textFill>
                  <w14:solidFill>
                    <w14:schemeClr w14:val="tx1"/>
                  </w14:solidFill>
                </w14:textFill>
              </w:rPr>
              <w:t>、固体废物控制标准</w:t>
            </w:r>
          </w:p>
          <w:p>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一般工业固体废物执行《一般工业固体废物贮存和填埋污染控制标准》(GB18599-2020)中的相关规定；②危险废物执行《危险废物贮存污染控制标准》(GB18597-2023)、《危险废物收集、贮存、运输技术规范》(HJ2025-2012)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5" w:hRule="atLeast"/>
          <w:jc w:val="center"/>
        </w:trPr>
        <w:tc>
          <w:tcPr>
            <w:tcW w:w="454" w:type="dxa"/>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总量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控制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指标</w:t>
            </w:r>
          </w:p>
        </w:tc>
        <w:tc>
          <w:tcPr>
            <w:tcW w:w="8615" w:type="dxa"/>
            <w:tcBorders>
              <w:top w:val="single" w:color="auto" w:sz="4" w:space="0"/>
              <w:left w:val="single" w:color="auto" w:sz="4" w:space="0"/>
              <w:bottom w:val="single" w:color="auto" w:sz="8" w:space="0"/>
              <w:right w:val="single" w:color="auto" w:sz="8" w:space="0"/>
            </w:tcBorders>
            <w:shd w:val="clear" w:color="auto" w:fill="auto"/>
            <w:vAlign w:val="top"/>
          </w:tcPr>
          <w:p>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根据实施总量控制的污染物种类及本项目污染物排放特征及</w:t>
            </w:r>
            <w:r>
              <w:rPr>
                <w:rFonts w:hint="default"/>
                <w:color w:val="000000" w:themeColor="text1"/>
                <w:highlight w:val="none"/>
                <w:lang w:val="en-GB"/>
                <w14:textFill>
                  <w14:solidFill>
                    <w14:schemeClr w14:val="tx1"/>
                  </w14:solidFill>
                </w14:textFill>
              </w:rPr>
              <w:t>环境保护部《关于印发</w:t>
            </w:r>
            <w:r>
              <w:rPr>
                <w:rFonts w:hint="default"/>
                <w:color w:val="000000" w:themeColor="text1"/>
                <w:highlight w:val="none"/>
                <w14:textFill>
                  <w14:solidFill>
                    <w14:schemeClr w14:val="tx1"/>
                  </w14:solidFill>
                </w14:textFill>
              </w:rPr>
              <w:t>&lt;建设项目主要污染物排放总量指标审核及管理暂行办法&gt;的通知</w:t>
            </w:r>
            <w:r>
              <w:rPr>
                <w:rFonts w:hint="default"/>
                <w:color w:val="000000" w:themeColor="text1"/>
                <w:highlight w:val="none"/>
                <w:lang w:val="en-GB"/>
                <w14:textFill>
                  <w14:solidFill>
                    <w14:schemeClr w14:val="tx1"/>
                  </w14:solidFill>
                </w14:textFill>
              </w:rPr>
              <w:t>》</w:t>
            </w:r>
            <w:r>
              <w:rPr>
                <w:rFonts w:hint="default"/>
                <w:color w:val="000000" w:themeColor="text1"/>
                <w:highlight w:val="none"/>
                <w14:textFill>
                  <w14:solidFill>
                    <w14:schemeClr w14:val="tx1"/>
                  </w14:solidFill>
                </w14:textFill>
              </w:rPr>
              <w:t>（</w:t>
            </w:r>
            <w:r>
              <w:rPr>
                <w:rFonts w:hint="default"/>
                <w:color w:val="000000" w:themeColor="text1"/>
                <w:highlight w:val="none"/>
                <w:lang w:val="en-GB"/>
                <w14:textFill>
                  <w14:solidFill>
                    <w14:schemeClr w14:val="tx1"/>
                  </w14:solidFill>
                </w14:textFill>
              </w:rPr>
              <w:t>环发</w:t>
            </w:r>
            <w:r>
              <w:rPr>
                <w:rFonts w:hint="default"/>
                <w:color w:val="000000" w:themeColor="text1"/>
                <w:highlight w:val="none"/>
                <w14:textFill>
                  <w14:solidFill>
                    <w14:schemeClr w14:val="tx1"/>
                  </w14:solidFill>
                </w14:textFill>
              </w:rPr>
              <w:t>[</w:t>
            </w:r>
            <w:r>
              <w:rPr>
                <w:rFonts w:hint="default"/>
                <w:color w:val="000000" w:themeColor="text1"/>
                <w:highlight w:val="none"/>
                <w:lang w:val="en-GB"/>
                <w14:textFill>
                  <w14:solidFill>
                    <w14:schemeClr w14:val="tx1"/>
                  </w14:solidFill>
                </w14:textFill>
              </w:rPr>
              <w:t>2014</w:t>
            </w:r>
            <w:r>
              <w:rPr>
                <w:rFonts w:hint="default"/>
                <w:color w:val="000000" w:themeColor="text1"/>
                <w:highlight w:val="none"/>
                <w14:textFill>
                  <w14:solidFill>
                    <w14:schemeClr w14:val="tx1"/>
                  </w14:solidFill>
                </w14:textFill>
              </w:rPr>
              <w:t>]197</w:t>
            </w:r>
            <w:r>
              <w:rPr>
                <w:rFonts w:hint="default"/>
                <w:color w:val="000000" w:themeColor="text1"/>
                <w:highlight w:val="none"/>
                <w:lang w:val="en-GB"/>
                <w14:textFill>
                  <w14:solidFill>
                    <w14:schemeClr w14:val="tx1"/>
                  </w14:solidFill>
                </w14:textFill>
              </w:rPr>
              <w:t>号</w:t>
            </w:r>
            <w:r>
              <w:rPr>
                <w:rFonts w:hint="default"/>
                <w:color w:val="000000" w:themeColor="text1"/>
                <w:highlight w:val="none"/>
                <w14:textFill>
                  <w14:solidFill>
                    <w14:schemeClr w14:val="tx1"/>
                  </w14:solidFill>
                </w14:textFill>
              </w:rPr>
              <w:t>）、河北省环境保护厅</w:t>
            </w:r>
            <w:r>
              <w:rPr>
                <w:rFonts w:hint="default"/>
                <w:color w:val="000000" w:themeColor="text1"/>
                <w:highlight w:val="none"/>
                <w:lang w:val="en-GB"/>
                <w14:textFill>
                  <w14:solidFill>
                    <w14:schemeClr w14:val="tx1"/>
                  </w14:solidFill>
                </w14:textFill>
              </w:rPr>
              <w:t>《关于进一步改革和优化建设项目主要污染物排放总量核定工作的通知》</w:t>
            </w:r>
            <w:r>
              <w:rPr>
                <w:rFonts w:hint="default"/>
                <w:color w:val="000000" w:themeColor="text1"/>
                <w:highlight w:val="none"/>
                <w14:textFill>
                  <w14:solidFill>
                    <w14:schemeClr w14:val="tx1"/>
                  </w14:solidFill>
                </w14:textFill>
              </w:rPr>
              <w:t>（</w:t>
            </w:r>
            <w:r>
              <w:rPr>
                <w:rFonts w:hint="default"/>
                <w:color w:val="000000" w:themeColor="text1"/>
                <w:highlight w:val="none"/>
                <w:lang w:val="en-GB"/>
                <w14:textFill>
                  <w14:solidFill>
                    <w14:schemeClr w14:val="tx1"/>
                  </w14:solidFill>
                </w14:textFill>
              </w:rPr>
              <w:t>冀环总</w:t>
            </w:r>
            <w:r>
              <w:rPr>
                <w:rFonts w:hint="default"/>
                <w:color w:val="000000" w:themeColor="text1"/>
                <w:highlight w:val="none"/>
                <w14:textFill>
                  <w14:solidFill>
                    <w14:schemeClr w14:val="tx1"/>
                  </w14:solidFill>
                </w14:textFill>
              </w:rPr>
              <w:t>[</w:t>
            </w:r>
            <w:r>
              <w:rPr>
                <w:rFonts w:hint="default"/>
                <w:color w:val="000000" w:themeColor="text1"/>
                <w:highlight w:val="none"/>
                <w:lang w:val="en-GB"/>
                <w14:textFill>
                  <w14:solidFill>
                    <w14:schemeClr w14:val="tx1"/>
                  </w14:solidFill>
                </w14:textFill>
              </w:rPr>
              <w:t>2014</w:t>
            </w:r>
            <w:r>
              <w:rPr>
                <w:rFonts w:hint="default"/>
                <w:color w:val="000000" w:themeColor="text1"/>
                <w:highlight w:val="none"/>
                <w14:textFill>
                  <w14:solidFill>
                    <w14:schemeClr w14:val="tx1"/>
                  </w14:solidFill>
                </w14:textFill>
              </w:rPr>
              <w:t>]283</w:t>
            </w:r>
            <w:r>
              <w:rPr>
                <w:rFonts w:hint="default"/>
                <w:color w:val="000000" w:themeColor="text1"/>
                <w:highlight w:val="none"/>
                <w:lang w:val="en-GB"/>
                <w14:textFill>
                  <w14:solidFill>
                    <w14:schemeClr w14:val="tx1"/>
                  </w14:solidFill>
                </w14:textFill>
              </w:rPr>
              <w:t>号</w:t>
            </w:r>
            <w:r>
              <w:rPr>
                <w:rFonts w:hint="default"/>
                <w:color w:val="000000" w:themeColor="text1"/>
                <w:highlight w:val="none"/>
                <w14:textFill>
                  <w14:solidFill>
                    <w14:schemeClr w14:val="tx1"/>
                  </w14:solidFill>
                </w14:textFill>
              </w:rPr>
              <w:t>）</w:t>
            </w:r>
            <w:r>
              <w:rPr>
                <w:rFonts w:hint="default"/>
                <w:color w:val="000000" w:themeColor="text1"/>
                <w:highlight w:val="none"/>
                <w:lang w:val="en-GB"/>
                <w14:textFill>
                  <w14:solidFill>
                    <w14:schemeClr w14:val="tx1"/>
                  </w14:solidFill>
                </w14:textFill>
              </w:rPr>
              <w:t>的规定核算</w:t>
            </w:r>
            <w:r>
              <w:rPr>
                <w:rFonts w:hint="default"/>
                <w:color w:val="000000" w:themeColor="text1"/>
                <w:highlight w:val="none"/>
                <w14:textFill>
                  <w14:solidFill>
                    <w14:schemeClr w14:val="tx1"/>
                  </w14:solidFill>
                </w14:textFill>
              </w:rPr>
              <w:t>，本次项目</w:t>
            </w:r>
            <w:r>
              <w:rPr>
                <w:rFonts w:hint="eastAsia"/>
                <w:color w:val="000000" w:themeColor="text1"/>
                <w:highlight w:val="none"/>
                <w:lang w:val="en-US" w:eastAsia="zh-CN"/>
                <w14:textFill>
                  <w14:solidFill>
                    <w14:schemeClr w14:val="tx1"/>
                  </w14:solidFill>
                </w14:textFill>
              </w:rPr>
              <w:t>废水为职工生活污水，排入化粪池后定期抽运，用于农田施肥；项目</w:t>
            </w:r>
            <w:r>
              <w:rPr>
                <w:rFonts w:hint="default"/>
                <w:color w:val="000000" w:themeColor="text1"/>
                <w:highlight w:val="none"/>
                <w14:textFill>
                  <w14:solidFill>
                    <w14:schemeClr w14:val="tx1"/>
                  </w14:solidFill>
                </w14:textFill>
              </w:rPr>
              <w:t>涉及</w:t>
            </w:r>
            <w:r>
              <w:rPr>
                <w:rFonts w:hint="eastAsia"/>
                <w:color w:val="000000" w:themeColor="text1"/>
                <w:highlight w:val="none"/>
                <w:lang w:eastAsia="zh-CN"/>
                <w14:textFill>
                  <w14:solidFill>
                    <w14:schemeClr w14:val="tx1"/>
                  </w14:solidFill>
                </w14:textFill>
              </w:rPr>
              <w:t>废气</w:t>
            </w:r>
            <w:r>
              <w:rPr>
                <w:rFonts w:hint="default"/>
                <w:color w:val="000000" w:themeColor="text1"/>
                <w:highlight w:val="none"/>
                <w14:textFill>
                  <w14:solidFill>
                    <w14:schemeClr w14:val="tx1"/>
                  </w14:solidFill>
                </w14:textFill>
              </w:rPr>
              <w:t>排放，</w:t>
            </w:r>
            <w:r>
              <w:rPr>
                <w:rFonts w:hint="eastAsia"/>
                <w:color w:val="000000" w:themeColor="text1"/>
                <w:highlight w:val="none"/>
                <w:lang w:val="en-US" w:eastAsia="zh-CN"/>
                <w14:textFill>
                  <w14:solidFill>
                    <w14:schemeClr w14:val="tx1"/>
                  </w14:solidFill>
                </w14:textFill>
              </w:rPr>
              <w:t>废气</w:t>
            </w:r>
            <w:r>
              <w:rPr>
                <w:rFonts w:hint="default"/>
                <w:color w:val="000000" w:themeColor="text1"/>
                <w:highlight w:val="none"/>
                <w14:textFill>
                  <w14:solidFill>
                    <w14:schemeClr w14:val="tx1"/>
                  </w14:solidFill>
                </w14:textFill>
              </w:rPr>
              <w:t>特征污染物为颗粒物、</w:t>
            </w:r>
            <w:r>
              <w:rPr>
                <w:rFonts w:hint="eastAsia"/>
                <w:color w:val="000000" w:themeColor="text1"/>
                <w:highlight w:val="none"/>
                <w:lang w:val="en-US" w:eastAsia="zh-CN"/>
                <w14:textFill>
                  <w14:solidFill>
                    <w14:schemeClr w14:val="tx1"/>
                  </w14:solidFill>
                </w14:textFill>
              </w:rPr>
              <w:t>非甲烷总烃</w:t>
            </w:r>
            <w:r>
              <w:rPr>
                <w:rFonts w:hint="default"/>
                <w:color w:val="000000" w:themeColor="text1"/>
                <w:highlight w:val="none"/>
                <w14:textFill>
                  <w14:solidFill>
                    <w14:schemeClr w14:val="tx1"/>
                  </w14:solidFill>
                </w14:textFill>
              </w:rPr>
              <w:t>。</w:t>
            </w:r>
          </w:p>
          <w:p>
            <w:pPr>
              <w:keepNext w:val="0"/>
              <w:keepLines w:val="0"/>
              <w:suppressLineNumbers w:val="0"/>
              <w:topLinePunct/>
              <w:spacing w:before="0" w:beforeAutospacing="0" w:after="0" w:afterAutospacing="0" w:line="360" w:lineRule="auto"/>
              <w:ind w:left="0" w:right="0"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①执行标准</w:t>
            </w:r>
          </w:p>
          <w:p>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本项目废气污染源主要为</w:t>
            </w:r>
            <w:r>
              <w:rPr>
                <w:rFonts w:hint="default"/>
                <w:color w:val="000000" w:themeColor="text1"/>
                <w:highlight w:val="none"/>
                <w:lang w:val="en-US" w:eastAsia="zh-CN"/>
                <w14:textFill>
                  <w14:solidFill>
                    <w14:schemeClr w14:val="tx1"/>
                  </w14:solidFill>
                </w14:textFill>
              </w:rPr>
              <w:t>开料封边打孔废气</w:t>
            </w:r>
            <w:r>
              <w:rPr>
                <w:rFonts w:hint="eastAsia"/>
                <w:color w:val="000000" w:themeColor="text1"/>
                <w:highlight w:val="none"/>
                <w:lang w:val="en-US" w:eastAsia="zh-CN"/>
                <w14:textFill>
                  <w14:solidFill>
                    <w14:schemeClr w14:val="tx1"/>
                  </w14:solidFill>
                </w14:textFill>
              </w:rPr>
              <w:t>、焊接烟气、喷粉废气、固化废气</w:t>
            </w:r>
            <w:r>
              <w:rPr>
                <w:rFonts w:hint="default"/>
                <w:color w:val="000000" w:themeColor="text1"/>
                <w:highlight w:val="none"/>
                <w14:textFill>
                  <w14:solidFill>
                    <w14:schemeClr w14:val="tx1"/>
                  </w14:solidFill>
                </w14:textFill>
              </w:rPr>
              <w:t>，其中</w:t>
            </w:r>
            <w:r>
              <w:rPr>
                <w:rFonts w:hint="eastAsia"/>
                <w:color w:val="000000" w:themeColor="text1"/>
                <w:highlight w:val="none"/>
                <w:lang w:val="en-US" w:eastAsia="zh-CN"/>
                <w14:textFill>
                  <w14:solidFill>
                    <w14:schemeClr w14:val="tx1"/>
                  </w14:solidFill>
                </w14:textFill>
              </w:rPr>
              <w:t>开料封边打孔废气、焊接烟气、喷粉废气</w:t>
            </w:r>
            <w:r>
              <w:rPr>
                <w:rFonts w:hint="default"/>
                <w:color w:val="000000" w:themeColor="text1"/>
                <w:highlight w:val="none"/>
                <w14:textFill>
                  <w14:solidFill>
                    <w14:schemeClr w14:val="tx1"/>
                  </w14:solidFill>
                </w14:textFill>
              </w:rPr>
              <w:t>颗粒物</w:t>
            </w:r>
            <w:r>
              <w:rPr>
                <w:rFonts w:hint="eastAsia"/>
                <w:color w:val="000000" w:themeColor="text1"/>
                <w:highlight w:val="none"/>
                <w:lang w:eastAsia="zh-CN"/>
                <w14:textFill>
                  <w14:solidFill>
                    <w14:schemeClr w14:val="tx1"/>
                  </w14:solidFill>
                </w14:textFill>
              </w:rPr>
              <w:t>执行《大气污染物综合排放标准》（GB16297-1996）表2排放浓度限值</w:t>
            </w:r>
            <w:r>
              <w:rPr>
                <w:rFonts w:hint="eastAsia"/>
                <w:color w:val="000000" w:themeColor="text1"/>
                <w:highlight w:val="none"/>
                <w:lang w:val="en-US" w:eastAsia="zh-CN"/>
                <w14:textFill>
                  <w14:solidFill>
                    <w14:schemeClr w14:val="tx1"/>
                  </w14:solidFill>
                </w14:textFill>
              </w:rPr>
              <w:t>要求。固化废气非甲烷总烃</w:t>
            </w:r>
            <w:r>
              <w:rPr>
                <w:rFonts w:hint="default"/>
                <w:color w:val="000000" w:themeColor="text1"/>
                <w:highlight w:val="none"/>
                <w14:textFill>
                  <w14:solidFill>
                    <w14:schemeClr w14:val="tx1"/>
                  </w14:solidFill>
                </w14:textFill>
              </w:rPr>
              <w:t>执行</w:t>
            </w:r>
            <w:r>
              <w:rPr>
                <w:rFonts w:hint="eastAsia"/>
                <w:color w:val="000000" w:themeColor="text1"/>
                <w:highlight w:val="none"/>
                <w:lang w:val="en-US" w:eastAsia="zh-CN"/>
                <w14:textFill>
                  <w14:solidFill>
                    <w14:schemeClr w14:val="tx1"/>
                  </w14:solidFill>
                </w14:textFill>
              </w:rPr>
              <w:t>《工业企业挥发性有机物排放控制标准》（DB13/2322-2016）表1排放浓度限值</w:t>
            </w:r>
            <w:r>
              <w:rPr>
                <w:rFonts w:hint="default"/>
                <w:color w:val="000000" w:themeColor="text1"/>
                <w:highlight w:val="none"/>
                <w14:textFill>
                  <w14:solidFill>
                    <w14:schemeClr w14:val="tx1"/>
                  </w14:solidFill>
                </w14:textFill>
              </w:rPr>
              <w:t>，即颗粒物排放浓度限值为12</w:t>
            </w:r>
            <w:r>
              <w:rPr>
                <w:rFonts w:hint="eastAsia"/>
                <w:color w:val="000000" w:themeColor="text1"/>
                <w:highlight w:val="none"/>
                <w:lang w:val="en-US" w:eastAsia="zh-CN"/>
                <w14:textFill>
                  <w14:solidFill>
                    <w14:schemeClr w14:val="tx1"/>
                  </w14:solidFill>
                </w14:textFill>
              </w:rPr>
              <w:t>0</w:t>
            </w:r>
            <w:r>
              <w:rPr>
                <w:rFonts w:hint="default"/>
                <w:color w:val="000000" w:themeColor="text1"/>
                <w:highlight w:val="none"/>
                <w14:textFill>
                  <w14:solidFill>
                    <w14:schemeClr w14:val="tx1"/>
                  </w14:solidFill>
                </w14:textFill>
              </w:rPr>
              <w:t>mg/m</w:t>
            </w:r>
            <w:r>
              <w:rPr>
                <w:rFonts w:hint="default"/>
                <w:color w:val="000000" w:themeColor="text1"/>
                <w:highlight w:val="none"/>
                <w:vertAlign w:val="superscript"/>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（其他）、18</w:t>
            </w:r>
            <w:r>
              <w:rPr>
                <w:rFonts w:hint="default"/>
                <w:color w:val="000000" w:themeColor="text1"/>
                <w:highlight w:val="none"/>
                <w14:textFill>
                  <w14:solidFill>
                    <w14:schemeClr w14:val="tx1"/>
                  </w14:solidFill>
                </w14:textFill>
              </w:rPr>
              <w:t>mg/m</w:t>
            </w:r>
            <w:r>
              <w:rPr>
                <w:rFonts w:hint="default"/>
                <w:color w:val="000000" w:themeColor="text1"/>
                <w:highlight w:val="none"/>
                <w:vertAlign w:val="superscript"/>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（染料尘）</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非甲烷总烃</w:t>
            </w:r>
            <w:r>
              <w:rPr>
                <w:rFonts w:hint="default"/>
                <w:color w:val="000000" w:themeColor="text1"/>
                <w:highlight w:val="none"/>
                <w14:textFill>
                  <w14:solidFill>
                    <w14:schemeClr w14:val="tx1"/>
                  </w14:solidFill>
                </w14:textFill>
              </w:rPr>
              <w:t>排放浓度限值为</w:t>
            </w:r>
            <w:r>
              <w:rPr>
                <w:rFonts w:hint="eastAsia"/>
                <w:color w:val="000000" w:themeColor="text1"/>
                <w:highlight w:val="none"/>
                <w:lang w:val="en-US" w:eastAsia="zh-CN"/>
                <w14:textFill>
                  <w14:solidFill>
                    <w14:schemeClr w14:val="tx1"/>
                  </w14:solidFill>
                </w14:textFill>
              </w:rPr>
              <w:t>60</w:t>
            </w:r>
            <w:r>
              <w:rPr>
                <w:rFonts w:hint="default"/>
                <w:color w:val="000000" w:themeColor="text1"/>
                <w:highlight w:val="none"/>
                <w14:textFill>
                  <w14:solidFill>
                    <w14:schemeClr w14:val="tx1"/>
                  </w14:solidFill>
                </w14:textFill>
              </w:rPr>
              <w:t>mg/m</w:t>
            </w:r>
            <w:r>
              <w:rPr>
                <w:rFonts w:hint="default"/>
                <w:color w:val="000000" w:themeColor="text1"/>
                <w:highlight w:val="none"/>
                <w:vertAlign w:val="superscript"/>
                <w14:textFill>
                  <w14:solidFill>
                    <w14:schemeClr w14:val="tx1"/>
                  </w14:solidFill>
                </w14:textFill>
              </w:rPr>
              <w:t>3</w:t>
            </w:r>
            <w:r>
              <w:rPr>
                <w:rFonts w:hint="default"/>
                <w:color w:val="000000" w:themeColor="text1"/>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②</w:t>
            </w:r>
            <w:r>
              <w:rPr>
                <w:rFonts w:hint="default"/>
                <w:color w:val="000000" w:themeColor="text1"/>
                <w:highlight w:val="none"/>
                <w14:textFill>
                  <w14:solidFill>
                    <w14:schemeClr w14:val="tx1"/>
                  </w14:solidFill>
                </w14:textFill>
              </w:rPr>
              <w:t>本项目总量控制指标</w:t>
            </w:r>
          </w:p>
          <w:p>
            <w:pPr>
              <w:keepNext w:val="0"/>
              <w:keepLines w:val="0"/>
              <w:widowControl w:val="0"/>
              <w:suppressLineNumbers w:val="0"/>
              <w:spacing w:before="0" w:beforeAutospacing="0" w:after="0" w:afterAutospacing="0" w:line="360" w:lineRule="auto"/>
              <w:ind w:left="0" w:right="0" w:firstLine="420" w:firstLineChars="200"/>
              <w:jc w:val="center"/>
              <w:rPr>
                <w:rFonts w:hint="default" w:ascii="Times New Roman" w:hAnsi="Times New Roman" w:eastAsia="仿宋" w:cs="Times New Roman"/>
                <w:color w:val="000000" w:themeColor="text1"/>
                <w:sz w:val="32"/>
                <w:szCs w:val="32"/>
                <w:highlight w:val="none"/>
                <w:lang w:val="en-US"/>
                <w14:textFill>
                  <w14:solidFill>
                    <w14:schemeClr w14:val="tx1"/>
                  </w14:solidFill>
                </w14:textFill>
              </w:rPr>
            </w:pPr>
            <w:r>
              <w:rPr>
                <w:rFonts w:hint="eastAsia" w:ascii="Times New Roman" w:hAnsi="Times New Roman" w:eastAsia="黑体" w:cs="黑体"/>
                <w:color w:val="000000" w:themeColor="text1"/>
                <w:kern w:val="2"/>
                <w:sz w:val="21"/>
                <w:szCs w:val="24"/>
                <w:highlight w:val="none"/>
                <w:lang w:val="en-US" w:eastAsia="zh-CN" w:bidi="ar"/>
                <w14:textFill>
                  <w14:solidFill>
                    <w14:schemeClr w14:val="tx1"/>
                  </w14:solidFill>
                </w14:textFill>
              </w:rPr>
              <w:t>表</w:t>
            </w:r>
            <w:r>
              <w:rPr>
                <w:rFonts w:hint="default" w:ascii="Times New Roman" w:hAnsi="Times New Roman" w:eastAsia="黑体" w:cs="Times New Roman"/>
                <w:color w:val="000000" w:themeColor="text1"/>
                <w:kern w:val="2"/>
                <w:sz w:val="21"/>
                <w:szCs w:val="24"/>
                <w:highlight w:val="none"/>
                <w:lang w:val="en-US" w:eastAsia="zh-CN" w:bidi="ar"/>
                <w14:textFill>
                  <w14:solidFill>
                    <w14:schemeClr w14:val="tx1"/>
                  </w14:solidFill>
                </w14:textFill>
              </w:rPr>
              <w:t>3-</w:t>
            </w:r>
            <w:r>
              <w:rPr>
                <w:rFonts w:hint="eastAsia" w:ascii="Times New Roman" w:hAnsi="Times New Roman" w:eastAsia="黑体" w:cs="Times New Roman"/>
                <w:color w:val="000000" w:themeColor="text1"/>
                <w:kern w:val="2"/>
                <w:sz w:val="21"/>
                <w:szCs w:val="24"/>
                <w:highlight w:val="none"/>
                <w:lang w:val="en-US" w:eastAsia="zh-CN" w:bidi="ar"/>
                <w14:textFill>
                  <w14:solidFill>
                    <w14:schemeClr w14:val="tx1"/>
                  </w14:solidFill>
                </w14:textFill>
              </w:rPr>
              <w:t>9</w:t>
            </w:r>
            <w:r>
              <w:rPr>
                <w:rFonts w:hint="default" w:ascii="Times New Roman" w:hAnsi="Times New Roman" w:eastAsia="宋体" w:cs="Times New Roman"/>
                <w:color w:val="000000" w:themeColor="text1"/>
                <w:kern w:val="2"/>
                <w:sz w:val="21"/>
                <w:szCs w:val="24"/>
                <w:highlight w:val="none"/>
                <w:lang w:val="en-US" w:eastAsia="zh-CN" w:bidi="ar"/>
                <w14:textFill>
                  <w14:solidFill>
                    <w14:schemeClr w14:val="tx1"/>
                  </w14:solidFill>
                </w14:textFill>
              </w:rPr>
              <w:t xml:space="preserve">    </w:t>
            </w:r>
            <w:r>
              <w:rPr>
                <w:rFonts w:hint="eastAsia" w:ascii="Times New Roman" w:hAnsi="Times New Roman" w:eastAsia="黑体" w:cs="黑体"/>
                <w:color w:val="000000" w:themeColor="text1"/>
                <w:kern w:val="2"/>
                <w:sz w:val="21"/>
                <w:szCs w:val="24"/>
                <w:highlight w:val="none"/>
                <w:lang w:val="en-US" w:eastAsia="zh-CN" w:bidi="ar"/>
                <w14:textFill>
                  <w14:solidFill>
                    <w14:schemeClr w14:val="tx1"/>
                  </w14:solidFill>
                </w14:textFill>
              </w:rPr>
              <w:t>本项目总量控制指标结果一览表</w:t>
            </w: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1808"/>
              <w:gridCol w:w="1316"/>
              <w:gridCol w:w="1314"/>
              <w:gridCol w:w="1309"/>
              <w:gridCol w:w="1473"/>
              <w:gridCol w:w="11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PrEx>
              <w:trPr>
                <w:trHeight w:val="340" w:hRule="atLeast"/>
                <w:jc w:val="center"/>
              </w:trPr>
              <w:tc>
                <w:tcPr>
                  <w:tcW w:w="1864" w:type="pct"/>
                  <w:gridSpan w:val="2"/>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污染源</w:t>
                  </w:r>
                </w:p>
              </w:tc>
              <w:tc>
                <w:tcPr>
                  <w:tcW w:w="784"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0"/>
                      <w:kern w:val="2"/>
                      <w:sz w:val="24"/>
                      <w:szCs w:val="23"/>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废气量</w:t>
                  </w:r>
                  <w:r>
                    <w:rPr>
                      <w:rFonts w:hint="eastAsia" w:eastAsia="宋体" w:cs="Times New Roman"/>
                      <w:color w:val="000000" w:themeColor="text1"/>
                      <w:spacing w:val="-10"/>
                      <w:kern w:val="2"/>
                      <w:sz w:val="21"/>
                      <w:szCs w:val="23"/>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spacing w:val="-10"/>
                      <w:kern w:val="2"/>
                      <w:sz w:val="21"/>
                      <w:szCs w:val="23"/>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w:t>
                  </w:r>
                  <w:r>
                    <w:rPr>
                      <w:rFonts w:hint="eastAsia" w:eastAsia="宋体" w:cs="Times New Roman"/>
                      <w:color w:val="000000" w:themeColor="text1"/>
                      <w:spacing w:val="-10"/>
                      <w:kern w:val="2"/>
                      <w:sz w:val="21"/>
                      <w:szCs w:val="23"/>
                      <w:highlight w:val="none"/>
                      <w:lang w:val="en-US" w:eastAsia="zh-CN" w:bidi="ar"/>
                      <w14:textFill>
                        <w14:solidFill>
                          <w14:schemeClr w14:val="tx1"/>
                        </w14:solidFill>
                      </w14:textFill>
                    </w:rPr>
                    <w:t>h）</w:t>
                  </w:r>
                </w:p>
              </w:tc>
              <w:tc>
                <w:tcPr>
                  <w:tcW w:w="781"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eastAsiaTheme="minorEastAsia"/>
                      <w:color w:val="000000" w:themeColor="text1"/>
                      <w:spacing w:val="-10"/>
                      <w:szCs w:val="23"/>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Cs w:val="23"/>
                      <w:highlight w:val="none"/>
                      <w:lang w:val="en-US" w:eastAsia="zh-CN"/>
                      <w14:textFill>
                        <w14:solidFill>
                          <w14:schemeClr w14:val="tx1"/>
                        </w14:solidFill>
                      </w14:textFill>
                    </w:rPr>
                    <w:t>工作时间（h）</w:t>
                  </w:r>
                </w:p>
              </w:tc>
              <w:tc>
                <w:tcPr>
                  <w:tcW w:w="879"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color w:val="000000" w:themeColor="text1"/>
                      <w:spacing w:val="-10"/>
                      <w:szCs w:val="23"/>
                      <w:highlight w:val="none"/>
                      <w:lang w:val="en-US"/>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执行标准（</w:t>
                  </w:r>
                  <w:r>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mg/m</w:t>
                  </w:r>
                  <w:r>
                    <w:rPr>
                      <w:rFonts w:hint="default" w:ascii="Times New Roman" w:hAnsi="Times New Roman" w:eastAsia="宋体" w:cs="Times New Roman"/>
                      <w:color w:val="000000" w:themeColor="text1"/>
                      <w:spacing w:val="-10"/>
                      <w:kern w:val="2"/>
                      <w:sz w:val="21"/>
                      <w:szCs w:val="23"/>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w:t>
                  </w:r>
                </w:p>
              </w:tc>
              <w:tc>
                <w:tcPr>
                  <w:tcW w:w="690" w:type="pct"/>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color w:val="000000" w:themeColor="text1"/>
                      <w:spacing w:val="-10"/>
                      <w:szCs w:val="23"/>
                      <w:highlight w:val="none"/>
                      <w:lang w:val="en-US"/>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总量指标（</w:t>
                  </w:r>
                  <w:r>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t/a</w:t>
                  </w: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PrEx>
              <w:trPr>
                <w:trHeight w:val="340" w:hRule="atLeast"/>
                <w:jc w:val="center"/>
              </w:trPr>
              <w:tc>
                <w:tcPr>
                  <w:tcW w:w="1079" w:type="pct"/>
                  <w:vMerge w:val="restart"/>
                  <w:tcBorders>
                    <w:top w:val="single" w:color="auto" w:sz="8" w:space="0"/>
                    <w:left w:val="single" w:color="auto" w:sz="8"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封边、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打孔废气</w:t>
                  </w:r>
                  <w:r>
                    <w:rPr>
                      <w:rFonts w:hint="default" w:ascii="Times New Roman" w:hAnsi="Times New Roman" w:eastAsia="宋体" w:cs="Times New Roman"/>
                      <w:color w:val="000000" w:themeColor="text1"/>
                      <w:sz w:val="21"/>
                      <w:szCs w:val="21"/>
                      <w:highlight w:val="none"/>
                      <w14:textFill>
                        <w14:solidFill>
                          <w14:schemeClr w14:val="tx1"/>
                        </w14:solidFill>
                      </w14:textFill>
                    </w:rPr>
                    <w:t>（DA001）</w:t>
                  </w:r>
                  <w:r>
                    <w:rPr>
                      <w:rFonts w:hint="eastAsia" w:eastAsia="宋体" w:cs="Times New Roman"/>
                      <w:color w:val="000000" w:themeColor="text1"/>
                      <w:sz w:val="21"/>
                      <w:szCs w:val="21"/>
                      <w:highlight w:val="none"/>
                      <w:lang w:eastAsia="zh-CN"/>
                      <w14:textFill>
                        <w14:solidFill>
                          <w14:schemeClr w14:val="tx1"/>
                        </w14:solidFill>
                      </w14:textFill>
                    </w:rPr>
                    <w:t>）</w:t>
                  </w:r>
                </w:p>
              </w:tc>
              <w:tc>
                <w:tcPr>
                  <w:tcW w:w="785" w:type="pct"/>
                  <w:tcBorders>
                    <w:top w:val="single" w:color="auto" w:sz="8"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eastAsia"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784" w:type="pct"/>
                  <w:vMerge w:val="restart"/>
                  <w:tcBorders>
                    <w:top w:val="single" w:color="auto" w:sz="8"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20000</w:t>
                  </w:r>
                </w:p>
              </w:tc>
              <w:tc>
                <w:tcPr>
                  <w:tcW w:w="781" w:type="pct"/>
                  <w:vMerge w:val="restart"/>
                  <w:tcBorders>
                    <w:top w:val="single" w:color="auto" w:sz="8" w:space="0"/>
                    <w:left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color w:val="000000" w:themeColor="text1"/>
                      <w:spacing w:val="-10"/>
                      <w:szCs w:val="23"/>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Cs w:val="23"/>
                      <w:highlight w:val="none"/>
                      <w:lang w:val="en-US" w:eastAsia="zh-CN"/>
                      <w14:textFill>
                        <w14:solidFill>
                          <w14:schemeClr w14:val="tx1"/>
                        </w14:solidFill>
                      </w14:textFill>
                    </w:rPr>
                    <w:t>2640</w:t>
                  </w:r>
                </w:p>
              </w:tc>
              <w:tc>
                <w:tcPr>
                  <w:tcW w:w="879"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120</w:t>
                  </w:r>
                </w:p>
              </w:tc>
              <w:tc>
                <w:tcPr>
                  <w:tcW w:w="690" w:type="pct"/>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6.336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79" w:type="pct"/>
                  <w:vMerge w:val="continue"/>
                  <w:tcBorders>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p>
              </w:tc>
              <w:tc>
                <w:tcPr>
                  <w:tcW w:w="785" w:type="pct"/>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784"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81"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ascii="Times New Roman" w:hAnsi="Times New Roman" w:cs="Times New Roman"/>
                      <w:color w:val="000000" w:themeColor="text1"/>
                      <w:spacing w:val="-10"/>
                      <w:szCs w:val="23"/>
                      <w:highlight w:val="none"/>
                      <w:lang w:val="en-US" w:eastAsia="zh-CN"/>
                      <w14:textFill>
                        <w14:solidFill>
                          <w14:schemeClr w14:val="tx1"/>
                        </w14:solidFill>
                      </w14:textFill>
                    </w:rPr>
                  </w:pPr>
                </w:p>
              </w:tc>
              <w:tc>
                <w:tcPr>
                  <w:tcW w:w="879"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60</w:t>
                  </w:r>
                </w:p>
              </w:tc>
              <w:tc>
                <w:tcPr>
                  <w:tcW w:w="690" w:type="pct"/>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3.168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79" w:type="pct"/>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焊接烟气（DA002）</w:t>
                  </w:r>
                </w:p>
              </w:tc>
              <w:tc>
                <w:tcPr>
                  <w:tcW w:w="785"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颗粒物</w:t>
                  </w:r>
                </w:p>
              </w:tc>
              <w:tc>
                <w:tcPr>
                  <w:tcW w:w="784"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1500</w:t>
                  </w:r>
                </w:p>
              </w:tc>
              <w:tc>
                <w:tcPr>
                  <w:tcW w:w="781"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color w:val="000000" w:themeColor="text1"/>
                      <w:spacing w:val="-10"/>
                      <w:szCs w:val="23"/>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Cs w:val="23"/>
                      <w:highlight w:val="none"/>
                      <w:lang w:val="en-US" w:eastAsia="zh-CN"/>
                      <w14:textFill>
                        <w14:solidFill>
                          <w14:schemeClr w14:val="tx1"/>
                        </w14:solidFill>
                      </w14:textFill>
                    </w:rPr>
                    <w:t>2640</w:t>
                  </w:r>
                </w:p>
              </w:tc>
              <w:tc>
                <w:tcPr>
                  <w:tcW w:w="879"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120</w:t>
                  </w:r>
                </w:p>
              </w:tc>
              <w:tc>
                <w:tcPr>
                  <w:tcW w:w="690" w:type="pct"/>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0.475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79" w:type="pct"/>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喷粉废气（</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785"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784"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6000</w:t>
                  </w:r>
                </w:p>
              </w:tc>
              <w:tc>
                <w:tcPr>
                  <w:tcW w:w="781"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color w:val="000000" w:themeColor="text1"/>
                      <w:spacing w:val="-10"/>
                      <w:szCs w:val="23"/>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Cs w:val="23"/>
                      <w:highlight w:val="none"/>
                      <w:lang w:val="en-US" w:eastAsia="zh-CN"/>
                      <w14:textFill>
                        <w14:solidFill>
                          <w14:schemeClr w14:val="tx1"/>
                        </w14:solidFill>
                      </w14:textFill>
                    </w:rPr>
                    <w:t>1440</w:t>
                  </w:r>
                </w:p>
              </w:tc>
              <w:tc>
                <w:tcPr>
                  <w:tcW w:w="879"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18</w:t>
                  </w:r>
                </w:p>
              </w:tc>
              <w:tc>
                <w:tcPr>
                  <w:tcW w:w="690" w:type="pct"/>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0.156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79" w:type="pct"/>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固化成型废气</w:t>
                  </w:r>
                  <w:r>
                    <w:rPr>
                      <w:rFonts w:hint="default" w:ascii="Times New Roman" w:hAnsi="Times New Roman" w:eastAsia="宋体" w:cs="Times New Roman"/>
                      <w:color w:val="000000" w:themeColor="text1"/>
                      <w:sz w:val="21"/>
                      <w:szCs w:val="21"/>
                      <w:highlight w:val="none"/>
                      <w14:textFill>
                        <w14:solidFill>
                          <w14:schemeClr w14:val="tx1"/>
                        </w14:solidFill>
                      </w14:textFill>
                    </w:rPr>
                    <w:t>（DA00</w:t>
                  </w:r>
                  <w:r>
                    <w:rPr>
                      <w:rFonts w:hint="eastAsia"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85"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784"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6000</w:t>
                  </w:r>
                </w:p>
              </w:tc>
              <w:tc>
                <w:tcPr>
                  <w:tcW w:w="781"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cs="Times New Roman"/>
                      <w:color w:val="000000" w:themeColor="text1"/>
                      <w:spacing w:val="-10"/>
                      <w:szCs w:val="23"/>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Cs w:val="23"/>
                      <w:highlight w:val="none"/>
                      <w:lang w:val="en-US" w:eastAsia="zh-CN"/>
                      <w14:textFill>
                        <w14:solidFill>
                          <w14:schemeClr w14:val="tx1"/>
                        </w14:solidFill>
                      </w14:textFill>
                    </w:rPr>
                    <w:t>1440</w:t>
                  </w:r>
                </w:p>
              </w:tc>
              <w:tc>
                <w:tcPr>
                  <w:tcW w:w="879"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60</w:t>
                  </w:r>
                </w:p>
              </w:tc>
              <w:tc>
                <w:tcPr>
                  <w:tcW w:w="690" w:type="pct"/>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10"/>
                      <w:kern w:val="2"/>
                      <w:sz w:val="21"/>
                      <w:szCs w:val="23"/>
                      <w:highlight w:val="none"/>
                      <w:lang w:val="en-US" w:eastAsia="zh-CN" w:bidi="ar"/>
                      <w14:textFill>
                        <w14:solidFill>
                          <w14:schemeClr w14:val="tx1"/>
                        </w14:solidFill>
                      </w14:textFill>
                    </w:rPr>
                    <w:t>0.518</w:t>
                  </w:r>
                </w:p>
              </w:tc>
            </w:tr>
          </w:tbl>
          <w:p>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由表3-9分析可知，本项目污染物总量控制指标分别为颗粒物6.967t/a，非甲烷总烃3.686t/a。</w:t>
            </w:r>
          </w:p>
        </w:tc>
      </w:tr>
    </w:tbl>
    <w:p>
      <w:pPr>
        <w:pStyle w:val="20"/>
        <w:jc w:val="center"/>
        <w:outlineLvl w:val="0"/>
        <w:rPr>
          <w:rFonts w:hint="default" w:ascii="黑体" w:eastAsia="黑体" w:cs="黑体"/>
          <w:color w:val="000000" w:themeColor="text1"/>
          <w:sz w:val="30"/>
          <w:szCs w:val="30"/>
          <w:highlight w:val="none"/>
          <w14:textFill>
            <w14:solidFill>
              <w14:schemeClr w14:val="tx1"/>
            </w14:solidFill>
          </w14:textFill>
        </w:rPr>
      </w:pPr>
      <w:r>
        <w:rPr>
          <w:rFonts w:ascii="黑体" w:eastAsia="黑体"/>
          <w:snapToGrid w:val="0"/>
          <w:color w:val="000000" w:themeColor="text1"/>
          <w:sz w:val="36"/>
          <w:szCs w:val="36"/>
          <w:highlight w:val="none"/>
          <w:lang w:bidi="ar"/>
          <w14:textFill>
            <w14:solidFill>
              <w14:schemeClr w14:val="tx1"/>
            </w14:solidFill>
          </w14:textFill>
        </w:rPr>
        <w:br w:type="page"/>
      </w:r>
      <w:r>
        <w:rPr>
          <w:rFonts w:ascii="黑体" w:eastAsia="黑体" w:cs="黑体"/>
          <w:snapToGrid w:val="0"/>
          <w:color w:val="000000" w:themeColor="text1"/>
          <w:sz w:val="30"/>
          <w:szCs w:val="30"/>
          <w:highlight w:val="none"/>
          <w14:textFill>
            <w14:solidFill>
              <w14:schemeClr w14:val="tx1"/>
            </w14:solidFill>
          </w14:textFill>
        </w:rPr>
        <w:t>四、主要环境影响和保护措施</w:t>
      </w:r>
    </w:p>
    <w:tbl>
      <w:tblPr>
        <w:tblStyle w:val="24"/>
        <w:tblW w:w="89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5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施工</w:t>
            </w:r>
          </w:p>
          <w:p>
            <w:pPr>
              <w:pStyle w:val="2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期环</w:t>
            </w:r>
          </w:p>
          <w:p>
            <w:pPr>
              <w:pStyle w:val="2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境保</w:t>
            </w:r>
          </w:p>
          <w:p>
            <w:pPr>
              <w:pStyle w:val="2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护措</w:t>
            </w:r>
          </w:p>
          <w:p>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施</w:t>
            </w:r>
          </w:p>
        </w:tc>
        <w:tc>
          <w:tcPr>
            <w:tcW w:w="8564" w:type="dxa"/>
            <w:tcBorders>
              <w:top w:val="single" w:color="auto" w:sz="8" w:space="0"/>
              <w:left w:val="single" w:color="auto" w:sz="4" w:space="0"/>
              <w:bottom w:val="single" w:color="auto" w:sz="4" w:space="0"/>
              <w:right w:val="single" w:color="auto" w:sz="8" w:space="0"/>
            </w:tcBorders>
            <w:shd w:val="clear" w:color="auto" w:fill="auto"/>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000000" w:themeColor="text1"/>
                <w:spacing w:val="-10"/>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本项目在现有车间内建设，不涉及土建施工。施工噪声主要为设备运输及安装噪声，本评价要求新购置设备在运输经过厂址附近居民区时禁止鸣笛，安装设备时须在厂房内施工，从而减小噪声对周围环境的影响。施工人员</w:t>
            </w:r>
            <w:r>
              <w:rPr>
                <w:rFonts w:hint="eastAsia" w:cs="Times New Roman"/>
                <w:color w:val="000000" w:themeColor="text1"/>
                <w:szCs w:val="21"/>
                <w:highlight w:val="none"/>
                <w:lang w:eastAsia="zh-CN"/>
                <w14:textFill>
                  <w14:solidFill>
                    <w14:schemeClr w14:val="tx1"/>
                  </w14:solidFill>
                </w14:textFill>
              </w:rPr>
              <w:t>废水为</w:t>
            </w:r>
            <w:r>
              <w:rPr>
                <w:rFonts w:hint="default" w:ascii="Times New Roman" w:hAnsi="Times New Roman" w:cs="Times New Roman"/>
                <w:color w:val="000000" w:themeColor="text1"/>
                <w:szCs w:val="21"/>
                <w:highlight w:val="none"/>
                <w14:textFill>
                  <w14:solidFill>
                    <w14:schemeClr w14:val="tx1"/>
                  </w14:solidFill>
                </w14:textFill>
              </w:rPr>
              <w:t>生活</w:t>
            </w:r>
            <w:r>
              <w:rPr>
                <w:rFonts w:hint="eastAsia" w:cs="Times New Roman"/>
                <w:color w:val="000000" w:themeColor="text1"/>
                <w:szCs w:val="21"/>
                <w:highlight w:val="none"/>
                <w:lang w:eastAsia="zh-CN"/>
                <w14:textFill>
                  <w14:solidFill>
                    <w14:schemeClr w14:val="tx1"/>
                  </w14:solidFill>
                </w14:textFill>
              </w:rPr>
              <w:t>污水，排入化粪池</w:t>
            </w:r>
            <w:r>
              <w:rPr>
                <w:rFonts w:hint="default" w:ascii="Times New Roman" w:hAnsi="Times New Roman" w:cs="Times New Roman"/>
                <w:color w:val="000000" w:themeColor="text1"/>
                <w:szCs w:val="21"/>
                <w:highlight w:val="none"/>
                <w14:textFill>
                  <w14:solidFill>
                    <w14:schemeClr w14:val="tx1"/>
                  </w14:solidFill>
                </w14:textFill>
              </w:rPr>
              <w:t>，无废水直接排入外坏境，因此，不会对周边水环境产生污染影响。施工过程中产生的固体废物主要为设备安装过程中产生的废弃包装材料，属一般固体废物，收集后送当地</w:t>
            </w:r>
            <w:r>
              <w:rPr>
                <w:rFonts w:hint="eastAsia" w:cs="Times New Roman"/>
                <w:color w:val="000000" w:themeColor="text1"/>
                <w:szCs w:val="21"/>
                <w:highlight w:val="none"/>
                <w:lang w:eastAsia="zh-CN"/>
                <w14:textFill>
                  <w14:solidFill>
                    <w14:schemeClr w14:val="tx1"/>
                  </w14:solidFill>
                </w14:textFill>
              </w:rPr>
              <w:t>环卫</w:t>
            </w:r>
            <w:r>
              <w:rPr>
                <w:rFonts w:hint="default" w:ascii="Times New Roman" w:hAnsi="Times New Roman" w:cs="Times New Roman"/>
                <w:color w:val="000000" w:themeColor="text1"/>
                <w:szCs w:val="21"/>
                <w:highlight w:val="none"/>
                <w14:textFill>
                  <w14:solidFill>
                    <w14:schemeClr w14:val="tx1"/>
                  </w14:solidFill>
                </w14:textFill>
              </w:rPr>
              <w:t>部门</w:t>
            </w:r>
            <w:r>
              <w:rPr>
                <w:rFonts w:hint="eastAsia" w:cs="Times New Roman"/>
                <w:color w:val="000000" w:themeColor="text1"/>
                <w:szCs w:val="21"/>
                <w:highlight w:val="none"/>
                <w:lang w:eastAsia="zh-CN"/>
                <w14:textFill>
                  <w14:solidFill>
                    <w14:schemeClr w14:val="tx1"/>
                  </w14:solidFill>
                </w14:textFill>
              </w:rPr>
              <w:t>处理</w:t>
            </w:r>
            <w:r>
              <w:rPr>
                <w:rFonts w:hint="default" w:ascii="Times New Roman" w:hAnsi="Times New Roman" w:cs="Times New Roman"/>
                <w:color w:val="000000" w:themeColor="text1"/>
                <w:szCs w:val="21"/>
                <w:highlight w:val="none"/>
                <w14:textFill>
                  <w14:solidFill>
                    <w14:schemeClr w14:val="tx1"/>
                  </w14:solidFill>
                </w14:textFill>
              </w:rPr>
              <w:t>，因此，施工期产生的固体废物全部得到妥善处置，不会对周围环境产生明显影响。以上影响为短期影响，将会随施工期的结束而消除，在落实以上污染防治措施后不会对周围环境产生明显影响。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运营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期环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境影</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响和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保护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措施</w:t>
            </w:r>
          </w:p>
        </w:tc>
        <w:tc>
          <w:tcPr>
            <w:tcW w:w="8564" w:type="dxa"/>
            <w:tcBorders>
              <w:top w:val="single" w:color="auto" w:sz="4" w:space="0"/>
              <w:left w:val="single" w:color="auto" w:sz="4" w:space="0"/>
              <w:bottom w:val="single" w:color="auto" w:sz="8" w:space="0"/>
              <w:right w:val="single" w:color="auto" w:sz="8" w:space="0"/>
            </w:tcBorders>
            <w:shd w:val="clear" w:color="auto" w:fill="auto"/>
            <w:vAlign w:val="center"/>
          </w:tcPr>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一、废气</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1、污染治理设施</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本项目废气主要为</w:t>
            </w:r>
            <w:r>
              <w:rPr>
                <w:rFonts w:hint="default"/>
                <w:color w:val="000000" w:themeColor="text1"/>
                <w:highlight w:val="none"/>
                <w:lang w:val="en-US" w:eastAsia="zh-CN"/>
                <w14:textFill>
                  <w14:solidFill>
                    <w14:schemeClr w14:val="tx1"/>
                  </w14:solidFill>
                </w14:textFill>
              </w:rPr>
              <w:t>开料封边打孔废气</w:t>
            </w:r>
            <w:r>
              <w:rPr>
                <w:rFonts w:hint="eastAsia"/>
                <w:color w:val="000000" w:themeColor="text1"/>
                <w:highlight w:val="none"/>
                <w:lang w:val="en-US" w:eastAsia="zh-CN"/>
                <w14:textFill>
                  <w14:solidFill>
                    <w14:schemeClr w14:val="tx1"/>
                  </w14:solidFill>
                </w14:textFill>
              </w:rPr>
              <w:t>、焊接烟气、喷粉废气、固化废气</w:t>
            </w:r>
            <w:r>
              <w:rPr>
                <w:rFonts w:hint="default" w:ascii="Times New Roman" w:hAnsi="Times New Roman" w:cs="Times New Roman"/>
                <w:color w:val="000000" w:themeColor="text1"/>
                <w:highlight w:val="none"/>
                <w:lang w:val="en-US" w:eastAsia="zh-CN"/>
                <w14:textFill>
                  <w14:solidFill>
                    <w14:schemeClr w14:val="tx1"/>
                  </w14:solidFill>
                </w14:textFill>
              </w:rPr>
              <w:t>等，各废气治理措施详见表</w:t>
            </w:r>
            <w:r>
              <w:rPr>
                <w:rFonts w:hint="eastAsia" w:ascii="Times New Roman" w:hAnsi="Times New Roman" w:cs="Times New Roman"/>
                <w:color w:val="000000" w:themeColor="text1"/>
                <w:highlight w:val="none"/>
                <w:lang w:val="en-US" w:eastAsia="zh-CN"/>
                <w14:textFill>
                  <w14:solidFill>
                    <w14:schemeClr w14:val="tx1"/>
                  </w14:solidFill>
                </w14:textFill>
              </w:rPr>
              <w:t>4-1、4-2</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jc w:val="center"/>
              <w:textAlignment w:val="auto"/>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eastAsia" w:ascii="Times New Roman" w:hAnsi="Times New Roman" w:eastAsia="黑体" w:cs="Times New Roman"/>
                <w:color w:val="000000" w:themeColor="text1"/>
                <w:highlight w:val="none"/>
                <w:lang w:val="en-US" w:eastAsia="zh-CN"/>
                <w14:textFill>
                  <w14:solidFill>
                    <w14:schemeClr w14:val="tx1"/>
                  </w14:solidFill>
                </w14:textFill>
              </w:rPr>
              <w:t>1</w:t>
            </w:r>
            <w:r>
              <w:rPr>
                <w:rFonts w:hint="default" w:ascii="Times New Roman" w:hAnsi="Times New Roman" w:eastAsia="黑体" w:cs="Times New Roman"/>
                <w:color w:val="000000" w:themeColor="text1"/>
                <w:highlight w:val="none"/>
                <w14:textFill>
                  <w14:solidFill>
                    <w14:schemeClr w14:val="tx1"/>
                  </w14:solidFill>
                </w14:textFill>
              </w:rPr>
              <w:t xml:space="preserve">  </w:t>
            </w:r>
            <w:r>
              <w:rPr>
                <w:rFonts w:hint="default" w:ascii="Times New Roman" w:hAnsi="Times New Roman" w:eastAsia="黑体" w:cs="Times New Roman"/>
                <w:color w:val="000000" w:themeColor="text1"/>
                <w:highlight w:val="none"/>
                <w:lang w:eastAsia="zh-CN"/>
                <w14:textFill>
                  <w14:solidFill>
                    <w14:schemeClr w14:val="tx1"/>
                  </w14:solidFill>
                </w14:textFill>
              </w:rPr>
              <w:t>木质家具生产</w:t>
            </w:r>
            <w:r>
              <w:rPr>
                <w:rFonts w:hint="default" w:ascii="Times New Roman" w:hAnsi="Times New Roman" w:eastAsia="黑体" w:cs="Times New Roman"/>
                <w:color w:val="000000" w:themeColor="text1"/>
                <w:highlight w:val="none"/>
                <w14:textFill>
                  <w14:solidFill>
                    <w14:schemeClr w14:val="tx1"/>
                  </w14:solidFill>
                </w14:textFill>
              </w:rPr>
              <w:t>废气污染治理措施一览表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26"/>
              <w:gridCol w:w="1088"/>
              <w:gridCol w:w="955"/>
              <w:gridCol w:w="377"/>
              <w:gridCol w:w="2078"/>
              <w:gridCol w:w="890"/>
              <w:gridCol w:w="530"/>
              <w:gridCol w:w="1386"/>
              <w:gridCol w:w="6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65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产污环节</w:t>
                  </w:r>
                </w:p>
              </w:tc>
              <w:tc>
                <w:tcPr>
                  <w:tcW w:w="57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22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形式</w:t>
                  </w:r>
                </w:p>
              </w:tc>
              <w:tc>
                <w:tcPr>
                  <w:tcW w:w="3350"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污染治理措施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15" w:hRule="atLeast"/>
                <w:jc w:val="center"/>
              </w:trPr>
              <w:tc>
                <w:tcPr>
                  <w:tcW w:w="1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7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工艺名称</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处理能力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Nm³/h</w:t>
                  </w:r>
                </w:p>
              </w:tc>
              <w:tc>
                <w:tcPr>
                  <w:tcW w:w="3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收集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效率%</w:t>
                  </w:r>
                </w:p>
              </w:tc>
              <w:tc>
                <w:tcPr>
                  <w:tcW w:w="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去除率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是否为可行技术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51" w:hRule="atLeast"/>
                <w:jc w:val="center"/>
              </w:trPr>
              <w:tc>
                <w:tcPr>
                  <w:tcW w:w="1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6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w:t>
                  </w:r>
                  <w:r>
                    <w:rPr>
                      <w:rFonts w:hint="eastAsia" w:eastAsia="宋体" w:cs="Times New Roman"/>
                      <w:color w:val="000000" w:themeColor="text1"/>
                      <w:sz w:val="21"/>
                      <w:szCs w:val="21"/>
                      <w:highlight w:val="none"/>
                      <w:lang w:val="en-US" w:eastAsia="zh-CN"/>
                      <w14:textFill>
                        <w14:solidFill>
                          <w14:schemeClr w14:val="tx1"/>
                        </w14:solidFill>
                      </w14:textFill>
                    </w:rPr>
                    <w:t>封边打孔</w:t>
                  </w: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5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颗粒物</w:t>
                  </w:r>
                  <w:r>
                    <w:rPr>
                      <w:rFonts w:hint="eastAsia" w:eastAsia="宋体" w:cs="Times New Roman"/>
                      <w:color w:val="000000" w:themeColor="text1"/>
                      <w:sz w:val="21"/>
                      <w:szCs w:val="21"/>
                      <w:highlight w:val="none"/>
                      <w:lang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非甲烷总烃</w:t>
                  </w:r>
                </w:p>
              </w:tc>
              <w:tc>
                <w:tcPr>
                  <w:tcW w:w="2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有组织</w:t>
                  </w:r>
                </w:p>
              </w:tc>
              <w:tc>
                <w:tcPr>
                  <w:tcW w:w="12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集气罩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袋式除尘器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15m高排气筒（DA001）</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t>000</w:t>
                  </w:r>
                </w:p>
              </w:tc>
              <w:tc>
                <w:tcPr>
                  <w:tcW w:w="3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w:t>
                  </w:r>
                </w:p>
              </w:tc>
              <w:tc>
                <w:tcPr>
                  <w:tcW w:w="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非甲烷总烃：/</w:t>
                  </w:r>
                </w:p>
              </w:tc>
              <w:tc>
                <w:tcPr>
                  <w:tcW w:w="4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19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w:t>
                  </w:r>
                </w:p>
              </w:tc>
              <w:tc>
                <w:tcPr>
                  <w:tcW w:w="65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无组织排放废气</w:t>
                  </w:r>
                </w:p>
              </w:tc>
              <w:tc>
                <w:tcPr>
                  <w:tcW w:w="5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22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w:t>
                  </w:r>
                </w:p>
              </w:tc>
              <w:tc>
                <w:tcPr>
                  <w:tcW w:w="124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生产车间密闭</w:t>
                  </w:r>
                </w:p>
              </w:tc>
              <w:tc>
                <w:tcPr>
                  <w:tcW w:w="53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1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3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1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46" w:hRule="atLeast"/>
                <w:jc w:val="center"/>
              </w:trPr>
              <w:tc>
                <w:tcPr>
                  <w:tcW w:w="19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5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非甲烷总烃</w:t>
                  </w:r>
                </w:p>
              </w:tc>
              <w:tc>
                <w:tcPr>
                  <w:tcW w:w="22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3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1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eastAsia" w:ascii="Times New Roman" w:hAnsi="Times New Roman" w:eastAsia="黑体" w:cs="Times New Roman"/>
                <w:color w:val="000000" w:themeColor="text1"/>
                <w:highlight w:val="none"/>
                <w:lang w:val="en-US" w:eastAsia="zh-CN"/>
                <w14:textFill>
                  <w14:solidFill>
                    <w14:schemeClr w14:val="tx1"/>
                  </w14:solidFill>
                </w14:textFill>
              </w:rPr>
              <w:t>2</w:t>
            </w:r>
            <w:r>
              <w:rPr>
                <w:rFonts w:hint="default" w:ascii="Times New Roman" w:hAnsi="Times New Roman" w:eastAsia="黑体" w:cs="Times New Roman"/>
                <w:color w:val="000000" w:themeColor="text1"/>
                <w:highlight w:val="none"/>
                <w14:textFill>
                  <w14:solidFill>
                    <w14:schemeClr w14:val="tx1"/>
                  </w14:solidFill>
                </w14:textFill>
              </w:rPr>
              <w:t xml:space="preserve">  </w:t>
            </w:r>
            <w:r>
              <w:rPr>
                <w:rFonts w:hint="default" w:ascii="Times New Roman" w:hAnsi="Times New Roman" w:eastAsia="黑体" w:cs="Times New Roman"/>
                <w:color w:val="000000" w:themeColor="text1"/>
                <w:highlight w:val="none"/>
                <w:lang w:eastAsia="zh-CN"/>
                <w14:textFill>
                  <w14:solidFill>
                    <w14:schemeClr w14:val="tx1"/>
                  </w14:solidFill>
                </w14:textFill>
              </w:rPr>
              <w:t>金属家具生产</w:t>
            </w:r>
            <w:r>
              <w:rPr>
                <w:rFonts w:hint="default" w:ascii="Times New Roman" w:hAnsi="Times New Roman" w:eastAsia="黑体" w:cs="Times New Roman"/>
                <w:color w:val="000000" w:themeColor="text1"/>
                <w:highlight w:val="none"/>
                <w14:textFill>
                  <w14:solidFill>
                    <w14:schemeClr w14:val="tx1"/>
                  </w14:solidFill>
                </w14:textFill>
              </w:rPr>
              <w:t>废气污染治理措施一览表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09"/>
              <w:gridCol w:w="1452"/>
              <w:gridCol w:w="790"/>
              <w:gridCol w:w="452"/>
              <w:gridCol w:w="1795"/>
              <w:gridCol w:w="980"/>
              <w:gridCol w:w="700"/>
              <w:gridCol w:w="985"/>
              <w:gridCol w:w="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87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产污环节</w:t>
                  </w:r>
                </w:p>
              </w:tc>
              <w:tc>
                <w:tcPr>
                  <w:tcW w:w="47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27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形式</w:t>
                  </w:r>
                </w:p>
              </w:tc>
              <w:tc>
                <w:tcPr>
                  <w:tcW w:w="3195"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污染治理措施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7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7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7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工艺名称</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处理能力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Nm³/h</w:t>
                  </w:r>
                </w:p>
              </w:tc>
              <w:tc>
                <w:tcPr>
                  <w:tcW w:w="4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收集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效率%</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去除率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是否为可行技术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w:t>
                  </w:r>
                </w:p>
              </w:tc>
              <w:tc>
                <w:tcPr>
                  <w:tcW w:w="87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焊接烟气</w:t>
                  </w:r>
                </w:p>
              </w:tc>
              <w:tc>
                <w:tcPr>
                  <w:tcW w:w="4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颗粒物</w:t>
                  </w:r>
                </w:p>
              </w:tc>
              <w:tc>
                <w:tcPr>
                  <w:tcW w:w="27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有</w:t>
                  </w:r>
                  <w:r>
                    <w:rPr>
                      <w:rFonts w:hint="default" w:ascii="Times New Roman" w:hAnsi="Times New Roman" w:eastAsia="宋体" w:cs="Times New Roman"/>
                      <w:color w:val="000000" w:themeColor="text1"/>
                      <w:sz w:val="21"/>
                      <w:szCs w:val="21"/>
                      <w:highlight w:val="none"/>
                      <w14:textFill>
                        <w14:solidFill>
                          <w14:schemeClr w14:val="tx1"/>
                        </w14:solidFill>
                      </w14:textFill>
                    </w:rPr>
                    <w:t>组织</w:t>
                  </w:r>
                </w:p>
              </w:tc>
              <w:tc>
                <w:tcPr>
                  <w:tcW w:w="107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袋式除尘器+15m高排气筒（DA002）</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1500</w:t>
                  </w:r>
                </w:p>
              </w:tc>
              <w:tc>
                <w:tcPr>
                  <w:tcW w:w="4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90</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99</w:t>
                  </w:r>
                </w:p>
              </w:tc>
              <w:tc>
                <w:tcPr>
                  <w:tcW w:w="5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93" w:hRule="atLeast"/>
                <w:jc w:val="center"/>
              </w:trPr>
              <w:tc>
                <w:tcPr>
                  <w:tcW w:w="1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w:t>
                  </w:r>
                </w:p>
              </w:tc>
              <w:tc>
                <w:tcPr>
                  <w:tcW w:w="87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喷粉废气</w:t>
                  </w:r>
                </w:p>
              </w:tc>
              <w:tc>
                <w:tcPr>
                  <w:tcW w:w="4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27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有</w:t>
                  </w:r>
                  <w:r>
                    <w:rPr>
                      <w:rFonts w:hint="default" w:ascii="Times New Roman" w:hAnsi="Times New Roman" w:eastAsia="宋体" w:cs="Times New Roman"/>
                      <w:color w:val="000000" w:themeColor="text1"/>
                      <w:sz w:val="21"/>
                      <w:szCs w:val="21"/>
                      <w:highlight w:val="none"/>
                      <w14:textFill>
                        <w14:solidFill>
                          <w14:schemeClr w14:val="tx1"/>
                        </w14:solidFill>
                      </w14:textFill>
                    </w:rPr>
                    <w:t>组织</w:t>
                  </w:r>
                </w:p>
              </w:tc>
              <w:tc>
                <w:tcPr>
                  <w:tcW w:w="107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设备</w:t>
                  </w:r>
                  <w:r>
                    <w:rPr>
                      <w:rFonts w:hint="eastAsia" w:eastAsia="宋体" w:cs="Times New Roman"/>
                      <w:color w:val="000000" w:themeColor="text1"/>
                      <w:sz w:val="21"/>
                      <w:szCs w:val="21"/>
                      <w:highlight w:val="none"/>
                      <w:lang w:eastAsia="zh-CN"/>
                      <w14:textFill>
                        <w14:solidFill>
                          <w14:schemeClr w14:val="tx1"/>
                        </w14:solidFill>
                      </w14:textFill>
                    </w:rPr>
                    <w:t>密闭、</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滤芯过滤</w:t>
                  </w:r>
                  <w:r>
                    <w:rPr>
                      <w:rFonts w:hint="eastAsia" w:eastAsia="宋体" w:cs="Times New Roman"/>
                      <w:color w:val="000000" w:themeColor="text1"/>
                      <w:sz w:val="21"/>
                      <w:szCs w:val="21"/>
                      <w:highlight w:val="none"/>
                      <w:lang w:eastAsia="zh-CN"/>
                      <w14:textFill>
                        <w14:solidFill>
                          <w14:schemeClr w14:val="tx1"/>
                        </w14:solidFill>
                      </w14:textFill>
                    </w:rPr>
                    <w:t>回收系统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m高排气筒（DA00</w:t>
                  </w:r>
                  <w:r>
                    <w:rPr>
                      <w:rFonts w:hint="eastAsia"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p>
              </w:tc>
              <w:tc>
                <w:tcPr>
                  <w:tcW w:w="4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95</w:t>
                  </w:r>
                </w:p>
              </w:tc>
              <w:tc>
                <w:tcPr>
                  <w:tcW w:w="5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23" w:hRule="atLeast"/>
                <w:jc w:val="center"/>
              </w:trPr>
              <w:tc>
                <w:tcPr>
                  <w:tcW w:w="1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w:t>
                  </w:r>
                </w:p>
              </w:tc>
              <w:tc>
                <w:tcPr>
                  <w:tcW w:w="87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固化</w:t>
                  </w: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4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27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有组织</w:t>
                  </w:r>
                </w:p>
              </w:tc>
              <w:tc>
                <w:tcPr>
                  <w:tcW w:w="107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两级</w:t>
                  </w:r>
                  <w:r>
                    <w:rPr>
                      <w:rFonts w:hint="default" w:ascii="Times New Roman" w:hAnsi="Times New Roman" w:eastAsia="宋体" w:cs="Times New Roman"/>
                      <w:color w:val="000000" w:themeColor="text1"/>
                      <w:sz w:val="21"/>
                      <w:szCs w:val="21"/>
                      <w:highlight w:val="none"/>
                      <w14:textFill>
                        <w14:solidFill>
                          <w14:schemeClr w14:val="tx1"/>
                        </w14:solidFill>
                      </w14:textFill>
                    </w:rPr>
                    <w:t>活性炭吸附+15m高排气筒（DA00</w:t>
                  </w:r>
                  <w:r>
                    <w:rPr>
                      <w:rFonts w:hint="eastAsia"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14:textFill>
                        <w14:solidFill>
                          <w14:schemeClr w14:val="tx1"/>
                        </w14:solidFill>
                      </w14:textFill>
                    </w:rPr>
                    <w:t>000</w:t>
                  </w:r>
                </w:p>
              </w:tc>
              <w:tc>
                <w:tcPr>
                  <w:tcW w:w="4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非甲烷总烃：80</w:t>
                  </w:r>
                </w:p>
              </w:tc>
              <w:tc>
                <w:tcPr>
                  <w:tcW w:w="5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8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87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无组织排放废气</w:t>
                  </w:r>
                </w:p>
              </w:tc>
              <w:tc>
                <w:tcPr>
                  <w:tcW w:w="4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27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无组织</w:t>
                  </w:r>
                </w:p>
              </w:tc>
              <w:tc>
                <w:tcPr>
                  <w:tcW w:w="107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生产车间密闭、设备密闭、自然沉降</w:t>
                  </w:r>
                </w:p>
              </w:tc>
              <w:tc>
                <w:tcPr>
                  <w:tcW w:w="58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2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9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1" w:hRule="atLeast"/>
                <w:jc w:val="center"/>
              </w:trPr>
              <w:tc>
                <w:tcPr>
                  <w:tcW w:w="18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7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27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7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8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2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依据《排污许可证申请与核发技术规范 </w:t>
            </w:r>
            <w:r>
              <w:rPr>
                <w:rFonts w:hint="default" w:ascii="Times New Roman" w:hAnsi="Times New Roman" w:cs="Times New Roman"/>
                <w:color w:val="000000" w:themeColor="text1"/>
                <w:highlight w:val="none"/>
                <w:lang w:eastAsia="zh-CN"/>
                <w14:textFill>
                  <w14:solidFill>
                    <w14:schemeClr w14:val="tx1"/>
                  </w14:solidFill>
                </w14:textFill>
              </w:rPr>
              <w:t>家具制造</w:t>
            </w:r>
            <w:r>
              <w:rPr>
                <w:rFonts w:hint="default" w:ascii="Times New Roman" w:hAnsi="Times New Roman" w:cs="Times New Roman"/>
                <w:color w:val="000000" w:themeColor="text1"/>
                <w:highlight w:val="none"/>
                <w14:textFill>
                  <w14:solidFill>
                    <w14:schemeClr w14:val="tx1"/>
                  </w14:solidFill>
                </w14:textFill>
              </w:rPr>
              <w:t>工业》（HJ</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027</w:t>
            </w:r>
            <w:r>
              <w:rPr>
                <w:rFonts w:hint="default" w:ascii="Times New Roman" w:hAnsi="Times New Roman" w:cs="Times New Roman"/>
                <w:color w:val="000000" w:themeColor="text1"/>
                <w:highlight w:val="none"/>
                <w14:textFill>
                  <w14:solidFill>
                    <w14:schemeClr w14:val="tx1"/>
                  </w14:solidFill>
                </w14:textFill>
              </w:rPr>
              <w:t>-20</w:t>
            </w:r>
            <w:r>
              <w:rPr>
                <w:rFonts w:hint="default" w:ascii="Times New Roman" w:hAnsi="Times New Roman" w:cs="Times New Roman"/>
                <w:color w:val="000000" w:themeColor="text1"/>
                <w:highlight w:val="none"/>
                <w:lang w:val="en-US" w:eastAsia="zh-CN"/>
                <w14:textFill>
                  <w14:solidFill>
                    <w14:schemeClr w14:val="tx1"/>
                  </w14:solidFill>
                </w14:textFill>
              </w:rPr>
              <w:t>19</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，生产过程中</w:t>
            </w:r>
            <w:r>
              <w:rPr>
                <w:rFonts w:hint="eastAsia" w:ascii="Times New Roman" w:hAnsi="Times New Roman" w:cs="Times New Roman"/>
                <w:color w:val="000000" w:themeColor="text1"/>
                <w:highlight w:val="none"/>
                <w:lang w:eastAsia="zh-CN"/>
                <w14:textFill>
                  <w14:solidFill>
                    <w14:schemeClr w14:val="tx1"/>
                  </w14:solidFill>
                </w14:textFill>
              </w:rPr>
              <w:t>开料</w:t>
            </w:r>
            <w:r>
              <w:rPr>
                <w:rFonts w:hint="default" w:ascii="Times New Roman" w:hAnsi="Times New Roman" w:cs="Times New Roman"/>
                <w:color w:val="000000" w:themeColor="text1"/>
                <w:highlight w:val="none"/>
                <w:lang w:eastAsia="zh-CN"/>
                <w14:textFill>
                  <w14:solidFill>
                    <w14:schemeClr w14:val="tx1"/>
                  </w14:solidFill>
                </w14:textFill>
              </w:rPr>
              <w:t>废气、</w:t>
            </w:r>
            <w:r>
              <w:rPr>
                <w:rFonts w:hint="eastAsia" w:ascii="Times New Roman" w:hAnsi="Times New Roman" w:cs="Times New Roman"/>
                <w:color w:val="000000" w:themeColor="text1"/>
                <w:highlight w:val="none"/>
                <w:lang w:eastAsia="zh-CN"/>
                <w14:textFill>
                  <w14:solidFill>
                    <w14:schemeClr w14:val="tx1"/>
                  </w14:solidFill>
                </w14:textFill>
              </w:rPr>
              <w:t>打孔</w:t>
            </w:r>
            <w:r>
              <w:rPr>
                <w:rFonts w:hint="default" w:ascii="Times New Roman" w:hAnsi="Times New Roman" w:cs="Times New Roman"/>
                <w:color w:val="000000" w:themeColor="text1"/>
                <w:highlight w:val="none"/>
                <w:lang w:eastAsia="zh-CN"/>
                <w14:textFill>
                  <w14:solidFill>
                    <w14:schemeClr w14:val="tx1"/>
                  </w14:solidFill>
                </w14:textFill>
              </w:rPr>
              <w:t>废气</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封边废气、焊接烟气</w:t>
            </w:r>
            <w:r>
              <w:rPr>
                <w:rFonts w:hint="default" w:ascii="Times New Roman" w:hAnsi="Times New Roman" w:cs="Times New Roman"/>
                <w:color w:val="000000" w:themeColor="text1"/>
                <w:highlight w:val="none"/>
                <w:lang w:eastAsia="zh-CN"/>
                <w14:textFill>
                  <w14:solidFill>
                    <w14:schemeClr w14:val="tx1"/>
                  </w14:solidFill>
                </w14:textFill>
              </w:rPr>
              <w:t>采用袋式除尘器进行处理，</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喷粉废气采用设备滤芯过滤回收系统处理、</w:t>
            </w:r>
            <w:r>
              <w:rPr>
                <w:rFonts w:hint="eastAsia" w:ascii="Times New Roman" w:hAnsi="Times New Roman" w:cs="Times New Roman"/>
                <w:color w:val="000000" w:themeColor="text1"/>
                <w:highlight w:val="none"/>
                <w:lang w:eastAsia="zh-CN"/>
                <w14:textFill>
                  <w14:solidFill>
                    <w14:schemeClr w14:val="tx1"/>
                  </w14:solidFill>
                </w14:textFill>
              </w:rPr>
              <w:t>固化</w:t>
            </w:r>
            <w:r>
              <w:rPr>
                <w:rFonts w:hint="default" w:ascii="Times New Roman" w:hAnsi="Times New Roman" w:cs="Times New Roman"/>
                <w:color w:val="000000" w:themeColor="text1"/>
                <w:highlight w:val="none"/>
                <w:lang w:eastAsia="zh-CN"/>
                <w14:textFill>
                  <w14:solidFill>
                    <w14:schemeClr w14:val="tx1"/>
                  </w14:solidFill>
                </w14:textFill>
              </w:rPr>
              <w:t>废气</w:t>
            </w:r>
            <w:r>
              <w:rPr>
                <w:rFonts w:hint="default" w:ascii="Times New Roman" w:hAnsi="Times New Roman" w:cs="Times New Roman"/>
                <w:color w:val="000000" w:themeColor="text1"/>
                <w:highlight w:val="none"/>
                <w:lang w:val="en-US" w:eastAsia="zh-CN"/>
                <w14:textFill>
                  <w14:solidFill>
                    <w14:schemeClr w14:val="tx1"/>
                  </w14:solidFill>
                </w14:textFill>
              </w:rPr>
              <w:t>采用</w:t>
            </w:r>
            <w:r>
              <w:rPr>
                <w:rFonts w:hint="eastAsia" w:ascii="Times New Roman" w:hAnsi="Times New Roman" w:cs="Times New Roman"/>
                <w:color w:val="000000" w:themeColor="text1"/>
                <w:highlight w:val="none"/>
                <w:lang w:val="en-US" w:eastAsia="zh-CN"/>
                <w14:textFill>
                  <w14:solidFill>
                    <w14:schemeClr w14:val="tx1"/>
                  </w14:solidFill>
                </w14:textFill>
              </w:rPr>
              <w:t>两级</w:t>
            </w:r>
            <w:r>
              <w:rPr>
                <w:rFonts w:hint="default" w:ascii="Times New Roman" w:hAnsi="Times New Roman" w:cs="Times New Roman"/>
                <w:color w:val="000000" w:themeColor="text1"/>
                <w:highlight w:val="none"/>
                <w:lang w:val="en-US" w:eastAsia="zh-CN"/>
                <w14:textFill>
                  <w14:solidFill>
                    <w14:schemeClr w14:val="tx1"/>
                  </w14:solidFill>
                </w14:textFill>
              </w:rPr>
              <w:t>活性炭吸附</w:t>
            </w:r>
            <w:r>
              <w:rPr>
                <w:rFonts w:hint="eastAsia" w:ascii="Times New Roman" w:hAnsi="Times New Roman" w:cs="Times New Roman"/>
                <w:color w:val="000000" w:themeColor="text1"/>
                <w:highlight w:val="none"/>
                <w:lang w:val="en-US" w:eastAsia="zh-CN"/>
                <w14:textFill>
                  <w14:solidFill>
                    <w14:schemeClr w14:val="tx1"/>
                  </w14:solidFill>
                </w14:textFill>
              </w:rPr>
              <w:t>装置</w:t>
            </w:r>
            <w:r>
              <w:rPr>
                <w:rFonts w:hint="default" w:ascii="Times New Roman" w:hAnsi="Times New Roman" w:cs="Times New Roman"/>
                <w:color w:val="000000" w:themeColor="text1"/>
                <w:highlight w:val="none"/>
                <w:lang w:val="en-US" w:eastAsia="zh-CN"/>
                <w14:textFill>
                  <w14:solidFill>
                    <w14:schemeClr w14:val="tx1"/>
                  </w14:solidFill>
                </w14:textFill>
              </w:rPr>
              <w:t>进行处理</w:t>
            </w:r>
            <w:r>
              <w:rPr>
                <w:rFonts w:hint="eastAsia" w:ascii="Times New Roman" w:hAnsi="Times New Roman" w:cs="Times New Roman"/>
                <w:color w:val="000000" w:themeColor="text1"/>
                <w:highlight w:val="none"/>
                <w:lang w:val="en-US" w:eastAsia="zh-CN"/>
                <w14:textFill>
                  <w14:solidFill>
                    <w14:schemeClr w14:val="tx1"/>
                  </w14:solidFill>
                </w14:textFill>
              </w:rPr>
              <w:t>，均属于</w:t>
            </w:r>
            <w:r>
              <w:rPr>
                <w:rFonts w:hint="default" w:ascii="Times New Roman" w:hAnsi="Times New Roman" w:cs="Times New Roman"/>
                <w:color w:val="000000" w:themeColor="text1"/>
                <w:highlight w:val="none"/>
                <w:lang w:val="en-US" w:eastAsia="zh-CN"/>
                <w14:textFill>
                  <w14:solidFill>
                    <w14:schemeClr w14:val="tx1"/>
                  </w14:solidFill>
                </w14:textFill>
              </w:rPr>
              <w:t>属于废气</w:t>
            </w:r>
            <w:r>
              <w:rPr>
                <w:rFonts w:hint="eastAsia" w:ascii="Times New Roman" w:hAnsi="Times New Roman" w:cs="Times New Roman"/>
                <w:color w:val="000000" w:themeColor="text1"/>
                <w:highlight w:val="none"/>
                <w:lang w:val="en-US" w:eastAsia="zh-CN"/>
                <w14:textFill>
                  <w14:solidFill>
                    <w14:schemeClr w14:val="tx1"/>
                  </w14:solidFill>
                </w14:textFill>
              </w:rPr>
              <w:t>治理</w:t>
            </w:r>
            <w:r>
              <w:rPr>
                <w:rFonts w:hint="default" w:ascii="Times New Roman" w:hAnsi="Times New Roman" w:cs="Times New Roman"/>
                <w:color w:val="000000" w:themeColor="text1"/>
                <w:highlight w:val="none"/>
                <w:lang w:val="en-US" w:eastAsia="zh-CN"/>
                <w14:textFill>
                  <w14:solidFill>
                    <w14:schemeClr w14:val="tx1"/>
                  </w14:solidFill>
                </w14:textFill>
              </w:rPr>
              <w:t>可行性技术。</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4"/>
                <w:szCs w:val="20"/>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污染源源强核算</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 xml:space="preserve">2.1 </w:t>
            </w:r>
            <w:r>
              <w:rPr>
                <w:rFonts w:hint="default" w:ascii="Times New Roman" w:hAnsi="Times New Roman" w:cs="Times New Roman"/>
                <w:color w:val="000000" w:themeColor="text1"/>
                <w:highlight w:val="none"/>
                <w:lang w:val="en-US" w:eastAsia="zh-CN"/>
                <w14:textFill>
                  <w14:solidFill>
                    <w14:schemeClr w14:val="tx1"/>
                  </w14:solidFill>
                </w14:textFill>
              </w:rPr>
              <w:t>木质家具生产车间</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（1）有组织废气</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开料、</w:t>
            </w:r>
            <w:r>
              <w:rPr>
                <w:rFonts w:hint="eastAsia" w:ascii="Times New Roman" w:hAnsi="Times New Roman" w:cs="Times New Roman"/>
                <w:color w:val="000000" w:themeColor="text1"/>
                <w:highlight w:val="none"/>
                <w:lang w:val="en-US" w:eastAsia="zh-CN"/>
                <w14:textFill>
                  <w14:solidFill>
                    <w14:schemeClr w14:val="tx1"/>
                  </w14:solidFill>
                </w14:textFill>
              </w:rPr>
              <w:t>封边、</w:t>
            </w:r>
            <w:r>
              <w:rPr>
                <w:rFonts w:hint="default" w:ascii="Times New Roman" w:hAnsi="Times New Roman" w:cs="Times New Roman"/>
                <w:color w:val="000000" w:themeColor="text1"/>
                <w:highlight w:val="none"/>
                <w:lang w:val="en-US" w:eastAsia="zh-CN"/>
                <w14:textFill>
                  <w14:solidFill>
                    <w14:schemeClr w14:val="tx1"/>
                  </w14:solidFill>
                </w14:textFill>
              </w:rPr>
              <w:t>打孔工序尘系数依据</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《第二次全国污染源普查工业污染源产排污系数手册</w:t>
            </w: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—211木质家具制造行业系数手册</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机加工</w:t>
            </w:r>
            <w:r>
              <w:rPr>
                <w:rFonts w:hint="default" w:ascii="Times New Roman" w:hAnsi="Times New Roman" w:cs="Times New Roman"/>
                <w:color w:val="000000" w:themeColor="text1"/>
                <w:highlight w:val="none"/>
                <w14:textFill>
                  <w14:solidFill>
                    <w14:schemeClr w14:val="tx1"/>
                  </w14:solidFill>
                </w14:textFill>
              </w:rPr>
              <w:t>产尘系数为</w:t>
            </w:r>
            <w:r>
              <w:rPr>
                <w:rFonts w:hint="default" w:ascii="Times New Roman" w:hAnsi="Times New Roman" w:cs="Times New Roman"/>
                <w:color w:val="000000" w:themeColor="text1"/>
                <w:highlight w:val="none"/>
                <w:lang w:val="en-US" w:eastAsia="zh-CN"/>
                <w14:textFill>
                  <w14:solidFill>
                    <w14:schemeClr w14:val="tx1"/>
                  </w14:solidFill>
                </w14:textFill>
              </w:rPr>
              <w:t>150</w:t>
            </w:r>
            <w:r>
              <w:rPr>
                <w:rFonts w:hint="default" w:ascii="Times New Roman" w:hAnsi="Times New Roman" w:cs="Times New Roman"/>
                <w:color w:val="000000" w:themeColor="text1"/>
                <w:highlight w:val="none"/>
                <w14:textFill>
                  <w14:solidFill>
                    <w14:schemeClr w14:val="tx1"/>
                  </w14:solidFill>
                </w14:textFill>
              </w:rPr>
              <w:t>g/</w:t>
            </w:r>
            <w:r>
              <w:rPr>
                <w:rFonts w:hint="default" w:ascii="Times New Roman" w:hAnsi="Times New Roman" w:cs="Times New Roman"/>
                <w:color w:val="000000" w:themeColor="text1"/>
                <w:highlight w:val="none"/>
                <w:lang w:eastAsia="zh-CN"/>
                <w14:textFill>
                  <w14:solidFill>
                    <w14:schemeClr w14:val="tx1"/>
                  </w14:solidFill>
                </w14:textFill>
              </w:rPr>
              <w:t>立方米</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原料，本项目年用木板</w:t>
            </w:r>
            <w:r>
              <w:rPr>
                <w:rFonts w:hint="default" w:ascii="Times New Roman" w:hAnsi="Times New Roman" w:cs="Times New Roman"/>
                <w:color w:val="000000" w:themeColor="text1"/>
                <w:highlight w:val="none"/>
                <w:lang w:val="en-US" w:eastAsia="zh-CN"/>
                <w14:textFill>
                  <w14:solidFill>
                    <w14:schemeClr w14:val="tx1"/>
                  </w14:solidFill>
                </w14:textFill>
              </w:rPr>
              <w:t>50000m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，则开料、</w:t>
            </w:r>
            <w:r>
              <w:rPr>
                <w:rFonts w:hint="eastAsia" w:ascii="Times New Roman" w:hAnsi="Times New Roman" w:cs="Times New Roman"/>
                <w:color w:val="000000" w:themeColor="text1"/>
                <w:highlight w:val="none"/>
                <w:lang w:val="en-US" w:eastAsia="zh-CN"/>
                <w14:textFill>
                  <w14:solidFill>
                    <w14:schemeClr w14:val="tx1"/>
                  </w14:solidFill>
                </w14:textFill>
              </w:rPr>
              <w:t>封边、</w:t>
            </w:r>
            <w:r>
              <w:rPr>
                <w:rFonts w:hint="default" w:ascii="Times New Roman" w:hAnsi="Times New Roman" w:cs="Times New Roman"/>
                <w:color w:val="000000" w:themeColor="text1"/>
                <w:highlight w:val="none"/>
                <w:lang w:val="en-US" w:eastAsia="zh-CN"/>
                <w14:textFill>
                  <w14:solidFill>
                    <w14:schemeClr w14:val="tx1"/>
                  </w14:solidFill>
                </w14:textFill>
              </w:rPr>
              <w:t>打孔</w:t>
            </w:r>
            <w:r>
              <w:rPr>
                <w:rFonts w:hint="eastAsia" w:ascii="Times New Roman" w:hAnsi="Times New Roman" w:cs="Times New Roman"/>
                <w:color w:val="000000" w:themeColor="text1"/>
                <w:highlight w:val="none"/>
                <w:lang w:val="en-US" w:eastAsia="zh-CN"/>
                <w14:textFill>
                  <w14:solidFill>
                    <w14:schemeClr w14:val="tx1"/>
                  </w14:solidFill>
                </w14:textFill>
              </w:rPr>
              <w:t>工序</w:t>
            </w:r>
            <w:r>
              <w:rPr>
                <w:rFonts w:hint="default" w:ascii="Times New Roman" w:hAnsi="Times New Roman" w:cs="Times New Roman"/>
                <w:color w:val="000000" w:themeColor="text1"/>
                <w:highlight w:val="none"/>
                <w:lang w:val="en-US" w:eastAsia="zh-CN"/>
                <w14:textFill>
                  <w14:solidFill>
                    <w14:schemeClr w14:val="tx1"/>
                  </w14:solidFill>
                </w14:textFill>
              </w:rPr>
              <w:t>产生颗粒物</w:t>
            </w:r>
            <w:r>
              <w:rPr>
                <w:rFonts w:hint="eastAsia" w:ascii="Times New Roman" w:hAnsi="Times New Roman" w:cs="Times New Roman"/>
                <w:color w:val="000000" w:themeColor="text1"/>
                <w:highlight w:val="none"/>
                <w:lang w:val="en-US" w:eastAsia="zh-CN"/>
                <w14:textFill>
                  <w14:solidFill>
                    <w14:schemeClr w14:val="tx1"/>
                  </w14:solidFill>
                </w14:textFill>
              </w:rPr>
              <w:t>22.5</w:t>
            </w:r>
            <w:r>
              <w:rPr>
                <w:rFonts w:hint="default" w:ascii="Times New Roman" w:hAnsi="Times New Roman" w:cs="Times New Roman"/>
                <w:color w:val="000000" w:themeColor="text1"/>
                <w:highlight w:val="none"/>
                <w:lang w:val="en-US" w:eastAsia="zh-CN"/>
                <w14:textFill>
                  <w14:solidFill>
                    <w14:schemeClr w14:val="tx1"/>
                  </w14:solidFill>
                </w14:textFill>
              </w:rPr>
              <w:t>t/a，集气罩收集效率按90%考虑，则有组织颗粒物产生量为</w:t>
            </w:r>
            <w:r>
              <w:rPr>
                <w:rFonts w:hint="eastAsia" w:ascii="Times New Roman" w:hAnsi="Times New Roman" w:cs="Times New Roman"/>
                <w:color w:val="000000" w:themeColor="text1"/>
                <w:highlight w:val="none"/>
                <w:lang w:val="en-US" w:eastAsia="zh-CN"/>
                <w14:textFill>
                  <w14:solidFill>
                    <w14:schemeClr w14:val="tx1"/>
                  </w14:solidFill>
                </w14:textFill>
              </w:rPr>
              <w:t>20.25</w:t>
            </w:r>
            <w:r>
              <w:rPr>
                <w:rFonts w:hint="default" w:ascii="Times New Roman" w:hAnsi="Times New Roman" w:cs="Times New Roman"/>
                <w:color w:val="000000" w:themeColor="text1"/>
                <w:highlight w:val="none"/>
                <w:lang w:val="en-US" w:eastAsia="zh-CN"/>
                <w14:textFill>
                  <w14:solidFill>
                    <w14:schemeClr w14:val="tx1"/>
                  </w14:solidFill>
                </w14:textFill>
              </w:rPr>
              <w:t>t/a，布袋除尘器除尘效率按99%计算，</w:t>
            </w:r>
            <w:r>
              <w:rPr>
                <w:rFonts w:hint="eastAsia" w:ascii="Times New Roman" w:hAnsi="Times New Roman" w:cs="Times New Roman"/>
                <w:color w:val="000000" w:themeColor="text1"/>
                <w:highlight w:val="none"/>
                <w:lang w:val="en-US" w:eastAsia="zh-CN"/>
                <w14:textFill>
                  <w14:solidFill>
                    <w14:schemeClr w14:val="tx1"/>
                  </w14:solidFill>
                </w14:textFill>
              </w:rPr>
              <w:t>设计风量为20000m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/h，</w:t>
            </w:r>
            <w:r>
              <w:rPr>
                <w:rFonts w:hint="default" w:ascii="Times New Roman" w:hAnsi="Times New Roman" w:cs="Times New Roman"/>
                <w:color w:val="000000" w:themeColor="text1"/>
                <w:highlight w:val="none"/>
                <w:lang w:val="en-US" w:eastAsia="zh-CN"/>
                <w14:textFill>
                  <w14:solidFill>
                    <w14:schemeClr w14:val="tx1"/>
                  </w14:solidFill>
                </w14:textFill>
              </w:rPr>
              <w:t>年工作时长为2640h，则有组织颗粒物排放浓度为</w:t>
            </w:r>
            <w:r>
              <w:rPr>
                <w:rFonts w:hint="eastAsia" w:ascii="Times New Roman" w:hAnsi="Times New Roman" w:cs="Times New Roman"/>
                <w:color w:val="000000" w:themeColor="text1"/>
                <w:highlight w:val="none"/>
                <w:lang w:val="en-US" w:eastAsia="zh-CN"/>
                <w14:textFill>
                  <w14:solidFill>
                    <w14:schemeClr w14:val="tx1"/>
                  </w14:solidFill>
                </w14:textFill>
              </w:rPr>
              <w:t>3.84</w:t>
            </w:r>
            <w:r>
              <w:rPr>
                <w:rFonts w:hint="default" w:ascii="Times New Roman" w:hAnsi="Times New Roman" w:cs="Times New Roman"/>
                <w:color w:val="000000" w:themeColor="text1"/>
                <w:highlight w:val="none"/>
                <w:lang w:val="en-US" w:eastAsia="zh-CN"/>
                <w14:textFill>
                  <w14:solidFill>
                    <w14:schemeClr w14:val="tx1"/>
                  </w14:solidFill>
                </w14:textFill>
              </w:rPr>
              <w:t>mg/m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，排放速率为</w:t>
            </w:r>
            <w:r>
              <w:rPr>
                <w:rFonts w:hint="eastAsia" w:ascii="Times New Roman" w:hAnsi="Times New Roman" w:cs="Times New Roman"/>
                <w:color w:val="000000" w:themeColor="text1"/>
                <w:highlight w:val="none"/>
                <w:lang w:val="en-US" w:eastAsia="zh-CN"/>
                <w14:textFill>
                  <w14:solidFill>
                    <w14:schemeClr w14:val="tx1"/>
                  </w14:solidFill>
                </w14:textFill>
              </w:rPr>
              <w:t>1.45</w:t>
            </w:r>
            <w:r>
              <w:rPr>
                <w:rFonts w:hint="default" w:ascii="Times New Roman" w:hAnsi="Times New Roman" w:cs="Times New Roman"/>
                <w:color w:val="000000" w:themeColor="text1"/>
                <w:highlight w:val="none"/>
                <w:lang w:val="en-US" w:eastAsia="zh-CN"/>
                <w14:textFill>
                  <w14:solidFill>
                    <w14:schemeClr w14:val="tx1"/>
                  </w14:solidFill>
                </w14:textFill>
              </w:rPr>
              <w:t>kg/h，排放量为0.</w:t>
            </w:r>
            <w:r>
              <w:rPr>
                <w:rFonts w:hint="eastAsia" w:ascii="Times New Roman" w:hAnsi="Times New Roman" w:cs="Times New Roman"/>
                <w:color w:val="000000" w:themeColor="text1"/>
                <w:highlight w:val="none"/>
                <w:lang w:val="en-US" w:eastAsia="zh-CN"/>
                <w14:textFill>
                  <w14:solidFill>
                    <w14:schemeClr w14:val="tx1"/>
                  </w14:solidFill>
                </w14:textFill>
              </w:rPr>
              <w:t>203</w:t>
            </w:r>
            <w:r>
              <w:rPr>
                <w:rFonts w:hint="default" w:ascii="Times New Roman" w:hAnsi="Times New Roman" w:cs="Times New Roman"/>
                <w:color w:val="000000" w:themeColor="text1"/>
                <w:highlight w:val="none"/>
                <w:lang w:val="en-US" w:eastAsia="zh-CN"/>
                <w14:textFill>
                  <w14:solidFill>
                    <w14:schemeClr w14:val="tx1"/>
                  </w14:solidFill>
                </w14:textFill>
              </w:rPr>
              <w:t>t/a，</w:t>
            </w:r>
            <w:r>
              <w:rPr>
                <w:rFonts w:hint="eastAsia" w:ascii="Times New Roman" w:hAnsi="Times New Roman" w:cs="Times New Roman"/>
                <w:color w:val="000000" w:themeColor="text1"/>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《大气污染物综合排放标准》（GB16297-1996）表2标准</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封边工序加热封边胶过程中有部分挥发性有机物产生，根据</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根据检测报告，封边胶中挥发性有机物成分＜5g/kg。本次评价按5g/kg计算，项目年用封边胶3t/a，则挥发性有机物（以非甲烷总烃计）产生量为0.015t/a，</w:t>
            </w:r>
            <w:r>
              <w:rPr>
                <w:rFonts w:hint="default" w:ascii="Times New Roman" w:hAnsi="Times New Roman" w:cs="Times New Roman"/>
                <w:color w:val="000000" w:themeColor="text1"/>
                <w:highlight w:val="none"/>
                <w:lang w:val="en-US" w:eastAsia="zh-CN"/>
                <w14:textFill>
                  <w14:solidFill>
                    <w14:schemeClr w14:val="tx1"/>
                  </w14:solidFill>
                </w14:textFill>
              </w:rPr>
              <w:t>年工作时长为2640h，</w:t>
            </w:r>
            <w:r>
              <w:rPr>
                <w:rFonts w:hint="eastAsia" w:cs="Times New Roman"/>
                <w:color w:val="000000" w:themeColor="text1"/>
                <w:highlight w:val="none"/>
                <w:lang w:val="en-US" w:eastAsia="zh-CN"/>
                <w14:textFill>
                  <w14:solidFill>
                    <w14:schemeClr w14:val="tx1"/>
                  </w14:solidFill>
                </w14:textFill>
              </w:rPr>
              <w:t>则产生速率为0.006kg/h。依据《挥发性有机物无组织排放控制标准》（GB37822-2019），封边工序挥发性有机物产生速率小于2kg/h，无需设置有机废气处理设施。因此封边工序集气罩捕集效率按90%考虑，则非甲烷总烃排放浓度为0.27m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《工业企业挥发性有机物排放控制标准》（DB13/2322-2016）表1标准</w:t>
            </w:r>
          </w:p>
          <w:p>
            <w:pPr>
              <w:pStyle w:val="20"/>
              <w:keepNext w:val="0"/>
              <w:keepLines w:val="0"/>
              <w:pageBreakBefore w:val="0"/>
              <w:widowControl w:val="0"/>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无组织废气</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开料、封边</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打孔工序</w:t>
            </w:r>
            <w:r>
              <w:rPr>
                <w:rFonts w:hint="eastAsia" w:ascii="Times New Roman" w:hAnsi="Times New Roman" w:cs="Times New Roman"/>
                <w:color w:val="000000" w:themeColor="text1"/>
                <w:highlight w:val="none"/>
                <w:lang w:val="en-US" w:eastAsia="zh-CN"/>
                <w14:textFill>
                  <w14:solidFill>
                    <w14:schemeClr w14:val="tx1"/>
                  </w14:solidFill>
                </w14:textFill>
              </w:rPr>
              <w:t>未被收集的无组织颗粒物排放量为2.25</w:t>
            </w:r>
            <w:r>
              <w:rPr>
                <w:rFonts w:hint="default" w:ascii="Times New Roman" w:hAnsi="Times New Roman" w:cs="Times New Roman"/>
                <w:color w:val="000000" w:themeColor="text1"/>
                <w:highlight w:val="none"/>
                <w:lang w:val="en-US" w:eastAsia="zh-CN"/>
                <w14:textFill>
                  <w14:solidFill>
                    <w14:schemeClr w14:val="tx1"/>
                  </w14:solidFill>
                </w14:textFill>
              </w:rPr>
              <w:t>t/a</w:t>
            </w:r>
            <w:r>
              <w:rPr>
                <w:rFonts w:hint="eastAsia" w:ascii="Times New Roman" w:hAnsi="Times New Roman" w:cs="Times New Roman"/>
                <w:color w:val="000000" w:themeColor="text1"/>
                <w:highlight w:val="none"/>
                <w:lang w:val="en-US" w:eastAsia="zh-CN"/>
                <w14:textFill>
                  <w14:solidFill>
                    <w14:schemeClr w14:val="tx1"/>
                  </w14:solidFill>
                </w14:textFill>
              </w:rPr>
              <w:t>，排放速率为0.852kg/h。</w:t>
            </w:r>
          </w:p>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封边工序</w:t>
            </w:r>
            <w:r>
              <w:rPr>
                <w:rFonts w:hint="eastAsia" w:ascii="Times New Roman" w:hAnsi="Times New Roman" w:cs="Times New Roman"/>
                <w:color w:val="000000" w:themeColor="text1"/>
                <w:highlight w:val="none"/>
                <w:lang w:val="en-US" w:eastAsia="zh-CN"/>
                <w14:textFill>
                  <w14:solidFill>
                    <w14:schemeClr w14:val="tx1"/>
                  </w14:solidFill>
                </w14:textFill>
              </w:rPr>
              <w:t>未被收集的无组织</w:t>
            </w:r>
            <w:r>
              <w:rPr>
                <w:rFonts w:hint="eastAsia" w:cs="Times New Roman"/>
                <w:color w:val="000000" w:themeColor="text1"/>
                <w:highlight w:val="none"/>
                <w:lang w:val="en-US" w:eastAsia="zh-CN"/>
                <w14:textFill>
                  <w14:solidFill>
                    <w14:schemeClr w14:val="tx1"/>
                  </w14:solidFill>
                </w14:textFill>
              </w:rPr>
              <w:t>非甲烷总烃排放量为0.001t/a，排放速率为0.0004kg/h。</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jc w:val="center"/>
              <w:textAlignment w:val="auto"/>
              <w:rPr>
                <w:rFonts w:hint="default" w:ascii="Times New Roman" w:hAnsi="Times New Roman" w:eastAsia="黑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eastAsia" w:ascii="Times New Roman" w:hAnsi="Times New Roman" w:eastAsia="黑体" w:cs="Times New Roman"/>
                <w:color w:val="000000" w:themeColor="text1"/>
                <w:highlight w:val="none"/>
                <w:lang w:val="en-US" w:eastAsia="zh-CN"/>
                <w14:textFill>
                  <w14:solidFill>
                    <w14:schemeClr w14:val="tx1"/>
                  </w14:solidFill>
                </w14:textFill>
              </w:rPr>
              <w:t>3</w:t>
            </w:r>
            <w:r>
              <w:rPr>
                <w:rFonts w:hint="default" w:ascii="Times New Roman" w:hAnsi="Times New Roman" w:eastAsia="黑体" w:cs="Times New Roman"/>
                <w:color w:val="000000" w:themeColor="text1"/>
                <w:highlight w:val="none"/>
                <w14:textFill>
                  <w14:solidFill>
                    <w14:schemeClr w14:val="tx1"/>
                  </w14:solidFill>
                </w14:textFill>
              </w:rPr>
              <w:t xml:space="preserve">  </w:t>
            </w:r>
            <w:r>
              <w:rPr>
                <w:rFonts w:hint="default" w:ascii="Times New Roman" w:hAnsi="Times New Roman" w:eastAsia="黑体" w:cs="Times New Roman"/>
                <w:color w:val="000000" w:themeColor="text1"/>
                <w:highlight w:val="none"/>
                <w:lang w:eastAsia="zh-CN"/>
                <w14:textFill>
                  <w14:solidFill>
                    <w14:schemeClr w14:val="tx1"/>
                  </w14:solidFill>
                </w14:textFill>
              </w:rPr>
              <w:t>木质家具生产车间</w:t>
            </w:r>
            <w:r>
              <w:rPr>
                <w:rFonts w:hint="default" w:ascii="Times New Roman" w:hAnsi="Times New Roman" w:eastAsia="黑体" w:cs="Times New Roman"/>
                <w:color w:val="000000" w:themeColor="text1"/>
                <w:highlight w:val="none"/>
                <w14:textFill>
                  <w14:solidFill>
                    <w14:schemeClr w14:val="tx1"/>
                  </w14:solidFill>
                </w14:textFill>
              </w:rPr>
              <w:t>污染源源强一览表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49"/>
              <w:gridCol w:w="609"/>
              <w:gridCol w:w="626"/>
              <w:gridCol w:w="637"/>
              <w:gridCol w:w="774"/>
              <w:gridCol w:w="574"/>
              <w:gridCol w:w="664"/>
              <w:gridCol w:w="774"/>
              <w:gridCol w:w="499"/>
              <w:gridCol w:w="774"/>
              <w:gridCol w:w="971"/>
              <w:gridCol w:w="2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排放口名称</w:t>
                  </w:r>
                </w:p>
              </w:tc>
              <w:tc>
                <w:tcPr>
                  <w:tcW w:w="3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种类</w:t>
                  </w:r>
                </w:p>
              </w:tc>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废气排放量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Nm³/h</w:t>
                  </w:r>
                </w:p>
              </w:tc>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浓度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mg/m³</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产生量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污染治理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设施</w:t>
                  </w:r>
                </w:p>
              </w:tc>
              <w:tc>
                <w:tcPr>
                  <w:tcW w:w="3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浓度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mg/m³</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速率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kg/h</w:t>
                  </w:r>
                </w:p>
              </w:tc>
              <w:tc>
                <w:tcPr>
                  <w:tcW w:w="2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年运行时长h</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放量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mg/m³</w:t>
                  </w:r>
                </w:p>
              </w:tc>
              <w:tc>
                <w:tcPr>
                  <w:tcW w:w="1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8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封边、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打孔废气</w:t>
                  </w:r>
                  <w:r>
                    <w:rPr>
                      <w:rFonts w:hint="default" w:ascii="Times New Roman" w:hAnsi="Times New Roman" w:eastAsia="宋体" w:cs="Times New Roman"/>
                      <w:color w:val="000000" w:themeColor="text1"/>
                      <w:sz w:val="21"/>
                      <w:szCs w:val="21"/>
                      <w:highlight w:val="none"/>
                      <w14:textFill>
                        <w14:solidFill>
                          <w14:schemeClr w14:val="tx1"/>
                        </w14:solidFill>
                      </w14:textFill>
                    </w:rPr>
                    <w:t>（DA001）</w:t>
                  </w:r>
                </w:p>
              </w:tc>
              <w:tc>
                <w:tcPr>
                  <w:tcW w:w="3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37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p>
              </w:tc>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383.5</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20.25</w:t>
                  </w:r>
                </w:p>
              </w:tc>
              <w:tc>
                <w:tcPr>
                  <w:tcW w:w="34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袋式除尘器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+15m高排气筒</w:t>
                  </w:r>
                </w:p>
              </w:tc>
              <w:tc>
                <w:tcPr>
                  <w:tcW w:w="3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3.84</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1.45</w:t>
                  </w:r>
                </w:p>
              </w:tc>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2640</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0.203</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mg/m³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3.5kg/h</w:t>
                  </w:r>
                </w:p>
              </w:tc>
              <w:tc>
                <w:tcPr>
                  <w:tcW w:w="1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非甲烷总烃</w:t>
                  </w:r>
                </w:p>
              </w:tc>
              <w:tc>
                <w:tcPr>
                  <w:tcW w:w="37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0.27</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0.014</w:t>
                  </w:r>
                </w:p>
              </w:tc>
              <w:tc>
                <w:tcPr>
                  <w:tcW w:w="34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0.27</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0.006</w:t>
                  </w:r>
                </w:p>
              </w:tc>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0.014</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mg/m³</w:t>
                  </w:r>
                </w:p>
              </w:tc>
              <w:tc>
                <w:tcPr>
                  <w:tcW w:w="1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车间无组织废气</w:t>
                  </w:r>
                </w:p>
              </w:tc>
              <w:tc>
                <w:tcPr>
                  <w:tcW w:w="3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2.25</w:t>
                  </w:r>
                </w:p>
              </w:tc>
              <w:tc>
                <w:tcPr>
                  <w:tcW w:w="34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密闭车间</w:t>
                  </w:r>
                </w:p>
              </w:tc>
              <w:tc>
                <w:tcPr>
                  <w:tcW w:w="3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852</w:t>
                  </w:r>
                </w:p>
              </w:tc>
              <w:tc>
                <w:tcPr>
                  <w:tcW w:w="2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2640</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2.25</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0.001</w:t>
                  </w:r>
                </w:p>
              </w:tc>
              <w:tc>
                <w:tcPr>
                  <w:tcW w:w="34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eastAsia="宋体" w:cs="Times New Roman"/>
                      <w:color w:val="000000" w:themeColor="text1"/>
                      <w:sz w:val="21"/>
                      <w:szCs w:val="21"/>
                      <w:highlight w:val="none"/>
                      <w:lang w:val="en-US" w:eastAsia="zh-CN"/>
                      <w14:textFill>
                        <w14:solidFill>
                          <w14:schemeClr w14:val="tx1"/>
                        </w14:solidFill>
                      </w14:textFill>
                    </w:rPr>
                    <w:t>04</w:t>
                  </w:r>
                </w:p>
              </w:tc>
              <w:tc>
                <w:tcPr>
                  <w:tcW w:w="2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eastAsia="宋体" w:cs="Times New Roman"/>
                      <w:color w:val="000000" w:themeColor="text1"/>
                      <w:sz w:val="21"/>
                      <w:szCs w:val="21"/>
                      <w:highlight w:val="none"/>
                      <w:lang w:val="en-US" w:eastAsia="zh-CN"/>
                      <w14:textFill>
                        <w14:solidFill>
                          <w14:schemeClr w14:val="tx1"/>
                        </w14:solidFill>
                      </w14:textFill>
                    </w:rPr>
                    <w:t>1</w:t>
                  </w:r>
                </w:p>
              </w:tc>
              <w:tc>
                <w:tcPr>
                  <w:tcW w:w="5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1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jc w:val="left"/>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2.2 金属家具生产车间</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jc w:val="left"/>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（1）有组织废气</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jc w:val="left"/>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①焊接烟气</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kern w:val="2"/>
                <w:sz w:val="24"/>
                <w:szCs w:val="24"/>
                <w:highlight w:val="none"/>
                <w:lang w:val="en-US" w:eastAsia="zh-CN" w:bidi="ar"/>
                <w14:textFill>
                  <w14:solidFill>
                    <w14:schemeClr w14:val="tx1"/>
                  </w14:solidFill>
                </w14:textFill>
              </w:rPr>
              <w:t>本项目</w:t>
            </w: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焊接工序</w:t>
            </w:r>
            <w:r>
              <w:rPr>
                <w:rFonts w:hint="default" w:ascii="Times New Roman" w:hAnsi="Times New Roman" w:cs="Times New Roman"/>
                <w:color w:val="000000" w:themeColor="text1"/>
                <w:highlight w:val="none"/>
                <w:lang w:val="en-US" w:eastAsia="zh-CN"/>
                <w14:textFill>
                  <w14:solidFill>
                    <w14:schemeClr w14:val="tx1"/>
                  </w14:solidFill>
                </w14:textFill>
              </w:rPr>
              <w:t>产污系数</w:t>
            </w:r>
            <w:r>
              <w:rPr>
                <w:rFonts w:hint="default" w:ascii="Times New Roman" w:hAnsi="Times New Roman" w:cs="Times New Roman"/>
                <w:color w:val="000000" w:themeColor="text1"/>
                <w:highlight w:val="none"/>
                <w:lang w:eastAsia="zh-CN"/>
                <w14:textFill>
                  <w14:solidFill>
                    <w14:schemeClr w14:val="tx1"/>
                  </w14:solidFill>
                </w14:textFill>
              </w:rPr>
              <w:t>参照</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《第二次全国污染源普查工业污染源产排污系数手册</w:t>
            </w: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—33-37，431-434机械行业系数手册</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，焊接材料的发尘量为</w:t>
            </w:r>
            <w:r>
              <w:rPr>
                <w:rFonts w:hint="default" w:ascii="Times New Roman" w:hAnsi="Times New Roman" w:cs="Times New Roman"/>
                <w:color w:val="000000" w:themeColor="text1"/>
                <w:highlight w:val="none"/>
                <w:lang w:val="en-US" w:eastAsia="zh-CN"/>
                <w14:textFill>
                  <w14:solidFill>
                    <w14:schemeClr w14:val="tx1"/>
                  </w14:solidFill>
                </w14:textFill>
              </w:rPr>
              <w:t>9.19</w:t>
            </w:r>
            <w:r>
              <w:rPr>
                <w:rFonts w:hint="default" w:ascii="Times New Roman" w:hAnsi="Times New Roman" w:cs="Times New Roman"/>
                <w:color w:val="000000" w:themeColor="text1"/>
                <w:highlight w:val="none"/>
                <w14:textFill>
                  <w14:solidFill>
                    <w14:schemeClr w14:val="tx1"/>
                  </w14:solidFill>
                </w14:textFill>
              </w:rPr>
              <w:t>kg</w:t>
            </w:r>
            <w:r>
              <w:rPr>
                <w:rFonts w:hint="default" w:ascii="Times New Roman" w:hAnsi="Times New Roman" w:cs="Times New Roman"/>
                <w:color w:val="000000" w:themeColor="text1"/>
                <w:highlight w:val="none"/>
                <w:lang w:val="en-US" w:eastAsia="zh-CN"/>
                <w14:textFill>
                  <w14:solidFill>
                    <w14:schemeClr w14:val="tx1"/>
                  </w14:solidFill>
                </w14:textFill>
              </w:rPr>
              <w:t>/t</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原料</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项目年用焊丝30t/a，则焊接烟气产生量为0.276t/a，</w:t>
            </w:r>
            <w:r>
              <w:rPr>
                <w:rFonts w:hint="default" w:ascii="Times New Roman" w:hAnsi="Times New Roman" w:cs="Times New Roman"/>
                <w:color w:val="000000" w:themeColor="text1"/>
                <w:highlight w:val="none"/>
                <w:lang w:val="en-US" w:eastAsia="zh-CN"/>
                <w14:textFill>
                  <w14:solidFill>
                    <w14:schemeClr w14:val="tx1"/>
                  </w14:solidFill>
                </w14:textFill>
              </w:rPr>
              <w:t>集气罩收集效率按90%考虑，则有组织颗粒物产生量为</w:t>
            </w:r>
            <w:r>
              <w:rPr>
                <w:rFonts w:hint="eastAsia" w:ascii="Times New Roman" w:hAnsi="Times New Roman" w:cs="Times New Roman"/>
                <w:color w:val="000000" w:themeColor="text1"/>
                <w:highlight w:val="none"/>
                <w:lang w:val="en-US" w:eastAsia="zh-CN"/>
                <w14:textFill>
                  <w14:solidFill>
                    <w14:schemeClr w14:val="tx1"/>
                  </w14:solidFill>
                </w14:textFill>
              </w:rPr>
              <w:t>0.248</w:t>
            </w:r>
            <w:r>
              <w:rPr>
                <w:rFonts w:hint="default" w:ascii="Times New Roman" w:hAnsi="Times New Roman" w:cs="Times New Roman"/>
                <w:color w:val="000000" w:themeColor="text1"/>
                <w:highlight w:val="none"/>
                <w:lang w:val="en-US" w:eastAsia="zh-CN"/>
                <w14:textFill>
                  <w14:solidFill>
                    <w14:schemeClr w14:val="tx1"/>
                  </w14:solidFill>
                </w14:textFill>
              </w:rPr>
              <w:t>t/a，布袋除尘器除尘效率按99%计算，</w:t>
            </w:r>
            <w:r>
              <w:rPr>
                <w:rFonts w:hint="eastAsia" w:ascii="Times New Roman" w:hAnsi="Times New Roman" w:cs="Times New Roman"/>
                <w:color w:val="000000" w:themeColor="text1"/>
                <w:highlight w:val="none"/>
                <w:lang w:val="en-US" w:eastAsia="zh-CN"/>
                <w14:textFill>
                  <w14:solidFill>
                    <w14:schemeClr w14:val="tx1"/>
                  </w14:solidFill>
                </w14:textFill>
              </w:rPr>
              <w:t>设计风量为1500m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/h，</w:t>
            </w:r>
            <w:r>
              <w:rPr>
                <w:rFonts w:hint="default" w:ascii="Times New Roman" w:hAnsi="Times New Roman" w:cs="Times New Roman"/>
                <w:color w:val="000000" w:themeColor="text1"/>
                <w:highlight w:val="none"/>
                <w:lang w:val="en-US" w:eastAsia="zh-CN"/>
                <w14:textFill>
                  <w14:solidFill>
                    <w14:schemeClr w14:val="tx1"/>
                  </w14:solidFill>
                </w14:textFill>
              </w:rPr>
              <w:t>年工作时长为2640h，则有组织颗粒物排放浓度为</w:t>
            </w:r>
            <w:r>
              <w:rPr>
                <w:rFonts w:hint="eastAsia" w:ascii="Times New Roman" w:hAnsi="Times New Roman" w:cs="Times New Roman"/>
                <w:color w:val="000000" w:themeColor="text1"/>
                <w:highlight w:val="none"/>
                <w:lang w:val="en-US" w:eastAsia="zh-CN"/>
                <w14:textFill>
                  <w14:solidFill>
                    <w14:schemeClr w14:val="tx1"/>
                  </w14:solidFill>
                </w14:textFill>
              </w:rPr>
              <w:t>0.63</w:t>
            </w:r>
            <w:r>
              <w:rPr>
                <w:rFonts w:hint="default" w:ascii="Times New Roman" w:hAnsi="Times New Roman" w:cs="Times New Roman"/>
                <w:color w:val="000000" w:themeColor="text1"/>
                <w:highlight w:val="none"/>
                <w:lang w:val="en-US" w:eastAsia="zh-CN"/>
                <w14:textFill>
                  <w14:solidFill>
                    <w14:schemeClr w14:val="tx1"/>
                  </w14:solidFill>
                </w14:textFill>
              </w:rPr>
              <w:t>mg/m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，排放速率为</w:t>
            </w:r>
            <w:r>
              <w:rPr>
                <w:rFonts w:hint="eastAsia" w:ascii="Times New Roman" w:hAnsi="Times New Roman" w:cs="Times New Roman"/>
                <w:color w:val="000000" w:themeColor="text1"/>
                <w:highlight w:val="none"/>
                <w:lang w:val="en-US" w:eastAsia="zh-CN"/>
                <w14:textFill>
                  <w14:solidFill>
                    <w14:schemeClr w14:val="tx1"/>
                  </w14:solidFill>
                </w14:textFill>
              </w:rPr>
              <w:t>0.001</w:t>
            </w:r>
            <w:r>
              <w:rPr>
                <w:rFonts w:hint="default" w:ascii="Times New Roman" w:hAnsi="Times New Roman" w:cs="Times New Roman"/>
                <w:color w:val="000000" w:themeColor="text1"/>
                <w:highlight w:val="none"/>
                <w:lang w:val="en-US" w:eastAsia="zh-CN"/>
                <w14:textFill>
                  <w14:solidFill>
                    <w14:schemeClr w14:val="tx1"/>
                  </w14:solidFill>
                </w14:textFill>
              </w:rPr>
              <w:t>kg/h，排放量为0.</w:t>
            </w:r>
            <w:r>
              <w:rPr>
                <w:rFonts w:hint="eastAsia" w:ascii="Times New Roman" w:hAnsi="Times New Roman" w:cs="Times New Roman"/>
                <w:color w:val="000000" w:themeColor="text1"/>
                <w:highlight w:val="none"/>
                <w:lang w:val="en-US" w:eastAsia="zh-CN"/>
                <w14:textFill>
                  <w14:solidFill>
                    <w14:schemeClr w14:val="tx1"/>
                  </w14:solidFill>
                </w14:textFill>
              </w:rPr>
              <w:t>002</w:t>
            </w:r>
            <w:r>
              <w:rPr>
                <w:rFonts w:hint="default" w:ascii="Times New Roman" w:hAnsi="Times New Roman" w:cs="Times New Roman"/>
                <w:color w:val="000000" w:themeColor="text1"/>
                <w:highlight w:val="none"/>
                <w:lang w:val="en-US" w:eastAsia="zh-CN"/>
                <w14:textFill>
                  <w14:solidFill>
                    <w14:schemeClr w14:val="tx1"/>
                  </w14:solidFill>
                </w14:textFill>
              </w:rPr>
              <w:t>t/a，</w:t>
            </w:r>
            <w:r>
              <w:rPr>
                <w:rFonts w:hint="eastAsia" w:ascii="Times New Roman" w:hAnsi="Times New Roman" w:cs="Times New Roman"/>
                <w:color w:val="000000" w:themeColor="text1"/>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《大气污染物综合排放标准》（GB</w:t>
            </w: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lang w:val="en-US" w:eastAsia="zh-CN"/>
                <w14:textFill>
                  <w14:solidFill>
                    <w14:schemeClr w14:val="tx1"/>
                  </w14:solidFill>
                </w14:textFill>
              </w:rPr>
              <w:t>16297-1996）表2标准</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w:t>
            </w:r>
            <w:r>
              <w:rPr>
                <w:rFonts w:hint="eastAsia" w:ascii="Times New Roman" w:hAnsi="Times New Roman" w:cs="Times New Roman"/>
                <w:color w:val="000000" w:themeColor="text1"/>
                <w:highlight w:val="none"/>
                <w:lang w:val="en-US" w:eastAsia="zh-CN"/>
                <w14:textFill>
                  <w14:solidFill>
                    <w14:schemeClr w14:val="tx1"/>
                  </w14:solidFill>
                </w14:textFill>
              </w:rPr>
              <w:t>喷粉废气</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根据《现代涂装手册》</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静电喷粉上粉率约80%，粉尘的产生量为粉末涂料使用量的20%，本项目年塑粉用量为13t，则颗粒物产生量为2.6t/a，喷粉</w:t>
            </w:r>
            <w:r>
              <w:rPr>
                <w:rFonts w:hint="eastAsia" w:ascii="Times New Roman" w:hAnsi="Times New Roman" w:cs="Times New Roman"/>
                <w:color w:val="000000" w:themeColor="text1"/>
                <w:highlight w:val="none"/>
                <w:lang w:val="en-US" w:eastAsia="zh-CN"/>
                <w14:textFill>
                  <w14:solidFill>
                    <w14:schemeClr w14:val="tx1"/>
                  </w14:solidFill>
                </w14:textFill>
              </w:rPr>
              <w:t>工序在全密闭操作间内进行，</w:t>
            </w:r>
            <w:r>
              <w:rPr>
                <w:rFonts w:hint="default" w:ascii="Times New Roman" w:hAnsi="Times New Roman" w:cs="Times New Roman"/>
                <w:color w:val="000000" w:themeColor="text1"/>
                <w:highlight w:val="none"/>
                <w:lang w:val="en-US" w:eastAsia="zh-CN"/>
                <w14:textFill>
                  <w14:solidFill>
                    <w14:schemeClr w14:val="tx1"/>
                  </w14:solidFill>
                </w14:textFill>
              </w:rPr>
              <w:t>设备自带粉尘收集回收系统，收集效率</w:t>
            </w:r>
            <w:r>
              <w:rPr>
                <w:rFonts w:hint="eastAsia" w:ascii="Times New Roman" w:hAnsi="Times New Roman" w:cs="Times New Roman"/>
                <w:color w:val="000000" w:themeColor="text1"/>
                <w:highlight w:val="none"/>
                <w:lang w:val="en-US" w:eastAsia="zh-CN"/>
                <w14:textFill>
                  <w14:solidFill>
                    <w14:schemeClr w14:val="tx1"/>
                  </w14:solidFill>
                </w14:textFill>
              </w:rPr>
              <w:t>按</w:t>
            </w:r>
            <w:r>
              <w:rPr>
                <w:rFonts w:hint="default" w:ascii="Times New Roman" w:hAnsi="Times New Roman" w:cs="Times New Roman"/>
                <w:color w:val="000000" w:themeColor="text1"/>
                <w:highlight w:val="none"/>
                <w:lang w:val="en-US" w:eastAsia="zh-CN"/>
                <w14:textFill>
                  <w14:solidFill>
                    <w14:schemeClr w14:val="tx1"/>
                  </w14:solidFill>
                </w14:textFill>
              </w:rPr>
              <w:t>100%</w:t>
            </w:r>
            <w:r>
              <w:rPr>
                <w:rFonts w:hint="eastAsia" w:ascii="Times New Roman" w:hAnsi="Times New Roman" w:cs="Times New Roman"/>
                <w:color w:val="000000" w:themeColor="text1"/>
                <w:highlight w:val="none"/>
                <w:lang w:val="en-US" w:eastAsia="zh-CN"/>
                <w14:textFill>
                  <w14:solidFill>
                    <w14:schemeClr w14:val="tx1"/>
                  </w14:solidFill>
                </w14:textFill>
              </w:rPr>
              <w:t>考虑</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设计风量为6000m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/h，</w:t>
            </w:r>
            <w:r>
              <w:rPr>
                <w:rFonts w:hint="default" w:ascii="Times New Roman" w:hAnsi="Times New Roman" w:cs="Times New Roman"/>
                <w:color w:val="000000" w:themeColor="text1"/>
                <w:highlight w:val="none"/>
                <w:lang w:val="en-US" w:eastAsia="zh-CN"/>
                <w14:textFill>
                  <w14:solidFill>
                    <w14:schemeClr w14:val="tx1"/>
                  </w14:solidFill>
                </w14:textFill>
              </w:rPr>
              <w:t>年工作时长为</w:t>
            </w:r>
            <w:r>
              <w:rPr>
                <w:rFonts w:hint="eastAsia" w:ascii="Times New Roman" w:hAnsi="Times New Roman" w:cs="Times New Roman"/>
                <w:color w:val="000000" w:themeColor="text1"/>
                <w:highlight w:val="none"/>
                <w:lang w:val="en-US" w:eastAsia="zh-CN"/>
                <w14:textFill>
                  <w14:solidFill>
                    <w14:schemeClr w14:val="tx1"/>
                  </w14:solidFill>
                </w14:textFill>
              </w:rPr>
              <w:t>1440</w:t>
            </w:r>
            <w:r>
              <w:rPr>
                <w:rFonts w:hint="default" w:ascii="Times New Roman" w:hAnsi="Times New Roman" w:cs="Times New Roman"/>
                <w:color w:val="000000" w:themeColor="text1"/>
                <w:highlight w:val="none"/>
                <w:lang w:val="en-US" w:eastAsia="zh-CN"/>
                <w14:textFill>
                  <w14:solidFill>
                    <w14:schemeClr w14:val="tx1"/>
                  </w14:solidFill>
                </w14:textFill>
              </w:rPr>
              <w:t>h，处理回收效率</w:t>
            </w:r>
            <w:r>
              <w:rPr>
                <w:rFonts w:hint="eastAsia" w:ascii="Times New Roman" w:hAnsi="Times New Roman" w:cs="Times New Roman"/>
                <w:color w:val="000000" w:themeColor="text1"/>
                <w:highlight w:val="none"/>
                <w:lang w:val="en-US" w:eastAsia="zh-CN"/>
                <w14:textFill>
                  <w14:solidFill>
                    <w14:schemeClr w14:val="tx1"/>
                  </w14:solidFill>
                </w14:textFill>
              </w:rPr>
              <w:t>按</w:t>
            </w:r>
            <w:r>
              <w:rPr>
                <w:rFonts w:hint="default" w:ascii="Times New Roman" w:hAnsi="Times New Roman" w:cs="Times New Roman"/>
                <w:color w:val="000000" w:themeColor="text1"/>
                <w:highlight w:val="none"/>
                <w:lang w:val="en-US" w:eastAsia="zh-CN"/>
                <w14:textFill>
                  <w14:solidFill>
                    <w14:schemeClr w14:val="tx1"/>
                  </w14:solidFill>
                </w14:textFill>
              </w:rPr>
              <w:t>95%</w:t>
            </w:r>
            <w:r>
              <w:rPr>
                <w:rFonts w:hint="eastAsia" w:ascii="Times New Roman" w:hAnsi="Times New Roman" w:cs="Times New Roman"/>
                <w:color w:val="000000" w:themeColor="text1"/>
                <w:highlight w:val="none"/>
                <w:lang w:val="en-US" w:eastAsia="zh-CN"/>
                <w14:textFill>
                  <w14:solidFill>
                    <w14:schemeClr w14:val="tx1"/>
                  </w14:solidFill>
                </w14:textFill>
              </w:rPr>
              <w:t>计算</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则</w:t>
            </w:r>
            <w:r>
              <w:rPr>
                <w:rFonts w:hint="default" w:ascii="Times New Roman" w:hAnsi="Times New Roman" w:cs="Times New Roman"/>
                <w:color w:val="000000" w:themeColor="text1"/>
                <w:highlight w:val="none"/>
                <w:lang w:val="en-US" w:eastAsia="zh-CN"/>
                <w14:textFill>
                  <w14:solidFill>
                    <w14:schemeClr w14:val="tx1"/>
                  </w14:solidFill>
                </w14:textFill>
              </w:rPr>
              <w:t>有组织颗粒物排放浓度为</w:t>
            </w:r>
            <w:r>
              <w:rPr>
                <w:rFonts w:hint="eastAsia" w:ascii="Times New Roman" w:hAnsi="Times New Roman" w:cs="Times New Roman"/>
                <w:color w:val="000000" w:themeColor="text1"/>
                <w:highlight w:val="none"/>
                <w:lang w:val="en-US" w:eastAsia="zh-CN"/>
                <w14:textFill>
                  <w14:solidFill>
                    <w14:schemeClr w14:val="tx1"/>
                  </w14:solidFill>
                </w14:textFill>
              </w:rPr>
              <w:t>15.0</w:t>
            </w:r>
            <w:r>
              <w:rPr>
                <w:rFonts w:hint="default" w:ascii="Times New Roman" w:hAnsi="Times New Roman" w:cs="Times New Roman"/>
                <w:color w:val="000000" w:themeColor="text1"/>
                <w:highlight w:val="none"/>
                <w:lang w:val="en-US" w:eastAsia="zh-CN"/>
                <w14:textFill>
                  <w14:solidFill>
                    <w14:schemeClr w14:val="tx1"/>
                  </w14:solidFill>
                </w14:textFill>
              </w:rPr>
              <w:t>mg/m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，排放速率为</w:t>
            </w:r>
            <w:r>
              <w:rPr>
                <w:rFonts w:hint="eastAsia" w:ascii="Times New Roman" w:hAnsi="Times New Roman" w:cs="Times New Roman"/>
                <w:color w:val="000000" w:themeColor="text1"/>
                <w:highlight w:val="none"/>
                <w:lang w:val="en-US" w:eastAsia="zh-CN"/>
                <w14:textFill>
                  <w14:solidFill>
                    <w14:schemeClr w14:val="tx1"/>
                  </w14:solidFill>
                </w14:textFill>
              </w:rPr>
              <w:t>0.09</w:t>
            </w:r>
            <w:r>
              <w:rPr>
                <w:rFonts w:hint="default" w:ascii="Times New Roman" w:hAnsi="Times New Roman" w:cs="Times New Roman"/>
                <w:color w:val="000000" w:themeColor="text1"/>
                <w:highlight w:val="none"/>
                <w:lang w:val="en-US" w:eastAsia="zh-CN"/>
                <w14:textFill>
                  <w14:solidFill>
                    <w14:schemeClr w14:val="tx1"/>
                  </w14:solidFill>
                </w14:textFill>
              </w:rPr>
              <w:t>kg/h，排放量为0.</w:t>
            </w:r>
            <w:r>
              <w:rPr>
                <w:rFonts w:hint="eastAsia" w:ascii="Times New Roman" w:hAnsi="Times New Roman" w:cs="Times New Roman"/>
                <w:color w:val="000000" w:themeColor="text1"/>
                <w:highlight w:val="none"/>
                <w:lang w:val="en-US" w:eastAsia="zh-CN"/>
                <w14:textFill>
                  <w14:solidFill>
                    <w14:schemeClr w14:val="tx1"/>
                  </w14:solidFill>
                </w14:textFill>
              </w:rPr>
              <w:t>13</w:t>
            </w:r>
            <w:r>
              <w:rPr>
                <w:rFonts w:hint="default" w:ascii="Times New Roman" w:hAnsi="Times New Roman" w:cs="Times New Roman"/>
                <w:color w:val="000000" w:themeColor="text1"/>
                <w:highlight w:val="none"/>
                <w:lang w:val="en-US" w:eastAsia="zh-CN"/>
                <w14:textFill>
                  <w14:solidFill>
                    <w14:schemeClr w14:val="tx1"/>
                  </w14:solidFill>
                </w14:textFill>
              </w:rPr>
              <w:t>t/a，</w:t>
            </w:r>
            <w:r>
              <w:rPr>
                <w:rFonts w:hint="eastAsia" w:ascii="Times New Roman" w:hAnsi="Times New Roman" w:cs="Times New Roman"/>
                <w:color w:val="000000" w:themeColor="text1"/>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《大气污染物综合排放标准》（GB16297-1996）表2标准</w:t>
            </w:r>
            <w:r>
              <w:rPr>
                <w:rFonts w:hint="eastAsia" w:ascii="Times New Roman" w:hAnsi="Times New Roman" w:cs="Times New Roman"/>
                <w:color w:val="000000" w:themeColor="text1"/>
                <w:highlight w:val="none"/>
                <w:lang w:val="en-US" w:eastAsia="zh-CN"/>
                <w14:textFill>
                  <w14:solidFill>
                    <w14:schemeClr w14:val="tx1"/>
                  </w14:solidFill>
                </w14:textFill>
              </w:rPr>
              <w:t>（染料尘）</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③固化废气</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本项目</w:t>
            </w:r>
            <w:r>
              <w:rPr>
                <w:rFonts w:hint="default" w:ascii="Times New Roman" w:hAnsi="Times New Roman" w:cs="Times New Roman"/>
                <w:color w:val="000000" w:themeColor="text1"/>
                <w:highlight w:val="none"/>
                <w:lang w:val="en-US" w:eastAsia="zh-CN"/>
                <w14:textFill>
                  <w14:solidFill>
                    <w14:schemeClr w14:val="tx1"/>
                  </w14:solidFill>
                </w14:textFill>
              </w:rPr>
              <w:t>年塑粉用量为13t，根据《现代涂装手册》静电喷粉上粉率约80%，则固化粉末量为10.4t，</w:t>
            </w:r>
            <w:r>
              <w:rPr>
                <w:rFonts w:hint="eastAsia" w:ascii="Times New Roman" w:hAnsi="Times New Roman" w:cs="Times New Roman"/>
                <w:color w:val="000000" w:themeColor="text1"/>
                <w:highlight w:val="none"/>
                <w:lang w:val="en-US" w:eastAsia="zh-CN"/>
                <w14:textFill>
                  <w14:solidFill>
                    <w14:schemeClr w14:val="tx1"/>
                  </w14:solidFill>
                </w14:textFill>
              </w:rPr>
              <w:t>类别同类型企业，固化过程挥发性有机物产生量为原料总量的0.5%，则挥发性有机物（以</w:t>
            </w:r>
            <w:r>
              <w:rPr>
                <w:rFonts w:hint="default" w:ascii="Times New Roman" w:hAnsi="Times New Roman" w:cs="Times New Roman"/>
                <w:color w:val="000000" w:themeColor="text1"/>
                <w:highlight w:val="none"/>
                <w:lang w:val="en-US" w:eastAsia="zh-CN"/>
                <w14:textFill>
                  <w14:solidFill>
                    <w14:schemeClr w14:val="tx1"/>
                  </w14:solidFill>
                </w14:textFill>
              </w:rPr>
              <w:t>非甲烷总烃</w:t>
            </w:r>
            <w:r>
              <w:rPr>
                <w:rFonts w:hint="eastAsia" w:ascii="Times New Roman" w:hAnsi="Times New Roman" w:cs="Times New Roman"/>
                <w:color w:val="000000" w:themeColor="text1"/>
                <w:highlight w:val="none"/>
                <w:lang w:val="en-US" w:eastAsia="zh-CN"/>
                <w14:textFill>
                  <w14:solidFill>
                    <w14:schemeClr w14:val="tx1"/>
                  </w14:solidFill>
                </w14:textFill>
              </w:rPr>
              <w:t>计）</w:t>
            </w:r>
            <w:r>
              <w:rPr>
                <w:rFonts w:hint="default" w:ascii="Times New Roman" w:hAnsi="Times New Roman" w:cs="Times New Roman"/>
                <w:color w:val="000000" w:themeColor="text1"/>
                <w:highlight w:val="none"/>
                <w:lang w:val="en-US" w:eastAsia="zh-CN"/>
                <w14:textFill>
                  <w14:solidFill>
                    <w14:schemeClr w14:val="tx1"/>
                  </w14:solidFill>
                </w14:textFill>
              </w:rPr>
              <w:t>产生量为0.0</w:t>
            </w:r>
            <w:r>
              <w:rPr>
                <w:rFonts w:hint="eastAsia" w:ascii="Times New Roman" w:hAnsi="Times New Roman" w:cs="Times New Roman"/>
                <w:color w:val="000000" w:themeColor="text1"/>
                <w:highlight w:val="none"/>
                <w:lang w:val="en-US" w:eastAsia="zh-CN"/>
                <w14:textFill>
                  <w14:solidFill>
                    <w14:schemeClr w14:val="tx1"/>
                  </w14:solidFill>
                </w14:textFill>
              </w:rPr>
              <w:t>52</w:t>
            </w:r>
            <w:r>
              <w:rPr>
                <w:rFonts w:hint="default" w:ascii="Times New Roman" w:hAnsi="Times New Roman" w:cs="Times New Roman"/>
                <w:color w:val="000000" w:themeColor="text1"/>
                <w:highlight w:val="none"/>
                <w:lang w:val="en-US" w:eastAsia="zh-CN"/>
                <w14:textFill>
                  <w14:solidFill>
                    <w14:schemeClr w14:val="tx1"/>
                  </w14:solidFill>
                </w14:textFill>
              </w:rPr>
              <w:t>t/a，</w:t>
            </w:r>
            <w:r>
              <w:rPr>
                <w:rFonts w:hint="eastAsia" w:ascii="Times New Roman" w:hAnsi="Times New Roman" w:cs="Times New Roman"/>
                <w:color w:val="000000" w:themeColor="text1"/>
                <w:highlight w:val="none"/>
                <w:lang w:val="en-US" w:eastAsia="zh-CN"/>
                <w14:textFill>
                  <w14:solidFill>
                    <w14:schemeClr w14:val="tx1"/>
                  </w14:solidFill>
                </w14:textFill>
              </w:rPr>
              <w:t>固化炉进出口设置集气罩，</w:t>
            </w:r>
            <w:r>
              <w:rPr>
                <w:rFonts w:hint="default" w:ascii="Times New Roman" w:hAnsi="Times New Roman" w:cs="Times New Roman"/>
                <w:color w:val="000000" w:themeColor="text1"/>
                <w:highlight w:val="none"/>
                <w:lang w:val="en-US" w:eastAsia="zh-CN"/>
                <w14:textFill>
                  <w14:solidFill>
                    <w14:schemeClr w14:val="tx1"/>
                  </w14:solidFill>
                </w14:textFill>
              </w:rPr>
              <w:t>固化设备集气效率按90%计算，</w:t>
            </w:r>
            <w:r>
              <w:rPr>
                <w:rFonts w:hint="eastAsia" w:ascii="Times New Roman" w:hAnsi="Times New Roman" w:cs="Times New Roman"/>
                <w:color w:val="000000" w:themeColor="text1"/>
                <w:highlight w:val="none"/>
                <w:lang w:val="en-US" w:eastAsia="zh-CN"/>
                <w14:textFill>
                  <w14:solidFill>
                    <w14:schemeClr w14:val="tx1"/>
                  </w14:solidFill>
                </w14:textFill>
              </w:rPr>
              <w:t>设计风量为6000m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/h，</w:t>
            </w:r>
            <w:r>
              <w:rPr>
                <w:rFonts w:hint="default" w:ascii="Times New Roman" w:hAnsi="Times New Roman" w:cs="Times New Roman"/>
                <w:color w:val="000000" w:themeColor="text1"/>
                <w:highlight w:val="none"/>
                <w:lang w:val="en-US" w:eastAsia="zh-CN"/>
                <w14:textFill>
                  <w14:solidFill>
                    <w14:schemeClr w14:val="tx1"/>
                  </w14:solidFill>
                </w14:textFill>
              </w:rPr>
              <w:t>年工作时长为</w:t>
            </w:r>
            <w:r>
              <w:rPr>
                <w:rFonts w:hint="eastAsia" w:ascii="Times New Roman" w:hAnsi="Times New Roman" w:cs="Times New Roman"/>
                <w:color w:val="000000" w:themeColor="text1"/>
                <w:highlight w:val="none"/>
                <w:lang w:val="en-US" w:eastAsia="zh-CN"/>
                <w14:textFill>
                  <w14:solidFill>
                    <w14:schemeClr w14:val="tx1"/>
                  </w14:solidFill>
                </w14:textFill>
              </w:rPr>
              <w:t>1440</w:t>
            </w:r>
            <w:r>
              <w:rPr>
                <w:rFonts w:hint="default" w:ascii="Times New Roman" w:hAnsi="Times New Roman" w:cs="Times New Roman"/>
                <w:color w:val="000000" w:themeColor="text1"/>
                <w:highlight w:val="none"/>
                <w:lang w:val="en-US" w:eastAsia="zh-CN"/>
                <w14:textFill>
                  <w14:solidFill>
                    <w14:schemeClr w14:val="tx1"/>
                  </w14:solidFill>
                </w14:textFill>
              </w:rPr>
              <w:t>h，</w:t>
            </w:r>
            <w:r>
              <w:rPr>
                <w:rFonts w:hint="eastAsia" w:ascii="Times New Roman" w:hAnsi="Times New Roman" w:cs="Times New Roman"/>
                <w:color w:val="000000" w:themeColor="text1"/>
                <w:highlight w:val="none"/>
                <w:lang w:val="en-US" w:eastAsia="zh-CN"/>
                <w14:textFill>
                  <w14:solidFill>
                    <w14:schemeClr w14:val="tx1"/>
                  </w14:solidFill>
                </w14:textFill>
              </w:rPr>
              <w:t>两级</w:t>
            </w:r>
            <w:r>
              <w:rPr>
                <w:rFonts w:hint="default" w:ascii="Times New Roman" w:hAnsi="Times New Roman" w:cs="Times New Roman"/>
                <w:color w:val="000000" w:themeColor="text1"/>
                <w:highlight w:val="none"/>
                <w:lang w:val="en-US" w:eastAsia="zh-CN"/>
                <w14:textFill>
                  <w14:solidFill>
                    <w14:schemeClr w14:val="tx1"/>
                  </w14:solidFill>
                </w14:textFill>
              </w:rPr>
              <w:t>活性炭吸附效率按</w:t>
            </w:r>
            <w:r>
              <w:rPr>
                <w:rFonts w:hint="eastAsia" w:ascii="Times New Roman" w:hAnsi="Times New Roman" w:cs="Times New Roman"/>
                <w:color w:val="000000" w:themeColor="text1"/>
                <w:highlight w:val="none"/>
                <w:lang w:val="en-US" w:eastAsia="zh-CN"/>
                <w14:textFill>
                  <w14:solidFill>
                    <w14:schemeClr w14:val="tx1"/>
                  </w14:solidFill>
                </w14:textFill>
              </w:rPr>
              <w:t>80</w:t>
            </w:r>
            <w:r>
              <w:rPr>
                <w:rFonts w:hint="default" w:ascii="Times New Roman" w:hAnsi="Times New Roman" w:cs="Times New Roman"/>
                <w:color w:val="000000" w:themeColor="text1"/>
                <w:highlight w:val="none"/>
                <w:lang w:val="en-US" w:eastAsia="zh-CN"/>
                <w14:textFill>
                  <w14:solidFill>
                    <w14:schemeClr w14:val="tx1"/>
                  </w14:solidFill>
                </w14:textFill>
              </w:rPr>
              <w:t>%计算，则有组织非甲烷总烃排放浓度为</w:t>
            </w:r>
            <w:r>
              <w:rPr>
                <w:rFonts w:hint="eastAsia" w:ascii="Times New Roman" w:hAnsi="Times New Roman" w:cs="Times New Roman"/>
                <w:color w:val="000000" w:themeColor="text1"/>
                <w:highlight w:val="none"/>
                <w:lang w:val="en-US" w:eastAsia="zh-CN"/>
                <w14:textFill>
                  <w14:solidFill>
                    <w14:schemeClr w14:val="tx1"/>
                  </w14:solidFill>
                </w14:textFill>
              </w:rPr>
              <w:t>1.08</w:t>
            </w:r>
            <w:r>
              <w:rPr>
                <w:rFonts w:hint="default" w:ascii="Times New Roman" w:hAnsi="Times New Roman" w:cs="Times New Roman"/>
                <w:color w:val="000000" w:themeColor="text1"/>
                <w:highlight w:val="none"/>
                <w:lang w:val="en-US" w:eastAsia="zh-CN"/>
                <w14:textFill>
                  <w14:solidFill>
                    <w14:schemeClr w14:val="tx1"/>
                  </w14:solidFill>
                </w14:textFill>
              </w:rPr>
              <w:t>mg/m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排放速率为0.00</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kg/h，排放量为0.00</w:t>
            </w:r>
            <w:r>
              <w:rPr>
                <w:rFonts w:hint="eastAsia" w:ascii="Times New Roman" w:hAns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lang w:val="en-US" w:eastAsia="zh-CN"/>
                <w14:textFill>
                  <w14:solidFill>
                    <w14:schemeClr w14:val="tx1"/>
                  </w14:solidFill>
                </w14:textFill>
              </w:rPr>
              <w:t>t/a，</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满足</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《工业企业挥发性有机物排放控制标准》（DB13/2322-2016）表1</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家具制造业</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标准</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w:t>
            </w:r>
          </w:p>
          <w:p>
            <w:pPr>
              <w:pStyle w:val="20"/>
              <w:keepNext w:val="0"/>
              <w:keepLines w:val="0"/>
              <w:pageBreakBefore w:val="0"/>
              <w:widowControl w:val="0"/>
              <w:numPr>
                <w:ilvl w:val="0"/>
                <w:numId w:val="6"/>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eastAsia"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无组织废气</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本项目切割</w:t>
            </w:r>
            <w:r>
              <w:rPr>
                <w:rFonts w:hint="eastAsia" w:ascii="Times New Roman" w:hAnsi="Times New Roman" w:cs="Times New Roman"/>
                <w:color w:val="000000" w:themeColor="text1"/>
                <w:highlight w:val="none"/>
                <w:lang w:val="en-US" w:eastAsia="zh-CN"/>
                <w14:textFill>
                  <w14:solidFill>
                    <w14:schemeClr w14:val="tx1"/>
                  </w14:solidFill>
                </w14:textFill>
              </w:rPr>
              <w:t>工序</w:t>
            </w:r>
            <w:r>
              <w:rPr>
                <w:rFonts w:hint="default" w:ascii="Times New Roman" w:hAnsi="Times New Roman" w:cs="Times New Roman"/>
                <w:color w:val="000000" w:themeColor="text1"/>
                <w:highlight w:val="none"/>
                <w:lang w:val="en-US" w:eastAsia="zh-CN"/>
                <w14:textFill>
                  <w14:solidFill>
                    <w14:schemeClr w14:val="tx1"/>
                  </w14:solidFill>
                </w14:textFill>
              </w:rPr>
              <w:t>产尘系数依据</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《第二次全国污染源普查工业污染源产排污系数手册</w:t>
            </w: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—213金属家具制造行业系数手册</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机加工</w:t>
            </w:r>
            <w:r>
              <w:rPr>
                <w:rFonts w:hint="default" w:ascii="Times New Roman" w:hAnsi="Times New Roman" w:cs="Times New Roman"/>
                <w:color w:val="000000" w:themeColor="text1"/>
                <w:highlight w:val="none"/>
                <w14:textFill>
                  <w14:solidFill>
                    <w14:schemeClr w14:val="tx1"/>
                  </w14:solidFill>
                </w14:textFill>
              </w:rPr>
              <w:t>产尘系数为</w:t>
            </w:r>
            <w:r>
              <w:rPr>
                <w:rFonts w:hint="default" w:ascii="Times New Roman" w:hAnsi="Times New Roman" w:cs="Times New Roman"/>
                <w:color w:val="000000" w:themeColor="text1"/>
                <w:highlight w:val="none"/>
                <w:lang w:val="en-US" w:eastAsia="zh-CN"/>
                <w14:textFill>
                  <w14:solidFill>
                    <w14:schemeClr w14:val="tx1"/>
                  </w14:solidFill>
                </w14:textFill>
              </w:rPr>
              <w:t>50</w:t>
            </w:r>
            <w:r>
              <w:rPr>
                <w:rFonts w:hint="default" w:ascii="Times New Roman" w:hAnsi="Times New Roman" w:cs="Times New Roman"/>
                <w:color w:val="000000" w:themeColor="text1"/>
                <w:highlight w:val="none"/>
                <w14:textFill>
                  <w14:solidFill>
                    <w14:schemeClr w14:val="tx1"/>
                  </w14:solidFill>
                </w14:textFill>
              </w:rPr>
              <w:t>g/</w:t>
            </w:r>
            <w:r>
              <w:rPr>
                <w:rFonts w:hint="default" w:ascii="Times New Roman" w:hAnsi="Times New Roman" w:cs="Times New Roman"/>
                <w:color w:val="000000" w:themeColor="text1"/>
                <w:highlight w:val="none"/>
                <w:lang w:eastAsia="zh-CN"/>
                <w14:textFill>
                  <w14:solidFill>
                    <w14:schemeClr w14:val="tx1"/>
                  </w14:solidFill>
                </w14:textFill>
              </w:rPr>
              <w:t>平方米</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产品，本项目年产金属家具约</w:t>
            </w:r>
            <w:r>
              <w:rPr>
                <w:rFonts w:hint="default" w:ascii="Times New Roman" w:hAnsi="Times New Roman" w:cs="Times New Roman"/>
                <w:color w:val="000000" w:themeColor="text1"/>
                <w:highlight w:val="none"/>
                <w:lang w:val="en-US" w:eastAsia="zh-CN"/>
                <w14:textFill>
                  <w14:solidFill>
                    <w14:schemeClr w14:val="tx1"/>
                  </w14:solidFill>
                </w14:textFill>
              </w:rPr>
              <w:t>150000m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，则切割</w:t>
            </w:r>
            <w:r>
              <w:rPr>
                <w:rFonts w:hint="eastAsia" w:ascii="Times New Roman" w:hAnsi="Times New Roman" w:cs="Times New Roman"/>
                <w:color w:val="000000" w:themeColor="text1"/>
                <w:highlight w:val="none"/>
                <w:lang w:val="en-US" w:eastAsia="zh-CN"/>
                <w14:textFill>
                  <w14:solidFill>
                    <w14:schemeClr w14:val="tx1"/>
                  </w14:solidFill>
                </w14:textFill>
              </w:rPr>
              <w:t>工序</w:t>
            </w:r>
            <w:r>
              <w:rPr>
                <w:rFonts w:hint="default" w:ascii="Times New Roman" w:hAnsi="Times New Roman" w:cs="Times New Roman"/>
                <w:color w:val="000000" w:themeColor="text1"/>
                <w:highlight w:val="none"/>
                <w:lang w:val="en-US" w:eastAsia="zh-CN"/>
                <w14:textFill>
                  <w14:solidFill>
                    <w14:schemeClr w14:val="tx1"/>
                  </w14:solidFill>
                </w14:textFill>
              </w:rPr>
              <w:t>产颗粒物7.5t/a，</w:t>
            </w: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由于金属颗粒物比重较大，易于沉降，约90%可在</w:t>
            </w:r>
            <w:r>
              <w:rPr>
                <w:rFonts w:hint="eastAsia" w:ascii="Times New Roman" w:hAnsi="Times New Roman" w:cs="Times New Roman"/>
                <w:color w:val="000000" w:themeColor="text1"/>
                <w:kern w:val="2"/>
                <w:sz w:val="24"/>
                <w:szCs w:val="24"/>
                <w:highlight w:val="none"/>
                <w:lang w:val="en-US" w:eastAsia="zh-CN" w:bidi="ar"/>
                <w14:textFill>
                  <w14:solidFill>
                    <w14:schemeClr w14:val="tx1"/>
                  </w14:solidFill>
                </w14:textFill>
              </w:rPr>
              <w:t>切割机内部</w:t>
            </w: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沉降，沉降量为6.75t/a，沉降部分及时收集后作为边角料处理，且有车间厂房阻拦，只有极少部分扩散到大气中形成粉尘，因此</w:t>
            </w:r>
            <w:r>
              <w:rPr>
                <w:rFonts w:hint="eastAsia" w:ascii="Times New Roman" w:hAnsi="Times New Roman" w:cs="Times New Roman"/>
                <w:color w:val="000000" w:themeColor="text1"/>
                <w:kern w:val="2"/>
                <w:sz w:val="24"/>
                <w:szCs w:val="24"/>
                <w:highlight w:val="none"/>
                <w:lang w:val="en-US" w:eastAsia="zh-CN" w:bidi="ar"/>
                <w14:textFill>
                  <w14:solidFill>
                    <w14:schemeClr w14:val="tx1"/>
                  </w14:solidFill>
                </w14:textFill>
              </w:rPr>
              <w:t>切割工序</w:t>
            </w: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无组织</w:t>
            </w:r>
            <w:r>
              <w:rPr>
                <w:rFonts w:hint="default" w:ascii="Times New Roman" w:hAnsi="Times New Roman" w:cs="Times New Roman"/>
                <w:color w:val="000000" w:themeColor="text1"/>
                <w:highlight w:val="none"/>
                <w:lang w:val="en-US" w:eastAsia="zh-CN"/>
                <w14:textFill>
                  <w14:solidFill>
                    <w14:schemeClr w14:val="tx1"/>
                  </w14:solidFill>
                </w14:textFill>
              </w:rPr>
              <w:t>颗粒物排放</w:t>
            </w: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量约为0.75t/a，排放速率为0.</w:t>
            </w:r>
            <w:r>
              <w:rPr>
                <w:rFonts w:hint="eastAsia" w:ascii="Times New Roman" w:hAnsi="Times New Roman" w:cs="Times New Roman"/>
                <w:color w:val="000000" w:themeColor="text1"/>
                <w:kern w:val="2"/>
                <w:sz w:val="24"/>
                <w:szCs w:val="24"/>
                <w:highlight w:val="none"/>
                <w:lang w:val="en-US" w:eastAsia="zh-CN" w:bidi="ar"/>
                <w14:textFill>
                  <w14:solidFill>
                    <w14:schemeClr w14:val="tx1"/>
                  </w14:solidFill>
                </w14:textFill>
              </w:rPr>
              <w:t>284</w:t>
            </w: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kg/h。</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
                <w14:textFill>
                  <w14:solidFill>
                    <w14:schemeClr w14:val="tx1"/>
                  </w14:solidFill>
                </w14:textFill>
              </w:rPr>
              <w:t>本项目焊接工序未被收集无组织颗粒物</w:t>
            </w:r>
            <w:r>
              <w:rPr>
                <w:rFonts w:hint="eastAsia" w:ascii="Times New Roman" w:hAnsi="Times New Roman" w:cs="Times New Roman"/>
                <w:color w:val="000000" w:themeColor="text1"/>
                <w:highlight w:val="none"/>
                <w:lang w:val="en-US" w:eastAsia="zh-CN"/>
                <w14:textFill>
                  <w14:solidFill>
                    <w14:schemeClr w14:val="tx1"/>
                  </w14:solidFill>
                </w14:textFill>
              </w:rPr>
              <w:t>排放量为0.028</w:t>
            </w:r>
            <w:r>
              <w:rPr>
                <w:rFonts w:hint="default" w:ascii="Times New Roman" w:hAnsi="Times New Roman" w:cs="Times New Roman"/>
                <w:color w:val="000000" w:themeColor="text1"/>
                <w:highlight w:val="none"/>
                <w:lang w:val="en-US" w:eastAsia="zh-CN"/>
                <w14:textFill>
                  <w14:solidFill>
                    <w14:schemeClr w14:val="tx1"/>
                  </w14:solidFill>
                </w14:textFill>
              </w:rPr>
              <w:t>t/a</w:t>
            </w:r>
            <w:r>
              <w:rPr>
                <w:rFonts w:hint="eastAsia" w:ascii="Times New Roman" w:hAnsi="Times New Roman" w:cs="Times New Roman"/>
                <w:color w:val="000000" w:themeColor="text1"/>
                <w:highlight w:val="none"/>
                <w:lang w:val="en-US" w:eastAsia="zh-CN"/>
                <w14:textFill>
                  <w14:solidFill>
                    <w14:schemeClr w14:val="tx1"/>
                  </w14:solidFill>
                </w14:textFill>
              </w:rPr>
              <w:t>，排放速率为0.011kg/h。</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
                <w14:textFill>
                  <w14:solidFill>
                    <w14:schemeClr w14:val="tx1"/>
                  </w14:solidFill>
                </w14:textFill>
              </w:rPr>
              <w:t>本项目固化工序未被收集无组织非甲烷总烃排放量为0.005</w:t>
            </w:r>
            <w:r>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t>t/a</w:t>
            </w:r>
            <w:r>
              <w:rPr>
                <w:rFonts w:hint="eastAsia" w:ascii="Times New Roman" w:hAnsi="Times New Roman" w:cs="Times New Roman"/>
                <w:color w:val="000000" w:themeColor="text1"/>
                <w:kern w:val="2"/>
                <w:sz w:val="24"/>
                <w:szCs w:val="24"/>
                <w:highlight w:val="none"/>
                <w:lang w:val="en-US" w:eastAsia="zh-CN" w:bidi="ar"/>
                <w14:textFill>
                  <w14:solidFill>
                    <w14:schemeClr w14:val="tx1"/>
                  </w14:solidFill>
                </w14:textFill>
              </w:rPr>
              <w:t>，排放速率为0.004kg/h。</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kern w:val="2"/>
                <w:sz w:val="24"/>
                <w:szCs w:val="24"/>
                <w:highlight w:val="none"/>
                <w:lang w:val="en-US" w:eastAsia="zh-CN" w:bidi="ar"/>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
                <w14:textFill>
                  <w14:solidFill>
                    <w14:schemeClr w14:val="tx1"/>
                  </w14:solidFill>
                </w14:textFill>
              </w:rPr>
              <w:t>综上，金属家具生产车间无组织颗粒物排放量为0.778t/a，排放速率为0.295kg/h，无组织非甲烷总烃的排放量为0.005t/a，排放速率为0.004kg/h。</w:t>
            </w:r>
          </w:p>
          <w:p>
            <w:pPr>
              <w:keepNext w:val="0"/>
              <w:keepLines w:val="0"/>
              <w:suppressLineNumbers w:val="0"/>
              <w:adjustRightInd w:val="0"/>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eastAsia" w:eastAsia="黑体" w:cs="Times New Roman"/>
                <w:color w:val="000000" w:themeColor="text1"/>
                <w:highlight w:val="none"/>
                <w:lang w:val="en-US" w:eastAsia="zh-CN"/>
                <w14:textFill>
                  <w14:solidFill>
                    <w14:schemeClr w14:val="tx1"/>
                  </w14:solidFill>
                </w14:textFill>
              </w:rPr>
              <w:t>4</w:t>
            </w:r>
            <w:r>
              <w:rPr>
                <w:rFonts w:hint="default" w:ascii="Times New Roman" w:hAnsi="Times New Roman" w:eastAsia="黑体" w:cs="Times New Roman"/>
                <w:color w:val="000000" w:themeColor="text1"/>
                <w:highlight w:val="none"/>
                <w14:textFill>
                  <w14:solidFill>
                    <w14:schemeClr w14:val="tx1"/>
                  </w14:solidFill>
                </w14:textFill>
              </w:rPr>
              <w:t xml:space="preserve">  </w:t>
            </w:r>
            <w:r>
              <w:rPr>
                <w:rFonts w:hint="default" w:ascii="Times New Roman" w:hAnsi="Times New Roman" w:eastAsia="黑体" w:cs="Times New Roman"/>
                <w:color w:val="000000" w:themeColor="text1"/>
                <w:highlight w:val="none"/>
                <w:lang w:eastAsia="zh-CN"/>
                <w14:textFill>
                  <w14:solidFill>
                    <w14:schemeClr w14:val="tx1"/>
                  </w14:solidFill>
                </w14:textFill>
              </w:rPr>
              <w:t>金属家具生产车间</w:t>
            </w:r>
            <w:r>
              <w:rPr>
                <w:rFonts w:hint="default" w:ascii="Times New Roman" w:hAnsi="Times New Roman" w:eastAsia="黑体" w:cs="Times New Roman"/>
                <w:color w:val="000000" w:themeColor="text1"/>
                <w:highlight w:val="none"/>
                <w14:textFill>
                  <w14:solidFill>
                    <w14:schemeClr w14:val="tx1"/>
                  </w14:solidFill>
                </w14:textFill>
              </w:rPr>
              <w:t>污染源源强一览表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61"/>
              <w:gridCol w:w="620"/>
              <w:gridCol w:w="652"/>
              <w:gridCol w:w="665"/>
              <w:gridCol w:w="539"/>
              <w:gridCol w:w="867"/>
              <w:gridCol w:w="692"/>
              <w:gridCol w:w="807"/>
              <w:gridCol w:w="517"/>
              <w:gridCol w:w="739"/>
              <w:gridCol w:w="1082"/>
              <w:gridCol w:w="2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5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排放口名称</w:t>
                  </w:r>
                </w:p>
              </w:tc>
              <w:tc>
                <w:tcPr>
                  <w:tcW w:w="3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种类</w:t>
                  </w:r>
                </w:p>
              </w:tc>
              <w:tc>
                <w:tcPr>
                  <w:tcW w:w="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废气排放量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Nm³/h</w:t>
                  </w:r>
                </w:p>
              </w:tc>
              <w:tc>
                <w:tcPr>
                  <w:tcW w:w="3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浓度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mg/m³</w:t>
                  </w:r>
                </w:p>
              </w:tc>
              <w:tc>
                <w:tcPr>
                  <w:tcW w:w="32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产生量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5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污染治理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设施</w:t>
                  </w:r>
                </w:p>
              </w:tc>
              <w:tc>
                <w:tcPr>
                  <w:tcW w:w="4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浓度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mg/m³</w:t>
                  </w:r>
                </w:p>
              </w:tc>
              <w:tc>
                <w:tcPr>
                  <w:tcW w:w="4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速率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kg/h</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年运行时长h</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放量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6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mg/m³</w:t>
                  </w:r>
                </w:p>
              </w:tc>
              <w:tc>
                <w:tcPr>
                  <w:tcW w:w="1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焊接烟气（DA002）</w:t>
                  </w:r>
                </w:p>
              </w:tc>
              <w:tc>
                <w:tcPr>
                  <w:tcW w:w="3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颗粒物</w:t>
                  </w:r>
                </w:p>
              </w:tc>
              <w:tc>
                <w:tcPr>
                  <w:tcW w:w="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1500</w:t>
                  </w:r>
                </w:p>
              </w:tc>
              <w:tc>
                <w:tcPr>
                  <w:tcW w:w="3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62.6</w:t>
                  </w:r>
                </w:p>
              </w:tc>
              <w:tc>
                <w:tcPr>
                  <w:tcW w:w="32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0.248</w:t>
                  </w:r>
                </w:p>
              </w:tc>
              <w:tc>
                <w:tcPr>
                  <w:tcW w:w="5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布袋除尘器+15m高排气筒</w:t>
                  </w:r>
                </w:p>
              </w:tc>
              <w:tc>
                <w:tcPr>
                  <w:tcW w:w="4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0.63</w:t>
                  </w:r>
                </w:p>
              </w:tc>
              <w:tc>
                <w:tcPr>
                  <w:tcW w:w="4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0.001</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2640</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0.002</w:t>
                  </w:r>
                </w:p>
              </w:tc>
              <w:tc>
                <w:tcPr>
                  <w:tcW w:w="6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120（3.5kg/h）</w:t>
                  </w:r>
                </w:p>
              </w:tc>
              <w:tc>
                <w:tcPr>
                  <w:tcW w:w="1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喷粉废气（</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p>
              </w:tc>
              <w:tc>
                <w:tcPr>
                  <w:tcW w:w="3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300.9</w:t>
                  </w:r>
                </w:p>
              </w:tc>
              <w:tc>
                <w:tcPr>
                  <w:tcW w:w="32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w:t>
                  </w:r>
                </w:p>
              </w:tc>
              <w:tc>
                <w:tcPr>
                  <w:tcW w:w="5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设备滤芯收集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p>
              </w:tc>
              <w:tc>
                <w:tcPr>
                  <w:tcW w:w="4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15.0</w:t>
                  </w:r>
                </w:p>
              </w:tc>
              <w:tc>
                <w:tcPr>
                  <w:tcW w:w="4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.09</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144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0.13</w:t>
                  </w:r>
                </w:p>
              </w:tc>
              <w:tc>
                <w:tcPr>
                  <w:tcW w:w="6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18</w:t>
                  </w:r>
                </w:p>
                <w:p>
                  <w:pPr>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0.51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kg/h</w:t>
                  </w:r>
                </w:p>
              </w:tc>
              <w:tc>
                <w:tcPr>
                  <w:tcW w:w="1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固化成型废气</w:t>
                  </w:r>
                  <w:r>
                    <w:rPr>
                      <w:rFonts w:hint="default" w:ascii="Times New Roman" w:hAnsi="Times New Roman" w:eastAsia="宋体" w:cs="Times New Roman"/>
                      <w:color w:val="000000" w:themeColor="text1"/>
                      <w:sz w:val="21"/>
                      <w:szCs w:val="21"/>
                      <w:highlight w:val="none"/>
                      <w14:textFill>
                        <w14:solidFill>
                          <w14:schemeClr w14:val="tx1"/>
                        </w14:solidFill>
                      </w14:textFill>
                    </w:rPr>
                    <w:t>（DA00</w:t>
                  </w:r>
                  <w:r>
                    <w:rPr>
                      <w:rFonts w:hint="eastAsia"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p>
              </w:tc>
              <w:tc>
                <w:tcPr>
                  <w:tcW w:w="3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5.42</w:t>
                  </w:r>
                </w:p>
              </w:tc>
              <w:tc>
                <w:tcPr>
                  <w:tcW w:w="32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0.047</w:t>
                  </w:r>
                </w:p>
              </w:tc>
              <w:tc>
                <w:tcPr>
                  <w:tcW w:w="5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两级</w:t>
                  </w:r>
                  <w:r>
                    <w:rPr>
                      <w:rFonts w:hint="default" w:ascii="Times New Roman" w:hAnsi="Times New Roman" w:eastAsia="宋体" w:cs="Times New Roman"/>
                      <w:color w:val="000000" w:themeColor="text1"/>
                      <w:sz w:val="21"/>
                      <w:szCs w:val="21"/>
                      <w:highlight w:val="none"/>
                      <w14:textFill>
                        <w14:solidFill>
                          <w14:schemeClr w14:val="tx1"/>
                        </w14:solidFill>
                      </w14:textFill>
                    </w:rPr>
                    <w:t>活性炭吸附+15m高排气筒</w:t>
                  </w:r>
                </w:p>
              </w:tc>
              <w:tc>
                <w:tcPr>
                  <w:tcW w:w="4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1.08</w:t>
                  </w:r>
                </w:p>
              </w:tc>
              <w:tc>
                <w:tcPr>
                  <w:tcW w:w="4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eastAsia="宋体" w:cs="Times New Roman"/>
                      <w:color w:val="000000" w:themeColor="text1"/>
                      <w:sz w:val="21"/>
                      <w:szCs w:val="21"/>
                      <w:highlight w:val="none"/>
                      <w:lang w:val="en-US" w:eastAsia="zh-CN"/>
                      <w14:textFill>
                        <w14:solidFill>
                          <w14:schemeClr w14:val="tx1"/>
                        </w14:solidFill>
                      </w14:textFill>
                    </w:rPr>
                    <w:t>02</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1440</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0.009</w:t>
                  </w:r>
                </w:p>
              </w:tc>
              <w:tc>
                <w:tcPr>
                  <w:tcW w:w="6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（去除效率＞70%）</w:t>
                  </w:r>
                </w:p>
              </w:tc>
              <w:tc>
                <w:tcPr>
                  <w:tcW w:w="1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车间无组织废气</w:t>
                  </w:r>
                </w:p>
              </w:tc>
              <w:tc>
                <w:tcPr>
                  <w:tcW w:w="3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2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0.778</w:t>
                  </w:r>
                </w:p>
              </w:tc>
              <w:tc>
                <w:tcPr>
                  <w:tcW w:w="52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密闭车间</w:t>
                  </w:r>
                </w:p>
              </w:tc>
              <w:tc>
                <w:tcPr>
                  <w:tcW w:w="4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0.295</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2640</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778</w:t>
                  </w:r>
                </w:p>
              </w:tc>
              <w:tc>
                <w:tcPr>
                  <w:tcW w:w="6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2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005</w:t>
                  </w:r>
                </w:p>
              </w:tc>
              <w:tc>
                <w:tcPr>
                  <w:tcW w:w="52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eastAsia="宋体" w:cs="Times New Roman"/>
                      <w:color w:val="000000" w:themeColor="text1"/>
                      <w:sz w:val="21"/>
                      <w:szCs w:val="21"/>
                      <w:highlight w:val="none"/>
                      <w:lang w:val="en-US" w:eastAsia="zh-CN"/>
                      <w14:textFill>
                        <w14:solidFill>
                          <w14:schemeClr w14:val="tx1"/>
                        </w14:solidFill>
                      </w14:textFill>
                    </w:rPr>
                    <w:t>4</w:t>
                  </w:r>
                </w:p>
              </w:tc>
              <w:tc>
                <w:tcPr>
                  <w:tcW w:w="3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1440</w:t>
                  </w: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eastAsia="宋体" w:cs="Times New Roman"/>
                      <w:color w:val="000000" w:themeColor="text1"/>
                      <w:sz w:val="21"/>
                      <w:szCs w:val="21"/>
                      <w:highlight w:val="none"/>
                      <w:lang w:val="en-US" w:eastAsia="zh-CN"/>
                      <w14:textFill>
                        <w14:solidFill>
                          <w14:schemeClr w14:val="tx1"/>
                        </w14:solidFill>
                      </w14:textFill>
                    </w:rPr>
                    <w:t>05</w:t>
                  </w:r>
                </w:p>
              </w:tc>
              <w:tc>
                <w:tcPr>
                  <w:tcW w:w="6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1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3、废气排放口信息</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480" w:leftChars="200" w:right="0" w:rightChars="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本项目废气排放口信息见表4-</w:t>
            </w:r>
            <w:r>
              <w:rPr>
                <w:rFonts w:hint="eastAsia" w:ascii="Times New Roman" w:hAnsi="Times New Roman" w:cs="Times New Roman"/>
                <w:color w:val="000000" w:themeColor="text1"/>
                <w:highlight w:val="none"/>
                <w:lang w:val="en-US" w:eastAsia="zh-CN"/>
                <w14:textFill>
                  <w14:solidFill>
                    <w14:schemeClr w14:val="tx1"/>
                  </w14:solidFill>
                </w14:textFill>
              </w:rPr>
              <w:t>5</w:t>
            </w:r>
          </w:p>
          <w:p>
            <w:pPr>
              <w:keepNext w:val="0"/>
              <w:keepLines w:val="0"/>
              <w:suppressLineNumbers w:val="0"/>
              <w:adjustRightInd w:val="0"/>
              <w:spacing w:before="0" w:beforeAutospacing="0" w:after="0" w:afterAutospacing="0" w:line="384"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eastAsia" w:ascii="Times New Roman" w:hAnsi="Times New Roman" w:eastAsia="黑体" w:cs="Times New Roman"/>
                <w:color w:val="000000" w:themeColor="text1"/>
                <w:highlight w:val="none"/>
                <w:lang w:val="en-US" w:eastAsia="zh-CN"/>
                <w14:textFill>
                  <w14:solidFill>
                    <w14:schemeClr w14:val="tx1"/>
                  </w14:solidFill>
                </w14:textFill>
              </w:rPr>
              <w:t>5</w:t>
            </w:r>
            <w:r>
              <w:rPr>
                <w:rFonts w:hint="default" w:ascii="Times New Roman" w:hAnsi="Times New Roman" w:eastAsia="黑体" w:cs="Times New Roman"/>
                <w:color w:val="000000" w:themeColor="text1"/>
                <w:highlight w:val="none"/>
                <w14:textFill>
                  <w14:solidFill>
                    <w14:schemeClr w14:val="tx1"/>
                  </w14:solidFill>
                </w14:textFill>
              </w:rPr>
              <w:t xml:space="preserve">  废气排放口信息一览表</w:t>
            </w:r>
          </w:p>
          <w:tbl>
            <w:tblPr>
              <w:tblStyle w:val="24"/>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28"/>
              <w:gridCol w:w="1405"/>
              <w:gridCol w:w="809"/>
              <w:gridCol w:w="773"/>
              <w:gridCol w:w="678"/>
              <w:gridCol w:w="676"/>
              <w:gridCol w:w="974"/>
              <w:gridCol w:w="1109"/>
              <w:gridCol w:w="14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5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序号</w:t>
                  </w:r>
                </w:p>
              </w:tc>
              <w:tc>
                <w:tcPr>
                  <w:tcW w:w="84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排放口名称</w:t>
                  </w:r>
                </w:p>
              </w:tc>
              <w:tc>
                <w:tcPr>
                  <w:tcW w:w="48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类型</w:t>
                  </w:r>
                </w:p>
              </w:tc>
              <w:tc>
                <w:tcPr>
                  <w:tcW w:w="46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编号</w:t>
                  </w:r>
                </w:p>
              </w:tc>
              <w:tc>
                <w:tcPr>
                  <w:tcW w:w="40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高度/m</w:t>
                  </w:r>
                </w:p>
              </w:tc>
              <w:tc>
                <w:tcPr>
                  <w:tcW w:w="40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内径/m</w:t>
                  </w:r>
                </w:p>
              </w:tc>
              <w:tc>
                <w:tcPr>
                  <w:tcW w:w="5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废气出口温度℃</w:t>
                  </w:r>
                </w:p>
              </w:tc>
              <w:tc>
                <w:tcPr>
                  <w:tcW w:w="154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地理坐标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5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4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6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经度</w:t>
                  </w:r>
                </w:p>
              </w:tc>
              <w:tc>
                <w:tcPr>
                  <w:tcW w:w="8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纬度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8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开料、封边</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打孔废气排气筒</w:t>
                  </w:r>
                </w:p>
              </w:tc>
              <w:tc>
                <w:tcPr>
                  <w:tcW w:w="4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一般排放口</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DA001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0.8</w:t>
                  </w:r>
                </w:p>
              </w:tc>
              <w:tc>
                <w:tcPr>
                  <w:tcW w:w="5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常温</w:t>
                  </w:r>
                </w:p>
              </w:tc>
              <w:tc>
                <w:tcPr>
                  <w:tcW w:w="6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w:t>
                  </w:r>
                  <w:r>
                    <w:rPr>
                      <w:rFonts w:hint="eastAsia" w:eastAsia="宋体" w:cs="Times New Roman"/>
                      <w:color w:val="000000" w:themeColor="text1"/>
                      <w:sz w:val="21"/>
                      <w:szCs w:val="21"/>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eastAsia" w:eastAsia="宋体" w:cs="Times New Roman"/>
                      <w:color w:val="000000" w:themeColor="text1"/>
                      <w:sz w:val="21"/>
                      <w:szCs w:val="21"/>
                      <w:highlight w:val="none"/>
                      <w:lang w:val="en-US" w:eastAsia="zh-CN"/>
                      <w14:textFill>
                        <w14:solidFill>
                          <w14:schemeClr w14:val="tx1"/>
                        </w14:solidFill>
                      </w14:textFill>
                    </w:rPr>
                    <w:t>51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w:t>
                  </w:r>
                </w:p>
              </w:tc>
              <w:tc>
                <w:tcPr>
                  <w:tcW w:w="8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焊接烟气排气筒</w:t>
                  </w:r>
                </w:p>
              </w:tc>
              <w:tc>
                <w:tcPr>
                  <w:tcW w:w="4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一般排放口</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DA002</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15</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0.2</w:t>
                  </w:r>
                </w:p>
              </w:tc>
              <w:tc>
                <w:tcPr>
                  <w:tcW w:w="5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常温</w:t>
                  </w:r>
                </w:p>
              </w:tc>
              <w:tc>
                <w:tcPr>
                  <w:tcW w:w="6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20.54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1.67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w:t>
                  </w:r>
                </w:p>
              </w:tc>
              <w:tc>
                <w:tcPr>
                  <w:tcW w:w="8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喷粉废气排气筒</w:t>
                  </w:r>
                </w:p>
              </w:tc>
              <w:tc>
                <w:tcPr>
                  <w:tcW w:w="4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一般排放口</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4</w:t>
                  </w:r>
                </w:p>
              </w:tc>
              <w:tc>
                <w:tcPr>
                  <w:tcW w:w="5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常温</w:t>
                  </w:r>
                </w:p>
              </w:tc>
              <w:tc>
                <w:tcPr>
                  <w:tcW w:w="6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eastAsia" w:eastAsia="宋体" w:cs="Times New Roman"/>
                      <w:color w:val="000000" w:themeColor="text1"/>
                      <w:sz w:val="21"/>
                      <w:szCs w:val="21"/>
                      <w:highlight w:val="none"/>
                      <w:lang w:val="en-US" w:eastAsia="zh-CN"/>
                      <w14:textFill>
                        <w14:solidFill>
                          <w14:schemeClr w14:val="tx1"/>
                        </w14:solidFill>
                      </w14:textFill>
                    </w:rPr>
                    <w:t>64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w:t>
                  </w:r>
                  <w:r>
                    <w:rPr>
                      <w:rFonts w:hint="eastAsia" w:eastAsia="宋体" w:cs="Times New Roman"/>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w:t>
                  </w:r>
                </w:p>
              </w:tc>
              <w:tc>
                <w:tcPr>
                  <w:tcW w:w="8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固化废气排气筒</w:t>
                  </w:r>
                </w:p>
              </w:tc>
              <w:tc>
                <w:tcPr>
                  <w:tcW w:w="4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一般排放口</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eastAsia="宋体" w:cs="Times New Roman"/>
                      <w:color w:val="000000" w:themeColor="text1"/>
                      <w:sz w:val="21"/>
                      <w:szCs w:val="21"/>
                      <w:highlight w:val="none"/>
                      <w:lang w:val="en-US" w:eastAsia="zh-CN"/>
                      <w14:textFill>
                        <w14:solidFill>
                          <w14:schemeClr w14:val="tx1"/>
                        </w14:solidFill>
                      </w14:textFill>
                    </w:rPr>
                    <w:t>4</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eastAsia="宋体" w:cs="Times New Roman"/>
                      <w:color w:val="000000" w:themeColor="text1"/>
                      <w:sz w:val="21"/>
                      <w:szCs w:val="21"/>
                      <w:highlight w:val="none"/>
                      <w:lang w:val="en-US" w:eastAsia="zh-CN"/>
                      <w14:textFill>
                        <w14:solidFill>
                          <w14:schemeClr w14:val="tx1"/>
                        </w14:solidFill>
                      </w14:textFill>
                    </w:rPr>
                    <w:t>5</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4</w:t>
                  </w:r>
                </w:p>
              </w:tc>
              <w:tc>
                <w:tcPr>
                  <w:tcW w:w="5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6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w:t>
                  </w:r>
                  <w:r>
                    <w:rPr>
                      <w:rFonts w:hint="eastAsia" w:eastAsia="宋体" w:cs="Times New Roman"/>
                      <w:color w:val="000000" w:themeColor="text1"/>
                      <w:sz w:val="21"/>
                      <w:szCs w:val="21"/>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4.17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bl>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非正常情况</w:t>
            </w:r>
          </w:p>
          <w:p>
            <w:pPr>
              <w:keepNext w:val="0"/>
              <w:keepLines w:val="0"/>
              <w:suppressLineNumbers w:val="0"/>
              <w:spacing w:before="0" w:beforeAutospacing="0" w:after="0" w:afterAutospacing="0" w:line="348" w:lineRule="auto"/>
              <w:ind w:left="0" w:right="0" w:firstLine="480" w:firstLineChars="20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非正常生产排污包括开车、停车、检修和非正常工况的污染物排放，如工艺设备和环保设施不能正常运行时污染物的排放、停电时备用发电机运转产生的污染物排放等。本项目非正常状况主要为废气环保设施出现问题，导致处理效率降低、废气治理设施失去处理能力等情况引起污染物排放发生变化</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由此核算本项目非正常工况下污染物外排情况见表4-</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w:t>
            </w:r>
          </w:p>
          <w:p>
            <w:pPr>
              <w:keepNext w:val="0"/>
              <w:keepLines w:val="0"/>
              <w:suppressLineNumbers w:val="0"/>
              <w:adjustRightInd w:val="0"/>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6</w:t>
            </w:r>
            <w:r>
              <w:rPr>
                <w:rFonts w:hint="default" w:ascii="Times New Roman" w:hAnsi="Times New Roman" w:eastAsia="黑体" w:cs="Times New Roman"/>
                <w:color w:val="000000" w:themeColor="text1"/>
                <w:highlight w:val="none"/>
                <w14:textFill>
                  <w14:solidFill>
                    <w14:schemeClr w14:val="tx1"/>
                  </w14:solidFill>
                </w14:textFill>
              </w:rPr>
              <w:t xml:space="preserve">  项目废气污染源非正常情况下排放参数一览表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216"/>
              <w:gridCol w:w="890"/>
              <w:gridCol w:w="1188"/>
              <w:gridCol w:w="1042"/>
              <w:gridCol w:w="1045"/>
              <w:gridCol w:w="893"/>
              <w:gridCol w:w="1042"/>
              <w:gridCol w:w="10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排放口名称</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7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废气排放量(Nm³/h)</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排放浓度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(mg/m³)</w:t>
                  </w:r>
                </w:p>
              </w:tc>
              <w:tc>
                <w:tcPr>
                  <w:tcW w:w="6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排放速率(kg/h)</w:t>
                  </w:r>
                </w:p>
              </w:tc>
              <w:tc>
                <w:tcPr>
                  <w:tcW w:w="5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持续时长(min)</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发生频次(次/a)</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年排放量(kg/a)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DA001</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7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20000</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383.5</w:t>
                  </w:r>
                </w:p>
              </w:tc>
              <w:tc>
                <w:tcPr>
                  <w:tcW w:w="6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7.67</w:t>
                  </w:r>
                </w:p>
              </w:tc>
              <w:tc>
                <w:tcPr>
                  <w:tcW w:w="5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7.67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DA00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颗粒物</w:t>
                  </w:r>
                </w:p>
              </w:tc>
              <w:tc>
                <w:tcPr>
                  <w:tcW w:w="7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1500</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62.6</w:t>
                  </w:r>
                </w:p>
              </w:tc>
              <w:tc>
                <w:tcPr>
                  <w:tcW w:w="6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0.094</w:t>
                  </w:r>
                </w:p>
              </w:tc>
              <w:tc>
                <w:tcPr>
                  <w:tcW w:w="5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7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300.9</w:t>
                  </w:r>
                </w:p>
              </w:tc>
              <w:tc>
                <w:tcPr>
                  <w:tcW w:w="6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1.805</w:t>
                  </w:r>
                </w:p>
              </w:tc>
              <w:tc>
                <w:tcPr>
                  <w:tcW w:w="5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1.805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eastAsia="宋体" w:cs="Times New Roman"/>
                      <w:color w:val="000000" w:themeColor="text1"/>
                      <w:sz w:val="21"/>
                      <w:szCs w:val="21"/>
                      <w:highlight w:val="none"/>
                      <w:lang w:val="en-US" w:eastAsia="zh-CN"/>
                      <w14:textFill>
                        <w14:solidFill>
                          <w14:schemeClr w14:val="tx1"/>
                        </w14:solidFill>
                      </w14:textFill>
                    </w:rPr>
                    <w:t>4</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非甲烷总烃</w:t>
                  </w:r>
                </w:p>
              </w:tc>
              <w:tc>
                <w:tcPr>
                  <w:tcW w:w="7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6000</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5.42</w:t>
                  </w:r>
                </w:p>
              </w:tc>
              <w:tc>
                <w:tcPr>
                  <w:tcW w:w="6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0.033</w:t>
                  </w:r>
                </w:p>
              </w:tc>
              <w:tc>
                <w:tcPr>
                  <w:tcW w:w="5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60</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0.033</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建设单位应严格控制废气非正常排放，并采取以下措施：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①制定环保设备例行检查制度，确保每小时巡检一次环保设备，加强定期维护保养，发现风机、处理设施故障、损坏或排风管道破损时，应立即停止生产活动，对设备或管道进行维修，待恢复正常后方正常运行。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②定期检修废气治理装置，确保净化效率符合要求；检修时应停止生产活动运行，杜绝废气未经处理直接排放。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③设环保管理专员，对环保管理人员及技术人员进行岗位培训，委托具有专业资质的环境检测单位对项目排放的各类废气污染物进行定期监测。</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leftChars="0" w:right="0" w:rightChars="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厂界浓度</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本评价采用《环境影响评价技术导则·大气环境》(HJ2.2-2018)推荐的估算模式ARESCREEN预测本项目对四周厂界的贡献浓度，分析本项目实施后厂界达标情况，具体结果见表4-</w:t>
            </w:r>
            <w:r>
              <w:rPr>
                <w:rFonts w:hint="eastAsia"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7</w:t>
            </w:r>
            <w:r>
              <w:rPr>
                <w:rFonts w:hint="default" w:ascii="Times New Roman" w:hAnsi="Times New Roman" w:eastAsia="黑体" w:cs="Times New Roman"/>
                <w:color w:val="000000" w:themeColor="text1"/>
                <w:highlight w:val="none"/>
                <w14:textFill>
                  <w14:solidFill>
                    <w14:schemeClr w14:val="tx1"/>
                  </w14:solidFill>
                </w14:textFill>
              </w:rPr>
              <w:t xml:space="preserve">  废气污染源对四周厂界贡献浓度一览表</w:t>
            </w:r>
            <w:r>
              <w:rPr>
                <w:rFonts w:hint="eastAsia" w:eastAsia="黑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highlight w:val="none"/>
                <w14:textFill>
                  <w14:solidFill>
                    <w14:schemeClr w14:val="tx1"/>
                  </w14:solidFill>
                </w14:textFill>
              </w:rPr>
              <w:t xml:space="preserve"> 单位：mg/m</w:t>
            </w:r>
            <w:r>
              <w:rPr>
                <w:rFonts w:hint="default" w:ascii="Times New Roman" w:hAnsi="Times New Roman" w:eastAsia="黑体" w:cs="Times New Roman"/>
                <w:color w:val="000000" w:themeColor="text1"/>
                <w:highlight w:val="none"/>
                <w:vertAlign w:val="superscript"/>
                <w14:textFill>
                  <w14:solidFill>
                    <w14:schemeClr w14:val="tx1"/>
                  </w14:solidFill>
                </w14:textFill>
              </w:rPr>
              <w:t>3</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991"/>
              <w:gridCol w:w="1461"/>
              <w:gridCol w:w="1755"/>
              <w:gridCol w:w="1461"/>
              <w:gridCol w:w="16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195" w:type="pct"/>
                  <w:tcBorders>
                    <w:tl2br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840" w:firstLineChars="4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评价因子</w:t>
                  </w:r>
                </w:p>
              </w:tc>
              <w:tc>
                <w:tcPr>
                  <w:tcW w:w="87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东厂界</w:t>
                  </w:r>
                </w:p>
              </w:tc>
              <w:tc>
                <w:tcPr>
                  <w:tcW w:w="10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西厂界</w:t>
                  </w:r>
                </w:p>
              </w:tc>
              <w:tc>
                <w:tcPr>
                  <w:tcW w:w="87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南厂界</w:t>
                  </w:r>
                </w:p>
              </w:tc>
              <w:tc>
                <w:tcPr>
                  <w:tcW w:w="9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北厂界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1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87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308</w:t>
                  </w:r>
                </w:p>
              </w:tc>
              <w:tc>
                <w:tcPr>
                  <w:tcW w:w="10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336</w:t>
                  </w:r>
                </w:p>
              </w:tc>
              <w:tc>
                <w:tcPr>
                  <w:tcW w:w="87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.332</w:t>
                  </w:r>
                </w:p>
              </w:tc>
              <w:tc>
                <w:tcPr>
                  <w:tcW w:w="9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348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1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87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0.001</w:t>
                  </w:r>
                </w:p>
              </w:tc>
              <w:tc>
                <w:tcPr>
                  <w:tcW w:w="10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eastAsia="宋体" w:cs="Times New Roman"/>
                      <w:color w:val="000000" w:themeColor="text1"/>
                      <w:sz w:val="21"/>
                      <w:szCs w:val="21"/>
                      <w:highlight w:val="none"/>
                      <w:lang w:val="en-US" w:eastAsia="zh-CN"/>
                      <w14:textFill>
                        <w14:solidFill>
                          <w14:schemeClr w14:val="tx1"/>
                        </w14:solidFill>
                      </w14:textFill>
                    </w:rPr>
                    <w:t>08</w:t>
                  </w:r>
                </w:p>
              </w:tc>
              <w:tc>
                <w:tcPr>
                  <w:tcW w:w="87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0.011</w:t>
                  </w:r>
                </w:p>
              </w:tc>
              <w:tc>
                <w:tcPr>
                  <w:tcW w:w="9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eastAsia="宋体" w:cs="Times New Roman"/>
                      <w:color w:val="000000" w:themeColor="text1"/>
                      <w:sz w:val="21"/>
                      <w:szCs w:val="21"/>
                      <w:highlight w:val="none"/>
                      <w:lang w:val="en-US" w:eastAsia="zh-CN"/>
                      <w14:textFill>
                        <w14:solidFill>
                          <w14:schemeClr w14:val="tx1"/>
                        </w14:solidFill>
                      </w14:textFill>
                    </w:rPr>
                    <w:t>016</w:t>
                  </w:r>
                </w:p>
              </w:tc>
            </w:tr>
          </w:tbl>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由表4-</w:t>
            </w:r>
            <w:r>
              <w:rPr>
                <w:rFonts w:hint="default"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分析可知，本项目实施后四周厂界颗粒物预测浓度为</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308~0.348</w:t>
            </w:r>
            <w:r>
              <w:rPr>
                <w:rFonts w:hint="default" w:ascii="Times New Roman" w:hAnsi="Times New Roman" w:cs="Times New Roman"/>
                <w:color w:val="000000" w:themeColor="text1"/>
                <w:highlight w:val="none"/>
                <w14:textFill>
                  <w14:solidFill>
                    <w14:schemeClr w14:val="tx1"/>
                  </w14:solidFill>
                </w14:textFill>
              </w:rPr>
              <w:t>mg/m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vertAlign w:val="baseline"/>
                <w:lang w:eastAsia="zh-CN"/>
                <w14:textFill>
                  <w14:solidFill>
                    <w14:schemeClr w14:val="tx1"/>
                  </w14:solidFill>
                </w14:textFill>
              </w:rPr>
              <w:t>，满足</w:t>
            </w:r>
            <w:r>
              <w:rPr>
                <w:rFonts w:hint="default" w:ascii="Times New Roman" w:hAnsi="Times New Roman" w:cs="Times New Roman"/>
                <w:color w:val="000000" w:themeColor="text1"/>
                <w:highlight w:val="none"/>
                <w:lang w:eastAsia="zh-CN"/>
                <w14:textFill>
                  <w14:solidFill>
                    <w14:schemeClr w14:val="tx1"/>
                  </w14:solidFill>
                </w14:textFill>
              </w:rPr>
              <w:t>《大气污染物综合排放标准》（GB16297-1996）表2标准</w:t>
            </w:r>
            <w:r>
              <w:rPr>
                <w:rFonts w:hint="eastAsia" w:cs="Times New Roman"/>
                <w:color w:val="000000" w:themeColor="text1"/>
                <w:highlight w:val="none"/>
                <w:lang w:val="en-US" w:eastAsia="zh-CN"/>
                <w14:textFill>
                  <w14:solidFill>
                    <w14:schemeClr w14:val="tx1"/>
                  </w14:solidFill>
                </w14:textFill>
              </w:rPr>
              <w:t>要求</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非甲烷总烃</w:t>
            </w:r>
            <w:r>
              <w:rPr>
                <w:rFonts w:hint="default" w:ascii="Times New Roman" w:hAnsi="Times New Roman" w:cs="Times New Roman"/>
                <w:color w:val="000000" w:themeColor="text1"/>
                <w:highlight w:val="none"/>
                <w14:textFill>
                  <w14:solidFill>
                    <w14:schemeClr w14:val="tx1"/>
                  </w14:solidFill>
                </w14:textFill>
              </w:rPr>
              <w:t>预测浓度为0.00</w:t>
            </w:r>
            <w:r>
              <w:rPr>
                <w:rFonts w:hint="eastAsia" w:cs="Times New Roman"/>
                <w:color w:val="000000" w:themeColor="text1"/>
                <w:highlight w:val="none"/>
                <w:lang w:val="en-US" w:eastAsia="zh-CN"/>
                <w14:textFill>
                  <w14:solidFill>
                    <w14:schemeClr w14:val="tx1"/>
                  </w14:solidFill>
                </w14:textFill>
              </w:rPr>
              <w:t>08~0.011</w:t>
            </w:r>
            <w:r>
              <w:rPr>
                <w:rFonts w:hint="default" w:ascii="Times New Roman" w:hAnsi="Times New Roman" w:cs="Times New Roman"/>
                <w:color w:val="000000" w:themeColor="text1"/>
                <w:highlight w:val="none"/>
                <w14:textFill>
                  <w14:solidFill>
                    <w14:schemeClr w14:val="tx1"/>
                  </w14:solidFill>
                </w14:textFill>
              </w:rPr>
              <w:t>mg/m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满足</w:t>
            </w:r>
            <w:r>
              <w:rPr>
                <w:rFonts w:hint="default" w:ascii="Times New Roman" w:hAnsi="Times New Roman" w:cs="Times New Roman"/>
                <w:color w:val="000000" w:themeColor="text1"/>
                <w:highlight w:val="none"/>
                <w14:textFill>
                  <w14:solidFill>
                    <w14:schemeClr w14:val="tx1"/>
                  </w14:solidFill>
                </w14:textFill>
              </w:rPr>
              <w:t>《工业企业挥发性有机物排放控制标准》</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DB13.2322-2016</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表2标准</w:t>
            </w:r>
            <w:r>
              <w:rPr>
                <w:rFonts w:hint="eastAsia" w:cs="Times New Roman"/>
                <w:color w:val="000000" w:themeColor="text1"/>
                <w:highlight w:val="none"/>
                <w:lang w:val="en-US" w:eastAsia="zh-CN"/>
                <w14:textFill>
                  <w14:solidFill>
                    <w14:schemeClr w14:val="tx1"/>
                  </w14:solidFill>
                </w14:textFill>
              </w:rPr>
              <w:t>要求</w:t>
            </w:r>
            <w:r>
              <w:rPr>
                <w:rFonts w:hint="default" w:ascii="Times New Roman" w:hAnsi="Times New Roman" w:cs="Times New Roman"/>
                <w:color w:val="000000" w:themeColor="text1"/>
                <w:highlight w:val="none"/>
                <w:lang w:eastAsia="zh-CN"/>
                <w14:textFill>
                  <w14:solidFill>
                    <w14:schemeClr w14:val="tx1"/>
                  </w14:solidFill>
                </w14:textFill>
              </w:rPr>
              <w:t>。</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污染物排放量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本项目大气污染物排放量见表4-</w:t>
            </w:r>
            <w:r>
              <w:rPr>
                <w:rFonts w:hint="eastAsia" w:cs="Times New Roman"/>
                <w:color w:val="000000" w:themeColor="text1"/>
                <w:highlight w:val="none"/>
                <w:lang w:val="en-US" w:eastAsia="zh-CN"/>
                <w14:textFill>
                  <w14:solidFill>
                    <w14:schemeClr w14:val="tx1"/>
                  </w14:solidFill>
                </w14:textFill>
              </w:rPr>
              <w:t>8、4-9、4-10</w:t>
            </w:r>
            <w:r>
              <w:rPr>
                <w:rFonts w:hint="default" w:ascii="Times New Roman" w:hAnsi="Times New Roman" w:cs="Times New Roman"/>
                <w:color w:val="000000" w:themeColor="text1"/>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8</w:t>
            </w:r>
            <w:r>
              <w:rPr>
                <w:rFonts w:hint="default" w:ascii="Times New Roman" w:hAnsi="Times New Roman" w:eastAsia="黑体" w:cs="Times New Roman"/>
                <w:color w:val="000000" w:themeColor="text1"/>
                <w:highlight w:val="none"/>
                <w14:textFill>
                  <w14:solidFill>
                    <w14:schemeClr w14:val="tx1"/>
                  </w14:solidFill>
                </w14:textFill>
              </w:rPr>
              <w:t xml:space="preserve">  项目大气污染物有组织排放量核算表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94"/>
              <w:gridCol w:w="2577"/>
              <w:gridCol w:w="221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96"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54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产污环节</w:t>
                  </w:r>
                </w:p>
              </w:tc>
              <w:tc>
                <w:tcPr>
                  <w:tcW w:w="1326"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1530"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6"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545"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封边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打孔废气</w:t>
                  </w:r>
                  <w:r>
                    <w:rPr>
                      <w:rFonts w:hint="default" w:ascii="Times New Roman" w:hAnsi="Times New Roman" w:eastAsia="宋体" w:cs="Times New Roman"/>
                      <w:color w:val="000000" w:themeColor="text1"/>
                      <w:sz w:val="21"/>
                      <w:szCs w:val="21"/>
                      <w:highlight w:val="none"/>
                      <w14:textFill>
                        <w14:solidFill>
                          <w14:schemeClr w14:val="tx1"/>
                        </w14:solidFill>
                      </w14:textFill>
                    </w:rPr>
                    <w:t>（DA001）</w:t>
                  </w:r>
                </w:p>
              </w:tc>
              <w:tc>
                <w:tcPr>
                  <w:tcW w:w="132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45"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32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6"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w:t>
                  </w:r>
                </w:p>
              </w:tc>
              <w:tc>
                <w:tcPr>
                  <w:tcW w:w="15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焊接烟气（DA002）</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颗粒物</w:t>
                  </w:r>
                </w:p>
              </w:tc>
              <w:tc>
                <w:tcPr>
                  <w:tcW w:w="1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6"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w:t>
                  </w:r>
                </w:p>
              </w:tc>
              <w:tc>
                <w:tcPr>
                  <w:tcW w:w="15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喷粉废气（</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6"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w:t>
                  </w:r>
                </w:p>
              </w:tc>
              <w:tc>
                <w:tcPr>
                  <w:tcW w:w="15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固化成型废气</w:t>
                  </w:r>
                  <w:r>
                    <w:rPr>
                      <w:rFonts w:hint="default" w:ascii="Times New Roman" w:hAnsi="Times New Roman" w:eastAsia="宋体" w:cs="Times New Roman"/>
                      <w:color w:val="000000" w:themeColor="text1"/>
                      <w:sz w:val="21"/>
                      <w:szCs w:val="21"/>
                      <w:highlight w:val="none"/>
                      <w14:textFill>
                        <w14:solidFill>
                          <w14:schemeClr w14:val="tx1"/>
                        </w14:solidFill>
                      </w14:textFill>
                    </w:rPr>
                    <w:t>（DA00</w:t>
                  </w:r>
                  <w:r>
                    <w:rPr>
                      <w:rFonts w:hint="eastAsia"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0.009</w:t>
                  </w:r>
                </w:p>
              </w:tc>
            </w:tr>
          </w:tbl>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9</w:t>
            </w:r>
            <w:r>
              <w:rPr>
                <w:rFonts w:hint="default" w:ascii="Times New Roman" w:hAnsi="Times New Roman" w:eastAsia="黑体" w:cs="Times New Roman"/>
                <w:color w:val="000000" w:themeColor="text1"/>
                <w:highlight w:val="none"/>
                <w14:textFill>
                  <w14:solidFill>
                    <w14:schemeClr w14:val="tx1"/>
                  </w14:solidFill>
                </w14:textFill>
              </w:rPr>
              <w:t xml:space="preserve">  本项目大气污染物无组织排放量核算表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7"/>
              <w:gridCol w:w="1922"/>
              <w:gridCol w:w="809"/>
              <w:gridCol w:w="2450"/>
              <w:gridCol w:w="1865"/>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4"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152"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产污</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环节</w:t>
                  </w:r>
                </w:p>
              </w:tc>
              <w:tc>
                <w:tcPr>
                  <w:tcW w:w="485"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2587" w:type="pct"/>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国家或地方污染物排放标准</w:t>
                  </w:r>
                </w:p>
              </w:tc>
              <w:tc>
                <w:tcPr>
                  <w:tcW w:w="499"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5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69"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标准名称</w:t>
                  </w:r>
                </w:p>
              </w:tc>
              <w:tc>
                <w:tcPr>
                  <w:tcW w:w="1118"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浓度限值/(mg/m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15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木制家具车间</w:t>
                  </w:r>
                </w:p>
              </w:tc>
              <w:tc>
                <w:tcPr>
                  <w:tcW w:w="48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469"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《大气污染物综合排放标准》（GB16297-1996）表2标准</w:t>
                  </w:r>
                </w:p>
              </w:tc>
              <w:tc>
                <w:tcPr>
                  <w:tcW w:w="111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49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43" w:hRule="atLeast"/>
                <w:jc w:val="center"/>
              </w:trPr>
              <w:tc>
                <w:tcPr>
                  <w:tcW w:w="2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15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金属家具车间</w:t>
                  </w:r>
                </w:p>
              </w:tc>
              <w:tc>
                <w:tcPr>
                  <w:tcW w:w="48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469"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1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49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15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木制家具车间</w:t>
                  </w:r>
                </w:p>
              </w:tc>
              <w:tc>
                <w:tcPr>
                  <w:tcW w:w="48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469"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《工业企业挥发性有机物排放控制标准》（DB13/2322-2016）表1标准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《挥发性有机物无组织排放控制标准》（GB37822-2019）中附录A标准</w:t>
                  </w:r>
                </w:p>
              </w:tc>
              <w:tc>
                <w:tcPr>
                  <w:tcW w:w="111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生产车间或生产设备边界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企业边界2.0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厂房外监控点处1h平均浓度：6mg/m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厂房外监控点处任意一次浓度：20mg/m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49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15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金属家具车间</w:t>
                  </w:r>
                </w:p>
              </w:tc>
              <w:tc>
                <w:tcPr>
                  <w:tcW w:w="48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469"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1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9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eastAsia="宋体" w:cs="Times New Roman"/>
                      <w:color w:val="000000" w:themeColor="text1"/>
                      <w:sz w:val="21"/>
                      <w:szCs w:val="21"/>
                      <w:highlight w:val="none"/>
                      <w:lang w:val="en-US" w:eastAsia="zh-CN"/>
                      <w14:textFill>
                        <w14:solidFill>
                          <w14:schemeClr w14:val="tx1"/>
                        </w14:solidFill>
                      </w14:textFill>
                    </w:rPr>
                    <w:t>5</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本项目实施后废气排放情况见表4-</w:t>
            </w:r>
            <w:r>
              <w:rPr>
                <w:rFonts w:hint="eastAsia"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10</w:t>
            </w:r>
            <w:r>
              <w:rPr>
                <w:rFonts w:hint="default" w:ascii="Times New Roman" w:hAnsi="Times New Roman" w:eastAsia="黑体" w:cs="Times New Roman"/>
                <w:color w:val="000000" w:themeColor="text1"/>
                <w:highlight w:val="none"/>
                <w14:textFill>
                  <w14:solidFill>
                    <w14:schemeClr w14:val="tx1"/>
                  </w14:solidFill>
                </w14:textFill>
              </w:rPr>
              <w:t xml:space="preserve">  全厂大气污染物排放量核算表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34"/>
              <w:gridCol w:w="3205"/>
              <w:gridCol w:w="3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序号</w:t>
                  </w:r>
                </w:p>
              </w:tc>
              <w:tc>
                <w:tcPr>
                  <w:tcW w:w="192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污染物</w:t>
                  </w:r>
                </w:p>
              </w:tc>
              <w:tc>
                <w:tcPr>
                  <w:tcW w:w="22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w:t>
                  </w:r>
                </w:p>
              </w:tc>
              <w:tc>
                <w:tcPr>
                  <w:tcW w:w="192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颗粒物</w:t>
                  </w:r>
                </w:p>
              </w:tc>
              <w:tc>
                <w:tcPr>
                  <w:tcW w:w="22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Cs/>
                      <w:color w:val="000000" w:themeColor="text1"/>
                      <w:spacing w:val="-10"/>
                      <w:sz w:val="21"/>
                      <w:szCs w:val="21"/>
                      <w:highlight w:val="none"/>
                      <w:lang w:val="en-US" w:eastAsia="zh-CN"/>
                      <w14:textFill>
                        <w14:solidFill>
                          <w14:schemeClr w14:val="tx1"/>
                        </w14:solidFill>
                      </w14:textFill>
                    </w:rPr>
                  </w:pPr>
                  <w:r>
                    <w:rPr>
                      <w:rFonts w:hint="eastAsia" w:eastAsia="宋体" w:cs="Times New Roman"/>
                      <w:bCs/>
                      <w:color w:val="000000" w:themeColor="text1"/>
                      <w:spacing w:val="-10"/>
                      <w:sz w:val="21"/>
                      <w:szCs w:val="21"/>
                      <w:highlight w:val="none"/>
                      <w:lang w:val="en-US" w:eastAsia="zh-CN"/>
                      <w14:textFill>
                        <w14:solidFill>
                          <w14:schemeClr w14:val="tx1"/>
                        </w14:solidFill>
                      </w14:textFill>
                    </w:rPr>
                    <w:t>3.363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2</w:t>
                  </w:r>
                </w:p>
              </w:tc>
              <w:tc>
                <w:tcPr>
                  <w:tcW w:w="192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22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Cs/>
                      <w:color w:val="000000" w:themeColor="text1"/>
                      <w:spacing w:val="-10"/>
                      <w:sz w:val="21"/>
                      <w:szCs w:val="21"/>
                      <w:highlight w:val="none"/>
                      <w:lang w:val="en-US" w:eastAsia="zh-CN"/>
                      <w14:textFill>
                        <w14:solidFill>
                          <w14:schemeClr w14:val="tx1"/>
                        </w14:solidFill>
                      </w14:textFill>
                    </w:rPr>
                  </w:pPr>
                  <w:r>
                    <w:rPr>
                      <w:rFonts w:hint="eastAsia" w:eastAsia="宋体" w:cs="Times New Roman"/>
                      <w:bCs/>
                      <w:color w:val="000000" w:themeColor="text1"/>
                      <w:spacing w:val="-10"/>
                      <w:sz w:val="21"/>
                      <w:szCs w:val="21"/>
                      <w:highlight w:val="none"/>
                      <w:lang w:val="en-US" w:eastAsia="zh-CN"/>
                      <w14:textFill>
                        <w14:solidFill>
                          <w14:schemeClr w14:val="tx1"/>
                        </w14:solidFill>
                      </w14:textFill>
                    </w:rPr>
                    <w:t>0.029</w:t>
                  </w:r>
                </w:p>
              </w:tc>
            </w:tr>
          </w:tbl>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废气环境影响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项目位于</w:t>
            </w:r>
            <w:r>
              <w:rPr>
                <w:rFonts w:hint="default" w:ascii="Times New Roman" w:hAnsi="Times New Roman" w:cs="Times New Roman"/>
                <w:color w:val="000000" w:themeColor="text1"/>
                <w:highlight w:val="none"/>
                <w:lang w:eastAsia="zh-CN"/>
                <w14:textFill>
                  <w14:solidFill>
                    <w14:schemeClr w14:val="tx1"/>
                  </w14:solidFill>
                </w14:textFill>
              </w:rPr>
              <w:t>宽城经济开发区龙须门片区</w:t>
            </w:r>
            <w:r>
              <w:rPr>
                <w:rFonts w:hint="default" w:ascii="Times New Roman" w:hAnsi="Times New Roman" w:cs="Times New Roman"/>
                <w:color w:val="000000" w:themeColor="text1"/>
                <w:highlight w:val="none"/>
                <w14:textFill>
                  <w14:solidFill>
                    <w14:schemeClr w14:val="tx1"/>
                  </w14:solidFill>
                </w14:textFill>
              </w:rPr>
              <w:t>内，根据项目所在区域环境质量例行监测数据统计结果，所在区域为环境空气质量不达标区。本项目主要废气污染源为</w:t>
            </w:r>
            <w:r>
              <w:rPr>
                <w:rFonts w:hint="default" w:ascii="Times New Roman" w:hAnsi="Times New Roman" w:cs="Times New Roman"/>
                <w:color w:val="000000" w:themeColor="text1"/>
                <w:highlight w:val="none"/>
                <w:lang w:eastAsia="zh-CN"/>
                <w14:textFill>
                  <w14:solidFill>
                    <w14:schemeClr w14:val="tx1"/>
                  </w14:solidFill>
                </w14:textFill>
              </w:rPr>
              <w:t>切割、焊接、喷粉、</w:t>
            </w:r>
            <w:r>
              <w:rPr>
                <w:rFonts w:hint="eastAsia" w:cs="Times New Roman"/>
                <w:color w:val="000000" w:themeColor="text1"/>
                <w:highlight w:val="none"/>
                <w:lang w:eastAsia="zh-CN"/>
                <w14:textFill>
                  <w14:solidFill>
                    <w14:schemeClr w14:val="tx1"/>
                  </w14:solidFill>
                </w14:textFill>
              </w:rPr>
              <w:t>固化</w:t>
            </w:r>
            <w:r>
              <w:rPr>
                <w:rFonts w:hint="default" w:ascii="Times New Roman" w:hAnsi="Times New Roman" w:cs="Times New Roman"/>
                <w:color w:val="000000" w:themeColor="text1"/>
                <w:highlight w:val="none"/>
                <w:lang w:eastAsia="zh-CN"/>
                <w14:textFill>
                  <w14:solidFill>
                    <w14:schemeClr w14:val="tx1"/>
                  </w14:solidFill>
                </w14:textFill>
              </w:rPr>
              <w:t>、开料、封边、打孔</w:t>
            </w:r>
            <w:r>
              <w:rPr>
                <w:rFonts w:hint="default" w:ascii="Times New Roman" w:hAnsi="Times New Roman" w:cs="Times New Roman"/>
                <w:color w:val="000000" w:themeColor="text1"/>
                <w:highlight w:val="none"/>
                <w14:textFill>
                  <w14:solidFill>
                    <w14:schemeClr w14:val="tx1"/>
                  </w14:solidFill>
                </w14:textFill>
              </w:rPr>
              <w:t>等工序废气，各污染物排放浓度均满足相应排放标准要求。经预测，厂界颗粒物、</w:t>
            </w:r>
            <w:r>
              <w:rPr>
                <w:rFonts w:hint="eastAsia"/>
                <w:color w:val="000000" w:themeColor="text1"/>
                <w:highlight w:val="none"/>
                <w:lang w:val="en-US" w:eastAsia="zh-CN"/>
                <w14:textFill>
                  <w14:solidFill>
                    <w14:schemeClr w14:val="tx1"/>
                  </w14:solidFill>
                </w14:textFill>
              </w:rPr>
              <w:t>非甲烷总烃</w:t>
            </w:r>
            <w:r>
              <w:rPr>
                <w:rFonts w:hint="default" w:ascii="Times New Roman" w:hAnsi="Times New Roman" w:cs="Times New Roman"/>
                <w:color w:val="000000" w:themeColor="text1"/>
                <w:highlight w:val="none"/>
                <w14:textFill>
                  <w14:solidFill>
                    <w14:schemeClr w14:val="tx1"/>
                  </w14:solidFill>
                </w14:textFill>
              </w:rPr>
              <w:t>贡献浓度满足</w:t>
            </w:r>
            <w:r>
              <w:rPr>
                <w:rFonts w:hint="default" w:ascii="Times New Roman" w:hAnsi="Times New Roman" w:cs="Times New Roman"/>
                <w:color w:val="000000" w:themeColor="text1"/>
                <w:highlight w:val="none"/>
                <w:lang w:eastAsia="zh-CN"/>
                <w14:textFill>
                  <w14:solidFill>
                    <w14:schemeClr w14:val="tx1"/>
                  </w14:solidFill>
                </w14:textFill>
              </w:rPr>
              <w:t>《大气污染物综合排放标准》（GB16297-1996）表2标准</w:t>
            </w:r>
            <w:r>
              <w:rPr>
                <w:rFonts w:hint="eastAsia" w:cs="Times New Roman"/>
                <w:color w:val="000000" w:themeColor="text1"/>
                <w:highlight w:val="none"/>
                <w:lang w:val="en-US" w:eastAsia="zh-CN"/>
                <w14:textFill>
                  <w14:solidFill>
                    <w14:schemeClr w14:val="tx1"/>
                  </w14:solidFill>
                </w14:textFill>
              </w:rPr>
              <w:t>及</w:t>
            </w:r>
            <w:r>
              <w:rPr>
                <w:rFonts w:hint="default" w:ascii="Times New Roman" w:hAnsi="Times New Roman" w:cs="Times New Roman"/>
                <w:color w:val="000000" w:themeColor="text1"/>
                <w:highlight w:val="none"/>
                <w14:textFill>
                  <w14:solidFill>
                    <w14:schemeClr w14:val="tx1"/>
                  </w14:solidFill>
                </w14:textFill>
              </w:rPr>
              <w:t>《工业企业挥发性有机物排放控制标准》</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DB13.2322-2016</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表2标准</w:t>
            </w:r>
            <w:r>
              <w:rPr>
                <w:rFonts w:hint="eastAsia" w:cs="Times New Roman"/>
                <w:color w:val="000000" w:themeColor="text1"/>
                <w:highlight w:val="none"/>
                <w:lang w:val="en-US" w:eastAsia="zh-CN"/>
                <w14:textFill>
                  <w14:solidFill>
                    <w14:schemeClr w14:val="tx1"/>
                  </w14:solidFill>
                </w14:textFill>
              </w:rPr>
              <w:t>要求</w:t>
            </w:r>
            <w:r>
              <w:rPr>
                <w:rFonts w:hint="default" w:ascii="Times New Roman" w:hAnsi="Times New Roman" w:cs="Times New Roman"/>
                <w:color w:val="000000" w:themeColor="text1"/>
                <w:highlight w:val="none"/>
                <w14:textFill>
                  <w14:solidFill>
                    <w14:schemeClr w14:val="tx1"/>
                  </w14:solidFill>
                </w14:textFill>
              </w:rPr>
              <w:t>。</w:t>
            </w:r>
          </w:p>
          <w:p>
            <w:pPr>
              <w:keepNext w:val="0"/>
              <w:keepLines w:val="0"/>
              <w:pageBreakBefore w:val="0"/>
              <w:widowControl w:val="0"/>
              <w:suppressLineNumbers w:val="0"/>
              <w:kinsoku/>
              <w:wordWrap/>
              <w:overflowPunct/>
              <w:topLinePunct w:val="0"/>
              <w:bidi w:val="0"/>
              <w:adjustRightIn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综合以上分析，本项目对大气环境影响可接受。</w:t>
            </w:r>
          </w:p>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监测计划</w:t>
            </w:r>
          </w:p>
          <w:p>
            <w:pPr>
              <w:pStyle w:val="74"/>
              <w:keepNext w:val="0"/>
              <w:keepLines w:val="0"/>
              <w:pageBreakBefore w:val="0"/>
              <w:widowControl w:val="0"/>
              <w:suppressLineNumbers w:val="0"/>
              <w:kinsoku/>
              <w:wordWrap/>
              <w:overflowPunct/>
              <w:topLinePunct w:val="0"/>
              <w:bidi w:val="0"/>
              <w:spacing w:before="0" w:beforeAutospacing="0" w:after="0" w:afterAutospacing="0" w:line="360" w:lineRule="auto"/>
              <w:ind w:left="0" w:right="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根据《排污许可证申请与核发技术规范 家具制造工业》（HJ1027-2019）</w:t>
            </w:r>
            <w:r>
              <w:rPr>
                <w:rFonts w:hint="eastAsia" w:ascii="Times New Roman" w:hAnsi="Times New Roman" w:cs="Times New Roman"/>
                <w:color w:val="000000" w:themeColor="text1"/>
                <w:highlight w:val="none"/>
                <w:lang w:val="en-US" w:eastAsia="zh-CN"/>
                <w14:textFill>
                  <w14:solidFill>
                    <w14:schemeClr w14:val="tx1"/>
                  </w14:solidFill>
                </w14:textFill>
              </w:rPr>
              <w:t>、《排污单位自行监测技术指南 涂装》（HJ1086-2020）和《排污单位自行监测技术指南 总则》（HJ819-2017）</w:t>
            </w:r>
            <w:r>
              <w:rPr>
                <w:rFonts w:hint="default" w:ascii="Times New Roman" w:hAnsi="Times New Roman" w:cs="Times New Roman"/>
                <w:color w:val="000000" w:themeColor="text1"/>
                <w:highlight w:val="none"/>
                <w:lang w:val="en-US" w:eastAsia="zh-CN"/>
                <w14:textFill>
                  <w14:solidFill>
                    <w14:schemeClr w14:val="tx1"/>
                  </w14:solidFill>
                </w14:textFill>
              </w:rPr>
              <w:t>内容，本项目自行监测要求</w:t>
            </w:r>
            <w:r>
              <w:rPr>
                <w:rFonts w:hint="eastAsia" w:ascii="Times New Roman" w:hAnsi="Times New Roman" w:cs="Times New Roman"/>
                <w:color w:val="000000" w:themeColor="text1"/>
                <w:highlight w:val="none"/>
                <w:lang w:val="en-US" w:eastAsia="zh-CN"/>
                <w14:textFill>
                  <w14:solidFill>
                    <w14:schemeClr w14:val="tx1"/>
                  </w14:solidFill>
                </w14:textFill>
              </w:rPr>
              <w:t>具体内容见下表。</w:t>
            </w:r>
          </w:p>
          <w:p>
            <w:pPr>
              <w:keepNext w:val="0"/>
              <w:keepLines w:val="0"/>
              <w:suppressLineNumbers w:val="0"/>
              <w:adjustRightInd w:val="0"/>
              <w:spacing w:before="0" w:beforeAutospacing="0" w:after="0" w:afterAutospacing="0" w:line="384"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1</w:t>
            </w:r>
            <w:r>
              <w:rPr>
                <w:rFonts w:hint="eastAsia" w:eastAsia="黑体" w:cs="Times New Roman"/>
                <w:color w:val="000000" w:themeColor="text1"/>
                <w:highlight w:val="none"/>
                <w:lang w:val="en-US" w:eastAsia="zh-CN"/>
                <w14:textFill>
                  <w14:solidFill>
                    <w14:schemeClr w14:val="tx1"/>
                  </w14:solidFill>
                </w14:textFill>
              </w:rPr>
              <w:t>1</w:t>
            </w:r>
            <w:r>
              <w:rPr>
                <w:rFonts w:hint="default" w:ascii="Times New Roman" w:hAnsi="Times New Roman" w:eastAsia="黑体" w:cs="Times New Roman"/>
                <w:color w:val="000000" w:themeColor="text1"/>
                <w:highlight w:val="none"/>
                <w14:textFill>
                  <w14:solidFill>
                    <w14:schemeClr w14:val="tx1"/>
                  </w14:solidFill>
                </w14:textFill>
              </w:rPr>
              <w:t xml:space="preserve">  </w:t>
            </w:r>
            <w:r>
              <w:rPr>
                <w:rFonts w:hint="eastAsia" w:eastAsia="黑体" w:cs="Times New Roman"/>
                <w:color w:val="000000" w:themeColor="text1"/>
                <w:highlight w:val="none"/>
                <w:lang w:eastAsia="zh-CN"/>
                <w14:textFill>
                  <w14:solidFill>
                    <w14:schemeClr w14:val="tx1"/>
                  </w14:solidFill>
                </w14:textFill>
              </w:rPr>
              <w:t>项目大气</w:t>
            </w:r>
            <w:r>
              <w:rPr>
                <w:rFonts w:hint="default" w:ascii="Times New Roman" w:hAnsi="Times New Roman" w:eastAsia="黑体" w:cs="Times New Roman"/>
                <w:color w:val="000000" w:themeColor="text1"/>
                <w:highlight w:val="none"/>
                <w14:textFill>
                  <w14:solidFill>
                    <w14:schemeClr w14:val="tx1"/>
                  </w14:solidFill>
                </w14:textFill>
              </w:rPr>
              <w:t>污染源监测计划一览表</w:t>
            </w:r>
          </w:p>
          <w:tbl>
            <w:tblPr>
              <w:tblStyle w:val="24"/>
              <w:tblW w:w="491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03"/>
              <w:gridCol w:w="2046"/>
              <w:gridCol w:w="4387"/>
              <w:gridCol w:w="11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4" w:hRule="atLeast"/>
                <w:jc w:val="center"/>
              </w:trPr>
              <w:tc>
                <w:tcPr>
                  <w:tcW w:w="36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25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排放口名称</w:t>
                  </w:r>
                </w:p>
              </w:tc>
              <w:tc>
                <w:tcPr>
                  <w:tcW w:w="338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4" w:hRule="atLeast"/>
                <w:jc w:val="center"/>
              </w:trPr>
              <w:tc>
                <w:tcPr>
                  <w:tcW w:w="3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5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因子</w:t>
                  </w:r>
                </w:p>
              </w:tc>
              <w:tc>
                <w:tcPr>
                  <w:tcW w:w="6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频次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4" w:hRule="atLeast"/>
                <w:jc w:val="center"/>
              </w:trPr>
              <w:tc>
                <w:tcPr>
                  <w:tcW w:w="36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开料封边打孔废气排气筒</w:t>
                  </w:r>
                </w:p>
              </w:tc>
              <w:tc>
                <w:tcPr>
                  <w:tcW w:w="26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r>
                    <w:rPr>
                      <w:rFonts w:hint="eastAsia" w:eastAsia="宋体" w:cs="Times New Roman"/>
                      <w:color w:val="000000" w:themeColor="text1"/>
                      <w:sz w:val="21"/>
                      <w:szCs w:val="21"/>
                      <w:highlight w:val="none"/>
                      <w:lang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非甲烷总烃</w:t>
                  </w:r>
                </w:p>
              </w:tc>
              <w:tc>
                <w:tcPr>
                  <w:tcW w:w="6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36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2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焊接烟气排气筒</w:t>
                  </w:r>
                </w:p>
              </w:tc>
              <w:tc>
                <w:tcPr>
                  <w:tcW w:w="26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颗粒物</w:t>
                  </w:r>
                </w:p>
              </w:tc>
              <w:tc>
                <w:tcPr>
                  <w:tcW w:w="6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2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喷粉废气排气筒</w:t>
                  </w:r>
                </w:p>
              </w:tc>
              <w:tc>
                <w:tcPr>
                  <w:tcW w:w="26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颗粒物</w:t>
                  </w:r>
                </w:p>
              </w:tc>
              <w:tc>
                <w:tcPr>
                  <w:tcW w:w="6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2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固化废气排气筒</w:t>
                  </w:r>
                </w:p>
              </w:tc>
              <w:tc>
                <w:tcPr>
                  <w:tcW w:w="26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非甲烷总烃</w:t>
                  </w:r>
                </w:p>
              </w:tc>
              <w:tc>
                <w:tcPr>
                  <w:tcW w:w="6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36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w:t>
                  </w:r>
                </w:p>
              </w:tc>
              <w:tc>
                <w:tcPr>
                  <w:tcW w:w="12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w:t>
                  </w:r>
                </w:p>
              </w:tc>
              <w:tc>
                <w:tcPr>
                  <w:tcW w:w="26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颗粒物、非甲烷总烃</w:t>
                  </w:r>
                </w:p>
              </w:tc>
              <w:tc>
                <w:tcPr>
                  <w:tcW w:w="6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1次/年</w:t>
                  </w:r>
                </w:p>
              </w:tc>
            </w:tr>
          </w:tbl>
          <w:p>
            <w:pPr>
              <w:pStyle w:val="2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二、废水</w:t>
            </w:r>
          </w:p>
          <w:p>
            <w:pPr>
              <w:keepNext w:val="0"/>
              <w:keepLines w:val="0"/>
              <w:suppressLineNumbers w:val="0"/>
              <w:spacing w:before="0" w:beforeAutospacing="0" w:after="0" w:afterAutospacing="0"/>
              <w:ind w:left="0" w:right="0" w:firstLine="480" w:firstLineChars="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项目运营期废水主要生活污水</w:t>
            </w:r>
            <w:r>
              <w:rPr>
                <w:rFonts w:hint="default" w:ascii="Times New Roman" w:hAnsi="Times New Roman" w:cs="Times New Roman"/>
                <w:color w:val="000000" w:themeColor="text1"/>
                <w:highlight w:val="none"/>
                <w:lang w:eastAsia="zh-CN"/>
                <w14:textFill>
                  <w14:solidFill>
                    <w14:schemeClr w14:val="tx1"/>
                  </w14:solidFill>
                </w14:textFill>
              </w:rPr>
              <w:t>，进入化粪池后定期抽运</w:t>
            </w:r>
            <w:r>
              <w:rPr>
                <w:rFonts w:hint="eastAsia" w:cs="Times New Roman"/>
                <w:color w:val="000000" w:themeColor="text1"/>
                <w:highlight w:val="none"/>
                <w:lang w:eastAsia="zh-CN"/>
                <w14:textFill>
                  <w14:solidFill>
                    <w14:schemeClr w14:val="tx1"/>
                  </w14:solidFill>
                </w14:textFill>
              </w:rPr>
              <w:t>用于农肥，</w:t>
            </w:r>
            <w:r>
              <w:rPr>
                <w:rFonts w:hint="default" w:ascii="Times New Roman" w:hAnsi="Times New Roman" w:cs="Times New Roman"/>
                <w:color w:val="000000" w:themeColor="text1"/>
                <w:highlight w:val="none"/>
                <w:lang w:eastAsia="zh-CN"/>
                <w14:textFill>
                  <w14:solidFill>
                    <w14:schemeClr w14:val="tx1"/>
                  </w14:solidFill>
                </w14:textFill>
              </w:rPr>
              <w:t>不会对区域水环境产生较大影响。</w:t>
            </w:r>
          </w:p>
          <w:p>
            <w:pPr>
              <w:keepNext w:val="0"/>
              <w:keepLines w:val="0"/>
              <w:numPr>
                <w:ilvl w:val="0"/>
                <w:numId w:val="7"/>
              </w:numPr>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噪声</w:t>
            </w:r>
          </w:p>
          <w:p>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1、噪声源强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本项目产噪声源主要为设备等运行噪声，其噪声值为70～</w:t>
            </w:r>
            <w:r>
              <w:rPr>
                <w:rFonts w:hint="default"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5dB(A)。项目采取基础减振、厂房隔声等降噪措施，降噪效果为</w:t>
            </w:r>
            <w:r>
              <w:rPr>
                <w:rFonts w:hint="default" w:ascii="Times New Roman" w:hAnsi="Times New Roman" w:cs="Times New Roman"/>
                <w:color w:val="000000" w:themeColor="text1"/>
                <w:highlight w:val="none"/>
                <w:lang w:val="en-US" w:eastAsia="zh-CN"/>
                <w14:textFill>
                  <w14:solidFill>
                    <w14:schemeClr w14:val="tx1"/>
                  </w14:solidFill>
                </w14:textFill>
              </w:rPr>
              <w:t>20</w:t>
            </w:r>
            <w:r>
              <w:rPr>
                <w:rFonts w:hint="default" w:ascii="Times New Roman" w:hAnsi="Times New Roman" w:cs="Times New Roman"/>
                <w:color w:val="000000" w:themeColor="text1"/>
                <w:highlight w:val="none"/>
                <w14:textFill>
                  <w14:solidFill>
                    <w14:schemeClr w14:val="tx1"/>
                  </w14:solidFill>
                </w14:textFill>
              </w:rPr>
              <w:t>dB（A）。</w:t>
            </w:r>
          </w:p>
          <w:p>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根据《环境影响评价技术导则 声环境》（HJ2.4-2021）、《环境噪声与振动控制工程技术导则》（HJ2034-2013）及同类项目类比调查的结果，本项目噪声源参数见表4-</w:t>
            </w:r>
            <w:r>
              <w:rPr>
                <w:rFonts w:hint="eastAsia" w:cs="Times New Roman"/>
                <w:color w:val="000000" w:themeColor="text1"/>
                <w:highlight w:val="none"/>
                <w:lang w:val="en-US" w:eastAsia="zh-CN"/>
                <w14:textFill>
                  <w14:solidFill>
                    <w14:schemeClr w14:val="tx1"/>
                  </w14:solidFill>
                </w14:textFill>
              </w:rPr>
              <w:t>12</w:t>
            </w:r>
            <w:r>
              <w:rPr>
                <w:rFonts w:hint="default" w:ascii="Times New Roman" w:hAnsi="Times New Roman" w:cs="Times New Roman"/>
                <w:color w:val="000000" w:themeColor="text1"/>
                <w:highlight w:val="none"/>
                <w:lang w:val="en-US" w:eastAsia="zh-CN"/>
                <w14:textFill>
                  <w14:solidFill>
                    <w14:schemeClr w14:val="tx1"/>
                  </w14:solidFill>
                </w14:textFill>
              </w:rPr>
              <w:t>（以厂区</w:t>
            </w:r>
            <w:r>
              <w:rPr>
                <w:rFonts w:hint="eastAsia" w:cs="Times New Roman"/>
                <w:color w:val="000000" w:themeColor="text1"/>
                <w:highlight w:val="none"/>
                <w:lang w:val="en-US" w:eastAsia="zh-CN"/>
                <w14:textFill>
                  <w14:solidFill>
                    <w14:schemeClr w14:val="tx1"/>
                  </w14:solidFill>
                </w14:textFill>
              </w:rPr>
              <w:t>库房</w:t>
            </w:r>
            <w:r>
              <w:rPr>
                <w:rFonts w:hint="default" w:ascii="Times New Roman" w:hAnsi="Times New Roman" w:cs="Times New Roman"/>
                <w:color w:val="000000" w:themeColor="text1"/>
                <w:highlight w:val="none"/>
                <w:lang w:val="en-US" w:eastAsia="zh-CN"/>
                <w14:textFill>
                  <w14:solidFill>
                    <w14:schemeClr w14:val="tx1"/>
                  </w14:solidFill>
                </w14:textFill>
              </w:rPr>
              <w:t>西北角为原点）。</w:t>
            </w:r>
          </w:p>
          <w:p>
            <w:pPr>
              <w:pStyle w:val="55"/>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1</w:t>
            </w:r>
            <w:r>
              <w:rPr>
                <w:rFonts w:hint="eastAsia" w:eastAsia="黑体" w:cs="Times New Roman"/>
                <w:color w:val="000000" w:themeColor="text1"/>
                <w:highlight w:val="none"/>
                <w:lang w:val="en-US" w:eastAsia="zh-CN"/>
                <w14:textFill>
                  <w14:solidFill>
                    <w14:schemeClr w14:val="tx1"/>
                  </w14:solidFill>
                </w14:textFill>
              </w:rPr>
              <w:t>2</w:t>
            </w:r>
            <w:r>
              <w:rPr>
                <w:rFonts w:hint="default" w:ascii="Times New Roman" w:hAnsi="Times New Roman" w:eastAsia="黑体" w:cs="Times New Roman"/>
                <w:color w:val="000000" w:themeColor="text1"/>
                <w:highlight w:val="none"/>
                <w14:textFill>
                  <w14:solidFill>
                    <w14:schemeClr w14:val="tx1"/>
                  </w14:solidFill>
                </w14:textFill>
              </w:rPr>
              <w:t xml:space="preserve">  主要噪声源一览表</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
              <w:gridCol w:w="627"/>
              <w:gridCol w:w="561"/>
              <w:gridCol w:w="1435"/>
              <w:gridCol w:w="699"/>
              <w:gridCol w:w="430"/>
              <w:gridCol w:w="432"/>
              <w:gridCol w:w="454"/>
              <w:gridCol w:w="436"/>
              <w:gridCol w:w="707"/>
              <w:gridCol w:w="429"/>
              <w:gridCol w:w="707"/>
              <w:gridCol w:w="709"/>
              <w:gridCol w:w="3"/>
              <w:gridCol w:w="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jc w:val="center"/>
              </w:trPr>
              <w:tc>
                <w:tcPr>
                  <w:tcW w:w="143"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37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建筑物名称</w:t>
                  </w:r>
                </w:p>
              </w:tc>
              <w:tc>
                <w:tcPr>
                  <w:tcW w:w="33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声源名称</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声源源强</w:t>
                  </w:r>
                </w:p>
              </w:tc>
              <w:tc>
                <w:tcPr>
                  <w:tcW w:w="419" w:type="pct"/>
                  <w:vMerge w:val="restar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控制措施</w:t>
                  </w:r>
                </w:p>
              </w:tc>
              <w:tc>
                <w:tcPr>
                  <w:tcW w:w="789" w:type="pct"/>
                  <w:gridSpan w:val="3"/>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空间相对位置/m</w:t>
                  </w:r>
                </w:p>
              </w:tc>
              <w:tc>
                <w:tcPr>
                  <w:tcW w:w="261" w:type="pct"/>
                  <w:vMerge w:val="restar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距室内边界距离/m</w:t>
                  </w:r>
                </w:p>
              </w:tc>
              <w:tc>
                <w:tcPr>
                  <w:tcW w:w="424" w:type="pct"/>
                  <w:vMerge w:val="restar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室内边界声级/dB(A)</w:t>
                  </w:r>
                </w:p>
              </w:tc>
              <w:tc>
                <w:tcPr>
                  <w:tcW w:w="257" w:type="pct"/>
                  <w:vMerge w:val="restar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运行时段</w:t>
                  </w:r>
                </w:p>
              </w:tc>
              <w:tc>
                <w:tcPr>
                  <w:tcW w:w="424" w:type="pct"/>
                  <w:vMerge w:val="restar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建筑物插入损失/dB(A)</w:t>
                  </w:r>
                </w:p>
              </w:tc>
              <w:tc>
                <w:tcPr>
                  <w:tcW w:w="706" w:type="pct"/>
                  <w:gridSpan w:val="3"/>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建筑物外噪声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声压级/距声源距离（dB(A)/m）</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X</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Y</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Z</w:t>
                  </w:r>
                </w:p>
              </w:tc>
              <w:tc>
                <w:tcPr>
                  <w:tcW w:w="261"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24"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7"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24"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声压级/dB(A)</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建筑物外距离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37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金属家具生产车间</w:t>
                  </w: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激光切割机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85/1</w:t>
                  </w:r>
                </w:p>
              </w:tc>
              <w:tc>
                <w:tcPr>
                  <w:tcW w:w="419" w:type="pct"/>
                  <w:vMerge w:val="restar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基础减振、厂房隔声</w:t>
                  </w: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59</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125</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68</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48</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自动上料机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125</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58</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高压气泵</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125</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63</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自动焊机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127</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71</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51</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自动焊机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34</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127</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71</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51</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涂装自动喷涂线</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76</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62</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7</w:t>
                  </w:r>
                </w:p>
              </w:tc>
              <w:tc>
                <w:tcPr>
                  <w:tcW w:w="376"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木质家具生产</w:t>
                  </w:r>
                  <w:r>
                    <w:rPr>
                      <w:rFonts w:hint="eastAsia" w:eastAsia="宋体" w:cs="Times New Roman"/>
                      <w:color w:val="000000" w:themeColor="text1"/>
                      <w:sz w:val="21"/>
                      <w:szCs w:val="21"/>
                      <w:highlight w:val="none"/>
                      <w:lang w:eastAsia="zh-CN"/>
                      <w14:textFill>
                        <w14:solidFill>
                          <w14:schemeClr w14:val="tx1"/>
                        </w14:solidFill>
                      </w14:textFill>
                    </w:rPr>
                    <w:t>车间</w:t>
                  </w: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190</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8</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190</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29</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9</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190</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10</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190</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11</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封边机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183</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45.4</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7"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25.4</w:t>
                  </w:r>
                </w:p>
              </w:tc>
              <w:tc>
                <w:tcPr>
                  <w:tcW w:w="27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12</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封边机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183</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45.4</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7"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25.4</w:t>
                  </w:r>
                </w:p>
              </w:tc>
              <w:tc>
                <w:tcPr>
                  <w:tcW w:w="27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13</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封边机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183</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45.4</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7"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25.4</w:t>
                  </w:r>
                </w:p>
              </w:tc>
              <w:tc>
                <w:tcPr>
                  <w:tcW w:w="27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14</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封边机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179</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45.4</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7"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25.4</w:t>
                  </w:r>
                </w:p>
              </w:tc>
              <w:tc>
                <w:tcPr>
                  <w:tcW w:w="27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15</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封边机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179</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44</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7"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w:t>
                  </w:r>
                </w:p>
              </w:tc>
              <w:tc>
                <w:tcPr>
                  <w:tcW w:w="27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16</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封边机</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179</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43.5</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23.5</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17</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数控排钻</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170</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56.4</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30.4</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18</w:t>
                  </w:r>
                </w:p>
              </w:tc>
              <w:tc>
                <w:tcPr>
                  <w:tcW w:w="376"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螺杆泵</w:t>
                  </w:r>
                </w:p>
              </w:tc>
              <w:tc>
                <w:tcPr>
                  <w:tcW w:w="86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85/1</w:t>
                  </w:r>
                </w:p>
              </w:tc>
              <w:tc>
                <w:tcPr>
                  <w:tcW w:w="419" w:type="pct"/>
                  <w:vMerge w:val="continue"/>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8"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175</w:t>
                  </w:r>
                </w:p>
              </w:tc>
              <w:tc>
                <w:tcPr>
                  <w:tcW w:w="259"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272"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261"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57</w:t>
                  </w:r>
                </w:p>
              </w:tc>
              <w:tc>
                <w:tcPr>
                  <w:tcW w:w="257"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424"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42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w:t>
                  </w:r>
                </w:p>
              </w:tc>
              <w:tc>
                <w:tcPr>
                  <w:tcW w:w="281" w:type="pct"/>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2、预测因子、方位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①预测因子：等效连续A声级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②预测方位：</w:t>
            </w:r>
            <w:r>
              <w:rPr>
                <w:rFonts w:hint="eastAsia" w:cs="Times New Roman"/>
                <w:color w:val="000000" w:themeColor="text1"/>
                <w:highlight w:val="none"/>
                <w:lang w:val="en-US" w:eastAsia="zh-CN"/>
                <w14:textFill>
                  <w14:solidFill>
                    <w14:schemeClr w14:val="tx1"/>
                  </w14:solidFill>
                </w14:textFill>
              </w:rPr>
              <w:t>四周厂界</w:t>
            </w:r>
            <w:r>
              <w:rPr>
                <w:rFonts w:hint="default" w:ascii="Times New Roman" w:hAnsi="Times New Roman" w:cs="Times New Roman"/>
                <w:color w:val="000000" w:themeColor="text1"/>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3、预测模式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snapToGrid w:val="0"/>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en-US" w:eastAsia="zh-CN" w:bidi="ar"/>
                <w14:textFill>
                  <w14:solidFill>
                    <w14:schemeClr w14:val="tx1"/>
                  </w14:solidFill>
                </w14:textFill>
              </w:rPr>
              <w:t>根据《环境影响评价技术导则</w:t>
            </w:r>
            <w:r>
              <w:rPr>
                <w:rFonts w:hint="default" w:ascii="Times New Roman" w:hAnsi="Times New Roman" w:eastAsia="宋体" w:cs="Times New Roman"/>
                <w:snapToGrid w:val="0"/>
                <w:color w:val="000000" w:themeColor="text1"/>
                <w:kern w:val="2"/>
                <w:sz w:val="24"/>
                <w:szCs w:val="24"/>
                <w:highlight w:val="none"/>
                <w:lang w:val="en-US" w:eastAsia="zh-CN" w:bidi="ar"/>
                <w14:textFill>
                  <w14:solidFill>
                    <w14:schemeClr w14:val="tx1"/>
                  </w14:solidFill>
                </w14:textFill>
              </w:rPr>
              <w:t xml:space="preserve"> </w:t>
            </w:r>
            <w:r>
              <w:rPr>
                <w:rFonts w:hint="eastAsia" w:ascii="Times New Roman" w:hAnsi="Times New Roman" w:eastAsia="宋体" w:cs="Times New Roman"/>
                <w:snapToGrid w:val="0"/>
                <w:color w:val="000000" w:themeColor="text1"/>
                <w:kern w:val="2"/>
                <w:sz w:val="24"/>
                <w:szCs w:val="24"/>
                <w:highlight w:val="none"/>
                <w:lang w:val="en-US" w:eastAsia="zh-CN" w:bidi="ar"/>
                <w14:textFill>
                  <w14:solidFill>
                    <w14:schemeClr w14:val="tx1"/>
                  </w14:solidFill>
                </w14:textFill>
              </w:rPr>
              <w:t>声环境》（</w:t>
            </w:r>
            <w:r>
              <w:rPr>
                <w:rFonts w:hint="default" w:ascii="Times New Roman" w:hAnsi="Times New Roman" w:eastAsia="宋体" w:cs="Times New Roman"/>
                <w:snapToGrid w:val="0"/>
                <w:color w:val="000000" w:themeColor="text1"/>
                <w:kern w:val="2"/>
                <w:sz w:val="24"/>
                <w:szCs w:val="24"/>
                <w:highlight w:val="none"/>
                <w:lang w:val="en-US" w:eastAsia="zh-CN" w:bidi="ar"/>
                <w14:textFill>
                  <w14:solidFill>
                    <w14:schemeClr w14:val="tx1"/>
                  </w14:solidFill>
                </w14:textFill>
              </w:rPr>
              <w:t>HJ2.4-2021</w:t>
            </w:r>
            <w:r>
              <w:rPr>
                <w:rFonts w:hint="eastAsia" w:ascii="Times New Roman" w:hAnsi="Times New Roman" w:eastAsia="宋体" w:cs="Times New Roman"/>
                <w:snapToGrid w:val="0"/>
                <w:color w:val="000000" w:themeColor="text1"/>
                <w:kern w:val="2"/>
                <w:sz w:val="24"/>
                <w:szCs w:val="24"/>
                <w:highlight w:val="none"/>
                <w:lang w:val="en-US" w:eastAsia="zh-CN" w:bidi="ar"/>
                <w14:textFill>
                  <w14:solidFill>
                    <w14:schemeClr w14:val="tx1"/>
                  </w14:solidFill>
                </w14:textFill>
              </w:rPr>
              <w:t>）中推荐模式进行预测。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①</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室外点声源对厂界噪声预测点贡献值预测模式</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P</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r</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W</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C</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div</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atm</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gr</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bar</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misc</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式中：</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P</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r</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预测点处声压级，</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 xml:space="preserve">      L</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W</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由点声源产生的声功率级（</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计权或倍频带），</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 xml:space="preserve">      D</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C</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指向性校正，本项目不涉及；</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div</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几何发散引起的衰减，</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 xml:space="preserve">      A</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atm</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大气吸收引起的衰减，</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gr</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地面效应引起的衰减，</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bar</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障碍物屏蔽引起的衰减，</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 xml:space="preserve">      A</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misc</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其他多方面效应引起的衰减，</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suppressLineNumbers w:val="0"/>
              <w:spacing w:before="0" w:beforeAutospacing="0" w:after="0" w:afterAutospacing="0"/>
              <w:ind w:left="0" w:right="0"/>
              <w:jc w:val="left"/>
              <w:rPr>
                <w:rFonts w:hint="default"/>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②</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几何发散</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无指向性点声源几何发散衰减计算公式为：</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P</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r</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P</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r0</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20Lg</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r/r0</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③</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遮挡物引起的衰减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遮挡物引起的衰减，只考虑各声源所在厂房围护结构的屏蔽效应。</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④</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空气吸收引起的衰减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空气吸收引起的衰减按下式计算：</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drawing>
                <wp:inline distT="0" distB="0" distL="114300" distR="114300">
                  <wp:extent cx="1295400" cy="504825"/>
                  <wp:effectExtent l="0" t="0" r="0" b="8255"/>
                  <wp:docPr id="30" name="图片 2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059"/>
                          <pic:cNvPicPr>
                            <a:picLocks noChangeAspect="1"/>
                          </pic:cNvPicPr>
                        </pic:nvPicPr>
                        <pic:blipFill>
                          <a:blip r:embed="rId10"/>
                          <a:stretch>
                            <a:fillRect/>
                          </a:stretch>
                        </pic:blipFill>
                        <pic:spPr>
                          <a:xfrm>
                            <a:off x="0" y="0"/>
                            <a:ext cx="1295400" cy="5048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式中：</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 xml:space="preserve">     r—</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预测点距声源的距离，</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m</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 xml:space="preserve">     r0—</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参考点距声源的距离，</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m</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 xml:space="preserve">     α—</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每</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1000m</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空气吸收系数。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⑤</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其他衰减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其他衰减包括声波传播过程中由于云、雾、温度梯度、风及地面效应引起的声能量衰减，本次评价中忽略不计。</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⑥</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室内点声源对厂界噪声预测点贡献值预测模式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室内声源首先换算为等效室外声源，再按各类声源模式计算。</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首先计算出某一室内声源靠近围护结构处的倍频带声压级或</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声级：</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object>
                <v:shape id="_x0000_i1025" o:spt="75" type="#_x0000_t75" style="height:33.75pt;width:116.25pt;" o:ole="t" filled="f" o:preferrelative="t" stroked="f" coordsize="21600,21600">
                  <v:path/>
                  <v:fill on="f" focussize="0,0"/>
                  <v:stroke on="f" joinstyle="miter"/>
                  <v:imagedata r:id="rId12" o:title=""/>
                  <o:lock v:ext="edit" aspectratio="t"/>
                  <w10:wrap type="none"/>
                  <w10:anchorlock/>
                </v:shape>
                <o:OLEObject Type="Embed" ProgID="Equation.KSEE3" ShapeID="_x0000_i1025" DrawAspect="Content" ObjectID="_1468075725" r:id="rId11">
                  <o:LockedField>false</o:LockedField>
                </o:OLEObject>
              </w:objec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式中：</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P1——</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靠近开口处（或窗户）室内某倍频带的声压级或</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声级，</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Lw——</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点声源声功率级（</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计权或倍频带），</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Q——</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指向性因数；</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R——</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房间常数；</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r——</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声源到靠近围护结构某点处的距离，</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m</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⑦</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计算出所有室内声源在靠近围护结构处产生的</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i</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倍频带叠加声压级：</w:t>
            </w:r>
          </w:p>
          <w:p>
            <w:pPr>
              <w:pStyle w:val="20"/>
              <w:keepNext w:val="0"/>
              <w:keepLines w:val="0"/>
              <w:widowControl w:val="0"/>
              <w:suppressLineNumbers w:val="0"/>
              <w:spacing w:before="0" w:beforeAutospacing="0" w:after="0" w:afterAutospacing="0"/>
              <w:ind w:left="0" w:right="0"/>
              <w:jc w:val="center"/>
              <w:rPr>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object>
                <v:shape id="_x0000_i1026" o:spt="75" type="#_x0000_t75" style="height:38.25pt;width:135pt;" o:ole="t" filled="f" o:preferrelative="t" stroked="f" coordsize="21600,21600">
                  <v:path/>
                  <v:fill on="f" focussize="0,0"/>
                  <v:stroke on="f" joinstyle="miter"/>
                  <v:imagedata r:id="rId14" o:title=""/>
                  <o:lock v:ext="edit" aspectratio="t"/>
                  <w10:wrap type="none"/>
                  <w10:anchorlock/>
                </v:shape>
                <o:OLEObject Type="Embed" ProgID="Equation.KSEE3" ShapeID="_x0000_i1026" DrawAspect="Content" ObjectID="_1468075726" r:id="rId13">
                  <o:LockedField>false</o:LockedField>
                </o:OLEObject>
              </w:objec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式中：</w:t>
            </w:r>
          </w:p>
          <w:p>
            <w:pPr>
              <w:keepNext w:val="0"/>
              <w:keepLines w:val="0"/>
              <w:widowControl w:val="0"/>
              <w:suppressLineNumbers w:val="0"/>
              <w:spacing w:before="0" w:beforeAutospacing="0" w:after="0" w:afterAutospacing="0" w:line="360" w:lineRule="auto"/>
              <w:ind w:left="0" w:right="0" w:firstLine="720" w:firstLineChars="3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p1i</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靠近围护结构处室内</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N</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个声源</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i</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倍频带的叠加声压级，</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suppressLineNumbers w:val="0"/>
              <w:spacing w:before="0" w:beforeAutospacing="0" w:after="0" w:afterAutospacing="0"/>
              <w:ind w:left="0" w:right="0" w:firstLine="720" w:firstLineChars="300"/>
              <w:jc w:val="left"/>
              <w:rPr>
                <w:rFonts w:hint="default"/>
                <w:color w:val="000000" w:themeColor="text1"/>
                <w:sz w:val="24"/>
                <w:szCs w:val="24"/>
                <w:highlight w:val="none"/>
                <w14:textFill>
                  <w14:solidFill>
                    <w14:schemeClr w14:val="tx1"/>
                  </w14:solidFill>
                </w14:textFill>
              </w:rPr>
            </w:pPr>
            <w:r>
              <w:rPr>
                <w:rFonts w:hint="eastAsia" w:ascii="宋体" w:hAnsi="Times New Roman" w:eastAsia="宋体" w:cs="Times New Roman"/>
                <w:color w:val="000000" w:themeColor="text1"/>
                <w:kern w:val="2"/>
                <w:sz w:val="24"/>
                <w:szCs w:val="24"/>
                <w:highlight w:val="none"/>
                <w:lang w:val="en-US" w:eastAsia="zh-CN" w:bidi="ar"/>
                <w14:textFill>
                  <w14:solidFill>
                    <w14:schemeClr w14:val="tx1"/>
                  </w14:solidFill>
                </w14:textFill>
              </w:rPr>
              <w:t>L</w:t>
            </w:r>
            <w:r>
              <w:rPr>
                <w:rFonts w:hint="eastAsia" w:ascii="宋体"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p1ij</w:t>
            </w:r>
            <w:r>
              <w:rPr>
                <w:rFonts w:hint="default" w:ascii="宋体"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宋体" w:hAnsi="Times New Roman" w:eastAsia="宋体" w:cs="Times New Roman"/>
                <w:color w:val="000000" w:themeColor="text1"/>
                <w:kern w:val="2"/>
                <w:sz w:val="24"/>
                <w:szCs w:val="24"/>
                <w:highlight w:val="none"/>
                <w:lang w:val="en-US" w:eastAsia="zh-CN" w:bidi="ar"/>
                <w14:textFill>
                  <w14:solidFill>
                    <w14:schemeClr w14:val="tx1"/>
                  </w14:solidFill>
                </w14:textFill>
              </w:rPr>
              <w:t>室内j声源i倍频带的声压级，dB；</w:t>
            </w:r>
          </w:p>
          <w:p>
            <w:pPr>
              <w:keepNext w:val="0"/>
              <w:keepLines w:val="0"/>
              <w:widowControl w:val="0"/>
              <w:suppressLineNumbers w:val="0"/>
              <w:spacing w:before="0" w:beforeAutospacing="0" w:after="0" w:afterAutospacing="0" w:line="360" w:lineRule="auto"/>
              <w:ind w:left="0" w:right="0" w:firstLine="720" w:firstLineChars="3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N——</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室内声源总数。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⑧</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计算出室外靠近围护结构处的声压级：</w:t>
            </w:r>
          </w:p>
          <w:p>
            <w:pPr>
              <w:pStyle w:val="20"/>
              <w:keepNext w:val="0"/>
              <w:keepLines w:val="0"/>
              <w:widowControl w:val="0"/>
              <w:suppressLineNumbers w:val="0"/>
              <w:spacing w:before="0" w:beforeAutospacing="0" w:after="0" w:afterAutospacing="0"/>
              <w:ind w:left="0" w:right="0"/>
              <w:jc w:val="center"/>
              <w:rPr>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object>
                <v:shape id="_x0000_i1027" o:spt="75" type="#_x0000_t75" style="height:17.25pt;width:141pt;" o:ole="t" filled="f" o:preferrelative="t" stroked="f" coordsize="21600,21600">
                  <v:path/>
                  <v:fill on="f" focussize="0,0"/>
                  <v:stroke on="f" joinstyle="miter"/>
                  <v:imagedata r:id="rId16" o:title=""/>
                  <o:lock v:ext="edit" aspectratio="t"/>
                  <w10:wrap type="none"/>
                  <w10:anchorlock/>
                </v:shape>
                <o:OLEObject Type="Embed" ProgID="Equation.KSEE3" ShapeID="_x0000_i1027" DrawAspect="Content" ObjectID="_1468075727" r:id="rId15">
                  <o:LockedField>false</o:LockedField>
                </o:OLEObject>
              </w:objec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式中：</w:t>
            </w:r>
          </w:p>
          <w:p>
            <w:pPr>
              <w:keepNext w:val="0"/>
              <w:keepLines w:val="0"/>
              <w:widowControl w:val="0"/>
              <w:suppressLineNumbers w:val="0"/>
              <w:spacing w:before="0" w:beforeAutospacing="0" w:after="0" w:afterAutospacing="0" w:line="360" w:lineRule="auto"/>
              <w:ind w:left="0" w:right="0" w:firstLine="720" w:firstLineChars="3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p2i</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靠近围护结构处外</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N</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个声源</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i</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倍频带的叠加声压级，</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720" w:firstLineChars="3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Tli——</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围护结构</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i</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倍频带的隔声量，</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。在本次预测中，以</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25dB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）作为厂房围护的隔声量。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⑨</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将室外声源的声压级和和透过面积换算成等效的室外声源，计算出中心位置位于透声面积（</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S</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）处的等效声源的倍频带声功率级；</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object>
                <v:shape id="_x0000_i1028" o:spt="75" type="#_x0000_t75" style="height:17.25pt;width:107.25pt;" o:ole="t" filled="f" o:preferrelative="t" stroked="f" coordsize="21600,21600">
                  <v:path/>
                  <v:fill on="f" focussize="0,0"/>
                  <v:stroke on="f" joinstyle="miter"/>
                  <v:imagedata r:id="rId18" o:title=""/>
                  <o:lock v:ext="edit" aspectratio="t"/>
                  <w10:wrap type="none"/>
                  <w10:anchorlock/>
                </v:shape>
                <o:OLEObject Type="Embed" ProgID="Equation.KSEE3" ShapeID="_x0000_i1028" DrawAspect="Content" ObjectID="_1468075728" r:id="rId17">
                  <o:LockedField>false</o:LockedField>
                </o:OLEObject>
              </w:objec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式中：</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w</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中心位置位于透声面积（</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S</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）处的等效声源的倍频带声功率级，</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w:t>
            </w:r>
            <w:r>
              <w:rPr>
                <w:rFonts w:hint="default" w:ascii="Times New Roman" w:hAnsi="Times New Roman" w:eastAsia="宋体" w:cs="Times New Roman"/>
                <w:color w:val="000000" w:themeColor="text1"/>
                <w:kern w:val="2"/>
                <w:sz w:val="24"/>
                <w:szCs w:val="24"/>
                <w:highlight w:val="none"/>
                <w:vertAlign w:val="subscript"/>
                <w:lang w:val="en-US" w:eastAsia="zh-CN" w:bidi="ar"/>
                <w14:textFill>
                  <w14:solidFill>
                    <w14:schemeClr w14:val="tx1"/>
                  </w14:solidFill>
                </w14:textFill>
              </w:rPr>
              <w:t>p2</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靠近围护结构处室内声源的声压级，</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S——</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透声面积，</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4</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）预测步骤</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①</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确定噪声源及厂界预测点坐标；</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②</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根据已获得的声源参数和声波从声源到预测点的传播条件，计算出各声源单独作用在预测点时产生的</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声级</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Li</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③</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将各声源对某预测点产生的</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声级按下式叠加，得到该预测点的声级值</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L1</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drawing>
                <wp:inline distT="0" distB="0" distL="114300" distR="114300">
                  <wp:extent cx="1209675" cy="447675"/>
                  <wp:effectExtent l="0" t="0" r="9525" b="8255"/>
                  <wp:docPr id="31"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98"/>
                          <pic:cNvPicPr>
                            <a:picLocks noChangeAspect="1"/>
                          </pic:cNvPicPr>
                        </pic:nvPicPr>
                        <pic:blipFill>
                          <a:blip r:embed="rId19"/>
                          <a:stretch>
                            <a:fillRect/>
                          </a:stretch>
                        </pic:blipFill>
                        <pic:spPr>
                          <a:xfrm>
                            <a:off x="0" y="0"/>
                            <a:ext cx="1209675" cy="44767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4、预测结果分析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本项目以现有厂界边界作为本项目噪声预测厂界。噪声源对厂界噪声贡献值及预测值见表4-</w:t>
            </w:r>
            <w:r>
              <w:rPr>
                <w:rFonts w:hint="eastAsia" w:cs="Times New Roman"/>
                <w:color w:val="000000" w:themeColor="text1"/>
                <w:highlight w:val="none"/>
                <w:lang w:val="en-US" w:eastAsia="zh-CN"/>
                <w14:textFill>
                  <w14:solidFill>
                    <w14:schemeClr w14:val="tx1"/>
                  </w14:solidFill>
                </w14:textFill>
              </w:rPr>
              <w:t>13</w:t>
            </w:r>
          </w:p>
          <w:p>
            <w:pPr>
              <w:keepNext w:val="0"/>
              <w:keepLines w:val="0"/>
              <w:suppressLineNumbers w:val="0"/>
              <w:topLinePunct/>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1</w:t>
            </w:r>
            <w:r>
              <w:rPr>
                <w:rFonts w:hint="eastAsia" w:eastAsia="黑体" w:cs="Times New Roman"/>
                <w:color w:val="000000" w:themeColor="text1"/>
                <w:highlight w:val="none"/>
                <w:lang w:val="en-US" w:eastAsia="zh-CN"/>
                <w14:textFill>
                  <w14:solidFill>
                    <w14:schemeClr w14:val="tx1"/>
                  </w14:solidFill>
                </w14:textFill>
              </w:rPr>
              <w:t>3</w:t>
            </w:r>
            <w:r>
              <w:rPr>
                <w:rFonts w:hint="default" w:ascii="Times New Roman" w:hAnsi="Times New Roman" w:eastAsia="黑体" w:cs="Times New Roman"/>
                <w:color w:val="000000" w:themeColor="text1"/>
                <w:highlight w:val="none"/>
                <w14:textFill>
                  <w14:solidFill>
                    <w14:schemeClr w14:val="tx1"/>
                  </w14:solidFill>
                </w14:textFill>
              </w:rPr>
              <w:t xml:space="preserve">  厂界噪声预测结果一览表    单位：dB(A)</w:t>
            </w: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746"/>
              <w:gridCol w:w="1517"/>
              <w:gridCol w:w="2188"/>
              <w:gridCol w:w="1417"/>
              <w:gridCol w:w="1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9" w:hRule="atLeast"/>
                <w:jc w:val="center"/>
              </w:trPr>
              <w:tc>
                <w:tcPr>
                  <w:tcW w:w="1049" w:type="pct"/>
                  <w:noWrap w:val="0"/>
                  <w:vAlign w:val="center"/>
                </w:tcPr>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预测点位名称</w:t>
                  </w:r>
                </w:p>
              </w:tc>
              <w:tc>
                <w:tcPr>
                  <w:tcW w:w="911" w:type="pct"/>
                  <w:noWrap w:val="0"/>
                  <w:vAlign w:val="center"/>
                </w:tcPr>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预测时段</w:t>
                  </w:r>
                </w:p>
              </w:tc>
              <w:tc>
                <w:tcPr>
                  <w:tcW w:w="1314" w:type="pct"/>
                  <w:noWrap w:val="0"/>
                  <w:vAlign w:val="center"/>
                </w:tcPr>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贡献值</w:t>
                  </w:r>
                </w:p>
              </w:tc>
              <w:tc>
                <w:tcPr>
                  <w:tcW w:w="851" w:type="pct"/>
                  <w:noWrap w:val="0"/>
                  <w:vAlign w:val="center"/>
                </w:tcPr>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标准值</w:t>
                  </w:r>
                </w:p>
              </w:tc>
              <w:tc>
                <w:tcPr>
                  <w:tcW w:w="873" w:type="pct"/>
                  <w:noWrap w:val="0"/>
                  <w:vAlign w:val="center"/>
                </w:tcPr>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结论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9" w:hRule="atLeast"/>
                <w:jc w:val="center"/>
              </w:trPr>
              <w:tc>
                <w:tcPr>
                  <w:tcW w:w="1049" w:type="pct"/>
                  <w:noWrap w:val="0"/>
                  <w:vAlign w:val="center"/>
                </w:tcPr>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东厂界</w:t>
                  </w:r>
                </w:p>
              </w:tc>
              <w:tc>
                <w:tcPr>
                  <w:tcW w:w="91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131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eastAsia"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8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65</w:t>
                  </w:r>
                </w:p>
              </w:tc>
              <w:tc>
                <w:tcPr>
                  <w:tcW w:w="873"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9" w:hRule="atLeast"/>
                <w:jc w:val="center"/>
              </w:trPr>
              <w:tc>
                <w:tcPr>
                  <w:tcW w:w="1049" w:type="pct"/>
                  <w:noWrap w:val="0"/>
                  <w:vAlign w:val="center"/>
                </w:tcPr>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南厂界</w:t>
                  </w:r>
                </w:p>
              </w:tc>
              <w:tc>
                <w:tcPr>
                  <w:tcW w:w="91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131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r>
                    <w:rPr>
                      <w:rFonts w:hint="eastAsia"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8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65</w:t>
                  </w:r>
                </w:p>
              </w:tc>
              <w:tc>
                <w:tcPr>
                  <w:tcW w:w="873"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049" w:type="pct"/>
                  <w:noWrap w:val="0"/>
                  <w:vAlign w:val="center"/>
                </w:tcPr>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西厂界</w:t>
                  </w:r>
                </w:p>
              </w:tc>
              <w:tc>
                <w:tcPr>
                  <w:tcW w:w="91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昼间</w:t>
                  </w:r>
                </w:p>
              </w:tc>
              <w:tc>
                <w:tcPr>
                  <w:tcW w:w="131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eastAsia"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8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873"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049" w:type="pct"/>
                  <w:noWrap w:val="0"/>
                  <w:vAlign w:val="center"/>
                </w:tcPr>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北厂界</w:t>
                  </w:r>
                </w:p>
              </w:tc>
              <w:tc>
                <w:tcPr>
                  <w:tcW w:w="91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131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49.7</w:t>
                  </w:r>
                </w:p>
              </w:tc>
              <w:tc>
                <w:tcPr>
                  <w:tcW w:w="8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65</w:t>
                  </w:r>
                </w:p>
              </w:tc>
              <w:tc>
                <w:tcPr>
                  <w:tcW w:w="873"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000" w:type="pct"/>
                  <w:gridSpan w:val="5"/>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备注：项目夜间不生产。</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由表4-</w:t>
            </w:r>
            <w:r>
              <w:rPr>
                <w:rFonts w:hint="eastAsia" w:cs="Times New Roman"/>
                <w:color w:val="000000" w:themeColor="text1"/>
                <w:highlight w:val="none"/>
                <w:lang w:val="en-US" w:eastAsia="zh-CN"/>
                <w14:textFill>
                  <w14:solidFill>
                    <w14:schemeClr w14:val="tx1"/>
                  </w14:solidFill>
                </w14:textFill>
              </w:rPr>
              <w:t>13</w:t>
            </w:r>
            <w:r>
              <w:rPr>
                <w:rFonts w:hint="default" w:ascii="Times New Roman" w:hAnsi="Times New Roman" w:cs="Times New Roman"/>
                <w:color w:val="000000" w:themeColor="text1"/>
                <w:highlight w:val="none"/>
                <w14:textFill>
                  <w14:solidFill>
                    <w14:schemeClr w14:val="tx1"/>
                  </w14:solidFill>
                </w14:textFill>
              </w:rPr>
              <w:t>可知，本项目建设完成后</w:t>
            </w:r>
            <w:r>
              <w:rPr>
                <w:rFonts w:hint="eastAsia" w:cs="Times New Roman"/>
                <w:color w:val="000000" w:themeColor="text1"/>
                <w:highlight w:val="none"/>
                <w:lang w:val="en-US" w:eastAsia="zh-CN"/>
                <w14:textFill>
                  <w14:solidFill>
                    <w14:schemeClr w14:val="tx1"/>
                  </w14:solidFill>
                </w14:textFill>
              </w:rPr>
              <w:t>四周</w:t>
            </w:r>
            <w:r>
              <w:rPr>
                <w:rFonts w:hint="default" w:ascii="Times New Roman" w:hAnsi="Times New Roman" w:cs="Times New Roman"/>
                <w:color w:val="000000" w:themeColor="text1"/>
                <w:highlight w:val="none"/>
                <w14:textFill>
                  <w14:solidFill>
                    <w14:schemeClr w14:val="tx1"/>
                  </w14:solidFill>
                </w14:textFill>
              </w:rPr>
              <w:t>厂界噪声预测值昼间为</w:t>
            </w:r>
            <w:r>
              <w:rPr>
                <w:rFonts w:hint="eastAsia" w:cs="Times New Roman"/>
                <w:color w:val="000000" w:themeColor="text1"/>
                <w:highlight w:val="none"/>
                <w:lang w:val="en-US" w:eastAsia="zh-CN"/>
                <w14:textFill>
                  <w14:solidFill>
                    <w14:schemeClr w14:val="tx1"/>
                  </w14:solidFill>
                </w14:textFill>
              </w:rPr>
              <w:t>49.7</w:t>
            </w:r>
            <w:r>
              <w:rPr>
                <w:rFonts w:hint="default" w:ascii="Times New Roman" w:hAnsi="Times New Roman" w:cs="Times New Roman"/>
                <w:color w:val="000000" w:themeColor="text1"/>
                <w:highlight w:val="none"/>
                <w14:textFill>
                  <w14:solidFill>
                    <w14:schemeClr w14:val="tx1"/>
                  </w14:solidFill>
                </w14:textFill>
              </w:rPr>
              <w:t>～6</w:t>
            </w:r>
            <w:r>
              <w:rPr>
                <w:rFonts w:hint="eastAsia"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dB(A)，满足《工业企业厂界环境噪声排放标准》(GB12348-2008)3类区标准限值要求。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5、监测要求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w:t>
            </w:r>
            <w:r>
              <w:rPr>
                <w:rFonts w:hint="default" w:ascii="Times New Roman" w:hAnsi="Times New Roman" w:cs="Times New Roman"/>
                <w:color w:val="000000" w:themeColor="text1"/>
                <w:highlight w:val="none"/>
                <w14:textFill>
                  <w14:solidFill>
                    <w14:schemeClr w14:val="tx1"/>
                  </w14:solidFill>
                </w14:textFill>
              </w:rPr>
              <w:t>《排污单位自行监测技术指南 总则》(HJ819-2017)</w:t>
            </w:r>
            <w:r>
              <w:rPr>
                <w:rFonts w:hint="eastAsia" w:cs="Times New Roman"/>
                <w:color w:val="000000" w:themeColor="text1"/>
                <w:highlight w:val="none"/>
                <w:lang w:eastAsia="zh-CN"/>
                <w14:textFill>
                  <w14:solidFill>
                    <w14:schemeClr w14:val="tx1"/>
                  </w14:solidFill>
                </w14:textFill>
              </w:rPr>
              <w:t>、《排污许可证申请与核发技术规范 工业噪声》（HJ1301—2023）</w:t>
            </w:r>
            <w:r>
              <w:rPr>
                <w:rFonts w:hint="eastAsia" w:cs="Times New Roman"/>
                <w:color w:val="000000" w:themeColor="text1"/>
                <w:highlight w:val="none"/>
                <w:lang w:val="en-US" w:eastAsia="zh-CN"/>
                <w14:textFill>
                  <w14:solidFill>
                    <w14:schemeClr w14:val="tx1"/>
                  </w14:solidFill>
                </w14:textFill>
              </w:rPr>
              <w:t>相关</w:t>
            </w:r>
            <w:r>
              <w:rPr>
                <w:rFonts w:hint="default" w:ascii="Times New Roman" w:hAnsi="Times New Roman" w:cs="Times New Roman"/>
                <w:color w:val="000000" w:themeColor="text1"/>
                <w:highlight w:val="none"/>
                <w:lang w:val="en-US" w:eastAsia="zh-CN"/>
                <w14:textFill>
                  <w14:solidFill>
                    <w14:schemeClr w14:val="tx1"/>
                  </w14:solidFill>
                </w14:textFill>
              </w:rPr>
              <w:t>要求</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本项目噪声监测计划见表4-</w:t>
            </w:r>
            <w:r>
              <w:rPr>
                <w:rFonts w:hint="eastAsia" w:cs="Times New Roman"/>
                <w:color w:val="000000" w:themeColor="text1"/>
                <w:highlight w:val="none"/>
                <w:lang w:val="en-US" w:eastAsia="zh-CN"/>
                <w14:textFill>
                  <w14:solidFill>
                    <w14:schemeClr w14:val="tx1"/>
                  </w14:solidFill>
                </w14:textFill>
              </w:rPr>
              <w:t>14</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keepNext w:val="0"/>
              <w:keepLines w:val="0"/>
              <w:suppressLineNumbers w:val="0"/>
              <w:adjustRightInd w:val="0"/>
              <w:spacing w:before="0" w:beforeAutospacing="0" w:after="0" w:afterAutospacing="0" w:line="384"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1</w:t>
            </w:r>
            <w:r>
              <w:rPr>
                <w:rFonts w:hint="eastAsia" w:eastAsia="黑体" w:cs="Times New Roman"/>
                <w:color w:val="000000" w:themeColor="text1"/>
                <w:highlight w:val="none"/>
                <w:lang w:val="en-US" w:eastAsia="zh-CN"/>
                <w14:textFill>
                  <w14:solidFill>
                    <w14:schemeClr w14:val="tx1"/>
                  </w14:solidFill>
                </w14:textFill>
              </w:rPr>
              <w:t>4</w:t>
            </w:r>
            <w:r>
              <w:rPr>
                <w:rFonts w:hint="default" w:ascii="Times New Roman" w:hAnsi="Times New Roman" w:eastAsia="黑体" w:cs="Times New Roman"/>
                <w:color w:val="000000" w:themeColor="text1"/>
                <w:highlight w:val="none"/>
                <w14:textFill>
                  <w14:solidFill>
                    <w14:schemeClr w14:val="tx1"/>
                  </w14:solidFill>
                </w14:textFill>
              </w:rPr>
              <w:t xml:space="preserve">  厂界噪声污染源监测计划一览表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19"/>
              <w:gridCol w:w="2858"/>
              <w:gridCol w:w="2733"/>
              <w:gridCol w:w="18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5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7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监测点位</w:t>
                  </w:r>
                </w:p>
              </w:tc>
              <w:tc>
                <w:tcPr>
                  <w:tcW w:w="164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监测指标</w:t>
                  </w:r>
                </w:p>
              </w:tc>
              <w:tc>
                <w:tcPr>
                  <w:tcW w:w="10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监测频次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5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71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w:t>
                  </w:r>
                </w:p>
              </w:tc>
              <w:tc>
                <w:tcPr>
                  <w:tcW w:w="164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等效A声级</w:t>
                  </w:r>
                </w:p>
              </w:tc>
              <w:tc>
                <w:tcPr>
                  <w:tcW w:w="10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1季度/次</w:t>
                  </w:r>
                </w:p>
              </w:tc>
            </w:tr>
          </w:tbl>
          <w:p>
            <w:pPr>
              <w:keepNext w:val="0"/>
              <w:keepLines w:val="0"/>
              <w:pageBreakBefore w:val="0"/>
              <w:widowControl w:val="0"/>
              <w:numPr>
                <w:ilvl w:val="0"/>
                <w:numId w:val="7"/>
              </w:numPr>
              <w:suppressLineNumbers w:val="0"/>
              <w:tabs>
                <w:tab w:val="left" w:pos="600"/>
              </w:tabs>
              <w:kinsoku/>
              <w:wordWrap/>
              <w:overflowPunct/>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固体废物</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1、固体废物类别及处置措施</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根据《国家危险废物名录》</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2021年版</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生态环境部15号令，2020年11月27日发布，2021年1月1日实施</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和《危险废物鉴别标准 通则》(GB5085.7-2019)，本项目产生的固体废物包括一般工业固体废物和危险废物。本项目固体废物种类、产生量及拟采取的处置措施如下：</w:t>
            </w:r>
          </w:p>
          <w:p>
            <w:pPr>
              <w:pStyle w:val="3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cs="Times New Roman"/>
                <w:color w:val="000000" w:themeColor="text1"/>
                <w:highlight w:val="none"/>
                <w:lang w:eastAsia="zh-CN"/>
                <w14:textFill>
                  <w14:solidFill>
                    <w14:schemeClr w14:val="tx1"/>
                  </w14:solidFill>
                </w14:textFill>
              </w:rPr>
              <w:t>（</w:t>
            </w:r>
            <w:r>
              <w:rPr>
                <w:rFonts w:hint="eastAsia" w:ascii="Times New Roman" w:cs="Times New Roman"/>
                <w:color w:val="000000" w:themeColor="text1"/>
                <w:highlight w:val="none"/>
                <w:lang w:val="en-US" w:eastAsia="zh-CN"/>
                <w14:textFill>
                  <w14:solidFill>
                    <w14:schemeClr w14:val="tx1"/>
                  </w14:solidFill>
                </w14:textFill>
              </w:rPr>
              <w:t>1</w:t>
            </w:r>
            <w:r>
              <w:rPr>
                <w:rFonts w:hint="eastAsia" w:asci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一般工业固体废物</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本项目一般工业固体废物主要包括</w:t>
            </w:r>
            <w:r>
              <w:rPr>
                <w:rFonts w:hint="eastAsia" w:cs="Times New Roman"/>
                <w:color w:val="000000" w:themeColor="text1"/>
                <w:highlight w:val="none"/>
                <w:lang w:val="en-US" w:eastAsia="zh-CN"/>
                <w14:textFill>
                  <w14:solidFill>
                    <w14:schemeClr w14:val="tx1"/>
                  </w14:solidFill>
                </w14:textFill>
              </w:rPr>
              <w:t>废木质边角料、废金属边角料、废封边条、废纸箱纸板、回收塑粉、除尘灰</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类比同类型企业，废木质边角料</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w:t>
            </w:r>
            <w:r>
              <w:rPr>
                <w:rFonts w:hint="default" w:ascii="Times New Roman" w:hAnsi="Times New Roman" w:cs="Times New Roman"/>
                <w:color w:val="000000" w:themeColor="text1"/>
                <w:highlight w:val="none"/>
                <w:lang w:eastAsia="zh-CN"/>
                <w14:textFill>
                  <w14:solidFill>
                    <w14:schemeClr w14:val="tx1"/>
                  </w14:solidFill>
                </w14:textFill>
              </w:rPr>
              <w:t>金属边角料产生量按照原料的</w:t>
            </w:r>
            <w:r>
              <w:rPr>
                <w:rFonts w:hint="default" w:ascii="Times New Roman" w:hAnsi="Times New Roman" w:cs="Times New Roman"/>
                <w:color w:val="000000" w:themeColor="text1"/>
                <w:highlight w:val="none"/>
                <w:lang w:val="en-US" w:eastAsia="zh-CN"/>
                <w14:textFill>
                  <w14:solidFill>
                    <w14:schemeClr w14:val="tx1"/>
                  </w14:solidFill>
                </w14:textFill>
              </w:rPr>
              <w:t>1%计，</w:t>
            </w:r>
            <w:r>
              <w:rPr>
                <w:rFonts w:hint="default" w:ascii="Times New Roman" w:hAnsi="Times New Roman" w:eastAsia="宋体" w:cs="Times New Roman"/>
                <w:b w:val="0"/>
                <w:bCs/>
                <w:color w:val="000000" w:themeColor="text1"/>
                <w:kern w:val="0"/>
                <w:sz w:val="24"/>
                <w:highlight w:val="none"/>
                <w:u w:val="none" w:color="auto"/>
                <w:lang w:val="en-US" w:eastAsia="zh-CN"/>
                <w14:textFill>
                  <w14:solidFill>
                    <w14:schemeClr w14:val="tx1"/>
                  </w14:solidFill>
                </w14:textFill>
              </w:rPr>
              <w:t>板材密度按686kg/m</w:t>
            </w:r>
            <w:r>
              <w:rPr>
                <w:rFonts w:hint="default" w:ascii="Times New Roman" w:hAnsi="Times New Roman" w:eastAsia="宋体" w:cs="Times New Roman"/>
                <w:b w:val="0"/>
                <w:bCs/>
                <w:color w:val="000000" w:themeColor="text1"/>
                <w:kern w:val="0"/>
                <w:sz w:val="24"/>
                <w:highlight w:val="none"/>
                <w:u w:val="none" w:color="auto"/>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highlight w:val="none"/>
                <w:u w:val="none" w:color="auto"/>
                <w:lang w:val="en-US" w:eastAsia="zh-CN"/>
                <w14:textFill>
                  <w14:solidFill>
                    <w14:schemeClr w14:val="tx1"/>
                  </w14:solidFill>
                </w14:textFill>
              </w:rPr>
              <w:t>折算，</w:t>
            </w:r>
            <w:r>
              <w:rPr>
                <w:rFonts w:hint="default" w:ascii="Times New Roman" w:hAnsi="Times New Roman" w:cs="Times New Roman"/>
                <w:color w:val="000000" w:themeColor="text1"/>
                <w:highlight w:val="none"/>
                <w:lang w:val="en-US" w:eastAsia="zh-CN"/>
                <w14:textFill>
                  <w14:solidFill>
                    <w14:schemeClr w14:val="tx1"/>
                  </w14:solidFill>
                </w14:textFill>
              </w:rPr>
              <w:t>废木质边角料的产生量为343t/a</w:t>
            </w:r>
            <w:r>
              <w:rPr>
                <w:rFonts w:hint="eastAsia" w:eastAsia="宋体" w:cs="Times New Roman"/>
                <w:b w:val="0"/>
                <w:bCs/>
                <w:color w:val="000000" w:themeColor="text1"/>
                <w:kern w:val="0"/>
                <w:sz w:val="24"/>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金属废边角料产生量为</w:t>
            </w:r>
            <w:r>
              <w:rPr>
                <w:rFonts w:hint="eastAsia" w:cs="Times New Roman"/>
                <w:color w:val="000000" w:themeColor="text1"/>
                <w:highlight w:val="none"/>
                <w:lang w:val="en-US" w:eastAsia="zh-CN"/>
                <w14:textFill>
                  <w14:solidFill>
                    <w14:schemeClr w14:val="tx1"/>
                  </w14:solidFill>
                </w14:textFill>
              </w:rPr>
              <w:t>8.55t</w:t>
            </w:r>
            <w:r>
              <w:rPr>
                <w:rFonts w:hint="default" w:ascii="Times New Roman" w:hAnsi="Times New Roman" w:cs="Times New Roman"/>
                <w:color w:val="000000" w:themeColor="text1"/>
                <w:highlight w:val="none"/>
                <w:lang w:val="en-US" w:eastAsia="zh-CN"/>
                <w14:textFill>
                  <w14:solidFill>
                    <w14:schemeClr w14:val="tx1"/>
                  </w14:solidFill>
                </w14:textFill>
              </w:rPr>
              <w:t>/a</w:t>
            </w:r>
            <w:r>
              <w:rPr>
                <w:rFonts w:hint="eastAsia" w:cs="Times New Roman"/>
                <w:color w:val="000000" w:themeColor="text1"/>
                <w:highlight w:val="none"/>
                <w:lang w:val="en-US" w:eastAsia="zh-CN"/>
                <w14:textFill>
                  <w14:solidFill>
                    <w14:schemeClr w14:val="tx1"/>
                  </w14:solidFill>
                </w14:textFill>
              </w:rPr>
              <w:t>（含切割工序沉降粉尘）；类比同类型企业，废封边条产生量为1.5t/a，</w:t>
            </w:r>
            <w:r>
              <w:rPr>
                <w:rFonts w:hint="default" w:ascii="Times New Roman" w:hAnsi="Times New Roman" w:cs="Times New Roman"/>
                <w:color w:val="000000" w:themeColor="text1"/>
                <w:highlight w:val="none"/>
                <w:lang w:val="en-US" w:eastAsia="zh-CN"/>
                <w14:textFill>
                  <w14:solidFill>
                    <w14:schemeClr w14:val="tx1"/>
                  </w14:solidFill>
                </w14:textFill>
              </w:rPr>
              <w:t>废纸箱纸板产生量为1t/a</w:t>
            </w:r>
            <w:r>
              <w:rPr>
                <w:rFonts w:hint="eastAsia" w:cs="Times New Roman"/>
                <w:color w:val="000000" w:themeColor="text1"/>
                <w:highlight w:val="none"/>
                <w:lang w:val="en-US" w:eastAsia="zh-CN"/>
                <w14:textFill>
                  <w14:solidFill>
                    <w14:schemeClr w14:val="tx1"/>
                  </w14:solidFill>
                </w14:textFill>
              </w:rPr>
              <w:t>；根据物料平衡计算，回收塑粉产生量为2.47t/a，除尘灰产生量为20.3t/a。</w:t>
            </w:r>
            <w:r>
              <w:rPr>
                <w:rFonts w:hint="default" w:ascii="Times New Roman" w:hAnsi="Times New Roman" w:cs="Times New Roman"/>
                <w:color w:val="000000" w:themeColor="text1"/>
                <w:highlight w:val="none"/>
                <w14:textFill>
                  <w14:solidFill>
                    <w14:schemeClr w14:val="tx1"/>
                  </w14:solidFill>
                </w14:textFill>
              </w:rPr>
              <w:t>一般工业固体废物按性质分类实现综合利用、处置，具体固体废物类别产生量及处置措施见表4-</w:t>
            </w:r>
            <w:r>
              <w:rPr>
                <w:rFonts w:hint="eastAsia" w:cs="Times New Roman"/>
                <w:color w:val="000000" w:themeColor="text1"/>
                <w:highlight w:val="none"/>
                <w:lang w:val="en-US" w:eastAsia="zh-CN"/>
                <w14:textFill>
                  <w14:solidFill>
                    <w14:schemeClr w14:val="tx1"/>
                  </w14:solidFill>
                </w14:textFill>
              </w:rPr>
              <w:t>15</w:t>
            </w:r>
            <w:r>
              <w:rPr>
                <w:rFonts w:hint="default" w:ascii="Times New Roman" w:hAnsi="Times New Roman" w:cs="Times New Roman"/>
                <w:color w:val="000000" w:themeColor="text1"/>
                <w:highlight w:val="none"/>
                <w14:textFill>
                  <w14:solidFill>
                    <w14:schemeClr w14:val="tx1"/>
                  </w14:solidFill>
                </w14:textFill>
              </w:rPr>
              <w:t>。</w:t>
            </w:r>
          </w:p>
          <w:p>
            <w:pPr>
              <w:keepNext w:val="0"/>
              <w:keepLines w:val="0"/>
              <w:suppressLineNumbers w:val="0"/>
              <w:adjustRightInd w:val="0"/>
              <w:spacing w:before="0" w:beforeAutospacing="0" w:after="0" w:afterAutospacing="0" w:line="336"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1</w:t>
            </w:r>
            <w:r>
              <w:rPr>
                <w:rFonts w:hint="eastAsia" w:eastAsia="黑体" w:cs="Times New Roman"/>
                <w:color w:val="000000" w:themeColor="text1"/>
                <w:highlight w:val="none"/>
                <w:lang w:val="en-US" w:eastAsia="zh-CN"/>
                <w14:textFill>
                  <w14:solidFill>
                    <w14:schemeClr w14:val="tx1"/>
                  </w14:solidFill>
                </w14:textFill>
              </w:rPr>
              <w:t>5</w:t>
            </w:r>
            <w:r>
              <w:rPr>
                <w:rFonts w:hint="default" w:ascii="Times New Roman" w:hAnsi="Times New Roman" w:eastAsia="黑体" w:cs="Times New Roman"/>
                <w:color w:val="000000" w:themeColor="text1"/>
                <w:highlight w:val="none"/>
                <w14:textFill>
                  <w14:solidFill>
                    <w14:schemeClr w14:val="tx1"/>
                  </w14:solidFill>
                </w14:textFill>
              </w:rPr>
              <w:t xml:space="preserve">  本项目一般工业固体废物产生、处置情况一览表</w:t>
            </w: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32"/>
              <w:gridCol w:w="1460"/>
              <w:gridCol w:w="902"/>
              <w:gridCol w:w="985"/>
              <w:gridCol w:w="1558"/>
              <w:gridCol w:w="1623"/>
              <w:gridCol w:w="13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87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w:t>
                  </w:r>
                  <w:r>
                    <w:rPr>
                      <w:rFonts w:hint="eastAsia" w:eastAsia="宋体" w:cs="Times New Roman"/>
                      <w:color w:val="000000" w:themeColor="text1"/>
                      <w:sz w:val="21"/>
                      <w:szCs w:val="21"/>
                      <w:highlight w:val="none"/>
                      <w:lang w:val="en-US" w:eastAsia="zh-CN"/>
                      <w14:textFill>
                        <w14:solidFill>
                          <w14:schemeClr w14:val="tx1"/>
                        </w14:solidFill>
                      </w14:textFill>
                    </w:rPr>
                    <w:t>工序</w:t>
                  </w:r>
                </w:p>
              </w:tc>
              <w:tc>
                <w:tcPr>
                  <w:tcW w:w="54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产生量(t/a)</w:t>
                  </w:r>
                </w:p>
              </w:tc>
              <w:tc>
                <w:tcPr>
                  <w:tcW w:w="9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固废类别</w:t>
                  </w:r>
                </w:p>
              </w:tc>
              <w:tc>
                <w:tcPr>
                  <w:tcW w:w="9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厂区暂存区</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处置措施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w:t>
                  </w:r>
                </w:p>
              </w:tc>
              <w:tc>
                <w:tcPr>
                  <w:tcW w:w="87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开</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料、打孔、</w:t>
                  </w:r>
                  <w:r>
                    <w:rPr>
                      <w:rFonts w:hint="eastAsia" w:eastAsia="宋体" w:cs="Times New Roman"/>
                      <w:color w:val="000000" w:themeColor="text1"/>
                      <w:sz w:val="21"/>
                      <w:szCs w:val="21"/>
                      <w:highlight w:val="none"/>
                      <w:lang w:val="en-US" w:eastAsia="zh-CN"/>
                      <w14:textFill>
                        <w14:solidFill>
                          <w14:schemeClr w14:val="tx1"/>
                        </w14:solidFill>
                      </w14:textFill>
                    </w:rPr>
                    <w:t>封边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等</w:t>
                  </w:r>
                  <w:r>
                    <w:rPr>
                      <w:rFonts w:hint="eastAsia" w:eastAsia="宋体" w:cs="Times New Roman"/>
                      <w:color w:val="000000" w:themeColor="text1"/>
                      <w:sz w:val="21"/>
                      <w:szCs w:val="21"/>
                      <w:highlight w:val="none"/>
                      <w:lang w:val="en-US" w:eastAsia="zh-CN"/>
                      <w14:textFill>
                        <w14:solidFill>
                          <w14:schemeClr w14:val="tx1"/>
                        </w14:solidFill>
                      </w14:textFill>
                    </w:rPr>
                    <w:t>工序</w:t>
                  </w:r>
                </w:p>
              </w:tc>
              <w:tc>
                <w:tcPr>
                  <w:tcW w:w="54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废木质边角料</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343</w:t>
                  </w:r>
                </w:p>
              </w:tc>
              <w:tc>
                <w:tcPr>
                  <w:tcW w:w="9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一般工业固体废物(2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1-00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废品区</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收集后外售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w:t>
                  </w:r>
                </w:p>
              </w:tc>
              <w:tc>
                <w:tcPr>
                  <w:tcW w:w="87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切割等工序</w:t>
                  </w:r>
                </w:p>
              </w:tc>
              <w:tc>
                <w:tcPr>
                  <w:tcW w:w="54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金属</w:t>
                  </w:r>
                  <w:r>
                    <w:rPr>
                      <w:rFonts w:hint="default" w:ascii="Times New Roman" w:hAnsi="Times New Roman" w:eastAsia="宋体" w:cs="Times New Roman"/>
                      <w:color w:val="000000" w:themeColor="text1"/>
                      <w:sz w:val="21"/>
                      <w:szCs w:val="21"/>
                      <w:highlight w:val="none"/>
                      <w14:textFill>
                        <w14:solidFill>
                          <w14:schemeClr w14:val="tx1"/>
                        </w14:solidFill>
                      </w14:textFill>
                    </w:rPr>
                    <w:t>边角料</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8.55</w:t>
                  </w:r>
                </w:p>
              </w:tc>
              <w:tc>
                <w:tcPr>
                  <w:tcW w:w="9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一般工业固体废物（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213</w:t>
                  </w: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eastAsia"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废品</w:t>
                  </w:r>
                  <w:r>
                    <w:rPr>
                      <w:rFonts w:hint="default" w:ascii="Times New Roman" w:hAnsi="Times New Roman" w:eastAsia="宋体" w:cs="Times New Roman"/>
                      <w:color w:val="000000" w:themeColor="text1"/>
                      <w:sz w:val="21"/>
                      <w:szCs w:val="21"/>
                      <w:highlight w:val="none"/>
                      <w14:textFill>
                        <w14:solidFill>
                          <w14:schemeClr w14:val="tx1"/>
                        </w14:solidFill>
                      </w14:textFill>
                    </w:rPr>
                    <w:t>区</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收集后外售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w:t>
                  </w:r>
                </w:p>
              </w:tc>
              <w:tc>
                <w:tcPr>
                  <w:tcW w:w="87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封边工序</w:t>
                  </w:r>
                </w:p>
              </w:tc>
              <w:tc>
                <w:tcPr>
                  <w:tcW w:w="54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废封边条</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1.5</w:t>
                  </w:r>
                </w:p>
              </w:tc>
              <w:tc>
                <w:tcPr>
                  <w:tcW w:w="9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一般工业固体废物（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213</w:t>
                  </w: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eastAsia"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99</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废品</w:t>
                  </w:r>
                  <w:r>
                    <w:rPr>
                      <w:rFonts w:hint="default" w:ascii="Times New Roman" w:hAnsi="Times New Roman" w:eastAsia="宋体" w:cs="Times New Roman"/>
                      <w:color w:val="000000" w:themeColor="text1"/>
                      <w:sz w:val="21"/>
                      <w:szCs w:val="21"/>
                      <w:highlight w:val="none"/>
                      <w14:textFill>
                        <w14:solidFill>
                          <w14:schemeClr w14:val="tx1"/>
                        </w14:solidFill>
                      </w14:textFill>
                    </w:rPr>
                    <w:t>区</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收集后外售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w:t>
                  </w:r>
                </w:p>
              </w:tc>
              <w:tc>
                <w:tcPr>
                  <w:tcW w:w="87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包装工序</w:t>
                  </w:r>
                </w:p>
              </w:tc>
              <w:tc>
                <w:tcPr>
                  <w:tcW w:w="54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废纸箱纸板</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9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一般工业固体废物(2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1-00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07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废品区</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收集后外售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5</w:t>
                  </w:r>
                </w:p>
              </w:tc>
              <w:tc>
                <w:tcPr>
                  <w:tcW w:w="87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喷粉</w:t>
                  </w:r>
                </w:p>
              </w:tc>
              <w:tc>
                <w:tcPr>
                  <w:tcW w:w="54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塑粉</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2.47</w:t>
                  </w:r>
                </w:p>
              </w:tc>
              <w:tc>
                <w:tcPr>
                  <w:tcW w:w="9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一般工业固体废物（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213</w:t>
                  </w: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eastAsia"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99</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喷粉</w:t>
                  </w:r>
                  <w:r>
                    <w:rPr>
                      <w:rFonts w:hint="eastAsia" w:eastAsia="宋体" w:cs="Times New Roman"/>
                      <w:color w:val="000000" w:themeColor="text1"/>
                      <w:sz w:val="21"/>
                      <w:szCs w:val="21"/>
                      <w:highlight w:val="none"/>
                      <w:lang w:val="en-US" w:eastAsia="zh-CN"/>
                      <w14:textFill>
                        <w14:solidFill>
                          <w14:schemeClr w14:val="tx1"/>
                        </w14:solidFill>
                      </w14:textFill>
                    </w:rPr>
                    <w:t>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内</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收集后回用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w:t>
                  </w:r>
                </w:p>
              </w:tc>
              <w:tc>
                <w:tcPr>
                  <w:tcW w:w="87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布袋除尘器</w:t>
                  </w:r>
                </w:p>
              </w:tc>
              <w:tc>
                <w:tcPr>
                  <w:tcW w:w="54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除尘灰</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20.3</w:t>
                  </w:r>
                </w:p>
              </w:tc>
              <w:tc>
                <w:tcPr>
                  <w:tcW w:w="9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一般工业固体废物(2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1-00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-66)</w:t>
                  </w:r>
                </w:p>
              </w:tc>
              <w:tc>
                <w:tcPr>
                  <w:tcW w:w="9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除尘器灰仓</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收集后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外售</w:t>
                  </w:r>
                </w:p>
              </w:tc>
            </w:tr>
          </w:tbl>
          <w:p>
            <w:pPr>
              <w:pStyle w:val="3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cs="Times New Roman"/>
                <w:color w:val="000000" w:themeColor="text1"/>
                <w:highlight w:val="none"/>
                <w:lang w:eastAsia="zh-CN"/>
                <w14:textFill>
                  <w14:solidFill>
                    <w14:schemeClr w14:val="tx1"/>
                  </w14:solidFill>
                </w14:textFill>
              </w:rPr>
              <w:t>（</w:t>
            </w:r>
            <w:r>
              <w:rPr>
                <w:rFonts w:hint="eastAsia" w:ascii="Times New Roman" w:cs="Times New Roman"/>
                <w:color w:val="000000" w:themeColor="text1"/>
                <w:highlight w:val="none"/>
                <w:lang w:val="en-US" w:eastAsia="zh-CN"/>
                <w14:textFill>
                  <w14:solidFill>
                    <w14:schemeClr w14:val="tx1"/>
                  </w14:solidFill>
                </w14:textFill>
              </w:rPr>
              <w:t>2</w:t>
            </w:r>
            <w:r>
              <w:rPr>
                <w:rFonts w:hint="eastAsia" w:asci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危险废物</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本项目产生的危险废物主要为废活性炭</w:t>
            </w:r>
            <w:r>
              <w:rPr>
                <w:rFonts w:hint="default" w:ascii="Times New Roman" w:hAnsi="Times New Roman" w:cs="Times New Roman"/>
                <w:color w:val="000000" w:themeColor="text1"/>
                <w:highlight w:val="none"/>
                <w:lang w:eastAsia="zh-CN"/>
                <w14:textFill>
                  <w14:solidFill>
                    <w14:schemeClr w14:val="tx1"/>
                  </w14:solidFill>
                </w14:textFill>
              </w:rPr>
              <w:t>、废胶</w:t>
            </w:r>
            <w:r>
              <w:rPr>
                <w:rFonts w:hint="eastAsia" w:cs="Times New Roman"/>
                <w:color w:val="000000" w:themeColor="text1"/>
                <w:highlight w:val="none"/>
                <w:lang w:val="en-US" w:eastAsia="zh-CN"/>
                <w14:textFill>
                  <w14:solidFill>
                    <w14:schemeClr w14:val="tx1"/>
                  </w14:solidFill>
                </w14:textFill>
              </w:rPr>
              <w:t>袋、废机油、废油桶。</w:t>
            </w:r>
            <w:r>
              <w:rPr>
                <w:rFonts w:hint="default" w:ascii="Times New Roman" w:hAnsi="Times New Roman" w:cs="Times New Roman"/>
                <w:color w:val="000000" w:themeColor="text1"/>
                <w:highlight w:val="none"/>
                <w:lang w:eastAsia="zh-CN"/>
                <w14:textFill>
                  <w14:solidFill>
                    <w14:schemeClr w14:val="tx1"/>
                  </w14:solidFill>
                </w14:textFill>
              </w:rPr>
              <w:t>项目使用蜂窝状活性炭，</w:t>
            </w:r>
            <w:r>
              <w:rPr>
                <w:rFonts w:hint="default" w:ascii="Times New Roman" w:hAnsi="Times New Roman" w:cs="Times New Roman"/>
                <w:color w:val="000000" w:themeColor="text1"/>
                <w:highlight w:val="none"/>
                <w:lang w:val="en-US" w:eastAsia="zh-CN"/>
                <w14:textFill>
                  <w14:solidFill>
                    <w14:schemeClr w14:val="tx1"/>
                  </w14:solidFill>
                </w14:textFill>
              </w:rPr>
              <w:t>依据</w:t>
            </w:r>
            <w:r>
              <w:rPr>
                <w:rFonts w:hint="eastAsia" w:ascii="Times New Roman" w:hAnsi="Times New Roman" w:cs="Times New Roman"/>
                <w:color w:val="000000" w:themeColor="text1"/>
                <w:highlight w:val="none"/>
                <w:lang w:val="en-US" w:eastAsia="zh-CN"/>
                <w14:textFill>
                  <w14:solidFill>
                    <w14:schemeClr w14:val="tx1"/>
                  </w14:solidFill>
                </w14:textFill>
              </w:rPr>
              <w:t>设备活性炭填充量与每小时处理废气量体积之比应不小于1：5000，蜂窝活性炭密度为0.55g/cm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计算，则</w:t>
            </w:r>
            <w:r>
              <w:rPr>
                <w:rFonts w:hint="eastAsia" w:cs="Times New Roman"/>
                <w:color w:val="000000" w:themeColor="text1"/>
                <w:highlight w:val="none"/>
                <w:lang w:val="en-US" w:eastAsia="zh-CN"/>
                <w14:textFill>
                  <w14:solidFill>
                    <w14:schemeClr w14:val="tx1"/>
                  </w14:solidFill>
                </w14:textFill>
              </w:rPr>
              <w:t>两级</w:t>
            </w:r>
            <w:r>
              <w:rPr>
                <w:rFonts w:hint="default" w:ascii="Times New Roman" w:hAnsi="Times New Roman" w:cs="Times New Roman"/>
                <w:color w:val="000000" w:themeColor="text1"/>
                <w:highlight w:val="none"/>
                <w:lang w:eastAsia="zh-CN"/>
                <w14:textFill>
                  <w14:solidFill>
                    <w14:schemeClr w14:val="tx1"/>
                  </w14:solidFill>
                </w14:textFill>
              </w:rPr>
              <w:t>活性炭</w:t>
            </w:r>
            <w:r>
              <w:rPr>
                <w:rFonts w:hint="eastAsia" w:cs="Times New Roman"/>
                <w:color w:val="000000" w:themeColor="text1"/>
                <w:highlight w:val="none"/>
                <w:lang w:val="en-US" w:eastAsia="zh-CN"/>
                <w14:textFill>
                  <w14:solidFill>
                    <w14:schemeClr w14:val="tx1"/>
                  </w14:solidFill>
                </w14:textFill>
              </w:rPr>
              <w:t>填充</w:t>
            </w:r>
            <w:r>
              <w:rPr>
                <w:rFonts w:hint="default" w:ascii="Times New Roman" w:hAnsi="Times New Roman" w:cs="Times New Roman"/>
                <w:color w:val="000000" w:themeColor="text1"/>
                <w:highlight w:val="none"/>
                <w:lang w:eastAsia="zh-CN"/>
                <w14:textFill>
                  <w14:solidFill>
                    <w14:schemeClr w14:val="tx1"/>
                  </w14:solidFill>
                </w14:textFill>
              </w:rPr>
              <w:t>量约</w:t>
            </w:r>
            <w:r>
              <w:rPr>
                <w:rFonts w:hint="eastAsia" w:cs="Times New Roman"/>
                <w:color w:val="000000" w:themeColor="text1"/>
                <w:highlight w:val="none"/>
                <w:lang w:val="en-US" w:eastAsia="zh-CN"/>
                <w14:textFill>
                  <w14:solidFill>
                    <w14:schemeClr w14:val="tx1"/>
                  </w14:solidFill>
                </w14:textFill>
              </w:rPr>
              <w:t>1.1</w:t>
            </w:r>
            <w:r>
              <w:rPr>
                <w:rFonts w:hint="default" w:ascii="Times New Roman" w:hAnsi="Times New Roman" w:cs="Times New Roman"/>
                <w:color w:val="000000" w:themeColor="text1"/>
                <w:highlight w:val="none"/>
                <w14:textFill>
                  <w14:solidFill>
                    <w14:schemeClr w14:val="tx1"/>
                  </w14:solidFill>
                </w14:textFill>
              </w:rPr>
              <w:t>t/a</w:t>
            </w:r>
            <w:r>
              <w:rPr>
                <w:rFonts w:hint="eastAsia" w:cs="Times New Roman"/>
                <w:color w:val="000000" w:themeColor="text1"/>
                <w:highlight w:val="none"/>
                <w:lang w:eastAsia="zh-CN"/>
                <w14:textFill>
                  <w14:solidFill>
                    <w14:schemeClr w14:val="tx1"/>
                  </w14:solidFill>
                </w14:textFill>
              </w:rPr>
              <w:t>，非甲烷总烃吸附量为</w:t>
            </w:r>
            <w:r>
              <w:rPr>
                <w:rFonts w:hint="eastAsia" w:cs="Times New Roman"/>
                <w:color w:val="000000" w:themeColor="text1"/>
                <w:highlight w:val="none"/>
                <w:lang w:val="en-US" w:eastAsia="zh-CN"/>
                <w14:textFill>
                  <w14:solidFill>
                    <w14:schemeClr w14:val="tx1"/>
                  </w14:solidFill>
                </w14:textFill>
              </w:rPr>
              <w:t>0.038t/a，</w:t>
            </w:r>
            <w:r>
              <w:rPr>
                <w:rFonts w:hint="eastAsia" w:cs="Times New Roman"/>
                <w:color w:val="000000" w:themeColor="text1"/>
                <w:highlight w:val="none"/>
                <w:lang w:eastAsia="zh-CN"/>
                <w14:textFill>
                  <w14:solidFill>
                    <w14:schemeClr w14:val="tx1"/>
                  </w14:solidFill>
                </w14:textFill>
              </w:rPr>
              <w:t>则废活性炭产生量为</w:t>
            </w:r>
            <w:r>
              <w:rPr>
                <w:rFonts w:hint="eastAsia" w:cs="Times New Roman"/>
                <w:color w:val="000000" w:themeColor="text1"/>
                <w:highlight w:val="none"/>
                <w:lang w:val="en-US" w:eastAsia="zh-CN"/>
                <w14:textFill>
                  <w14:solidFill>
                    <w14:schemeClr w14:val="tx1"/>
                  </w14:solidFill>
                </w14:textFill>
              </w:rPr>
              <w:t>1.138t/a</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封边胶为</w:t>
            </w:r>
            <w:r>
              <w:rPr>
                <w:rFonts w:hint="default" w:ascii="Times New Roman" w:hAnsi="Times New Roman" w:cs="Times New Roman"/>
                <w:color w:val="000000" w:themeColor="text1"/>
                <w:highlight w:val="none"/>
                <w:lang w:val="en-US" w:eastAsia="zh-CN"/>
                <w14:textFill>
                  <w14:solidFill>
                    <w14:schemeClr w14:val="tx1"/>
                  </w14:solidFill>
                </w14:textFill>
              </w:rPr>
              <w:t>20kg/</w:t>
            </w:r>
            <w:r>
              <w:rPr>
                <w:rFonts w:hint="eastAsia" w:cs="Times New Roman"/>
                <w:color w:val="000000" w:themeColor="text1"/>
                <w:highlight w:val="none"/>
                <w:lang w:val="en-US" w:eastAsia="zh-CN"/>
                <w14:textFill>
                  <w14:solidFill>
                    <w14:schemeClr w14:val="tx1"/>
                  </w14:solidFill>
                </w14:textFill>
              </w:rPr>
              <w:t>袋</w:t>
            </w:r>
            <w:r>
              <w:rPr>
                <w:rFonts w:hint="default" w:ascii="Times New Roman" w:hAnsi="Times New Roman" w:cs="Times New Roman"/>
                <w:color w:val="000000" w:themeColor="text1"/>
                <w:highlight w:val="none"/>
                <w:lang w:val="en-US" w:eastAsia="zh-CN"/>
                <w14:textFill>
                  <w14:solidFill>
                    <w14:schemeClr w14:val="tx1"/>
                  </w14:solidFill>
                </w14:textFill>
              </w:rPr>
              <w:t>，每个废胶</w:t>
            </w:r>
            <w:r>
              <w:rPr>
                <w:rFonts w:hint="eastAsia" w:cs="Times New Roman"/>
                <w:color w:val="000000" w:themeColor="text1"/>
                <w:highlight w:val="none"/>
                <w:lang w:val="en-US" w:eastAsia="zh-CN"/>
                <w14:textFill>
                  <w14:solidFill>
                    <w14:schemeClr w14:val="tx1"/>
                  </w14:solidFill>
                </w14:textFill>
              </w:rPr>
              <w:t>袋</w:t>
            </w:r>
            <w:r>
              <w:rPr>
                <w:rFonts w:hint="default" w:ascii="Times New Roman" w:hAnsi="Times New Roman" w:cs="Times New Roman"/>
                <w:color w:val="000000" w:themeColor="text1"/>
                <w:highlight w:val="none"/>
                <w:lang w:val="en-US" w:eastAsia="zh-CN"/>
                <w14:textFill>
                  <w14:solidFill>
                    <w14:schemeClr w14:val="tx1"/>
                  </w14:solidFill>
                </w14:textFill>
              </w:rPr>
              <w:t>约为</w:t>
            </w:r>
            <w:r>
              <w:rPr>
                <w:rFonts w:hint="eastAsia" w:cs="Times New Roman"/>
                <w:color w:val="000000" w:themeColor="text1"/>
                <w:highlight w:val="none"/>
                <w:lang w:val="en-US" w:eastAsia="zh-CN"/>
                <w14:textFill>
                  <w14:solidFill>
                    <w14:schemeClr w14:val="tx1"/>
                  </w14:solidFill>
                </w14:textFill>
              </w:rPr>
              <w:t>0.2</w:t>
            </w:r>
            <w:r>
              <w:rPr>
                <w:rFonts w:hint="default" w:ascii="Times New Roman" w:hAnsi="Times New Roman" w:cs="Times New Roman"/>
                <w:color w:val="000000" w:themeColor="text1"/>
                <w:highlight w:val="none"/>
                <w:lang w:val="en-US" w:eastAsia="zh-CN"/>
                <w14:textFill>
                  <w14:solidFill>
                    <w14:schemeClr w14:val="tx1"/>
                  </w14:solidFill>
                </w14:textFill>
              </w:rPr>
              <w:t>kg，则年用封边胶3t，则</w:t>
            </w:r>
            <w:r>
              <w:rPr>
                <w:rFonts w:hint="eastAsia" w:cs="Times New Roman"/>
                <w:color w:val="000000" w:themeColor="text1"/>
                <w:highlight w:val="none"/>
                <w:lang w:val="en-US" w:eastAsia="zh-CN"/>
                <w14:textFill>
                  <w14:solidFill>
                    <w14:schemeClr w14:val="tx1"/>
                  </w14:solidFill>
                </w14:textFill>
              </w:rPr>
              <w:t>产废胶袋</w:t>
            </w:r>
            <w:r>
              <w:rPr>
                <w:rFonts w:hint="default" w:ascii="Times New Roman" w:hAnsi="Times New Roman" w:cs="Times New Roman"/>
                <w:color w:val="000000" w:themeColor="text1"/>
                <w:highlight w:val="none"/>
                <w:lang w:val="en-US" w:eastAsia="zh-CN"/>
                <w14:textFill>
                  <w14:solidFill>
                    <w14:schemeClr w14:val="tx1"/>
                  </w14:solidFill>
                </w14:textFill>
              </w:rPr>
              <w:t>150个，共0.</w:t>
            </w:r>
            <w:r>
              <w:rPr>
                <w:rFonts w:hint="eastAsia"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lang w:val="en-US" w:eastAsia="zh-CN"/>
                <w14:textFill>
                  <w14:solidFill>
                    <w14:schemeClr w14:val="tx1"/>
                  </w14:solidFill>
                </w14:textFill>
              </w:rPr>
              <w:t>3t/a</w:t>
            </w:r>
            <w:r>
              <w:rPr>
                <w:rFonts w:hint="eastAsia" w:cs="Times New Roman"/>
                <w:color w:val="000000" w:themeColor="text1"/>
                <w:highlight w:val="none"/>
                <w:lang w:val="en-US" w:eastAsia="zh-CN"/>
                <w14:textFill>
                  <w14:solidFill>
                    <w14:schemeClr w14:val="tx1"/>
                  </w14:solidFill>
                </w14:textFill>
              </w:rPr>
              <w:t>；本项目生产设备维修过程中产生少量废机油，产生量为0.3t/a，废油桶产生量为0.15t/a。上述危险废物</w:t>
            </w:r>
            <w:r>
              <w:rPr>
                <w:rFonts w:hint="default" w:ascii="Times New Roman" w:hAnsi="Times New Roman" w:cs="Times New Roman"/>
                <w:color w:val="000000" w:themeColor="text1"/>
                <w:highlight w:val="none"/>
                <w14:textFill>
                  <w14:solidFill>
                    <w14:schemeClr w14:val="tx1"/>
                  </w14:solidFill>
                </w14:textFill>
              </w:rPr>
              <w:t>收集后在厂区危废暂存间暂存，定期送有资质的危废处置单位处理。本项目危险废物类别及处置措施见表4-</w:t>
            </w:r>
            <w:r>
              <w:rPr>
                <w:rFonts w:hint="eastAsia" w:cs="Times New Roman"/>
                <w:color w:val="000000" w:themeColor="text1"/>
                <w:highlight w:val="none"/>
                <w:lang w:val="en-US" w:eastAsia="zh-CN"/>
                <w14:textFill>
                  <w14:solidFill>
                    <w14:schemeClr w14:val="tx1"/>
                  </w14:solidFill>
                </w14:textFill>
              </w:rPr>
              <w:t>16</w:t>
            </w:r>
            <w:r>
              <w:rPr>
                <w:rFonts w:hint="default" w:ascii="Times New Roman" w:hAnsi="Times New Roman" w:cs="Times New Roman"/>
                <w:color w:val="000000" w:themeColor="text1"/>
                <w:highlight w:val="none"/>
                <w14:textFill>
                  <w14:solidFill>
                    <w14:schemeClr w14:val="tx1"/>
                  </w14:solidFill>
                </w14:textFill>
              </w:rPr>
              <w:t>。</w:t>
            </w:r>
          </w:p>
          <w:p>
            <w:pPr>
              <w:keepNext w:val="0"/>
              <w:keepLines w:val="0"/>
              <w:suppressLineNumbers w:val="0"/>
              <w:adjustRightInd w:val="0"/>
              <w:spacing w:before="0" w:beforeAutospacing="0" w:after="0" w:afterAutospacing="0" w:line="384"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1</w:t>
            </w:r>
            <w:r>
              <w:rPr>
                <w:rFonts w:hint="eastAsia" w:eastAsia="黑体" w:cs="Times New Roman"/>
                <w:color w:val="000000" w:themeColor="text1"/>
                <w:highlight w:val="none"/>
                <w:lang w:val="en-US" w:eastAsia="zh-CN"/>
                <w14:textFill>
                  <w14:solidFill>
                    <w14:schemeClr w14:val="tx1"/>
                  </w14:solidFill>
                </w14:textFill>
              </w:rPr>
              <w:t>6</w:t>
            </w:r>
            <w:r>
              <w:rPr>
                <w:rFonts w:hint="default" w:ascii="Times New Roman" w:hAnsi="Times New Roman" w:eastAsia="黑体" w:cs="Times New Roman"/>
                <w:color w:val="000000" w:themeColor="text1"/>
                <w:highlight w:val="none"/>
                <w14:textFill>
                  <w14:solidFill>
                    <w14:schemeClr w14:val="tx1"/>
                  </w14:solidFill>
                </w14:textFill>
              </w:rPr>
              <w:t xml:space="preserve">  本项目危险废物产生、处置情况一览表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23"/>
              <w:gridCol w:w="525"/>
              <w:gridCol w:w="659"/>
              <w:gridCol w:w="829"/>
              <w:gridCol w:w="1182"/>
              <w:gridCol w:w="855"/>
              <w:gridCol w:w="707"/>
              <w:gridCol w:w="400"/>
              <w:gridCol w:w="450"/>
              <w:gridCol w:w="727"/>
              <w:gridCol w:w="437"/>
              <w:gridCol w:w="485"/>
              <w:gridCol w:w="7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9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序号</w:t>
                  </w:r>
                </w:p>
              </w:tc>
              <w:tc>
                <w:tcPr>
                  <w:tcW w:w="3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处置方式</w:t>
                  </w: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危险废物名称</w:t>
                  </w:r>
                </w:p>
              </w:tc>
              <w:tc>
                <w:tcPr>
                  <w:tcW w:w="4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危险废物类别</w:t>
                  </w:r>
                </w:p>
              </w:tc>
              <w:tc>
                <w:tcPr>
                  <w:tcW w:w="70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代码</w:t>
                  </w:r>
                </w:p>
              </w:tc>
              <w:tc>
                <w:tcPr>
                  <w:tcW w:w="5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产生量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42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产生工序及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装置</w:t>
                  </w:r>
                </w:p>
              </w:tc>
              <w:tc>
                <w:tcPr>
                  <w:tcW w:w="2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形态</w:t>
                  </w:r>
                </w:p>
              </w:tc>
              <w:tc>
                <w:tcPr>
                  <w:tcW w:w="2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成分</w:t>
                  </w:r>
                </w:p>
              </w:tc>
              <w:tc>
                <w:tcPr>
                  <w:tcW w:w="4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成分</w:t>
                  </w:r>
                </w:p>
              </w:tc>
              <w:tc>
                <w:tcPr>
                  <w:tcW w:w="2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周期</w:t>
                  </w:r>
                </w:p>
              </w:tc>
              <w:tc>
                <w:tcPr>
                  <w:tcW w:w="2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特性</w:t>
                  </w:r>
                </w:p>
              </w:tc>
              <w:tc>
                <w:tcPr>
                  <w:tcW w:w="4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18" w:hRule="atLeast"/>
                <w:jc w:val="center"/>
              </w:trPr>
              <w:tc>
                <w:tcPr>
                  <w:tcW w:w="19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31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委托处置</w:t>
                  </w: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p>
              </w:tc>
              <w:tc>
                <w:tcPr>
                  <w:tcW w:w="4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HW49</w:t>
                  </w:r>
                </w:p>
              </w:tc>
              <w:tc>
                <w:tcPr>
                  <w:tcW w:w="70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039</w:t>
                  </w:r>
                  <w:r>
                    <w:rPr>
                      <w:rFonts w:hint="default" w:ascii="Times New Roman" w:hAnsi="Times New Roman" w:eastAsia="宋体" w:cs="Times New Roman"/>
                      <w:color w:val="000000" w:themeColor="text1"/>
                      <w:sz w:val="21"/>
                      <w:szCs w:val="21"/>
                      <w:highlight w:val="none"/>
                      <w14:textFill>
                        <w14:solidFill>
                          <w14:schemeClr w14:val="tx1"/>
                        </w14:solidFill>
                      </w14:textFill>
                    </w:rPr>
                    <w:t>-49</w:t>
                  </w:r>
                </w:p>
              </w:tc>
              <w:tc>
                <w:tcPr>
                  <w:tcW w:w="5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1.138</w:t>
                  </w:r>
                </w:p>
              </w:tc>
              <w:tc>
                <w:tcPr>
                  <w:tcW w:w="42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活性炭吸附装置</w:t>
                  </w:r>
                </w:p>
              </w:tc>
              <w:tc>
                <w:tcPr>
                  <w:tcW w:w="2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固态</w:t>
                  </w:r>
                </w:p>
              </w:tc>
              <w:tc>
                <w:tcPr>
                  <w:tcW w:w="2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活性炭</w:t>
                  </w:r>
                </w:p>
              </w:tc>
              <w:tc>
                <w:tcPr>
                  <w:tcW w:w="4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挥发性有机物</w:t>
                  </w:r>
                </w:p>
              </w:tc>
              <w:tc>
                <w:tcPr>
                  <w:tcW w:w="2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1次/年</w:t>
                  </w:r>
                </w:p>
              </w:tc>
              <w:tc>
                <w:tcPr>
                  <w:tcW w:w="2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w:t>
                  </w:r>
                </w:p>
              </w:tc>
              <w:tc>
                <w:tcPr>
                  <w:tcW w:w="44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危险废物暂存间暂存，定期送有危险废物处置资质单位处置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9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31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废胶</w:t>
                  </w:r>
                  <w:r>
                    <w:rPr>
                      <w:rFonts w:hint="eastAsia" w:eastAsia="宋体" w:cs="Times New Roman"/>
                      <w:color w:val="000000" w:themeColor="text1"/>
                      <w:sz w:val="21"/>
                      <w:szCs w:val="21"/>
                      <w:highlight w:val="none"/>
                      <w:lang w:val="en-US" w:eastAsia="zh-CN"/>
                      <w14:textFill>
                        <w14:solidFill>
                          <w14:schemeClr w14:val="tx1"/>
                        </w14:solidFill>
                      </w14:textFill>
                    </w:rPr>
                    <w:t>袋</w:t>
                  </w:r>
                </w:p>
              </w:tc>
              <w:tc>
                <w:tcPr>
                  <w:tcW w:w="4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HW49</w:t>
                  </w:r>
                </w:p>
              </w:tc>
              <w:tc>
                <w:tcPr>
                  <w:tcW w:w="70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041</w:t>
                  </w:r>
                  <w:r>
                    <w:rPr>
                      <w:rFonts w:hint="default" w:ascii="Times New Roman" w:hAnsi="Times New Roman" w:eastAsia="宋体" w:cs="Times New Roman"/>
                      <w:color w:val="000000" w:themeColor="text1"/>
                      <w:sz w:val="21"/>
                      <w:szCs w:val="21"/>
                      <w:highlight w:val="none"/>
                      <w14:textFill>
                        <w14:solidFill>
                          <w14:schemeClr w14:val="tx1"/>
                        </w14:solidFill>
                      </w14:textFill>
                    </w:rPr>
                    <w:t>-49</w:t>
                  </w:r>
                </w:p>
              </w:tc>
              <w:tc>
                <w:tcPr>
                  <w:tcW w:w="5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03</w:t>
                  </w:r>
                </w:p>
              </w:tc>
              <w:tc>
                <w:tcPr>
                  <w:tcW w:w="42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封边工序</w:t>
                  </w:r>
                </w:p>
              </w:tc>
              <w:tc>
                <w:tcPr>
                  <w:tcW w:w="2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固态</w:t>
                  </w:r>
                </w:p>
              </w:tc>
              <w:tc>
                <w:tcPr>
                  <w:tcW w:w="2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封边胶</w:t>
                  </w:r>
                </w:p>
              </w:tc>
              <w:tc>
                <w:tcPr>
                  <w:tcW w:w="4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挥发性有机物</w:t>
                  </w:r>
                </w:p>
              </w:tc>
              <w:tc>
                <w:tcPr>
                  <w:tcW w:w="2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r>
                    <w:rPr>
                      <w:rFonts w:hint="eastAsia" w:eastAsia="宋体" w:cs="Times New Roman"/>
                      <w:color w:val="000000" w:themeColor="text1"/>
                      <w:sz w:val="21"/>
                      <w:szCs w:val="21"/>
                      <w:highlight w:val="none"/>
                      <w:lang w:val="en-US" w:eastAsia="zh-CN"/>
                      <w14:textFill>
                        <w14:solidFill>
                          <w14:schemeClr w14:val="tx1"/>
                        </w14:solidFill>
                      </w14:textFill>
                    </w:rPr>
                    <w:t>月</w:t>
                  </w:r>
                </w:p>
              </w:tc>
              <w:tc>
                <w:tcPr>
                  <w:tcW w:w="2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T/In</w:t>
                  </w:r>
                </w:p>
              </w:tc>
              <w:tc>
                <w:tcPr>
                  <w:tcW w:w="4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9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w:t>
                  </w:r>
                </w:p>
              </w:tc>
              <w:tc>
                <w:tcPr>
                  <w:tcW w:w="31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废机油</w:t>
                  </w:r>
                </w:p>
              </w:tc>
              <w:tc>
                <w:tcPr>
                  <w:tcW w:w="4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HW08</w:t>
                  </w:r>
                </w:p>
              </w:tc>
              <w:tc>
                <w:tcPr>
                  <w:tcW w:w="70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900-214-08</w:t>
                  </w:r>
                </w:p>
              </w:tc>
              <w:tc>
                <w:tcPr>
                  <w:tcW w:w="5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0.3</w:t>
                  </w:r>
                </w:p>
              </w:tc>
              <w:tc>
                <w:tcPr>
                  <w:tcW w:w="42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生产设备</w:t>
                  </w:r>
                </w:p>
              </w:tc>
              <w:tc>
                <w:tcPr>
                  <w:tcW w:w="2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液态</w:t>
                  </w:r>
                </w:p>
              </w:tc>
              <w:tc>
                <w:tcPr>
                  <w:tcW w:w="2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机油</w:t>
                  </w:r>
                </w:p>
              </w:tc>
              <w:tc>
                <w:tcPr>
                  <w:tcW w:w="4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苯系物和多环芳烃等</w:t>
                  </w:r>
                </w:p>
              </w:tc>
              <w:tc>
                <w:tcPr>
                  <w:tcW w:w="2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1次/月</w:t>
                  </w:r>
                </w:p>
              </w:tc>
              <w:tc>
                <w:tcPr>
                  <w:tcW w:w="2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T/I</w:t>
                  </w:r>
                </w:p>
              </w:tc>
              <w:tc>
                <w:tcPr>
                  <w:tcW w:w="4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9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w:t>
                  </w:r>
                </w:p>
              </w:tc>
              <w:tc>
                <w:tcPr>
                  <w:tcW w:w="31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废油桶</w:t>
                  </w:r>
                </w:p>
              </w:tc>
              <w:tc>
                <w:tcPr>
                  <w:tcW w:w="4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HW08</w:t>
                  </w:r>
                </w:p>
              </w:tc>
              <w:tc>
                <w:tcPr>
                  <w:tcW w:w="70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900-249-08</w:t>
                  </w:r>
                </w:p>
              </w:tc>
              <w:tc>
                <w:tcPr>
                  <w:tcW w:w="5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0.15</w:t>
                  </w:r>
                </w:p>
              </w:tc>
              <w:tc>
                <w:tcPr>
                  <w:tcW w:w="42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生产设备</w:t>
                  </w:r>
                </w:p>
              </w:tc>
              <w:tc>
                <w:tcPr>
                  <w:tcW w:w="2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固态</w:t>
                  </w:r>
                </w:p>
              </w:tc>
              <w:tc>
                <w:tcPr>
                  <w:tcW w:w="2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废油</w:t>
                  </w:r>
                </w:p>
              </w:tc>
              <w:tc>
                <w:tcPr>
                  <w:tcW w:w="4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苯系物和多环芳烃等</w:t>
                  </w:r>
                </w:p>
              </w:tc>
              <w:tc>
                <w:tcPr>
                  <w:tcW w:w="2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1次/月</w:t>
                  </w:r>
                </w:p>
              </w:tc>
              <w:tc>
                <w:tcPr>
                  <w:tcW w:w="2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T/I</w:t>
                  </w:r>
                </w:p>
              </w:tc>
              <w:tc>
                <w:tcPr>
                  <w:tcW w:w="4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3</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本项目劳动定员</w:t>
            </w:r>
            <w:r>
              <w:rPr>
                <w:rFonts w:hint="default" w:ascii="Times New Roman" w:hAnsi="Times New Roman" w:cs="Times New Roman"/>
                <w:color w:val="000000" w:themeColor="text1"/>
                <w:highlight w:val="none"/>
                <w:lang w:val="en-US" w:eastAsia="zh-CN"/>
                <w14:textFill>
                  <w14:solidFill>
                    <w14:schemeClr w14:val="tx1"/>
                  </w14:solidFill>
                </w14:textFill>
              </w:rPr>
              <w:t>80</w:t>
            </w:r>
            <w:r>
              <w:rPr>
                <w:rFonts w:hint="default" w:ascii="Times New Roman" w:hAnsi="Times New Roman" w:cs="Times New Roman"/>
                <w:color w:val="000000" w:themeColor="text1"/>
                <w:highlight w:val="none"/>
                <w14:textFill>
                  <w14:solidFill>
                    <w14:schemeClr w14:val="tx1"/>
                  </w14:solidFill>
                </w14:textFill>
              </w:rPr>
              <w:t>人，生活垃圾产生量按0.5kg/人·d，年工作3</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0d，则生活垃圾产生量为</w:t>
            </w:r>
            <w:r>
              <w:rPr>
                <w:rFonts w:hint="default" w:ascii="Times New Roman" w:hAnsi="Times New Roman" w:cs="Times New Roman"/>
                <w:color w:val="000000" w:themeColor="text1"/>
                <w:highlight w:val="none"/>
                <w:lang w:val="en-US" w:eastAsia="zh-CN"/>
                <w14:textFill>
                  <w14:solidFill>
                    <w14:schemeClr w14:val="tx1"/>
                  </w14:solidFill>
                </w14:textFill>
              </w:rPr>
              <w:t>13.2</w:t>
            </w:r>
            <w:r>
              <w:rPr>
                <w:rFonts w:hint="default" w:ascii="Times New Roman" w:hAnsi="Times New Roman" w:cs="Times New Roman"/>
                <w:color w:val="000000" w:themeColor="text1"/>
                <w:highlight w:val="none"/>
                <w14:textFill>
                  <w14:solidFill>
                    <w14:schemeClr w14:val="tx1"/>
                  </w14:solidFill>
                </w14:textFill>
              </w:rPr>
              <w:t>t/a</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定期由当地环卫部门统一清运处理。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2、危险废物贮存场所(设施)环境影响分析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（1）危险废物贮存场所（设施）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w:t>
            </w:r>
            <w:r>
              <w:rPr>
                <w:rFonts w:hint="default" w:ascii="Times New Roman" w:hAnsi="Times New Roman" w:cs="Times New Roman"/>
                <w:color w:val="000000" w:themeColor="text1"/>
                <w:highlight w:val="none"/>
                <w14:textFill>
                  <w14:solidFill>
                    <w14:schemeClr w14:val="tx1"/>
                  </w14:solidFill>
                </w14:textFill>
              </w:rPr>
              <w:t>建设</w:t>
            </w:r>
            <w:r>
              <w:rPr>
                <w:rFonts w:hint="eastAsia" w:cs="Times New Roman"/>
                <w:color w:val="000000" w:themeColor="text1"/>
                <w:highlight w:val="none"/>
                <w:lang w:val="en-US" w:eastAsia="zh-CN"/>
                <w14:textFill>
                  <w14:solidFill>
                    <w14:schemeClr w14:val="tx1"/>
                  </w14:solidFill>
                </w14:textFill>
              </w:rPr>
              <w:t>1座</w:t>
            </w:r>
            <w:r>
              <w:rPr>
                <w:rFonts w:hint="default" w:ascii="Times New Roman" w:hAnsi="Times New Roman" w:cs="Times New Roman"/>
                <w:color w:val="000000" w:themeColor="text1"/>
                <w:highlight w:val="none"/>
                <w:lang w:val="en-US" w:eastAsia="zh-CN"/>
                <w14:textFill>
                  <w14:solidFill>
                    <w14:schemeClr w14:val="tx1"/>
                  </w14:solidFill>
                </w14:textFill>
              </w:rPr>
              <w:t>5m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危险废物贮存间</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危废暂存间所选区域位置应</w:t>
            </w:r>
            <w:r>
              <w:rPr>
                <w:rFonts w:hint="default" w:ascii="Times New Roman" w:hAnsi="Times New Roman" w:cs="Times New Roman"/>
                <w:color w:val="000000" w:themeColor="text1"/>
                <w:highlight w:val="none"/>
                <w14:textFill>
                  <w14:solidFill>
                    <w14:schemeClr w14:val="tx1"/>
                  </w14:solidFill>
                </w14:textFill>
              </w:rPr>
              <w:t>地质结构相对稳定，不属于溶洞区或易遭受洪水、滑坡、泥石流等易遭受严重自然灾害的区域，设施底部高于地下水最高水位。危废暂存间</w:t>
            </w:r>
            <w:r>
              <w:rPr>
                <w:rFonts w:hint="eastAsia" w:ascii="Times New Roman" w:hAnsi="Times New Roman" w:cs="Times New Roman"/>
                <w:color w:val="000000" w:themeColor="text1"/>
                <w:highlight w:val="none"/>
                <w:lang w:eastAsia="zh-CN"/>
                <w14:textFill>
                  <w14:solidFill>
                    <w14:schemeClr w14:val="tx1"/>
                  </w14:solidFill>
                </w14:textFill>
              </w:rPr>
              <w:t>应</w:t>
            </w:r>
            <w:r>
              <w:rPr>
                <w:rFonts w:hint="default" w:ascii="Times New Roman" w:hAnsi="Times New Roman" w:cs="Times New Roman"/>
                <w:color w:val="000000" w:themeColor="text1"/>
                <w:highlight w:val="none"/>
                <w14:textFill>
                  <w14:solidFill>
                    <w14:schemeClr w14:val="tx1"/>
                  </w14:solidFill>
                </w14:textFill>
              </w:rPr>
              <w:t>采取严格防渗措施，采用2mm厚高密度聚乙烯材料进行防渗，</w:t>
            </w:r>
            <w:r>
              <w:rPr>
                <w:rFonts w:hint="eastAsia" w:ascii="Times New Roman" w:hAnsi="Times New Roman" w:cs="Times New Roman"/>
                <w:color w:val="000000" w:themeColor="text1"/>
                <w:highlight w:val="none"/>
                <w:lang w:eastAsia="zh-CN"/>
                <w14:textFill>
                  <w14:solidFill>
                    <w14:schemeClr w14:val="tx1"/>
                  </w14:solidFill>
                </w14:textFill>
              </w:rPr>
              <w:t>应</w:t>
            </w:r>
            <w:r>
              <w:rPr>
                <w:rFonts w:hint="default" w:ascii="Times New Roman" w:hAnsi="Times New Roman" w:cs="Times New Roman"/>
                <w:color w:val="000000" w:themeColor="text1"/>
                <w:highlight w:val="none"/>
                <w14:textFill>
                  <w14:solidFill>
                    <w14:schemeClr w14:val="tx1"/>
                  </w14:solidFill>
                </w14:textFill>
              </w:rPr>
              <w:t>满足《危险废物贮存污染控制标准》（GB18597-2023）选址要求。</w:t>
            </w:r>
          </w:p>
          <w:p>
            <w:pPr>
              <w:pStyle w:val="77"/>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危废暂存间贮存能力分析</w:t>
            </w:r>
          </w:p>
          <w:p>
            <w:pPr>
              <w:pStyle w:val="77"/>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eastAsia" w:hAnsi="Times New Roman" w:cs="Times New Roman"/>
                <w:color w:val="000000" w:themeColor="text1"/>
                <w:highlight w:val="none"/>
                <w:lang w:eastAsia="zh-CN"/>
                <w14:textFill>
                  <w14:solidFill>
                    <w14:schemeClr w14:val="tx1"/>
                  </w14:solidFill>
                </w14:textFill>
              </w:rPr>
              <w:t>建设完成后</w:t>
            </w:r>
            <w:r>
              <w:rPr>
                <w:rFonts w:hint="eastAsia" w:cs="Times New Roman"/>
                <w:color w:val="000000" w:themeColor="text1"/>
                <w:highlight w:val="none"/>
                <w:lang w:val="en-US" w:eastAsia="zh-CN"/>
                <w14:textFill>
                  <w14:solidFill>
                    <w14:schemeClr w14:val="tx1"/>
                  </w14:solidFill>
                </w14:textFill>
              </w:rPr>
              <w:t>危险废物最大产生量为1.618t/a</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危险废物贮存间</w:t>
            </w:r>
            <w:r>
              <w:rPr>
                <w:rFonts w:hint="eastAsia" w:ascii="Times New Roman" w:hAnsi="Times New Roman" w:cs="Times New Roman"/>
                <w:color w:val="000000" w:themeColor="text1"/>
                <w:highlight w:val="none"/>
                <w:lang w:eastAsia="zh-CN"/>
                <w14:textFill>
                  <w14:solidFill>
                    <w14:schemeClr w14:val="tx1"/>
                  </w14:solidFill>
                </w14:textFill>
              </w:rPr>
              <w:t>面积为</w:t>
            </w:r>
            <w:r>
              <w:rPr>
                <w:rFonts w:hint="eastAsia" w:ascii="Times New Roman" w:hAnsi="Times New Roman" w:cs="Times New Roman"/>
                <w:color w:val="000000" w:themeColor="text1"/>
                <w:highlight w:val="none"/>
                <w:lang w:val="en-US" w:eastAsia="zh-CN"/>
                <w14:textFill>
                  <w14:solidFill>
                    <w14:schemeClr w14:val="tx1"/>
                  </w14:solidFill>
                </w14:textFill>
              </w:rPr>
              <w:t>5m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vertAlign w:val="baseline"/>
                <w:lang w:val="en-US" w:eastAsia="zh-CN"/>
                <w14:textFill>
                  <w14:solidFill>
                    <w14:schemeClr w14:val="tx1"/>
                  </w14:solidFill>
                </w14:textFill>
              </w:rPr>
              <w:t>，最大储存能力为3t，</w:t>
            </w:r>
            <w:r>
              <w:rPr>
                <w:rFonts w:hint="default" w:ascii="Times New Roman" w:hAnsi="Times New Roman" w:cs="Times New Roman"/>
                <w:color w:val="000000" w:themeColor="text1"/>
                <w:highlight w:val="none"/>
                <w14:textFill>
                  <w14:solidFill>
                    <w14:schemeClr w14:val="tx1"/>
                  </w14:solidFill>
                </w14:textFill>
              </w:rPr>
              <w:t>清运频率为1次/年，危废间可满足本项目危险废物贮存量需求。</w:t>
            </w:r>
          </w:p>
          <w:p>
            <w:pPr>
              <w:pStyle w:val="77"/>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危废暂存间贮存过程影响分析</w:t>
            </w:r>
          </w:p>
          <w:p>
            <w:pPr>
              <w:pStyle w:val="77"/>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本项目危险废物</w:t>
            </w:r>
            <w:r>
              <w:rPr>
                <w:rFonts w:hint="eastAsia" w:cs="Times New Roman"/>
                <w:color w:val="000000" w:themeColor="text1"/>
                <w:highlight w:val="none"/>
                <w:lang w:val="en-US" w:eastAsia="zh-CN"/>
                <w14:textFill>
                  <w14:solidFill>
                    <w14:schemeClr w14:val="tx1"/>
                  </w14:solidFill>
                </w14:textFill>
              </w:rPr>
              <w:t>采用密闭容器盛装，废油桶将桶盖密闭后储存，</w:t>
            </w:r>
            <w:r>
              <w:rPr>
                <w:rFonts w:hint="default" w:ascii="Times New Roman" w:hAnsi="Times New Roman" w:cs="Times New Roman"/>
                <w:color w:val="000000" w:themeColor="text1"/>
                <w:highlight w:val="none"/>
                <w14:textFill>
                  <w14:solidFill>
                    <w14:schemeClr w14:val="tx1"/>
                  </w14:solidFill>
                </w14:textFill>
              </w:rPr>
              <w:t>本项目危险废物贮存过程中不会对环境空气产生明显影响。危废暂存间按照《危险废物贮存污染控制标准》(GB18597-2023)的相关要求对地面和四周围挡进行防渗处理，并设置泄漏液体的收集装置，有效切断危险废物泄漏途径，可避免对地下水、地表水及土壤环境产生污染影响。</w:t>
            </w:r>
          </w:p>
          <w:p>
            <w:pPr>
              <w:pStyle w:val="77"/>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Theme="minorEastAsia" w:cstheme="minorBidi"/>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Theme="minorEastAsia" w:cstheme="minorBidi"/>
                <w:color w:val="000000" w:themeColor="text1"/>
                <w:kern w:val="2"/>
                <w:sz w:val="24"/>
                <w:szCs w:val="24"/>
                <w:highlight w:val="none"/>
                <w:lang w:val="en-US" w:eastAsia="zh-CN" w:bidi="ar-SA"/>
                <w14:textFill>
                  <w14:solidFill>
                    <w14:schemeClr w14:val="tx1"/>
                  </w14:solidFill>
                </w14:textFill>
              </w:rPr>
              <w:t>危废暂存间环境管理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Theme="minorEastAsia" w:cstheme="minorBidi"/>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Theme="minorEastAsia" w:cstheme="minorBidi"/>
                <w:color w:val="000000" w:themeColor="text1"/>
                <w:kern w:val="2"/>
                <w:sz w:val="24"/>
                <w:szCs w:val="24"/>
                <w:highlight w:val="none"/>
                <w:lang w:val="en-US" w:eastAsia="zh-CN" w:bidi="ar-SA"/>
                <w14:textFill>
                  <w14:solidFill>
                    <w14:schemeClr w14:val="tx1"/>
                  </w14:solidFill>
                </w14:textFill>
              </w:rPr>
              <w:t>为防止危险固体废物在危废储存间存储过程中对环境产生污染影响，按照《危险废物贮存污染控制标准》(GB18597-2023)中的相关内容采取相应措施进行管理，具体措施如下：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危废暂存间设置门锁，并设立危险废物警示标志，由专人进行管理并做好危险废物排放量及处置记录。同时参照《危险废物贮存污染控制标准》(GB18597-2023)附录A相关要求张贴对应标签，包括危废类别、主要成分、危险情况、安全措施、数量等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b.危废暂存间按照《危险废物贮存污染控制标准》(GB18597-2023)的相关要求，地面和四周围挡均进行防渗处理，保证防渗层渗透系数小于1×10</w:t>
            </w:r>
            <w:r>
              <w:rPr>
                <w:rFonts w:hint="default" w:ascii="Times New Roman" w:hAnsi="Times New Roman" w:cs="Times New Roman"/>
                <w:color w:val="000000" w:themeColor="text1"/>
                <w:highlight w:val="none"/>
                <w:vertAlign w:val="superscript"/>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cm/s。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c.危废暂存间按规范要求建设四防设施（防风、防雨、防晒和防渗漏），并根据危废特性，采用专用的容器分区存放，不得将不相容的废物混合或合并存放，并定期检查容器是否泄漏。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运输过程的环境影响分析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本项目危险废物由有资质单位统一收集运输处理，危险废物运输过程中全部采用密闭容器储存，正常情况下不会发生</w:t>
            </w:r>
            <w:r>
              <w:rPr>
                <w:rFonts w:hint="eastAsia" w:ascii="Times New Roman" w:hAnsi="Times New Roman" w:cs="Times New Roman"/>
                <w:color w:val="000000" w:themeColor="text1"/>
                <w:highlight w:val="none"/>
                <w:lang w:eastAsia="zh-CN"/>
                <w14:textFill>
                  <w14:solidFill>
                    <w14:schemeClr w14:val="tx1"/>
                  </w14:solidFill>
                </w14:textFill>
              </w:rPr>
              <w:t>洒落</w:t>
            </w:r>
            <w:r>
              <w:rPr>
                <w:rFonts w:hint="default" w:ascii="Times New Roman" w:hAnsi="Times New Roman" w:cs="Times New Roman"/>
                <w:color w:val="000000" w:themeColor="text1"/>
                <w:highlight w:val="none"/>
                <w14:textFill>
                  <w14:solidFill>
                    <w14:schemeClr w14:val="tx1"/>
                  </w14:solidFill>
                </w14:textFill>
              </w:rPr>
              <w:t>，同时本项目厂区道路均进行了硬化，可有效阻止洒落后危险废物的影响，因此危险废物在运输过程中发生</w:t>
            </w:r>
            <w:r>
              <w:rPr>
                <w:rFonts w:hint="eastAsia" w:ascii="Times New Roman" w:hAnsi="Times New Roman" w:cs="Times New Roman"/>
                <w:color w:val="000000" w:themeColor="text1"/>
                <w:highlight w:val="none"/>
                <w:lang w:eastAsia="zh-CN"/>
                <w14:textFill>
                  <w14:solidFill>
                    <w14:schemeClr w14:val="tx1"/>
                  </w14:solidFill>
                </w14:textFill>
              </w:rPr>
              <w:t>洒落</w:t>
            </w:r>
            <w:r>
              <w:rPr>
                <w:rFonts w:hint="default" w:ascii="Times New Roman" w:hAnsi="Times New Roman" w:cs="Times New Roman"/>
                <w:color w:val="000000" w:themeColor="text1"/>
                <w:highlight w:val="none"/>
                <w14:textFill>
                  <w14:solidFill>
                    <w14:schemeClr w14:val="tx1"/>
                  </w14:solidFill>
                </w14:textFill>
              </w:rPr>
              <w:t>时，及时清理，不会对周边环境产生明显影响。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4、处置过程环境影响分析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本项目需要外委处置的危险废物为</w:t>
            </w:r>
            <w:r>
              <w:rPr>
                <w:rFonts w:hint="default" w:ascii="Times New Roman" w:hAnsi="Times New Roman" w:cs="Times New Roman"/>
                <w:color w:val="000000" w:themeColor="text1"/>
                <w:highlight w:val="none"/>
                <w14:textFill>
                  <w14:solidFill>
                    <w14:schemeClr w14:val="tx1"/>
                  </w14:solidFill>
                </w14:textFill>
              </w:rPr>
              <w:t>废活性炭</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HW49 900-039-49</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、废胶</w:t>
            </w:r>
            <w:r>
              <w:rPr>
                <w:rFonts w:hint="eastAsia" w:cs="Times New Roman"/>
                <w:color w:val="000000" w:themeColor="text1"/>
                <w:highlight w:val="none"/>
                <w:lang w:val="en-US" w:eastAsia="zh-CN"/>
                <w14:textFill>
                  <w14:solidFill>
                    <w14:schemeClr w14:val="tx1"/>
                  </w14:solidFill>
                </w14:textFill>
              </w:rPr>
              <w:t>袋</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HW49 900-041-49</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、废机油</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HW08 900-214-08</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油桶（HW08 900-249-08）。项目所在地及周边地区现有多家危险废物处置单位，如承德金隅水泥有限责任公司、迁安市志诚环保科技有限公司等，处理能力、处理类别能够满足本项目相关危废处置要求。因此，建设单位应根据周边区域危废处置单位分布情况、处置资质及处理能力，与相关单位签订危废处置协议，定期将本项目生产过程中产生的危险废物交有有资质单位妥善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综上所述，本项目产生的一般工业固体废物及危险废物全部综合利用或妥善处置，危险废物暂存场所及危废周转过程均按照相关要求采取了严格的管控措施，不会对周边环境产生明显影响。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五、地下水及土壤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1、污染源及污染物类型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本项目废水主要为生活污水，</w:t>
            </w:r>
            <w:r>
              <w:rPr>
                <w:rFonts w:hint="eastAsia" w:cs="Times New Roman"/>
                <w:color w:val="000000" w:themeColor="text1"/>
                <w:highlight w:val="none"/>
                <w:lang w:val="en-US" w:eastAsia="zh-CN"/>
                <w14:textFill>
                  <w14:solidFill>
                    <w14:schemeClr w14:val="tx1"/>
                  </w14:solidFill>
                </w14:textFill>
              </w:rPr>
              <w:t>排入</w:t>
            </w:r>
            <w:r>
              <w:rPr>
                <w:rFonts w:hint="default" w:ascii="Times New Roman" w:hAnsi="Times New Roman" w:cs="Times New Roman"/>
                <w:color w:val="000000" w:themeColor="text1"/>
                <w:highlight w:val="none"/>
                <w14:textFill>
                  <w14:solidFill>
                    <w14:schemeClr w14:val="tx1"/>
                  </w14:solidFill>
                </w14:textFill>
              </w:rPr>
              <w:t>化粪池后</w:t>
            </w:r>
            <w:r>
              <w:rPr>
                <w:rFonts w:hint="default" w:ascii="Times New Roman" w:hAnsi="Times New Roman" w:cs="Times New Roman"/>
                <w:color w:val="000000" w:themeColor="text1"/>
                <w:highlight w:val="none"/>
                <w:lang w:eastAsia="zh-CN"/>
                <w14:textFill>
                  <w14:solidFill>
                    <w14:schemeClr w14:val="tx1"/>
                  </w14:solidFill>
                </w14:textFill>
              </w:rPr>
              <w:t>定期抽运</w:t>
            </w:r>
            <w:r>
              <w:rPr>
                <w:rFonts w:hint="default" w:ascii="Times New Roman" w:hAnsi="Times New Roman" w:cs="Times New Roman"/>
                <w:color w:val="000000" w:themeColor="text1"/>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2、污染途径识别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正常状况下，为有效防止废水对区域土壤、地下水产生影响，本项目对化粪池进行防渗处理，污染源从源头上可以得到控制，同时加强对废水管道等的维护和管理，防止废水的跑、冒、滴、漏和非正常排水。因此，正常状况下不会发生化粪池渗漏污染土壤、地下水的情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当化粪池老化、腐蚀等原因达不到设计要求时，存在污染物通过非正常造成的通道，造成土壤、地下水污染的途径。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3、分区防控措施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default" w:ascii="Times New Roman" w:hAnsi="Times New Roman" w:cs="Times New Roman"/>
                <w:color w:val="000000" w:themeColor="text1"/>
                <w:highlight w:val="none"/>
                <w:lang w:eastAsia="zh-CN"/>
                <w14:textFill>
                  <w14:solidFill>
                    <w14:schemeClr w14:val="tx1"/>
                  </w14:solidFill>
                </w14:textFill>
              </w:rPr>
              <w:t>新建</w:t>
            </w:r>
            <w:r>
              <w:rPr>
                <w:rFonts w:hint="default" w:ascii="Times New Roman" w:hAnsi="Times New Roman" w:cs="Times New Roman"/>
                <w:color w:val="000000" w:themeColor="text1"/>
                <w:highlight w:val="none"/>
                <w14:textFill>
                  <w14:solidFill>
                    <w14:schemeClr w14:val="tx1"/>
                  </w14:solidFill>
                </w14:textFill>
              </w:rPr>
              <w:t>危废间属于重点防渗区，对其采取重点防渗处理，重点防渗区等效黏土防渗层Mb≥6.0m，渗透系数不大于1×10</w:t>
            </w:r>
            <w:r>
              <w:rPr>
                <w:rFonts w:hint="default" w:ascii="Times New Roman" w:hAnsi="Times New Roman" w:cs="Times New Roman"/>
                <w:color w:val="000000" w:themeColor="text1"/>
                <w:highlight w:val="none"/>
                <w:vertAlign w:val="superscript"/>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cm/s。生产车间、化粪池等属于一般防渗区，一般防渗区等效黏土防渗层Mb≥1.5m，渗透系数不大于1×10</w:t>
            </w:r>
            <w:r>
              <w:rPr>
                <w:rFonts w:hint="default" w:ascii="Times New Roman" w:hAnsi="Times New Roman" w:cs="Times New Roman"/>
                <w:color w:val="000000" w:themeColor="text1"/>
                <w:highlight w:val="none"/>
                <w:vertAlign w:val="superscript"/>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cm/s。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六、生态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项目用地单位内无生态环境保护目标，不会对周边生态环境产生影响。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七、环境风险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1、危险物质识别及分布情况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本项目设计的危险物质主要为废活性炭</w:t>
            </w:r>
            <w:r>
              <w:rPr>
                <w:rFonts w:hint="default" w:ascii="Times New Roman" w:hAnsi="Times New Roman" w:cs="Times New Roman"/>
                <w:color w:val="000000" w:themeColor="text1"/>
                <w:highlight w:val="none"/>
                <w:lang w:eastAsia="zh-CN"/>
                <w14:textFill>
                  <w14:solidFill>
                    <w14:schemeClr w14:val="tx1"/>
                  </w14:solidFill>
                </w14:textFill>
              </w:rPr>
              <w:t>、废胶桶</w:t>
            </w:r>
            <w:r>
              <w:rPr>
                <w:rFonts w:hint="default" w:ascii="Times New Roman" w:hAnsi="Times New Roman" w:cs="Times New Roman"/>
                <w:color w:val="000000" w:themeColor="text1"/>
                <w:highlight w:val="none"/>
                <w14:textFill>
                  <w14:solidFill>
                    <w14:schemeClr w14:val="tx1"/>
                  </w14:solidFill>
                </w14:textFill>
              </w:rPr>
              <w:t>。项目环境风险物质筛选结果见下表。</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1</w:t>
            </w:r>
            <w:r>
              <w:rPr>
                <w:rFonts w:hint="eastAsia" w:eastAsia="黑体" w:cs="Times New Roman"/>
                <w:color w:val="000000" w:themeColor="text1"/>
                <w:highlight w:val="none"/>
                <w:lang w:val="en-US" w:eastAsia="zh-CN"/>
                <w14:textFill>
                  <w14:solidFill>
                    <w14:schemeClr w14:val="tx1"/>
                  </w14:solidFill>
                </w14:textFill>
              </w:rPr>
              <w:t>7</w:t>
            </w:r>
            <w:r>
              <w:rPr>
                <w:rFonts w:hint="default" w:ascii="Times New Roman" w:hAnsi="Times New Roman" w:eastAsia="黑体" w:cs="Times New Roman"/>
                <w:color w:val="000000" w:themeColor="text1"/>
                <w:highlight w:val="none"/>
                <w14:textFill>
                  <w14:solidFill>
                    <w14:schemeClr w14:val="tx1"/>
                  </w14:solidFill>
                </w14:textFill>
              </w:rPr>
              <w:t xml:space="preserve">  环境风险物质筛选结果一览表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 w:type="dxa"/>
                <w:left w:w="11" w:type="dxa"/>
                <w:bottom w:w="6" w:type="dxa"/>
                <w:right w:w="11" w:type="dxa"/>
              </w:tblCellMar>
            </w:tblPr>
            <w:tblGrid>
              <w:gridCol w:w="1099"/>
              <w:gridCol w:w="1492"/>
              <w:gridCol w:w="1807"/>
              <w:gridCol w:w="1857"/>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097"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489"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风险源</w:t>
                  </w:r>
                </w:p>
              </w:tc>
              <w:tc>
                <w:tcPr>
                  <w:tcW w:w="3656" w:type="dxa"/>
                  <w:gridSpan w:val="2"/>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危险物质</w:t>
                  </w:r>
                </w:p>
              </w:tc>
              <w:tc>
                <w:tcPr>
                  <w:tcW w:w="2078" w:type="dxa"/>
                  <w:vMerge w:val="restar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11" w:type="dxa"/>
                  <w:bottom w:w="6" w:type="dxa"/>
                  <w:right w:w="11" w:type="dxa"/>
                </w:tblCellMar>
              </w:tblPrEx>
              <w:trPr>
                <w:cantSplit/>
                <w:jc w:val="center"/>
              </w:trPr>
              <w:tc>
                <w:tcPr>
                  <w:tcW w:w="1097"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89"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03"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w:t>
                  </w:r>
                </w:p>
              </w:tc>
              <w:tc>
                <w:tcPr>
                  <w:tcW w:w="1853"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w:t>
                  </w:r>
                </w:p>
              </w:tc>
              <w:tc>
                <w:tcPr>
                  <w:tcW w:w="2078"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11" w:type="dxa"/>
                  <w:bottom w:w="6" w:type="dxa"/>
                  <w:right w:w="11" w:type="dxa"/>
                </w:tblCellMar>
              </w:tblPrEx>
              <w:trPr>
                <w:cantSplit/>
                <w:jc w:val="center"/>
              </w:trPr>
              <w:tc>
                <w:tcPr>
                  <w:tcW w:w="1097"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489"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w:t>
                  </w:r>
                </w:p>
              </w:tc>
              <w:tc>
                <w:tcPr>
                  <w:tcW w:w="1803"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p>
              </w:tc>
              <w:tc>
                <w:tcPr>
                  <w:tcW w:w="1853"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w:t>
                  </w:r>
                </w:p>
              </w:tc>
              <w:tc>
                <w:tcPr>
                  <w:tcW w:w="2078"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11" w:type="dxa"/>
                  <w:bottom w:w="6" w:type="dxa"/>
                  <w:right w:w="11" w:type="dxa"/>
                </w:tblCellMar>
              </w:tblPrEx>
              <w:trPr>
                <w:cantSplit/>
                <w:jc w:val="center"/>
              </w:trPr>
              <w:tc>
                <w:tcPr>
                  <w:tcW w:w="1097"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489"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w:t>
                  </w:r>
                </w:p>
              </w:tc>
              <w:tc>
                <w:tcPr>
                  <w:tcW w:w="1803"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废机油</w:t>
                  </w:r>
                </w:p>
              </w:tc>
              <w:tc>
                <w:tcPr>
                  <w:tcW w:w="1853"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w:t>
                  </w:r>
                </w:p>
              </w:tc>
              <w:tc>
                <w:tcPr>
                  <w:tcW w:w="2078"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2、生产系统危险性识别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根据项目厂区生产装置及平面布置功能区划，项目危险单元划分、单元内危险物质最大存在量、潜在的风险源分析结果，见下表。本项目所涉及到的危险物质为废活性炭。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项目风险类型主要是洒落、</w:t>
            </w:r>
            <w:r>
              <w:rPr>
                <w:rFonts w:hint="default" w:ascii="Times New Roman" w:hAnsi="Times New Roman" w:cs="Times New Roman"/>
                <w:color w:val="000000" w:themeColor="text1"/>
                <w:highlight w:val="none"/>
                <w:lang w:eastAsia="zh-CN"/>
                <w14:textFill>
                  <w14:solidFill>
                    <w14:schemeClr w14:val="tx1"/>
                  </w14:solidFill>
                </w14:textFill>
              </w:rPr>
              <w:t>遇降水、</w:t>
            </w:r>
            <w:r>
              <w:rPr>
                <w:rFonts w:hint="default" w:ascii="Times New Roman" w:hAnsi="Times New Roman" w:cs="Times New Roman"/>
                <w:color w:val="000000" w:themeColor="text1"/>
                <w:highlight w:val="none"/>
                <w14:textFill>
                  <w14:solidFill>
                    <w14:schemeClr w14:val="tx1"/>
                  </w14:solidFill>
                </w14:textFill>
              </w:rPr>
              <w:t>遇明火导致火灾引发的次生污染。风险单元为危险废物暂存间。</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1</w:t>
            </w:r>
            <w:r>
              <w:rPr>
                <w:rFonts w:hint="eastAsia" w:eastAsia="黑体" w:cs="Times New Roman"/>
                <w:color w:val="000000" w:themeColor="text1"/>
                <w:highlight w:val="none"/>
                <w:lang w:val="en-US" w:eastAsia="zh-CN"/>
                <w14:textFill>
                  <w14:solidFill>
                    <w14:schemeClr w14:val="tx1"/>
                  </w14:solidFill>
                </w14:textFill>
              </w:rPr>
              <w:t>8</w:t>
            </w:r>
            <w:r>
              <w:rPr>
                <w:rFonts w:hint="default" w:ascii="Times New Roman" w:hAnsi="Times New Roman" w:eastAsia="黑体" w:cs="Times New Roman"/>
                <w:color w:val="000000" w:themeColor="text1"/>
                <w:highlight w:val="none"/>
                <w14:textFill>
                  <w14:solidFill>
                    <w14:schemeClr w14:val="tx1"/>
                  </w14:solidFill>
                </w14:textFill>
              </w:rPr>
              <w:t xml:space="preserve">  项目危险单元划分</w:t>
            </w:r>
          </w:p>
          <w:tbl>
            <w:tblPr>
              <w:tblStyle w:val="24"/>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 w:type="dxa"/>
                <w:left w:w="11" w:type="dxa"/>
                <w:bottom w:w="6" w:type="dxa"/>
                <w:right w:w="11" w:type="dxa"/>
              </w:tblCellMar>
            </w:tblPr>
            <w:tblGrid>
              <w:gridCol w:w="1089"/>
              <w:gridCol w:w="1908"/>
              <w:gridCol w:w="2967"/>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112"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949"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风险单元</w:t>
                  </w:r>
                </w:p>
              </w:tc>
              <w:tc>
                <w:tcPr>
                  <w:tcW w:w="3031"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危险物质</w:t>
                  </w:r>
                </w:p>
              </w:tc>
              <w:tc>
                <w:tcPr>
                  <w:tcW w:w="2424"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单元内最大存在量t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112"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949"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w:t>
                  </w:r>
                </w:p>
              </w:tc>
              <w:tc>
                <w:tcPr>
                  <w:tcW w:w="3031"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p>
              </w:tc>
              <w:tc>
                <w:tcPr>
                  <w:tcW w:w="2424"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112"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949"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w:t>
                  </w:r>
                </w:p>
              </w:tc>
              <w:tc>
                <w:tcPr>
                  <w:tcW w:w="3031"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废机油</w:t>
                  </w:r>
                </w:p>
              </w:tc>
              <w:tc>
                <w:tcPr>
                  <w:tcW w:w="2424" w:type="dxa"/>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1</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由上表可知，项目危险废物暂存间为主要潜在风险源。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t>运输过程危险性识别</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本项目的危险物料在运输时，存在由于发生交通事故而引发的物料洒落、遇明火发生火灾等事故。本项目危险物料的运输全部委托有资质的单位运输。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②</w:t>
            </w:r>
            <w:r>
              <w:rPr>
                <w:rFonts w:hint="default" w:ascii="Times New Roman" w:hAnsi="Times New Roman" w:cs="Times New Roman"/>
                <w:color w:val="000000" w:themeColor="text1"/>
                <w:highlight w:val="none"/>
                <w14:textFill>
                  <w14:solidFill>
                    <w14:schemeClr w14:val="tx1"/>
                  </w14:solidFill>
                </w14:textFill>
              </w:rPr>
              <w:t>储存过程危险性识别</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根据工程分析，建设项目主要原辅材料中危险物质储存的基本参数见下表。</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1</w:t>
            </w:r>
            <w:r>
              <w:rPr>
                <w:rFonts w:hint="eastAsia" w:eastAsia="黑体" w:cs="Times New Roman"/>
                <w:color w:val="000000" w:themeColor="text1"/>
                <w:highlight w:val="none"/>
                <w:lang w:val="en-US" w:eastAsia="zh-CN"/>
                <w14:textFill>
                  <w14:solidFill>
                    <w14:schemeClr w14:val="tx1"/>
                  </w14:solidFill>
                </w14:textFill>
              </w:rPr>
              <w:t>9</w:t>
            </w:r>
            <w:r>
              <w:rPr>
                <w:rFonts w:hint="default" w:ascii="Times New Roman" w:hAnsi="Times New Roman" w:eastAsia="黑体" w:cs="Times New Roman"/>
                <w:color w:val="000000" w:themeColor="text1"/>
                <w:highlight w:val="none"/>
                <w14:textFill>
                  <w14:solidFill>
                    <w14:schemeClr w14:val="tx1"/>
                  </w14:solidFill>
                </w14:textFill>
              </w:rPr>
              <w:t xml:space="preserve">  项目危险物质储存情况一览表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 w:type="dxa"/>
                <w:left w:w="11" w:type="dxa"/>
                <w:bottom w:w="6" w:type="dxa"/>
                <w:right w:w="11" w:type="dxa"/>
              </w:tblCellMar>
            </w:tblPr>
            <w:tblGrid>
              <w:gridCol w:w="1422"/>
              <w:gridCol w:w="822"/>
              <w:gridCol w:w="822"/>
              <w:gridCol w:w="1479"/>
              <w:gridCol w:w="1322"/>
              <w:gridCol w:w="822"/>
              <w:gridCol w:w="823"/>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85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位置</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物质形态</w:t>
                  </w:r>
                </w:p>
              </w:tc>
              <w:tc>
                <w:tcPr>
                  <w:tcW w:w="88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最大贮存量（t）</w:t>
                  </w:r>
                </w:p>
              </w:tc>
              <w:tc>
                <w:tcPr>
                  <w:tcW w:w="7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使用周期（d）</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储存方式</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包装规格</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11" w:type="dxa"/>
                  <w:bottom w:w="6" w:type="dxa"/>
                  <w:right w:w="11" w:type="dxa"/>
                </w:tblCellMar>
              </w:tblPrEx>
              <w:trPr>
                <w:cantSplit/>
                <w:jc w:val="center"/>
              </w:trPr>
              <w:tc>
                <w:tcPr>
                  <w:tcW w:w="85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tc>
              <w:tc>
                <w:tcPr>
                  <w:tcW w:w="88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1.138</w:t>
                  </w:r>
                </w:p>
              </w:tc>
              <w:tc>
                <w:tcPr>
                  <w:tcW w:w="7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330</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袋装</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20kg</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11" w:type="dxa"/>
                  <w:bottom w:w="6" w:type="dxa"/>
                  <w:right w:w="11" w:type="dxa"/>
                </w:tblCellMar>
              </w:tblPrEx>
              <w:trPr>
                <w:cantSplit/>
                <w:jc w:val="center"/>
              </w:trPr>
              <w:tc>
                <w:tcPr>
                  <w:tcW w:w="85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废机油</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液体</w:t>
                  </w:r>
                </w:p>
              </w:tc>
              <w:tc>
                <w:tcPr>
                  <w:tcW w:w="88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0.1</w:t>
                  </w:r>
                </w:p>
              </w:tc>
              <w:tc>
                <w:tcPr>
                  <w:tcW w:w="7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100</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密封</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eastAsia"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kg</w:t>
                  </w:r>
                </w:p>
              </w:tc>
              <w:tc>
                <w:tcPr>
                  <w:tcW w:w="493"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汽车</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3、环境风险影响途径调查</w:t>
            </w:r>
          </w:p>
          <w:p>
            <w:pPr>
              <w:keepNext w:val="0"/>
              <w:keepLines w:val="0"/>
              <w:suppressLineNumbers w:val="0"/>
              <w:snapToGrid w:val="0"/>
              <w:spacing w:before="0" w:beforeAutospacing="0" w:after="0" w:afterAutospacing="0" w:line="360" w:lineRule="auto"/>
              <w:ind w:left="0" w:right="0" w:firstLine="478"/>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项目环境风险及环境影响途径识别表见下表。</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eastAsia" w:eastAsia="黑体" w:cs="Times New Roman"/>
                <w:color w:val="000000" w:themeColor="text1"/>
                <w:highlight w:val="none"/>
                <w:lang w:val="en-US" w:eastAsia="zh-CN"/>
                <w14:textFill>
                  <w14:solidFill>
                    <w14:schemeClr w14:val="tx1"/>
                  </w14:solidFill>
                </w14:textFill>
              </w:rPr>
              <w:t>20</w:t>
            </w:r>
            <w:r>
              <w:rPr>
                <w:rFonts w:hint="default" w:ascii="Times New Roman" w:hAnsi="Times New Roman" w:eastAsia="黑体" w:cs="Times New Roman"/>
                <w:color w:val="000000" w:themeColor="text1"/>
                <w:highlight w:val="none"/>
                <w14:textFill>
                  <w14:solidFill>
                    <w14:schemeClr w14:val="tx1"/>
                  </w14:solidFill>
                </w14:textFill>
              </w:rPr>
              <w:t xml:space="preserve">  项目环境风险及环境影响途径识别表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 w:type="dxa"/>
                <w:left w:w="11" w:type="dxa"/>
                <w:bottom w:w="6" w:type="dxa"/>
                <w:right w:w="11" w:type="dxa"/>
              </w:tblCellMar>
            </w:tblPr>
            <w:tblGrid>
              <w:gridCol w:w="561"/>
              <w:gridCol w:w="825"/>
              <w:gridCol w:w="1512"/>
              <w:gridCol w:w="712"/>
              <w:gridCol w:w="1914"/>
              <w:gridCol w:w="1402"/>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3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495"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风险源</w:t>
                  </w:r>
                </w:p>
              </w:tc>
              <w:tc>
                <w:tcPr>
                  <w:tcW w:w="90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主要风险物质</w:t>
                  </w:r>
                </w:p>
              </w:tc>
              <w:tc>
                <w:tcPr>
                  <w:tcW w:w="42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环境风险类型</w:t>
                  </w:r>
                </w:p>
              </w:tc>
              <w:tc>
                <w:tcPr>
                  <w:tcW w:w="1148"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环境影响途径</w:t>
                  </w:r>
                </w:p>
              </w:tc>
              <w:tc>
                <w:tcPr>
                  <w:tcW w:w="841"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可能受影响的环境敏感目标</w:t>
                  </w:r>
                </w:p>
              </w:tc>
              <w:tc>
                <w:tcPr>
                  <w:tcW w:w="842"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3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495"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w:t>
                  </w:r>
                </w:p>
              </w:tc>
              <w:tc>
                <w:tcPr>
                  <w:tcW w:w="90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p>
              </w:tc>
              <w:tc>
                <w:tcPr>
                  <w:tcW w:w="42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洒落</w:t>
                  </w:r>
                </w:p>
              </w:tc>
              <w:tc>
                <w:tcPr>
                  <w:tcW w:w="1148" w:type="pct"/>
                  <w:vMerge w:val="restar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洒落，降雨后污染水环境、</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土环境，</w:t>
                  </w:r>
                  <w:r>
                    <w:rPr>
                      <w:rFonts w:hint="default" w:ascii="Times New Roman" w:hAnsi="Times New Roman" w:eastAsia="宋体" w:cs="Times New Roman"/>
                      <w:color w:val="000000" w:themeColor="text1"/>
                      <w:sz w:val="21"/>
                      <w:szCs w:val="21"/>
                      <w:highlight w:val="none"/>
                      <w14:textFill>
                        <w14:solidFill>
                          <w14:schemeClr w14:val="tx1"/>
                        </w14:solidFill>
                      </w14:textFill>
                    </w:rPr>
                    <w:t>遇明火易燃烧污染大气环境</w:t>
                  </w:r>
                </w:p>
              </w:tc>
              <w:tc>
                <w:tcPr>
                  <w:tcW w:w="841"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大气、水环境</w:t>
                  </w:r>
                </w:p>
              </w:tc>
              <w:tc>
                <w:tcPr>
                  <w:tcW w:w="842"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周边企业及职工、周边居民等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11" w:type="dxa"/>
                  <w:bottom w:w="6" w:type="dxa"/>
                  <w:right w:w="11" w:type="dxa"/>
                </w:tblCellMar>
              </w:tblPrEx>
              <w:trPr>
                <w:cantSplit/>
                <w:jc w:val="center"/>
              </w:trPr>
              <w:tc>
                <w:tcPr>
                  <w:tcW w:w="33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495"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w:t>
                  </w:r>
                </w:p>
              </w:tc>
              <w:tc>
                <w:tcPr>
                  <w:tcW w:w="90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废机油</w:t>
                  </w:r>
                </w:p>
              </w:tc>
              <w:tc>
                <w:tcPr>
                  <w:tcW w:w="427"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洒落</w:t>
                  </w:r>
                </w:p>
              </w:tc>
              <w:tc>
                <w:tcPr>
                  <w:tcW w:w="1148" w:type="pct"/>
                  <w:vMerge w:val="continue"/>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41"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大气、水环境</w:t>
                  </w:r>
                </w:p>
              </w:tc>
              <w:tc>
                <w:tcPr>
                  <w:tcW w:w="842"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周边企业及职工、周边居民等</w:t>
                  </w:r>
                </w:p>
              </w:tc>
            </w:tr>
          </w:tbl>
          <w:p>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项目环境风险物质污染途径具体如下：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①洒落：废活性炭</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废机油</w:t>
            </w:r>
            <w:r>
              <w:rPr>
                <w:rFonts w:hint="default" w:ascii="Times New Roman" w:hAnsi="Times New Roman" w:cs="Times New Roman"/>
                <w:color w:val="000000" w:themeColor="text1"/>
                <w:highlight w:val="none"/>
                <w14:textFill>
                  <w14:solidFill>
                    <w14:schemeClr w14:val="tx1"/>
                  </w14:solidFill>
                </w14:textFill>
              </w:rPr>
              <w:t>转运过程中由于意外等原因造成洒落；危废暂存处发生暴雨情况下，暂存处被淹，导致危险物质接触雨水，从而进入附近地表水体，造成环境污染。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②火灾引发的次生污染：废活性炭</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废机油</w:t>
            </w:r>
            <w:r>
              <w:rPr>
                <w:rFonts w:hint="default" w:ascii="Times New Roman" w:hAnsi="Times New Roman" w:cs="Times New Roman"/>
                <w:color w:val="000000" w:themeColor="text1"/>
                <w:highlight w:val="none"/>
                <w14:textFill>
                  <w14:solidFill>
                    <w14:schemeClr w14:val="tx1"/>
                  </w14:solidFill>
                </w14:textFill>
              </w:rPr>
              <w:t>洒落后，遇到明火、高温、静电等后发生火灾，造成大气污染，对人体可能造成中毒危害。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项目环境风险影响的环境要素主要是大气环境、水环境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4、环境风险潜势初判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废活性炭</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废机油</w:t>
            </w:r>
            <w:r>
              <w:rPr>
                <w:rFonts w:hint="default" w:ascii="Times New Roman" w:hAnsi="Times New Roman" w:cs="Times New Roman"/>
                <w:color w:val="000000" w:themeColor="text1"/>
                <w:highlight w:val="none"/>
                <w14:textFill>
                  <w14:solidFill>
                    <w14:schemeClr w14:val="tx1"/>
                  </w14:solidFill>
                </w14:textFill>
              </w:rPr>
              <w:t>属于危险废物，</w:t>
            </w:r>
            <w:r>
              <w:rPr>
                <w:rFonts w:hint="eastAsia" w:cs="Times New Roman"/>
                <w:color w:val="000000" w:themeColor="text1"/>
                <w:highlight w:val="none"/>
                <w:lang w:eastAsia="zh-CN"/>
                <w14:textFill>
                  <w14:solidFill>
                    <w14:schemeClr w14:val="tx1"/>
                  </w14:solidFill>
                </w14:textFill>
              </w:rPr>
              <w:t>依据</w:t>
            </w:r>
            <w:r>
              <w:rPr>
                <w:rFonts w:hint="default" w:ascii="Times New Roman" w:hAnsi="Times New Roman" w:cs="Times New Roman"/>
                <w:color w:val="000000" w:themeColor="text1"/>
                <w:highlight w:val="none"/>
                <w14:textFill>
                  <w14:solidFill>
                    <w14:schemeClr w14:val="tx1"/>
                  </w14:solidFill>
                </w14:textFill>
              </w:rPr>
              <w:t>《建设项目环境风险评价技术导则》附录B.</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所列其他危险物质。废活性炭</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废机油</w:t>
            </w:r>
            <w:r>
              <w:rPr>
                <w:rFonts w:hint="eastAsia" w:cs="Times New Roman"/>
                <w:color w:val="000000" w:themeColor="text1"/>
                <w:highlight w:val="none"/>
                <w:lang w:eastAsia="zh-CN"/>
                <w14:textFill>
                  <w14:solidFill>
                    <w14:schemeClr w14:val="tx1"/>
                  </w14:solidFill>
                </w14:textFill>
              </w:rPr>
              <w:t>属于健康危险急性毒性物质（类别</w:t>
            </w:r>
            <w:r>
              <w:rPr>
                <w:rFonts w:hint="eastAsia" w:cs="Times New Roman"/>
                <w:color w:val="000000" w:themeColor="text1"/>
                <w:highlight w:val="none"/>
                <w:lang w:val="en-US" w:eastAsia="zh-CN"/>
                <w14:textFill>
                  <w14:solidFill>
                    <w14:schemeClr w14:val="tx1"/>
                  </w14:solidFill>
                </w14:textFill>
              </w:rPr>
              <w:t>2，类别3</w:t>
            </w:r>
            <w:r>
              <w:rPr>
                <w:rFonts w:hint="eastAsia" w:cs="Times New Roman"/>
                <w:color w:val="000000" w:themeColor="text1"/>
                <w:highlight w:val="none"/>
                <w:lang w:eastAsia="zh-CN"/>
                <w14:textFill>
                  <w14:solidFill>
                    <w14:schemeClr w14:val="tx1"/>
                  </w14:solidFill>
                </w14:textFill>
              </w:rPr>
              <w:t>），本项目环境风险物质</w:t>
            </w:r>
            <w:r>
              <w:rPr>
                <w:rFonts w:hint="eastAsia" w:cs="Times New Roman"/>
                <w:color w:val="000000" w:themeColor="text1"/>
                <w:highlight w:val="none"/>
                <w:lang w:val="en-US" w:eastAsia="zh-CN"/>
                <w14:textFill>
                  <w14:solidFill>
                    <w14:schemeClr w14:val="tx1"/>
                  </w14:solidFill>
                </w14:textFill>
              </w:rPr>
              <w:t>Q值确定见下表：</w:t>
            </w:r>
          </w:p>
          <w:p>
            <w:pPr>
              <w:keepNext w:val="0"/>
              <w:keepLines w:val="0"/>
              <w:pageBreakBefore w:val="0"/>
              <w:suppressLineNumbers w:val="0"/>
              <w:kinsoku/>
              <w:overflowPunct/>
              <w:topLinePunct w:val="0"/>
              <w:autoSpaceDN/>
              <w:bidi w:val="0"/>
              <w:adjustRightInd/>
              <w:snapToGrid/>
              <w:spacing w:before="0" w:beforeAutospacing="0" w:after="0" w:afterAutospacing="0" w:line="240" w:lineRule="auto"/>
              <w:ind w:left="0" w:right="0"/>
              <w:jc w:val="center"/>
              <w:rPr>
                <w:rFonts w:hint="default" w:ascii="Times New Roman" w:hAnsi="Times New Roman" w:eastAsia="黑体" w:cs="Times New Roman"/>
                <w:b w:val="0"/>
                <w:bCs w:val="0"/>
                <w:color w:val="000000" w:themeColor="text1"/>
                <w:spacing w:val="0"/>
                <w:position w:val="0"/>
                <w:sz w:val="24"/>
                <w:szCs w:val="22"/>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0"/>
                <w:position w:val="0"/>
                <w:sz w:val="24"/>
                <w:szCs w:val="22"/>
                <w:highlight w:val="none"/>
                <w:lang w:val="en-US" w:eastAsia="zh-CN"/>
                <w14:textFill>
                  <w14:solidFill>
                    <w14:schemeClr w14:val="tx1"/>
                  </w14:solidFill>
                </w14:textFill>
              </w:rPr>
              <w:t>表</w:t>
            </w:r>
            <w:r>
              <w:rPr>
                <w:rFonts w:hint="eastAsia" w:eastAsia="黑体" w:cs="Times New Roman"/>
                <w:b w:val="0"/>
                <w:bCs w:val="0"/>
                <w:color w:val="000000" w:themeColor="text1"/>
                <w:spacing w:val="0"/>
                <w:position w:val="0"/>
                <w:sz w:val="24"/>
                <w:szCs w:val="22"/>
                <w:highlight w:val="none"/>
                <w:lang w:val="en-US" w:eastAsia="zh-CN"/>
                <w14:textFill>
                  <w14:solidFill>
                    <w14:schemeClr w14:val="tx1"/>
                  </w14:solidFill>
                </w14:textFill>
              </w:rPr>
              <w:t>4-21</w:t>
            </w:r>
            <w:r>
              <w:rPr>
                <w:rFonts w:hint="eastAsia" w:ascii="Times New Roman" w:hAnsi="Times New Roman" w:eastAsia="黑体" w:cs="Times New Roman"/>
                <w:b w:val="0"/>
                <w:bCs w:val="0"/>
                <w:color w:val="000000" w:themeColor="text1"/>
                <w:spacing w:val="0"/>
                <w:position w:val="0"/>
                <w:sz w:val="24"/>
                <w:szCs w:val="22"/>
                <w:highlight w:val="none"/>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pacing w:val="0"/>
                <w:position w:val="0"/>
                <w:sz w:val="24"/>
                <w:szCs w:val="22"/>
                <w:highlight w:val="none"/>
                <w:lang w:val="en-US" w:eastAsia="zh-CN"/>
                <w14:textFill>
                  <w14:solidFill>
                    <w14:schemeClr w14:val="tx1"/>
                  </w14:solidFill>
                </w14:textFill>
              </w:rPr>
              <w:t xml:space="preserve"> 建设项目Q值确定表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59"/>
              <w:gridCol w:w="2748"/>
              <w:gridCol w:w="682"/>
              <w:gridCol w:w="1105"/>
              <w:gridCol w:w="1137"/>
              <w:gridCol w:w="171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 w:hRule="atLeast"/>
                <w:jc w:val="center"/>
              </w:trPr>
              <w:tc>
                <w:tcPr>
                  <w:tcW w:w="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274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危险物质名称</w:t>
                  </w:r>
                </w:p>
              </w:tc>
              <w:tc>
                <w:tcPr>
                  <w:tcW w:w="6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CAS号</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最大存在总量qn/t</w:t>
                  </w:r>
                </w:p>
              </w:tc>
              <w:tc>
                <w:tcPr>
                  <w:tcW w:w="11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临界量Qn/t</w:t>
                  </w:r>
                </w:p>
              </w:tc>
              <w:tc>
                <w:tcPr>
                  <w:tcW w:w="17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该种危险物质Q值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 w:hRule="atLeast"/>
                <w:jc w:val="center"/>
              </w:trPr>
              <w:tc>
                <w:tcPr>
                  <w:tcW w:w="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274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废机油</w:t>
                  </w:r>
                </w:p>
              </w:tc>
              <w:tc>
                <w:tcPr>
                  <w:tcW w:w="6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1</w:t>
                  </w:r>
                </w:p>
              </w:tc>
              <w:tc>
                <w:tcPr>
                  <w:tcW w:w="11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17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eastAsia="宋体" w:cs="Times New Roman"/>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 w:hRule="atLeast"/>
                <w:jc w:val="center"/>
              </w:trPr>
              <w:tc>
                <w:tcPr>
                  <w:tcW w:w="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74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废活性炭</w:t>
                  </w:r>
                </w:p>
              </w:tc>
              <w:tc>
                <w:tcPr>
                  <w:tcW w:w="6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pacing w:val="0"/>
                      <w:position w:val="0"/>
                      <w:sz w:val="21"/>
                      <w:szCs w:val="21"/>
                      <w:highlight w:val="none"/>
                      <w:lang w:val="en-US" w:eastAsia="zh-CN"/>
                      <w14:textFill>
                        <w14:solidFill>
                          <w14:schemeClr w14:val="tx1"/>
                        </w14:solidFill>
                      </w14:textFill>
                    </w:rPr>
                    <w:t>1.138</w:t>
                  </w:r>
                </w:p>
              </w:tc>
              <w:tc>
                <w:tcPr>
                  <w:tcW w:w="11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17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eastAsia="宋体" w:cs="Times New Roman"/>
                      <w:color w:val="000000" w:themeColor="text1"/>
                      <w:sz w:val="21"/>
                      <w:szCs w:val="21"/>
                      <w:highlight w:val="none"/>
                      <w:lang w:val="en-US" w:eastAsia="zh-CN"/>
                      <w14:textFill>
                        <w14:solidFill>
                          <w14:schemeClr w14:val="tx1"/>
                        </w14:solidFill>
                      </w14:textFill>
                    </w:rPr>
                    <w:t>228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6231"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合计</w:t>
                  </w:r>
                </w:p>
              </w:tc>
              <w:tc>
                <w:tcPr>
                  <w:tcW w:w="17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eastAsia="宋体" w:cs="Times New Roman"/>
                      <w:color w:val="000000" w:themeColor="text1"/>
                      <w:sz w:val="21"/>
                      <w:szCs w:val="21"/>
                      <w:highlight w:val="none"/>
                      <w:lang w:val="en-US" w:eastAsia="zh-CN"/>
                      <w14:textFill>
                        <w14:solidFill>
                          <w14:schemeClr w14:val="tx1"/>
                        </w14:solidFill>
                      </w14:textFill>
                    </w:rPr>
                    <w:t>248</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项目风险物质数量与临界量比值Q值小于1，环境风险潜势为Ⅰ，风险评价工作等级为简单分析。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5、风险防范措施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 项目产生的废活性炭</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废机油</w:t>
            </w:r>
            <w:r>
              <w:rPr>
                <w:rFonts w:hint="default" w:ascii="Times New Roman" w:hAnsi="Times New Roman" w:cs="Times New Roman"/>
                <w:color w:val="000000" w:themeColor="text1"/>
                <w:highlight w:val="none"/>
                <w14:textFill>
                  <w14:solidFill>
                    <w14:schemeClr w14:val="tx1"/>
                  </w14:solidFill>
                </w14:textFill>
              </w:rPr>
              <w:t>使用</w:t>
            </w:r>
            <w:r>
              <w:rPr>
                <w:rFonts w:hint="eastAsia" w:cs="Times New Roman"/>
                <w:color w:val="000000" w:themeColor="text1"/>
                <w:highlight w:val="none"/>
                <w:lang w:val="en-US" w:eastAsia="zh-CN"/>
                <w14:textFill>
                  <w14:solidFill>
                    <w14:schemeClr w14:val="tx1"/>
                  </w14:solidFill>
                </w14:textFill>
              </w:rPr>
              <w:t>密闭容器</w:t>
            </w:r>
            <w:r>
              <w:rPr>
                <w:rFonts w:hint="default" w:ascii="Times New Roman" w:hAnsi="Times New Roman" w:cs="Times New Roman"/>
                <w:color w:val="000000" w:themeColor="text1"/>
                <w:highlight w:val="none"/>
                <w14:textFill>
                  <w14:solidFill>
                    <w14:schemeClr w14:val="tx1"/>
                  </w14:solidFill>
                </w14:textFill>
              </w:rPr>
              <w:t>盛装</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暂存于危废间指定区域内，危废间地面做好防渗，防渗要求保证渗透系数小于1×10</w:t>
            </w:r>
            <w:r>
              <w:rPr>
                <w:rFonts w:hint="default" w:ascii="Times New Roman" w:hAnsi="Times New Roman" w:cs="Times New Roman"/>
                <w:color w:val="000000" w:themeColor="text1"/>
                <w:highlight w:val="none"/>
                <w:vertAlign w:val="superscript"/>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cm/s。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b 危废间必须由专人管理，双人双锁，其他人未经允许不得进入库内。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c 危险废物贮存方式要符合国家对安全、消防的标准要求，设置明显的安全警示标志。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 准备相应的消防应急物资，砂土、灭火器、消防栓等配备齐全。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6、环境风险评价结论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本项目涉及的风险物质包括废活性炭</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废机油</w:t>
            </w:r>
            <w:r>
              <w:rPr>
                <w:rFonts w:hint="default" w:ascii="Times New Roman" w:hAnsi="Times New Roman" w:cs="Times New Roman"/>
                <w:color w:val="000000" w:themeColor="text1"/>
                <w:highlight w:val="none"/>
                <w14:textFill>
                  <w14:solidFill>
                    <w14:schemeClr w14:val="tx1"/>
                  </w14:solidFill>
                </w14:textFill>
              </w:rPr>
              <w:t>，存在洒落的环境风险事故，或引起火灾发生环境风险事故的可能，受影响的主要为企业及周边职工、周边居民等，厂区制定相关管理制度，采取防渗漏、防火、防静电等措施，员工严格遵守国家相关管理规定，在发生事故后能及时采取相应的安全措施和及时启动事故应急预案，洒落和火灾事故风险都是可以预防和控制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综上，项目严格执行上述控制措施的情况下，本项目的环境风险水平处于可接受范围内。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八、电磁辐射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本项目不涉及电磁辐射。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九、环境管理与监测计划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为了贯彻执行有关环境保护法规，及时了解项目及其周围环境质量变化情况，掌握环境保护措施实施的效果，保证该区域良好的环境质量，建设单位进行相应的环境管理。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（1）环境管理要求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①贯彻落实国家相关法律法规及政策，以国家相关法律法规为依据，落实防治环境污染和生态破坏的措施以及环境保护设施投资概算，及时当地环境保护部门汇报各阶段的情况。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②项目的建设遵循“三同时”制度，即项目环保措施与主体工程同时设计、同时施工、同时投产使用。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③排污许可制度衔接。建设单位应按照《排污许可管理条例》、《固定污染源排污许可分类管理名录（2019年版）》等排污许可证相关管理要求</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在规定时限内申领排污许可证。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④建设项目竣工后，建设单位或者其委托的技术机构应当依照国家有关法律法规。建设项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⑤验收报告编制完成后，建设单位应组织成立验收工作组。验收工作组由建设单位、设计单位、施工单位、环境影响报告表编制机构、验收报告编制机构等单位代表和专业技术专家组成。建设单位应当对验收工作组提出的问题进行整改，合格后方可出具验收合格的意见。建设项目配套建设的环境保护设施经验收合格后，其主体工程才可以投入生产或者使用，并纳入环境保护管理部门的管理，对项目各阶段工作进行监督、检查。建设单位按照《环境保护信息公开办法》进行相关信息的公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（2）排污口规范化管理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对排放口规范化整治的统一要求做到：首先排污口要设立标示管理，按照国家标准规定设立标志牌，根据排放口污染物的排放特点，设置提示性或警告性环境保护图形标志牌。一般污染源设置提示性标志牌。建设项目的污染源需设立提示性标志牌。其次废气排放口应按照国家有关规定，规范排气筒数量、高度。此外按照《固定污染源监测质量保证与质量控制技术规范（试行）》（HJ/T373－2007）和《固定污染源排气中颗粒物测定与气态污染物采样方法》（GB/T 16157-1996），对现场监测条件按规范要求搭设采样监测平台，废气治理措施治理前、后预留监测孔，便于环境管理及监测部门的日常监督、检查及监测。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a、建设规范化排污口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建设完善规范化排污口，同时建设的规范化排污口要充分考虑便于采集样品、便于监测计量、便于日常环境监督管理的要求。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b、设立标志牌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在厂区三废排放点，设置明显标志，标志的设置应执行《环境保护图形标志排放口》（GB15562.1-1995）及《环境保护图形标志固体废物贮存（处置）场》（GB15562.2-1995）中有关规定。</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2</w:t>
            </w:r>
            <w:r>
              <w:rPr>
                <w:rFonts w:hint="eastAsia" w:eastAsia="黑体" w:cs="Times New Roman"/>
                <w:color w:val="000000" w:themeColor="text1"/>
                <w:highlight w:val="none"/>
                <w:lang w:val="en-US" w:eastAsia="zh-CN"/>
                <w14:textFill>
                  <w14:solidFill>
                    <w14:schemeClr w14:val="tx1"/>
                  </w14:solidFill>
                </w14:textFill>
              </w:rPr>
              <w:t>2</w:t>
            </w:r>
            <w:r>
              <w:rPr>
                <w:rFonts w:hint="default" w:ascii="Times New Roman" w:hAnsi="Times New Roman" w:eastAsia="黑体" w:cs="Times New Roman"/>
                <w:color w:val="000000" w:themeColor="text1"/>
                <w:highlight w:val="none"/>
                <w14:textFill>
                  <w14:solidFill>
                    <w14:schemeClr w14:val="tx1"/>
                  </w14:solidFill>
                </w14:textFill>
              </w:rPr>
              <w:t xml:space="preserve">  环境保护图形标志一览表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94"/>
              <w:gridCol w:w="2046"/>
              <w:gridCol w:w="1648"/>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 w:hRule="atLeast"/>
                <w:jc w:val="center"/>
              </w:trPr>
              <w:tc>
                <w:tcPr>
                  <w:tcW w:w="1676"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w:t>
                  </w:r>
                </w:p>
              </w:tc>
              <w:tc>
                <w:tcPr>
                  <w:tcW w:w="1227"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废气排放口</w:t>
                  </w:r>
                </w:p>
              </w:tc>
              <w:tc>
                <w:tcPr>
                  <w:tcW w:w="988"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噪声源</w:t>
                  </w:r>
                </w:p>
              </w:tc>
              <w:tc>
                <w:tcPr>
                  <w:tcW w:w="1107"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固体废物堆场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2" w:hRule="atLeast"/>
                <w:jc w:val="center"/>
              </w:trPr>
              <w:tc>
                <w:tcPr>
                  <w:tcW w:w="1676"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图形符号</w:t>
                  </w:r>
                </w:p>
              </w:tc>
              <w:tc>
                <w:tcPr>
                  <w:tcW w:w="1227"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anchor distT="0" distB="0" distL="114300" distR="114300" simplePos="0" relativeHeight="251684864" behindDoc="0" locked="0" layoutInCell="1" allowOverlap="1">
                        <wp:simplePos x="0" y="0"/>
                        <wp:positionH relativeFrom="column">
                          <wp:posOffset>86360</wp:posOffset>
                        </wp:positionH>
                        <wp:positionV relativeFrom="paragraph">
                          <wp:posOffset>112395</wp:posOffset>
                        </wp:positionV>
                        <wp:extent cx="1102995" cy="1127760"/>
                        <wp:effectExtent l="0" t="0" r="1905" b="15240"/>
                        <wp:wrapNone/>
                        <wp:docPr id="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pic:cNvPicPr>
                                  <a:picLocks noChangeAspect="1"/>
                                </pic:cNvPicPr>
                              </pic:nvPicPr>
                              <pic:blipFill>
                                <a:blip r:embed="rId20"/>
                                <a:srcRect l="6346" t="5702" r="5574" b="4936"/>
                                <a:stretch>
                                  <a:fillRect/>
                                </a:stretch>
                              </pic:blipFill>
                              <pic:spPr>
                                <a:xfrm>
                                  <a:off x="0" y="0"/>
                                  <a:ext cx="1102995" cy="1127760"/>
                                </a:xfrm>
                                <a:prstGeom prst="rect">
                                  <a:avLst/>
                                </a:prstGeom>
                                <a:noFill/>
                                <a:ln>
                                  <a:noFill/>
                                </a:ln>
                              </pic:spPr>
                            </pic:pic>
                          </a:graphicData>
                        </a:graphic>
                      </wp:anchor>
                    </w:drawing>
                  </w:r>
                </w:p>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8"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anchor distT="0" distB="0" distL="114300" distR="114300" simplePos="0" relativeHeight="251685888" behindDoc="0" locked="0" layoutInCell="1" allowOverlap="1">
                        <wp:simplePos x="0" y="0"/>
                        <wp:positionH relativeFrom="column">
                          <wp:posOffset>32385</wp:posOffset>
                        </wp:positionH>
                        <wp:positionV relativeFrom="paragraph">
                          <wp:posOffset>94615</wp:posOffset>
                        </wp:positionV>
                        <wp:extent cx="1007745" cy="1101090"/>
                        <wp:effectExtent l="0" t="0" r="1905" b="3810"/>
                        <wp:wrapNone/>
                        <wp:docPr id="150"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24"/>
                                <pic:cNvPicPr>
                                  <a:picLocks noChangeAspect="1"/>
                                </pic:cNvPicPr>
                              </pic:nvPicPr>
                              <pic:blipFill>
                                <a:blip r:embed="rId21"/>
                                <a:stretch>
                                  <a:fillRect/>
                                </a:stretch>
                              </pic:blipFill>
                              <pic:spPr>
                                <a:xfrm>
                                  <a:off x="0" y="0"/>
                                  <a:ext cx="1007745" cy="1101090"/>
                                </a:xfrm>
                                <a:prstGeom prst="rect">
                                  <a:avLst/>
                                </a:prstGeom>
                                <a:noFill/>
                                <a:ln>
                                  <a:noFill/>
                                </a:ln>
                              </pic:spPr>
                            </pic:pic>
                          </a:graphicData>
                        </a:graphic>
                      </wp:anchor>
                    </w:drawing>
                  </w:r>
                </w:p>
              </w:tc>
              <w:tc>
                <w:tcPr>
                  <w:tcW w:w="1107"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anchor distT="0" distB="0" distL="114300" distR="114300" simplePos="0" relativeHeight="251686912" behindDoc="0" locked="0" layoutInCell="1" allowOverlap="1">
                        <wp:simplePos x="0" y="0"/>
                        <wp:positionH relativeFrom="column">
                          <wp:posOffset>64770</wp:posOffset>
                        </wp:positionH>
                        <wp:positionV relativeFrom="paragraph">
                          <wp:posOffset>74295</wp:posOffset>
                        </wp:positionV>
                        <wp:extent cx="1066165" cy="1162685"/>
                        <wp:effectExtent l="0" t="0" r="635" b="18415"/>
                        <wp:wrapNone/>
                        <wp:docPr id="146"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25"/>
                                <pic:cNvPicPr>
                                  <a:picLocks noChangeAspect="1"/>
                                </pic:cNvPicPr>
                              </pic:nvPicPr>
                              <pic:blipFill>
                                <a:blip r:embed="rId22"/>
                                <a:stretch>
                                  <a:fillRect/>
                                </a:stretch>
                              </pic:blipFill>
                              <pic:spPr>
                                <a:xfrm>
                                  <a:off x="0" y="0"/>
                                  <a:ext cx="1066165" cy="11626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1676"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背景颜色</w:t>
                  </w:r>
                </w:p>
              </w:tc>
              <w:tc>
                <w:tcPr>
                  <w:tcW w:w="3323" w:type="pct"/>
                  <w:gridSpan w:val="3"/>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1676"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图形颜色</w:t>
                  </w:r>
                </w:p>
              </w:tc>
              <w:tc>
                <w:tcPr>
                  <w:tcW w:w="3323" w:type="pct"/>
                  <w:gridSpan w:val="3"/>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 w:hRule="atLeast"/>
                <w:jc w:val="center"/>
              </w:trPr>
              <w:tc>
                <w:tcPr>
                  <w:tcW w:w="1676"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材质</w:t>
                  </w:r>
                </w:p>
              </w:tc>
              <w:tc>
                <w:tcPr>
                  <w:tcW w:w="3323" w:type="pct"/>
                  <w:gridSpan w:val="3"/>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3mm高密PVC防水防晒板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 w:hRule="atLeast"/>
                <w:jc w:val="center"/>
              </w:trPr>
              <w:tc>
                <w:tcPr>
                  <w:tcW w:w="1676" w:type="pct"/>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尺寸</w:t>
                  </w:r>
                </w:p>
              </w:tc>
              <w:tc>
                <w:tcPr>
                  <w:tcW w:w="3323" w:type="pct"/>
                  <w:gridSpan w:val="3"/>
                  <w:noWrap w:val="0"/>
                  <w:vAlign w:val="center"/>
                </w:tcPr>
                <w:p>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48cm×30cm</w:t>
                  </w:r>
                </w:p>
              </w:tc>
            </w:tr>
          </w:tbl>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表4-</w:t>
            </w:r>
            <w:r>
              <w:rPr>
                <w:rFonts w:hint="default" w:ascii="Times New Roman" w:hAnsi="Times New Roman" w:eastAsia="黑体" w:cs="Times New Roman"/>
                <w:color w:val="000000" w:themeColor="text1"/>
                <w:highlight w:val="none"/>
                <w:lang w:val="en-US" w:eastAsia="zh-CN"/>
                <w14:textFill>
                  <w14:solidFill>
                    <w14:schemeClr w14:val="tx1"/>
                  </w14:solidFill>
                </w14:textFill>
              </w:rPr>
              <w:t>2</w:t>
            </w:r>
            <w:r>
              <w:rPr>
                <w:rFonts w:hint="eastAsia" w:eastAsia="黑体" w:cs="Times New Roman"/>
                <w:color w:val="000000" w:themeColor="text1"/>
                <w:highlight w:val="none"/>
                <w:lang w:val="en-US" w:eastAsia="zh-CN"/>
                <w14:textFill>
                  <w14:solidFill>
                    <w14:schemeClr w14:val="tx1"/>
                  </w14:solidFill>
                </w14:textFill>
              </w:rPr>
              <w:t>3</w:t>
            </w:r>
            <w:r>
              <w:rPr>
                <w:rFonts w:hint="default" w:ascii="Times New Roman" w:hAnsi="Times New Roman" w:eastAsia="黑体" w:cs="Times New Roman"/>
                <w:color w:val="000000" w:themeColor="text1"/>
                <w:highlight w:val="none"/>
                <w14:textFill>
                  <w14:solidFill>
                    <w14:schemeClr w14:val="tx1"/>
                  </w14:solidFill>
                </w14:textFill>
              </w:rPr>
              <w:t xml:space="preserve">  危险废物贮存图形标志一览表</w:t>
            </w:r>
          </w:p>
          <w:tbl>
            <w:tblPr>
              <w:tblStyle w:val="24"/>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2558"/>
              <w:gridCol w:w="5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4" w:type="dxa"/>
                  <w:noWrap w:val="0"/>
                  <w:vAlign w:val="center"/>
                </w:tcPr>
                <w:p>
                  <w:pPr>
                    <w:pStyle w:val="76"/>
                    <w:keepNext w:val="0"/>
                    <w:keepLines w:val="0"/>
                    <w:pageBreakBefore w:val="0"/>
                    <w:suppressLineNumbers w:val="0"/>
                    <w:tabs>
                      <w:tab w:val="left" w:pos="282"/>
                      <w:tab w:val="left" w:pos="327"/>
                      <w:tab w:val="left" w:pos="507"/>
                      <w:tab w:val="left" w:pos="577"/>
                      <w:tab w:val="right" w:pos="8913"/>
                    </w:tabs>
                    <w:kinsoku/>
                    <w:wordWrap/>
                    <w:overflowPunct/>
                    <w:topLinePunct w:val="0"/>
                    <w:autoSpaceDE/>
                    <w:autoSpaceDN/>
                    <w:bidi w:val="0"/>
                    <w:adjustRightInd w:val="0"/>
                    <w:snapToGrid w:val="0"/>
                    <w:spacing w:before="24" w:beforeAutospacing="0" w:after="24" w:afterAutospacing="0" w:line="0" w:lineRule="atLeast"/>
                    <w:ind w:left="-25" w:right="0" w:firstLine="0" w:firstLineChars="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名称</w:t>
                  </w:r>
                </w:p>
              </w:tc>
              <w:tc>
                <w:tcPr>
                  <w:tcW w:w="2558" w:type="dxa"/>
                  <w:noWrap w:val="0"/>
                  <w:vAlign w:val="center"/>
                </w:tcPr>
                <w:p>
                  <w:pPr>
                    <w:pStyle w:val="76"/>
                    <w:keepNext w:val="0"/>
                    <w:keepLines w:val="0"/>
                    <w:pageBreakBefore w:val="0"/>
                    <w:suppressLineNumbers w:val="0"/>
                    <w:tabs>
                      <w:tab w:val="left" w:pos="282"/>
                      <w:tab w:val="left" w:pos="327"/>
                      <w:tab w:val="left" w:pos="507"/>
                      <w:tab w:val="left" w:pos="577"/>
                      <w:tab w:val="right" w:pos="8913"/>
                    </w:tabs>
                    <w:kinsoku/>
                    <w:wordWrap/>
                    <w:overflowPunct/>
                    <w:topLinePunct w:val="0"/>
                    <w:autoSpaceDE/>
                    <w:autoSpaceDN/>
                    <w:bidi w:val="0"/>
                    <w:adjustRightInd w:val="0"/>
                    <w:snapToGrid w:val="0"/>
                    <w:spacing w:before="24" w:beforeAutospacing="0" w:after="24" w:afterAutospacing="0" w:line="0" w:lineRule="atLeast"/>
                    <w:ind w:left="-25" w:right="0" w:firstLine="0" w:firstLineChars="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样式</w:t>
                  </w:r>
                </w:p>
              </w:tc>
              <w:tc>
                <w:tcPr>
                  <w:tcW w:w="5205" w:type="dxa"/>
                  <w:noWrap w:val="0"/>
                  <w:vAlign w:val="center"/>
                </w:tcPr>
                <w:p>
                  <w:pPr>
                    <w:pStyle w:val="76"/>
                    <w:keepNext w:val="0"/>
                    <w:keepLines w:val="0"/>
                    <w:pageBreakBefore w:val="0"/>
                    <w:suppressLineNumbers w:val="0"/>
                    <w:tabs>
                      <w:tab w:val="left" w:pos="282"/>
                      <w:tab w:val="left" w:pos="327"/>
                      <w:tab w:val="left" w:pos="507"/>
                      <w:tab w:val="left" w:pos="577"/>
                      <w:tab w:val="right" w:pos="8913"/>
                    </w:tabs>
                    <w:kinsoku/>
                    <w:wordWrap/>
                    <w:overflowPunct/>
                    <w:topLinePunct w:val="0"/>
                    <w:autoSpaceDE/>
                    <w:autoSpaceDN/>
                    <w:bidi w:val="0"/>
                    <w:adjustRightInd w:val="0"/>
                    <w:snapToGrid w:val="0"/>
                    <w:spacing w:before="24" w:beforeAutospacing="0" w:after="24" w:afterAutospacing="0" w:line="0" w:lineRule="atLeast"/>
                    <w:ind w:left="-25" w:right="0" w:firstLine="0" w:firstLineChars="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jc w:val="left"/>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危险废物标签</w:t>
                  </w:r>
                </w:p>
              </w:tc>
              <w:tc>
                <w:tcPr>
                  <w:tcW w:w="2558" w:type="dxa"/>
                  <w:noWrap w:val="0"/>
                  <w:vAlign w:val="center"/>
                </w:tcPr>
                <w:p>
                  <w:pPr>
                    <w:pStyle w:val="76"/>
                    <w:keepNext w:val="0"/>
                    <w:keepLines w:val="0"/>
                    <w:pageBreakBefore w:val="0"/>
                    <w:widowControl w:val="0"/>
                    <w:suppressLineNumbers w:val="0"/>
                    <w:tabs>
                      <w:tab w:val="left" w:pos="282"/>
                      <w:tab w:val="left" w:pos="327"/>
                      <w:tab w:val="left" w:pos="507"/>
                      <w:tab w:val="left" w:pos="577"/>
                      <w:tab w:val="right" w:pos="8913"/>
                    </w:tabs>
                    <w:kinsoku/>
                    <w:wordWrap/>
                    <w:overflowPunct/>
                    <w:topLinePunct w:val="0"/>
                    <w:autoSpaceDE/>
                    <w:autoSpaceDN/>
                    <w:bidi w:val="0"/>
                    <w:adjustRightInd w:val="0"/>
                    <w:snapToGrid w:val="0"/>
                    <w:spacing w:before="24" w:beforeAutospacing="0" w:after="24" w:afterAutospacing="0" w:line="0" w:lineRule="atLeast"/>
                    <w:ind w:left="-23" w:right="0" w:firstLine="0" w:firstLineChars="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drawing>
                      <wp:inline distT="0" distB="0" distL="114300" distR="114300">
                        <wp:extent cx="1443355" cy="1440180"/>
                        <wp:effectExtent l="0" t="0" r="4445" b="7620"/>
                        <wp:docPr id="1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9"/>
                                <pic:cNvPicPr>
                                  <a:picLocks noChangeAspect="1"/>
                                </pic:cNvPicPr>
                              </pic:nvPicPr>
                              <pic:blipFill>
                                <a:blip r:embed="rId23"/>
                                <a:stretch>
                                  <a:fillRect/>
                                </a:stretch>
                              </pic:blipFill>
                              <pic:spPr>
                                <a:xfrm>
                                  <a:off x="0" y="0"/>
                                  <a:ext cx="1443355" cy="1440180"/>
                                </a:xfrm>
                                <a:prstGeom prst="rect">
                                  <a:avLst/>
                                </a:prstGeom>
                                <a:noFill/>
                                <a:ln>
                                  <a:noFill/>
                                </a:ln>
                              </pic:spPr>
                            </pic:pic>
                          </a:graphicData>
                        </a:graphic>
                      </wp:inline>
                    </w:drawing>
                  </w:r>
                </w:p>
              </w:tc>
              <w:tc>
                <w:tcPr>
                  <w:tcW w:w="520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1、危险废物标签的颜色：危险废物标签背景色应采用醒目的橘黄色，RGB颜色值为（255，150，0）。标签边框和字体颜色为黑色，RGB 颜色值为（0，0，0）。</w:t>
                  </w:r>
                </w:p>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2、危险废物标签的字体：危险废物标签字体宜采用黑体字，其中“危险废物”字样应加粗放大。</w:t>
                  </w:r>
                </w:p>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jc w:val="left"/>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3、危险废物标签尺寸：容器或包装物容积（L）：≤50，标签最小尺寸（mm×mm）：100×100，最低文字高度（mm）：3；容器或包装物容积（L）：＞50~≤450，标签最小尺寸（mm×mm）：150×150，最低文字高度（mm）：5；容器或包装物容积（L）：＞450，标签最小尺寸（mm×mm）：200×200，最低文字高度（mm）：6。</w:t>
                  </w:r>
                </w:p>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4、危险废物标签的材质：危险废物标所选用的材质宜具有一定的耐用性和防水性。标签可采用不干胶印刷品，或印刷品外加防水塑料袋或塑封等。</w:t>
                  </w:r>
                </w:p>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jc w:val="left"/>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5、危险废物标签的印刷：危险废物标签印刷的油墨应均匀，图案和文字应清晰、完整。危险废物标签的文字边缘宜加黑色边框，边框宽度不小于1mm，边框外宜留不小于3mm的空白。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jc w:val="left"/>
                    <w:textAlignment w:val="auto"/>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危险废物贮存分区标志</w:t>
                  </w:r>
                </w:p>
              </w:tc>
              <w:tc>
                <w:tcPr>
                  <w:tcW w:w="2558" w:type="dxa"/>
                  <w:noWrap w:val="0"/>
                  <w:vAlign w:val="center"/>
                </w:tcPr>
                <w:p>
                  <w:pPr>
                    <w:pStyle w:val="76"/>
                    <w:keepNext w:val="0"/>
                    <w:keepLines w:val="0"/>
                    <w:pageBreakBefore w:val="0"/>
                    <w:widowControl w:val="0"/>
                    <w:suppressLineNumbers w:val="0"/>
                    <w:tabs>
                      <w:tab w:val="left" w:pos="282"/>
                      <w:tab w:val="left" w:pos="327"/>
                      <w:tab w:val="left" w:pos="507"/>
                      <w:tab w:val="left" w:pos="577"/>
                      <w:tab w:val="right" w:pos="8913"/>
                    </w:tabs>
                    <w:kinsoku/>
                    <w:wordWrap/>
                    <w:overflowPunct/>
                    <w:topLinePunct w:val="0"/>
                    <w:autoSpaceDE/>
                    <w:autoSpaceDN/>
                    <w:bidi w:val="0"/>
                    <w:adjustRightInd w:val="0"/>
                    <w:snapToGrid w:val="0"/>
                    <w:spacing w:before="24" w:beforeAutospacing="0" w:after="24" w:afterAutospacing="0" w:line="0" w:lineRule="atLeast"/>
                    <w:ind w:left="-23"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drawing>
                      <wp:inline distT="0" distB="0" distL="114300" distR="114300">
                        <wp:extent cx="1712595" cy="1444625"/>
                        <wp:effectExtent l="0" t="0" r="1905" b="3175"/>
                        <wp:docPr id="1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2"/>
                                <pic:cNvPicPr>
                                  <a:picLocks noChangeAspect="1"/>
                                </pic:cNvPicPr>
                              </pic:nvPicPr>
                              <pic:blipFill>
                                <a:blip r:embed="rId24"/>
                                <a:stretch>
                                  <a:fillRect/>
                                </a:stretch>
                              </pic:blipFill>
                              <pic:spPr>
                                <a:xfrm>
                                  <a:off x="0" y="0"/>
                                  <a:ext cx="1712595" cy="1444625"/>
                                </a:xfrm>
                                <a:prstGeom prst="rect">
                                  <a:avLst/>
                                </a:prstGeom>
                                <a:noFill/>
                                <a:ln>
                                  <a:noFill/>
                                </a:ln>
                              </pic:spPr>
                            </pic:pic>
                          </a:graphicData>
                        </a:graphic>
                      </wp:inline>
                    </w:drawing>
                  </w:r>
                </w:p>
              </w:tc>
              <w:tc>
                <w:tcPr>
                  <w:tcW w:w="520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1、危险废物贮存分区标志的颜色：危险废物分区标志背景色应采用黄色，RGB 颜色值为（255，255，0）。废物种类信息应采用醒目的橘黄色，RGB 颜色值为（255，150，0）。字体颜色为黑色，RGB 颜色值为（0，0，0）。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 xml:space="preserve">2、危险废物贮存分区标志的字体：危险废物分区标志的字体宜采用黑体字，其中“危险废物贮存分区标志”字样应加粗放大并居中显示。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3、危险废物贮存分区标志的尺寸：观察距离L（m）：0＜L≤2.5，标志整体外形最小尺寸（mm）：300×300，贮存分区标志最低文字高度（mm）：20，其他文字最低文字高度（mm）：6；观察距离L（m）：2.5＜L≤4，标志整体外形最小尺寸（mm）：450×450，贮存分区标志最低文字高度（mm）：30，其他文字最低文字高度（mm）：9；观察距离L（m）：L＞4，标志整体外形最小尺寸（mm）：600×600，贮存分区标志最低文字高度（mm）：40，其他文字最低文字高度（mm）：12。</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4、危险废物贮存分区标志的材质：危险废物贮存分区标志的衬底宜采用坚固耐用的材料，并具有耐用性和防水性。废物贮存种类信息等可采用印刷纸张、不粘胶材质或塑料卡片等，以便固定在衬底上。</w:t>
                  </w:r>
                </w:p>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jc w:val="left"/>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5、危险废物贮存分区标志的印刷：危险废物贮存分区标志的图形和文字应清晰、完整，保证在足够的观察距离条件下不影响阅读。“危险废物贮存分区标志”字样与其他信息宜加黑色分界线区分，分界线的宽度不小于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jc w:val="left"/>
                    <w:textAlignment w:val="auto"/>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危险废物贮存、利用、处置设施标志</w:t>
                  </w:r>
                </w:p>
              </w:tc>
              <w:tc>
                <w:tcPr>
                  <w:tcW w:w="2558" w:type="dxa"/>
                  <w:noWrap w:val="0"/>
                  <w:vAlign w:val="center"/>
                </w:tcPr>
                <w:p>
                  <w:pPr>
                    <w:pStyle w:val="76"/>
                    <w:keepNext w:val="0"/>
                    <w:keepLines w:val="0"/>
                    <w:pageBreakBefore w:val="0"/>
                    <w:widowControl w:val="0"/>
                    <w:suppressLineNumbers w:val="0"/>
                    <w:tabs>
                      <w:tab w:val="left" w:pos="282"/>
                      <w:tab w:val="left" w:pos="327"/>
                      <w:tab w:val="left" w:pos="507"/>
                      <w:tab w:val="left" w:pos="577"/>
                      <w:tab w:val="right" w:pos="8913"/>
                    </w:tabs>
                    <w:kinsoku/>
                    <w:wordWrap/>
                    <w:overflowPunct/>
                    <w:topLinePunct w:val="0"/>
                    <w:autoSpaceDE/>
                    <w:autoSpaceDN/>
                    <w:bidi w:val="0"/>
                    <w:adjustRightInd w:val="0"/>
                    <w:snapToGrid w:val="0"/>
                    <w:spacing w:before="24" w:beforeAutospacing="0" w:after="24" w:afterAutospacing="0" w:line="0" w:lineRule="atLeast"/>
                    <w:ind w:left="-23"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1487170" cy="934720"/>
                        <wp:effectExtent l="0" t="0" r="17780" b="17780"/>
                        <wp:docPr id="1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3"/>
                                <pic:cNvPicPr>
                                  <a:picLocks noChangeAspect="1"/>
                                </pic:cNvPicPr>
                              </pic:nvPicPr>
                              <pic:blipFill>
                                <a:blip r:embed="rId25"/>
                                <a:stretch>
                                  <a:fillRect/>
                                </a:stretch>
                              </pic:blipFill>
                              <pic:spPr>
                                <a:xfrm>
                                  <a:off x="0" y="0"/>
                                  <a:ext cx="1487170" cy="934720"/>
                                </a:xfrm>
                                <a:prstGeom prst="rect">
                                  <a:avLst/>
                                </a:prstGeom>
                                <a:noFill/>
                                <a:ln>
                                  <a:noFill/>
                                </a:ln>
                              </pic:spPr>
                            </pic:pic>
                          </a:graphicData>
                        </a:graphic>
                      </wp:inline>
                    </w:drawing>
                  </w:r>
                </w:p>
                <w:p>
                  <w:pPr>
                    <w:pStyle w:val="76"/>
                    <w:keepNext w:val="0"/>
                    <w:keepLines w:val="0"/>
                    <w:pageBreakBefore w:val="0"/>
                    <w:widowControl w:val="0"/>
                    <w:suppressLineNumbers w:val="0"/>
                    <w:tabs>
                      <w:tab w:val="left" w:pos="282"/>
                      <w:tab w:val="left" w:pos="327"/>
                      <w:tab w:val="left" w:pos="507"/>
                      <w:tab w:val="left" w:pos="577"/>
                      <w:tab w:val="right" w:pos="8913"/>
                    </w:tabs>
                    <w:kinsoku/>
                    <w:wordWrap/>
                    <w:overflowPunct/>
                    <w:topLinePunct w:val="0"/>
                    <w:autoSpaceDE/>
                    <w:autoSpaceDN/>
                    <w:bidi w:val="0"/>
                    <w:adjustRightInd w:val="0"/>
                    <w:snapToGrid w:val="0"/>
                    <w:spacing w:before="24" w:beforeAutospacing="0" w:after="24" w:afterAutospacing="0" w:line="0" w:lineRule="atLeast"/>
                    <w:ind w:left="-23"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1497330" cy="2376170"/>
                        <wp:effectExtent l="0" t="0" r="7620" b="5080"/>
                        <wp:docPr id="1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4"/>
                                <pic:cNvPicPr>
                                  <a:picLocks noChangeAspect="1"/>
                                </pic:cNvPicPr>
                              </pic:nvPicPr>
                              <pic:blipFill>
                                <a:blip r:embed="rId26"/>
                                <a:stretch>
                                  <a:fillRect/>
                                </a:stretch>
                              </pic:blipFill>
                              <pic:spPr>
                                <a:xfrm>
                                  <a:off x="0" y="0"/>
                                  <a:ext cx="1497330" cy="2376170"/>
                                </a:xfrm>
                                <a:prstGeom prst="rect">
                                  <a:avLst/>
                                </a:prstGeom>
                                <a:noFill/>
                                <a:ln>
                                  <a:noFill/>
                                </a:ln>
                              </pic:spPr>
                            </pic:pic>
                          </a:graphicData>
                        </a:graphic>
                      </wp:inline>
                    </w:drawing>
                  </w:r>
                </w:p>
              </w:tc>
              <w:tc>
                <w:tcPr>
                  <w:tcW w:w="520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1、危险废物贮存、利用、处置设施标志的颜色：危险废物设施标志背景颜色为黄色，RGB颜色值为（255，255，0）。字体和边框颜色为黑色，RGB颜色值为（0，0，0）。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2、危险废物贮存、利用、处置设施标志的字体：危险废物设施标志字体应采用黑体字，其中危险废物设施类型的字样应加粗放大并居中显示。</w:t>
                  </w:r>
                </w:p>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jc w:val="both"/>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3、危险废物贮存、利用、处置设施标志的尺寸：设置位置：露天/室外入口，观察距离L（m）：＞10，标志牌整体外形最小尺寸（mm）：900×558，三角形外边长a1（mm）：500，三角形内边长a2（mm）：375，边框外角圆弧半径（mm）：30，设施类型名称最低文字高度（mm）：48，其他文字最低文字高度（mm）：24；设置位置：室内，观察距离L（m）：4＜L≤10，标志牌整体外形最小尺寸（mm）：600×372，三角形外边长a</w:t>
                  </w:r>
                  <w:r>
                    <w:rPr>
                      <w:rFonts w:hint="default" w:ascii="Times New Roman" w:hAnsi="Times New Roman" w:eastAsia="宋体" w:cs="Times New Roman"/>
                      <w:color w:val="000000" w:themeColor="text1"/>
                      <w:kern w:val="0"/>
                      <w:sz w:val="18"/>
                      <w:szCs w:val="18"/>
                      <w:highlight w:val="none"/>
                      <w:vertAlign w:val="subscript"/>
                      <w:lang w:bidi="ar"/>
                      <w14:textFill>
                        <w14:solidFill>
                          <w14:schemeClr w14:val="tx1"/>
                        </w14:solidFill>
                      </w14:textFill>
                    </w:rPr>
                    <w:t>1</w:t>
                  </w: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（mm）：300，三角形内边长a</w:t>
                  </w:r>
                  <w:r>
                    <w:rPr>
                      <w:rFonts w:hint="default" w:ascii="Times New Roman" w:hAnsi="Times New Roman" w:eastAsia="宋体" w:cs="Times New Roman"/>
                      <w:color w:val="000000" w:themeColor="text1"/>
                      <w:kern w:val="0"/>
                      <w:sz w:val="18"/>
                      <w:szCs w:val="18"/>
                      <w:highlight w:val="none"/>
                      <w:vertAlign w:val="subscript"/>
                      <w:lang w:bidi="ar"/>
                      <w14:textFill>
                        <w14:solidFill>
                          <w14:schemeClr w14:val="tx1"/>
                        </w14:solidFill>
                      </w14:textFill>
                    </w:rPr>
                    <w:t>2</w:t>
                  </w: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mm）：225，边框外角圆弧半径（mm）：18，设施类型名称最低文字高度（mm）：32，其他文字最低文字高度（mm）：16；设置位置：室内，观察距离L（m）：L≤4，标志牌整体外形最小尺寸（mm）：300×186，三角形外边长a</w:t>
                  </w:r>
                  <w:r>
                    <w:rPr>
                      <w:rFonts w:hint="default" w:ascii="Times New Roman" w:hAnsi="Times New Roman" w:eastAsia="宋体" w:cs="Times New Roman"/>
                      <w:color w:val="000000" w:themeColor="text1"/>
                      <w:kern w:val="0"/>
                      <w:sz w:val="18"/>
                      <w:szCs w:val="18"/>
                      <w:highlight w:val="none"/>
                      <w:vertAlign w:val="subscript"/>
                      <w:lang w:bidi="ar"/>
                      <w14:textFill>
                        <w14:solidFill>
                          <w14:schemeClr w14:val="tx1"/>
                        </w14:solidFill>
                      </w14:textFill>
                    </w:rPr>
                    <w:t>1</w:t>
                  </w: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（mm）：140，三角形内边长a</w:t>
                  </w:r>
                  <w:r>
                    <w:rPr>
                      <w:rFonts w:hint="default" w:ascii="Times New Roman" w:hAnsi="Times New Roman" w:eastAsia="宋体" w:cs="Times New Roman"/>
                      <w:color w:val="000000" w:themeColor="text1"/>
                      <w:kern w:val="0"/>
                      <w:sz w:val="18"/>
                      <w:szCs w:val="18"/>
                      <w:highlight w:val="none"/>
                      <w:vertAlign w:val="subscript"/>
                      <w:lang w:bidi="ar"/>
                      <w14:textFill>
                        <w14:solidFill>
                          <w14:schemeClr w14:val="tx1"/>
                        </w14:solidFill>
                      </w14:textFill>
                    </w:rPr>
                    <w:t>2</w:t>
                  </w: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（mm）：105，边框外角圆弧半径（mm）：8.4，设施类型名称最低文字高度（mm）：16，其他文字最低文字高度（mm）：18。</w:t>
                  </w:r>
                </w:p>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jc w:val="both"/>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4、危险废物贮存、利用、处置设施标志的材质：危险废物贮存、利用、处置设施标志宜采用坚固耐用的材料（如1.5 mm～2 mm冷轧钢板），并做搪瓷处理或贴膜处理。一般不宜使用遇水变形、变质或易燃的材料。柱式标志牌的立柱可采用 38×4无缝钢管或其他坚固耐用的材料，并经过防腐处理。</w:t>
                  </w:r>
                </w:p>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jc w:val="both"/>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5、危险废物贮存、利用、处置设施标志的印刷：危险废物贮存、利用、处置设施标志的图形和文字应清晰、完整，保证在足够的观察距离条件下也不影响阅读。三角形警告性图形与其他信息间宜加黑色分界线区分，分界线的宽度宜不小于3 mm。</w:t>
                  </w:r>
                </w:p>
                <w:p>
                  <w:pPr>
                    <w:keepNext w:val="0"/>
                    <w:keepLines w:val="0"/>
                    <w:pageBreakBefore w:val="0"/>
                    <w:widowControl/>
                    <w:suppressLineNumbers w:val="0"/>
                    <w:kinsoku/>
                    <w:wordWrap/>
                    <w:overflowPunct/>
                    <w:topLinePunct w:val="0"/>
                    <w:autoSpaceDE/>
                    <w:autoSpaceDN/>
                    <w:bidi w:val="0"/>
                    <w:adjustRightInd w:val="0"/>
                    <w:snapToGrid w:val="0"/>
                    <w:spacing w:before="24" w:beforeAutospacing="0" w:after="24" w:afterAutospacing="0" w:line="0" w:lineRule="atLeast"/>
                    <w:ind w:left="0" w:right="0" w:firstLine="0" w:firstLineChars="0"/>
                    <w:jc w:val="left"/>
                    <w:textAlignment w:val="auto"/>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sz w:val="18"/>
                      <w:szCs w:val="18"/>
                      <w:highlight w:val="none"/>
                      <w:lang w:bidi="ar"/>
                      <w14:textFill>
                        <w14:solidFill>
                          <w14:schemeClr w14:val="tx1"/>
                        </w14:solidFill>
                      </w14:textFill>
                    </w:rPr>
                    <w:t>6、危险废物贮存、利用、处置设施标志的外观质量要求：危险废物贮存、利用、处置设施的标志牌和立柱无明显变形。标志牌表面无气泡，膜或搪瓷无脱落。图案清晰，色泽一致，没有明显缺损。</w:t>
                  </w:r>
                </w:p>
              </w:tc>
            </w:tr>
          </w:tbl>
          <w:p>
            <w:pPr>
              <w:pStyle w:val="35"/>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c、建立规范化排污口档案</w:t>
            </w:r>
          </w:p>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建立各排污口相应的监督管理档案，内容包括排污单位名称，排污口性质及编号，排污口的地理位置（GPS 定位经纬度），排污口所排放的主要污染物种类、数量、浓度及排放去向、达标情况，设施运行及日常现场监督检查记录等有关资料和记录。</w:t>
            </w:r>
          </w:p>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highlight w:val="none"/>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highlight w:val="none"/>
                <w14:textFill>
                  <w14:solidFill>
                    <w14:schemeClr w14:val="tx1"/>
                  </w14:solidFill>
                </w14:textFill>
              </w:rPr>
            </w:pPr>
          </w:p>
          <w:p>
            <w:pPr>
              <w:keepNext w:val="0"/>
              <w:keepLines w:val="0"/>
              <w:suppressLineNumbers w:val="0"/>
              <w:spacing w:before="0" w:beforeAutospacing="0" w:after="0" w:afterAutospacing="0"/>
              <w:ind w:left="0" w:right="0"/>
              <w:rPr>
                <w:rFonts w:hint="eastAsia" w:ascii="Times New Roman" w:hAnsi="Times New Roman" w:cs="Times New Roman"/>
                <w:color w:val="000000" w:themeColor="text1"/>
                <w:szCs w:val="21"/>
                <w:highlight w:val="none"/>
                <w:lang w:eastAsia="zh-CN"/>
                <w14:textFill>
                  <w14:solidFill>
                    <w14:schemeClr w14:val="tx1"/>
                  </w14:solidFill>
                </w14:textFill>
              </w:rPr>
            </w:pPr>
          </w:p>
        </w:tc>
      </w:tr>
    </w:tbl>
    <w:p>
      <w:pPr>
        <w:spacing w:line="360" w:lineRule="auto"/>
        <w:jc w:val="distribute"/>
        <w:rPr>
          <w:rFonts w:ascii="宋体" w:hAnsi="Times New Roman" w:eastAsia="宋体" w:cs="宋体"/>
          <w:b/>
          <w:color w:val="000000" w:themeColor="text1"/>
          <w:sz w:val="28"/>
          <w:szCs w:val="28"/>
          <w:highlight w:val="none"/>
          <w:lang w:bidi="ar"/>
          <w14:textFill>
            <w14:solidFill>
              <w14:schemeClr w14:val="tx1"/>
            </w14:solidFill>
          </w14:textFill>
        </w:rPr>
        <w:sectPr>
          <w:pgSz w:w="11915" w:h="16840"/>
          <w:pgMar w:top="1702" w:right="1531" w:bottom="2127" w:left="1531" w:header="851" w:footer="851" w:gutter="0"/>
          <w:pgNumType w:fmt="decimal"/>
          <w:cols w:space="425" w:num="1"/>
          <w:docGrid w:type="lines" w:linePitch="312" w:charSpace="0"/>
        </w:sectPr>
      </w:pPr>
    </w:p>
    <w:p>
      <w:pPr>
        <w:pStyle w:val="20"/>
        <w:jc w:val="center"/>
        <w:outlineLvl w:val="0"/>
        <w:rPr>
          <w:rFonts w:hint="default" w:ascii="黑体" w:eastAsia="黑体" w:cs="黑体"/>
          <w:color w:val="000000" w:themeColor="text1"/>
          <w:sz w:val="30"/>
          <w:szCs w:val="30"/>
          <w:highlight w:val="none"/>
          <w14:textFill>
            <w14:solidFill>
              <w14:schemeClr w14:val="tx1"/>
            </w14:solidFill>
          </w14:textFill>
        </w:rPr>
      </w:pPr>
      <w:r>
        <w:rPr>
          <w:rFonts w:ascii="黑体" w:eastAsia="黑体" w:cs="黑体"/>
          <w:snapToGrid w:val="0"/>
          <w:color w:val="000000" w:themeColor="text1"/>
          <w:sz w:val="30"/>
          <w:szCs w:val="30"/>
          <w:highlight w:val="none"/>
          <w14:textFill>
            <w14:solidFill>
              <w14:schemeClr w14:val="tx1"/>
            </w14:solidFill>
          </w14:textFill>
        </w:rPr>
        <w:t>五、</w:t>
      </w:r>
      <w:bookmarkStart w:id="2" w:name="_Hlk54167917"/>
      <w:r>
        <w:rPr>
          <w:rFonts w:ascii="黑体" w:eastAsia="黑体" w:cs="黑体"/>
          <w:snapToGrid w:val="0"/>
          <w:color w:val="000000" w:themeColor="text1"/>
          <w:sz w:val="30"/>
          <w:szCs w:val="30"/>
          <w:highlight w:val="none"/>
          <w14:textFill>
            <w14:solidFill>
              <w14:schemeClr w14:val="tx1"/>
            </w14:solidFill>
          </w14:textFill>
        </w:rPr>
        <w:t>环境保护措施监督检查清单</w:t>
      </w:r>
      <w:bookmarkEnd w:id="2"/>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719"/>
        <w:gridCol w:w="1383"/>
        <w:gridCol w:w="2017"/>
        <w:gridCol w:w="23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0" w:type="dxa"/>
            <w:tcBorders>
              <w:top w:val="single" w:color="auto" w:sz="8" w:space="0"/>
              <w:left w:val="single" w:color="auto" w:sz="8" w:space="0"/>
              <w:bottom w:val="single" w:color="auto" w:sz="4" w:space="0"/>
              <w:right w:val="single" w:color="auto" w:sz="4" w:space="0"/>
              <w:tl2br w:val="single" w:color="auto" w:sz="4" w:space="0"/>
            </w:tcBorders>
            <w:shd w:val="clear" w:color="auto" w:fill="auto"/>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内容</w:t>
            </w:r>
          </w:p>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要素</w:t>
            </w:r>
          </w:p>
        </w:tc>
        <w:tc>
          <w:tcPr>
            <w:tcW w:w="1719" w:type="dxa"/>
            <w:tcBorders>
              <w:top w:val="single" w:color="auto" w:sz="8"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排放口(编号、</w:t>
            </w:r>
          </w:p>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名称)/污染源</w:t>
            </w:r>
          </w:p>
        </w:tc>
        <w:tc>
          <w:tcPr>
            <w:tcW w:w="1383" w:type="dxa"/>
            <w:tcBorders>
              <w:top w:val="single" w:color="auto" w:sz="8"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污染物项目</w:t>
            </w:r>
          </w:p>
        </w:tc>
        <w:tc>
          <w:tcPr>
            <w:tcW w:w="2017" w:type="dxa"/>
            <w:tcBorders>
              <w:top w:val="single" w:color="auto" w:sz="8"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环境保护措施</w:t>
            </w:r>
          </w:p>
        </w:tc>
        <w:tc>
          <w:tcPr>
            <w:tcW w:w="2361" w:type="dxa"/>
            <w:tcBorders>
              <w:top w:val="single" w:color="auto" w:sz="8"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20" w:type="dxa"/>
            <w:vMerge w:val="restart"/>
            <w:tcBorders>
              <w:left w:val="single" w:color="auto" w:sz="8"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大气环境</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封边、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打孔废气</w:t>
            </w:r>
            <w:r>
              <w:rPr>
                <w:rFonts w:hint="default" w:ascii="Times New Roman" w:hAnsi="Times New Roman" w:eastAsia="宋体" w:cs="Times New Roman"/>
                <w:color w:val="000000" w:themeColor="text1"/>
                <w:sz w:val="21"/>
                <w:szCs w:val="21"/>
                <w:highlight w:val="none"/>
                <w14:textFill>
                  <w14:solidFill>
                    <w14:schemeClr w14:val="tx1"/>
                  </w14:solidFill>
                </w14:textFill>
              </w:rPr>
              <w:t>（DA001）</w:t>
            </w:r>
            <w:r>
              <w:rPr>
                <w:rFonts w:hint="eastAsia" w:eastAsia="宋体" w:cs="Times New Roman"/>
                <w:color w:val="000000" w:themeColor="text1"/>
                <w:sz w:val="21"/>
                <w:szCs w:val="21"/>
                <w:highlight w:val="non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焊接烟气（DA002）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喷粉废气（</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固化成型废气</w:t>
            </w:r>
            <w:r>
              <w:rPr>
                <w:rFonts w:hint="default" w:ascii="Times New Roman" w:hAnsi="Times New Roman" w:eastAsia="宋体" w:cs="Times New Roman"/>
                <w:color w:val="000000" w:themeColor="text1"/>
                <w:sz w:val="21"/>
                <w:szCs w:val="21"/>
                <w:highlight w:val="none"/>
                <w14:textFill>
                  <w14:solidFill>
                    <w14:schemeClr w14:val="tx1"/>
                  </w14:solidFill>
                </w14:textFill>
              </w:rPr>
              <w:t>（DA00</w:t>
            </w:r>
            <w:r>
              <w:rPr>
                <w:rFonts w:hint="eastAsia"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719" w:type="dxa"/>
            <w:vMerge w:val="restart"/>
            <w:tcBorders>
              <w:top w:val="single" w:color="auto" w:sz="4" w:space="0"/>
              <w:left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开料</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封边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打孔废气</w:t>
            </w:r>
            <w:r>
              <w:rPr>
                <w:rFonts w:hint="default" w:ascii="Times New Roman" w:hAnsi="Times New Roman" w:eastAsia="宋体" w:cs="Times New Roman"/>
                <w:color w:val="000000" w:themeColor="text1"/>
                <w:sz w:val="21"/>
                <w:szCs w:val="21"/>
                <w:highlight w:val="none"/>
                <w14:textFill>
                  <w14:solidFill>
                    <w14:schemeClr w14:val="tx1"/>
                  </w14:solidFill>
                </w14:textFill>
              </w:rPr>
              <w:t>（DA001）</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20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布袋除尘器</w:t>
            </w:r>
            <w:r>
              <w:rPr>
                <w:rFonts w:hint="eastAsia" w:cs="Times New Roman"/>
                <w:color w:val="000000" w:themeColor="text1"/>
                <w:sz w:val="21"/>
                <w:szCs w:val="21"/>
                <w:highlight w:val="none"/>
                <w:lang w:val="en-US" w:eastAsia="zh-CN"/>
                <w14:textFill>
                  <w14:solidFill>
                    <w14:schemeClr w14:val="tx1"/>
                  </w14:solidFill>
                </w14:textFill>
              </w:rPr>
              <w:t>+15m高排气筒</w:t>
            </w:r>
          </w:p>
        </w:tc>
        <w:tc>
          <w:tcPr>
            <w:tcW w:w="2361" w:type="dxa"/>
            <w:tcBorders>
              <w:top w:val="single" w:color="auto" w:sz="4" w:space="0"/>
              <w:left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20" w:type="dxa"/>
            <w:vMerge w:val="continue"/>
            <w:tcBorders>
              <w:left w:val="single" w:color="auto" w:sz="8"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719" w:type="dxa"/>
            <w:vMerge w:val="continue"/>
            <w:tcBorders>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非甲烷总烃</w:t>
            </w:r>
          </w:p>
        </w:tc>
        <w:tc>
          <w:tcPr>
            <w:tcW w:w="20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361" w:type="dxa"/>
            <w:tcBorders>
              <w:top w:val="single" w:color="auto" w:sz="4" w:space="0"/>
              <w:left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《工业企业挥发性有机物排放控制标准》（DB13/2322-2016）表1标准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320" w:type="dxa"/>
            <w:vMerge w:val="continue"/>
            <w:tcBorders>
              <w:left w:val="single" w:color="auto" w:sz="8"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焊接烟气（DA002）</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颗粒物</w:t>
            </w:r>
          </w:p>
        </w:tc>
        <w:tc>
          <w:tcPr>
            <w:tcW w:w="20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布袋除尘器</w:t>
            </w:r>
            <w:r>
              <w:rPr>
                <w:rFonts w:hint="eastAsia" w:cs="Times New Roman"/>
                <w:color w:val="000000" w:themeColor="text1"/>
                <w:sz w:val="21"/>
                <w:szCs w:val="21"/>
                <w:highlight w:val="none"/>
                <w:lang w:val="en-US" w:eastAsia="zh-CN"/>
                <w14:textFill>
                  <w14:solidFill>
                    <w14:schemeClr w14:val="tx1"/>
                  </w14:solidFill>
                </w14:textFill>
              </w:rPr>
              <w:t>+15m高排气筒</w:t>
            </w:r>
          </w:p>
        </w:tc>
        <w:tc>
          <w:tcPr>
            <w:tcW w:w="2361" w:type="dxa"/>
            <w:vMerge w:val="restart"/>
            <w:tcBorders>
              <w:top w:val="single" w:color="auto" w:sz="4" w:space="0"/>
              <w:left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20" w:type="dxa"/>
            <w:vMerge w:val="continue"/>
            <w:tcBorders>
              <w:left w:val="single" w:color="auto" w:sz="8"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喷粉废气（</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颗粒物</w:t>
            </w:r>
          </w:p>
        </w:tc>
        <w:tc>
          <w:tcPr>
            <w:tcW w:w="20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设备</w:t>
            </w:r>
            <w:r>
              <w:rPr>
                <w:rFonts w:hint="eastAsia" w:eastAsia="宋体" w:cs="Times New Roman"/>
                <w:color w:val="000000" w:themeColor="text1"/>
                <w:sz w:val="21"/>
                <w:szCs w:val="21"/>
                <w:highlight w:val="none"/>
                <w:lang w:eastAsia="zh-CN"/>
                <w14:textFill>
                  <w14:solidFill>
                    <w14:schemeClr w14:val="tx1"/>
                  </w14:solidFill>
                </w14:textFill>
              </w:rPr>
              <w:t>密闭、</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滤芯过滤</w:t>
            </w:r>
            <w:r>
              <w:rPr>
                <w:rFonts w:hint="eastAsia" w:eastAsia="宋体" w:cs="Times New Roman"/>
                <w:color w:val="000000" w:themeColor="text1"/>
                <w:sz w:val="21"/>
                <w:szCs w:val="21"/>
                <w:highlight w:val="none"/>
                <w:lang w:eastAsia="zh-CN"/>
                <w14:textFill>
                  <w14:solidFill>
                    <w14:schemeClr w14:val="tx1"/>
                  </w14:solidFill>
                </w14:textFill>
              </w:rPr>
              <w:t>回收系统</w:t>
            </w:r>
            <w:r>
              <w:rPr>
                <w:rFonts w:hint="eastAsia" w:cs="Times New Roman"/>
                <w:color w:val="000000" w:themeColor="text1"/>
                <w:sz w:val="21"/>
                <w:szCs w:val="21"/>
                <w:highlight w:val="none"/>
                <w:lang w:val="en-US" w:eastAsia="zh-CN"/>
                <w14:textFill>
                  <w14:solidFill>
                    <w14:schemeClr w14:val="tx1"/>
                  </w14:solidFill>
                </w14:textFill>
              </w:rPr>
              <w:t>+15m高排气筒</w:t>
            </w:r>
          </w:p>
        </w:tc>
        <w:tc>
          <w:tcPr>
            <w:tcW w:w="2361" w:type="dxa"/>
            <w:vMerge w:val="continue"/>
            <w:tcBorders>
              <w:left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320" w:type="dxa"/>
            <w:vMerge w:val="continue"/>
            <w:tcBorders>
              <w:left w:val="single" w:color="auto" w:sz="8"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固化成型废气</w:t>
            </w:r>
            <w:r>
              <w:rPr>
                <w:rFonts w:hint="default" w:ascii="Times New Roman" w:hAnsi="Times New Roman" w:eastAsia="宋体" w:cs="Times New Roman"/>
                <w:color w:val="000000" w:themeColor="text1"/>
                <w:sz w:val="21"/>
                <w:szCs w:val="21"/>
                <w:highlight w:val="none"/>
                <w14:textFill>
                  <w14:solidFill>
                    <w14:schemeClr w14:val="tx1"/>
                  </w14:solidFill>
                </w14:textFill>
              </w:rPr>
              <w:t>（DA00</w:t>
            </w:r>
            <w:r>
              <w:rPr>
                <w:rFonts w:hint="eastAsia"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20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eastAsia"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两级</w:t>
            </w:r>
            <w:r>
              <w:rPr>
                <w:rFonts w:hint="default" w:ascii="Times New Roman" w:hAnsi="Times New Roman" w:eastAsia="宋体" w:cs="Times New Roman"/>
                <w:color w:val="000000" w:themeColor="text1"/>
                <w:sz w:val="21"/>
                <w:szCs w:val="21"/>
                <w:highlight w:val="none"/>
                <w14:textFill>
                  <w14:solidFill>
                    <w14:schemeClr w14:val="tx1"/>
                  </w14:solidFill>
                </w14:textFill>
              </w:rPr>
              <w:t>活性炭吸附+15m高排气筒</w:t>
            </w:r>
          </w:p>
        </w:tc>
        <w:tc>
          <w:tcPr>
            <w:tcW w:w="2361" w:type="dxa"/>
            <w:tcBorders>
              <w:left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《工业企业挥发性有机物排放控制标准》（DB13/2322-2016）表1标准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320" w:type="dxa"/>
            <w:vMerge w:val="continue"/>
            <w:tcBorders>
              <w:left w:val="single" w:color="auto" w:sz="8"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19" w:type="dxa"/>
            <w:vMerge w:val="restart"/>
            <w:tcBorders>
              <w:top w:val="single" w:color="auto" w:sz="4" w:space="0"/>
              <w:left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无组织废气</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颗粒物</w:t>
            </w:r>
          </w:p>
        </w:tc>
        <w:tc>
          <w:tcPr>
            <w:tcW w:w="2017" w:type="dxa"/>
            <w:vMerge w:val="restart"/>
            <w:tcBorders>
              <w:top w:val="single" w:color="auto" w:sz="4" w:space="0"/>
              <w:left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生产车间密闭</w:t>
            </w:r>
          </w:p>
        </w:tc>
        <w:tc>
          <w:tcPr>
            <w:tcW w:w="2361" w:type="dxa"/>
            <w:tcBorders>
              <w:left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320" w:type="dxa"/>
            <w:vMerge w:val="continue"/>
            <w:tcBorders>
              <w:left w:val="single" w:color="auto" w:sz="8"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19" w:type="dxa"/>
            <w:vMerge w:val="continue"/>
            <w:tcBorders>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2017" w:type="dxa"/>
            <w:vMerge w:val="continue"/>
            <w:tcBorders>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61" w:type="dxa"/>
            <w:tcBorders>
              <w:left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《工业企业挥发性有机物排放控制标准》（DB13/2322-2016）表2标准</w:t>
            </w:r>
          </w:p>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《挥发性有机物无组织排放控制标准》（GB37822-2019）中附录A</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0" w:type="dxa"/>
            <w:tcBorders>
              <w:top w:val="single" w:color="auto" w:sz="4" w:space="0"/>
              <w:left w:val="single" w:color="auto" w:sz="8"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地表水环境</w:t>
            </w: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办公生活</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20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生活污水排入化粪池</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定期抽运</w:t>
            </w:r>
            <w:r>
              <w:rPr>
                <w:rFonts w:hint="eastAsia" w:cs="Times New Roman"/>
                <w:color w:val="000000" w:themeColor="text1"/>
                <w:sz w:val="21"/>
                <w:szCs w:val="21"/>
                <w:highlight w:val="none"/>
                <w:lang w:val="en-US" w:eastAsia="zh-CN"/>
                <w14:textFill>
                  <w14:solidFill>
                    <w14:schemeClr w14:val="tx1"/>
                  </w14:solidFill>
                </w14:textFill>
              </w:rPr>
              <w:t>用于农肥</w:t>
            </w:r>
          </w:p>
        </w:tc>
        <w:tc>
          <w:tcPr>
            <w:tcW w:w="2361"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320" w:type="dxa"/>
            <w:tcBorders>
              <w:top w:val="single" w:color="auto" w:sz="4" w:space="0"/>
              <w:left w:val="single" w:color="auto" w:sz="8"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w:t>
            </w: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生产设备</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A声级</w:t>
            </w:r>
          </w:p>
        </w:tc>
        <w:tc>
          <w:tcPr>
            <w:tcW w:w="20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设备基础</w:t>
            </w:r>
            <w:r>
              <w:rPr>
                <w:rFonts w:hint="eastAsia" w:cs="Times New Roman"/>
                <w:color w:val="000000" w:themeColor="text1"/>
                <w:sz w:val="21"/>
                <w:szCs w:val="21"/>
                <w:highlight w:val="none"/>
                <w:lang w:val="en-US" w:eastAsia="zh-CN"/>
                <w14:textFill>
                  <w14:solidFill>
                    <w14:schemeClr w14:val="tx1"/>
                  </w14:solidFill>
                </w14:textFill>
              </w:rPr>
              <w:t>减振</w:t>
            </w:r>
            <w:r>
              <w:rPr>
                <w:rFonts w:hint="default" w:ascii="Times New Roman" w:hAnsi="Times New Roman" w:eastAsia="宋体" w:cs="Times New Roman"/>
                <w:color w:val="000000" w:themeColor="text1"/>
                <w:sz w:val="21"/>
                <w:szCs w:val="21"/>
                <w:highlight w:val="none"/>
                <w14:textFill>
                  <w14:solidFill>
                    <w14:schemeClr w14:val="tx1"/>
                  </w14:solidFill>
                </w14:textFill>
              </w:rPr>
              <w:t>，车间封闭</w:t>
            </w:r>
          </w:p>
        </w:tc>
        <w:tc>
          <w:tcPr>
            <w:tcW w:w="2361" w:type="dxa"/>
            <w:tcBorders>
              <w:top w:val="single" w:color="auto" w:sz="4" w:space="0"/>
              <w:left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《工业企业厂界环境噪声排放标准》（GB12348-2008）中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类区标准要求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20"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电磁环境</w:t>
            </w:r>
          </w:p>
        </w:tc>
        <w:tc>
          <w:tcPr>
            <w:tcW w:w="171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83"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017"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361"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320" w:type="dxa"/>
            <w:tcBorders>
              <w:top w:val="single" w:color="auto" w:sz="4" w:space="0"/>
              <w:left w:val="single" w:color="auto" w:sz="8" w:space="0"/>
              <w:bottom w:val="single" w:color="auto" w:sz="4" w:space="0"/>
              <w:right w:val="single" w:color="auto" w:sz="4"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固体废物</w:t>
            </w:r>
          </w:p>
        </w:tc>
        <w:tc>
          <w:tcPr>
            <w:tcW w:w="748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废木质边角料、废金属边角料、废封边条、废纸箱纸板、除尘灰收集后外售，回收塑粉收集后回用；</w:t>
            </w:r>
            <w:r>
              <w:rPr>
                <w:rFonts w:hint="default" w:ascii="Times New Roman" w:hAnsi="Times New Roman" w:cs="Times New Roman"/>
                <w:color w:val="000000" w:themeColor="text1"/>
                <w:highlight w:val="none"/>
                <w14:textFill>
                  <w14:solidFill>
                    <w14:schemeClr w14:val="tx1"/>
                  </w14:solidFill>
                </w14:textFill>
              </w:rPr>
              <w:t>废活性炭</w:t>
            </w:r>
            <w:r>
              <w:rPr>
                <w:rFonts w:hint="default" w:ascii="Times New Roman" w:hAnsi="Times New Roman" w:cs="Times New Roman"/>
                <w:color w:val="000000" w:themeColor="text1"/>
                <w:highlight w:val="none"/>
                <w:lang w:eastAsia="zh-CN"/>
                <w14:textFill>
                  <w14:solidFill>
                    <w14:schemeClr w14:val="tx1"/>
                  </w14:solidFill>
                </w14:textFill>
              </w:rPr>
              <w:t>、废胶</w:t>
            </w:r>
            <w:r>
              <w:rPr>
                <w:rFonts w:hint="eastAsia" w:cs="Times New Roman"/>
                <w:color w:val="000000" w:themeColor="text1"/>
                <w:highlight w:val="none"/>
                <w:lang w:val="en-US" w:eastAsia="zh-CN"/>
                <w14:textFill>
                  <w14:solidFill>
                    <w14:schemeClr w14:val="tx1"/>
                  </w14:solidFill>
                </w14:textFill>
              </w:rPr>
              <w:t>袋、废机油、废油桶收集后在</w:t>
            </w: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危险废物暂存间暂存</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定期由有资质单位处理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20"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土壤及地下水污染防治措施</w:t>
            </w:r>
          </w:p>
        </w:tc>
        <w:tc>
          <w:tcPr>
            <w:tcW w:w="748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项目厂区采取源头控制措施、分区防渗措施。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20"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生态保护措施</w:t>
            </w:r>
          </w:p>
        </w:tc>
        <w:tc>
          <w:tcPr>
            <w:tcW w:w="748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20"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环境风险防范措施</w:t>
            </w:r>
          </w:p>
        </w:tc>
        <w:tc>
          <w:tcPr>
            <w:tcW w:w="748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a 项目产生的废活性炭、废机油使用密闭容器盛装，暂存于危废间指定区域内，危废间地面做好防渗，防渗要求保证渗透系数小于1×10-10cm/s。</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b 危废间必须由专人管理，双人双锁，其他人未经允许不得进入库内。</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 危险废物贮存方式要符合国家对安全、消防的标准要求，设置明显的安全警示标志。</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d 准备相应的消防应急物资，砂土、灭火器、消防栓等配备齐全。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58" w:hRule="atLeast"/>
          <w:jc w:val="center"/>
        </w:trPr>
        <w:tc>
          <w:tcPr>
            <w:tcW w:w="1320"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其他环境管理要求</w:t>
            </w:r>
          </w:p>
        </w:tc>
        <w:tc>
          <w:tcPr>
            <w:tcW w:w="748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落实分表计电措施，对环保装置进行分表计电，禁止把生产设备线路接入改造线路，保留设计资料并存档；在当地主管部门要求的期限内，将分表计电内容接入环保部门监控平台。</w:t>
            </w:r>
          </w:p>
        </w:tc>
      </w:tr>
    </w:tbl>
    <w:p>
      <w:pPr>
        <w:pStyle w:val="20"/>
        <w:jc w:val="center"/>
        <w:outlineLvl w:val="0"/>
        <w:rPr>
          <w:rFonts w:hint="default" w:ascii="黑体" w:eastAsia="黑体" w:cs="黑体"/>
          <w:color w:val="000000" w:themeColor="text1"/>
          <w:sz w:val="30"/>
          <w:szCs w:val="30"/>
          <w:highlight w:val="none"/>
          <w14:textFill>
            <w14:solidFill>
              <w14:schemeClr w14:val="tx1"/>
            </w14:solidFill>
          </w14:textFill>
        </w:rPr>
      </w:pPr>
      <w:r>
        <w:rPr>
          <w:snapToGrid w:val="0"/>
          <w:color w:val="000000" w:themeColor="text1"/>
          <w:highlight w:val="none"/>
          <w:lang w:bidi="ar"/>
          <w14:textFill>
            <w14:solidFill>
              <w14:schemeClr w14:val="tx1"/>
            </w14:solidFill>
          </w14:textFill>
        </w:rPr>
        <w:br w:type="page"/>
      </w:r>
      <w:r>
        <w:rPr>
          <w:rFonts w:ascii="黑体" w:eastAsia="黑体" w:cs="黑体"/>
          <w:snapToGrid w:val="0"/>
          <w:color w:val="000000" w:themeColor="text1"/>
          <w:sz w:val="30"/>
          <w:szCs w:val="30"/>
          <w:highlight w:val="none"/>
          <w14:textFill>
            <w14:solidFill>
              <w14:schemeClr w14:val="tx1"/>
            </w14:solidFill>
          </w14:textFill>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color w:val="000000" w:themeColor="text1"/>
                <w:szCs w:val="21"/>
                <w:highlight w:val="none"/>
                <w14:textFill>
                  <w14:solidFill>
                    <w14:schemeClr w14:val="tx1"/>
                  </w14:solidFill>
                </w14:textFill>
              </w:rPr>
            </w:pPr>
            <w:r>
              <w:rPr>
                <w:rFonts w:hint="default" w:ascii="Times New Roman"/>
                <w:color w:val="000000" w:themeColor="text1"/>
                <w:kern w:val="0"/>
                <w:szCs w:val="21"/>
                <w:highlight w:val="none"/>
                <w14:textFill>
                  <w14:solidFill>
                    <w14:schemeClr w14:val="tx1"/>
                  </w14:solidFill>
                </w14:textFill>
              </w:rPr>
              <w:t>本项目位于河北</w:t>
            </w:r>
            <w:r>
              <w:rPr>
                <w:rFonts w:hint="eastAsia"/>
                <w:color w:val="000000" w:themeColor="text1"/>
                <w:kern w:val="0"/>
                <w:szCs w:val="21"/>
                <w:highlight w:val="none"/>
                <w:lang w:eastAsia="zh-CN"/>
                <w14:textFill>
                  <w14:solidFill>
                    <w14:schemeClr w14:val="tx1"/>
                  </w14:solidFill>
                </w14:textFill>
              </w:rPr>
              <w:t>宽城</w:t>
            </w:r>
            <w:r>
              <w:rPr>
                <w:rFonts w:hint="default" w:ascii="Times New Roman"/>
                <w:color w:val="000000" w:themeColor="text1"/>
                <w:kern w:val="0"/>
                <w:szCs w:val="21"/>
                <w:highlight w:val="none"/>
                <w14:textFill>
                  <w14:solidFill>
                    <w14:schemeClr w14:val="tx1"/>
                  </w14:solidFill>
                </w14:textFill>
              </w:rPr>
              <w:t>经济开发区</w:t>
            </w:r>
            <w:r>
              <w:rPr>
                <w:rFonts w:hint="eastAsia"/>
                <w:color w:val="000000" w:themeColor="text1"/>
                <w:kern w:val="0"/>
                <w:szCs w:val="21"/>
                <w:highlight w:val="none"/>
                <w:lang w:eastAsia="zh-CN"/>
                <w14:textFill>
                  <w14:solidFill>
                    <w14:schemeClr w14:val="tx1"/>
                  </w14:solidFill>
                </w14:textFill>
              </w:rPr>
              <w:t>龙须门片区内</w:t>
            </w:r>
            <w:r>
              <w:rPr>
                <w:rFonts w:hint="default" w:ascii="Times New Roman"/>
                <w:color w:val="000000" w:themeColor="text1"/>
                <w:kern w:val="0"/>
                <w:szCs w:val="21"/>
                <w:highlight w:val="none"/>
                <w14:textFill>
                  <w14:solidFill>
                    <w14:schemeClr w14:val="tx1"/>
                  </w14:solidFill>
                </w14:textFill>
              </w:rPr>
              <w:t>，</w:t>
            </w:r>
            <w:r>
              <w:rPr>
                <w:rFonts w:hint="eastAsia"/>
                <w:color w:val="000000" w:themeColor="text1"/>
                <w:szCs w:val="21"/>
                <w:highlight w:val="none"/>
                <w:lang w:eastAsia="zh-CN"/>
                <w14:textFill>
                  <w14:solidFill>
                    <w14:schemeClr w14:val="tx1"/>
                  </w14:solidFill>
                </w14:textFill>
              </w:rPr>
              <w:t>租赁</w:t>
            </w:r>
            <w:r>
              <w:rPr>
                <w:rFonts w:hint="default" w:ascii="Times New Roman"/>
                <w:color w:val="000000" w:themeColor="text1"/>
                <w:kern w:val="0"/>
                <w:szCs w:val="21"/>
                <w:highlight w:val="none"/>
                <w14:textFill>
                  <w14:solidFill>
                    <w14:schemeClr w14:val="tx1"/>
                  </w14:solidFill>
                </w14:textFill>
              </w:rPr>
              <w:t>现有厂</w:t>
            </w:r>
            <w:r>
              <w:rPr>
                <w:rFonts w:hint="eastAsia"/>
                <w:color w:val="000000" w:themeColor="text1"/>
                <w:kern w:val="0"/>
                <w:szCs w:val="21"/>
                <w:highlight w:val="none"/>
                <w:lang w:eastAsia="zh-CN"/>
                <w14:textFill>
                  <w14:solidFill>
                    <w14:schemeClr w14:val="tx1"/>
                  </w14:solidFill>
                </w14:textFill>
              </w:rPr>
              <w:t>房</w:t>
            </w:r>
            <w:r>
              <w:rPr>
                <w:rFonts w:hint="default" w:ascii="Times New Roman"/>
                <w:color w:val="000000" w:themeColor="text1"/>
                <w:kern w:val="0"/>
                <w:szCs w:val="21"/>
                <w:highlight w:val="none"/>
                <w14:textFill>
                  <w14:solidFill>
                    <w14:schemeClr w14:val="tx1"/>
                  </w14:solidFill>
                </w14:textFill>
              </w:rPr>
              <w:t>，不涉及新增占地，且选址合理，建设符合国家当前产业政策要求；本项目采取了较为完善的污染治理措施，可确保污染物达标排放；项目实施后，对周围环境影响可接受。</w:t>
            </w:r>
          </w:p>
          <w:p>
            <w:pPr>
              <w:pStyle w:val="10"/>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从环境保护的角度，</w:t>
            </w:r>
            <w:r>
              <w:rPr>
                <w:rFonts w:hint="eastAsia" w:ascii="Times New Roman" w:hAnsi="Times New Roman" w:cs="Times New Roman"/>
                <w:color w:val="000000" w:themeColor="text1"/>
                <w:sz w:val="24"/>
                <w:highlight w:val="none"/>
                <w:lang w:val="en-US" w:eastAsia="zh-CN"/>
                <w14:textFill>
                  <w14:solidFill>
                    <w14:schemeClr w14:val="tx1"/>
                  </w14:solidFill>
                </w14:textFill>
              </w:rPr>
              <w:t>建设项目环境影响可行</w:t>
            </w:r>
            <w:r>
              <w:rPr>
                <w:rFonts w:hint="eastAsia" w:cs="Times New Roman"/>
                <w:color w:val="000000" w:themeColor="text1"/>
                <w:sz w:val="24"/>
                <w:highlight w:val="none"/>
                <w:lang w:val="en-US" w:eastAsia="zh-CN"/>
                <w14:textFill>
                  <w14:solidFill>
                    <w14:schemeClr w14:val="tx1"/>
                  </w14:solidFill>
                </w14:textFill>
              </w:rPr>
              <w:t>。</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000000" w:themeColor="text1"/>
                <w:sz w:val="24"/>
                <w:highlight w:val="none"/>
                <w14:textFill>
                  <w14:solidFill>
                    <w14:schemeClr w14:val="tx1"/>
                  </w14:solidFill>
                </w14:textFill>
              </w:rPr>
            </w:pPr>
          </w:p>
        </w:tc>
      </w:tr>
    </w:tbl>
    <w:p>
      <w:pPr>
        <w:rPr>
          <w:rFonts w:ascii="宋体" w:hAnsi="Times New Roman" w:eastAsia="宋体" w:cs="Times New Roman"/>
          <w:color w:val="000000" w:themeColor="text1"/>
          <w:highlight w:val="none"/>
          <w:lang w:bidi="ar"/>
          <w14:textFill>
            <w14:solidFill>
              <w14:schemeClr w14:val="tx1"/>
            </w14:solidFill>
          </w14:textFill>
        </w:rPr>
        <w:sectPr>
          <w:pgSz w:w="11906" w:h="16838"/>
          <w:pgMar w:top="1702" w:right="1531" w:bottom="1702" w:left="1531" w:header="851" w:footer="851" w:gutter="0"/>
          <w:pgNumType w:fmt="decimal"/>
          <w:cols w:space="425" w:num="1"/>
          <w:docGrid w:type="lines" w:linePitch="312" w:charSpace="0"/>
        </w:sectPr>
      </w:pPr>
    </w:p>
    <w:p>
      <w:pPr>
        <w:pStyle w:val="20"/>
        <w:keepNext w:val="0"/>
        <w:keepLines w:val="0"/>
        <w:pageBreakBefore w:val="0"/>
        <w:widowControl/>
        <w:kinsoku/>
        <w:wordWrap/>
        <w:overflowPunct/>
        <w:topLinePunct w:val="0"/>
        <w:autoSpaceDE/>
        <w:autoSpaceDN/>
        <w:bidi w:val="0"/>
        <w:adjustRightInd w:val="0"/>
        <w:snapToGrid w:val="0"/>
        <w:spacing w:beforeAutospacing="0" w:afterAutospacing="0" w:line="360" w:lineRule="auto"/>
        <w:textAlignment w:val="auto"/>
        <w:outlineLvl w:val="0"/>
        <w:rPr>
          <w:rFonts w:hint="default" w:ascii="黑体" w:eastAsia="黑体" w:cs="黑体"/>
          <w:color w:val="000000" w:themeColor="text1"/>
          <w:sz w:val="32"/>
          <w:szCs w:val="32"/>
          <w:highlight w:val="none"/>
          <w14:textFill>
            <w14:solidFill>
              <w14:schemeClr w14:val="tx1"/>
            </w14:solidFill>
          </w14:textFill>
        </w:rPr>
      </w:pPr>
      <w:r>
        <w:rPr>
          <w:rFonts w:ascii="黑体" w:eastAsia="黑体" w:cs="黑体"/>
          <w:snapToGrid w:val="0"/>
          <w:color w:val="000000" w:themeColor="text1"/>
          <w:sz w:val="32"/>
          <w:szCs w:val="32"/>
          <w:highlight w:val="none"/>
          <w14:textFill>
            <w14:solidFill>
              <w14:schemeClr w14:val="tx1"/>
            </w14:solidFill>
          </w14:textFill>
        </w:rPr>
        <w:t>附表</w:t>
      </w:r>
    </w:p>
    <w:p>
      <w:pPr>
        <w:pStyle w:val="20"/>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center"/>
        <w:textAlignment w:val="auto"/>
        <w:outlineLvl w:val="0"/>
        <w:rPr>
          <w:rFonts w:hint="default" w:ascii="方正小标宋_GBK" w:eastAsia="方正小标宋_GBK" w:cs="方正小标宋_GBK"/>
          <w:color w:val="000000" w:themeColor="text1"/>
          <w:sz w:val="38"/>
          <w:szCs w:val="38"/>
          <w:highlight w:val="none"/>
          <w14:textFill>
            <w14:solidFill>
              <w14:schemeClr w14:val="tx1"/>
            </w14:solidFill>
          </w14:textFill>
        </w:rPr>
      </w:pPr>
      <w:r>
        <w:rPr>
          <w:rFonts w:ascii="方正小标宋_GBK" w:eastAsia="方正小标宋_GBK" w:cs="方正小标宋_GBK"/>
          <w:snapToGrid w:val="0"/>
          <w:color w:val="000000" w:themeColor="text1"/>
          <w:sz w:val="38"/>
          <w:szCs w:val="38"/>
          <w:highlight w:val="none"/>
          <w14:textFill>
            <w14:solidFill>
              <w14:schemeClr w14:val="tx1"/>
            </w14:solidFill>
          </w14:textFill>
        </w:rPr>
        <w:t>建设项目污染物排放量汇总表</w:t>
      </w:r>
    </w:p>
    <w:tbl>
      <w:tblPr>
        <w:tblStyle w:val="24"/>
        <w:tblW w:w="1379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418"/>
        <w:gridCol w:w="1703"/>
        <w:gridCol w:w="1276"/>
        <w:gridCol w:w="1703"/>
        <w:gridCol w:w="1560"/>
        <w:gridCol w:w="1383"/>
        <w:gridCol w:w="1690"/>
        <w:gridCol w:w="14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pPr>
              <w:pStyle w:val="41"/>
              <w:keepNext w:val="0"/>
              <w:keepLines w:val="0"/>
              <w:widowControl/>
              <w:suppressLineNumbers w:val="0"/>
              <w:spacing w:before="31" w:beforeAutospacing="0" w:after="31" w:afterAutospacing="0" w:line="240" w:lineRule="auto"/>
              <w:ind w:left="0" w:right="0"/>
              <w:jc w:val="right"/>
              <w:rPr>
                <w:rFonts w:hint="default" w:ascii="Times New Roman" w:eastAsia="黑体"/>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项目</w:t>
            </w:r>
          </w:p>
          <w:p>
            <w:pPr>
              <w:pStyle w:val="41"/>
              <w:keepNext w:val="0"/>
              <w:keepLines w:val="0"/>
              <w:widowControl/>
              <w:suppressLineNumbers w:val="0"/>
              <w:spacing w:before="31" w:beforeAutospacing="0" w:after="31" w:afterAutospacing="0" w:line="240" w:lineRule="auto"/>
              <w:ind w:left="0" w:right="0"/>
              <w:jc w:val="left"/>
              <w:rPr>
                <w:rFonts w:hint="default" w:ascii="Times New Roman" w:eastAsia="黑体"/>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分类</w:t>
            </w:r>
          </w:p>
        </w:tc>
        <w:tc>
          <w:tcPr>
            <w:tcW w:w="1418"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黑体"/>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污染物名称</w:t>
            </w:r>
          </w:p>
        </w:tc>
        <w:tc>
          <w:tcPr>
            <w:tcW w:w="1703"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黑体"/>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现有工程</w:t>
            </w:r>
          </w:p>
          <w:p>
            <w:pPr>
              <w:pStyle w:val="41"/>
              <w:keepNext w:val="0"/>
              <w:keepLines w:val="0"/>
              <w:widowControl/>
              <w:suppressLineNumbers w:val="0"/>
              <w:spacing w:before="31" w:beforeAutospacing="0" w:after="31" w:afterAutospacing="0" w:line="240" w:lineRule="auto"/>
              <w:ind w:left="0" w:right="0"/>
              <w:rPr>
                <w:rFonts w:hint="default" w:ascii="Times New Roman" w:eastAsia="黑体"/>
                <w:snapToGrid w:val="0"/>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eastAsia="黑体"/>
                <w:color w:val="000000" w:themeColor="text1"/>
                <w:spacing w:val="-6"/>
                <w:kern w:val="21"/>
                <w:szCs w:val="21"/>
                <w:highlight w:val="none"/>
                <w14:textFill>
                  <w14:solidFill>
                    <w14:schemeClr w14:val="tx1"/>
                  </w14:solidFill>
                </w14:textFill>
              </w:rPr>
              <w:fldChar w:fldCharType="begin"/>
            </w:r>
            <w:r>
              <w:rPr>
                <w:rFonts w:hint="default" w:ascii="Times New Roman" w:eastAsia="黑体"/>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eastAsia="黑体"/>
                <w:color w:val="000000" w:themeColor="text1"/>
                <w:spacing w:val="-6"/>
                <w:kern w:val="21"/>
                <w:szCs w:val="21"/>
                <w:highlight w:val="none"/>
                <w14:textFill>
                  <w14:solidFill>
                    <w14:schemeClr w14:val="tx1"/>
                  </w14:solidFill>
                </w14:textFill>
              </w:rPr>
              <w:fldChar w:fldCharType="separate"/>
            </w:r>
            <w:r>
              <w:rPr>
                <w:rFonts w:hint="default" w:ascii="Times New Roman" w:eastAsia="黑体"/>
                <w:color w:val="000000" w:themeColor="text1"/>
                <w:kern w:val="2"/>
                <w:szCs w:val="21"/>
                <w:highlight w:val="none"/>
                <w14:textFill>
                  <w14:solidFill>
                    <w14:schemeClr w14:val="tx1"/>
                  </w14:solidFill>
                </w14:textFill>
              </w:rPr>
              <w:t>①</w:t>
            </w:r>
            <w:r>
              <w:rPr>
                <w:rFonts w:hint="default" w:ascii="Times New Roman" w:eastAsia="黑体"/>
                <w:color w:val="000000" w:themeColor="text1"/>
                <w:spacing w:val="-6"/>
                <w:kern w:val="21"/>
                <w:szCs w:val="21"/>
                <w:highlight w:val="none"/>
                <w14:textFill>
                  <w14:solidFill>
                    <w14:schemeClr w14:val="tx1"/>
                  </w14:solidFill>
                </w14:textFill>
              </w:rPr>
              <w:fldChar w:fldCharType="end"/>
            </w:r>
          </w:p>
        </w:tc>
        <w:tc>
          <w:tcPr>
            <w:tcW w:w="127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黑体"/>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现有工程</w:t>
            </w:r>
          </w:p>
          <w:p>
            <w:pPr>
              <w:pStyle w:val="41"/>
              <w:keepNext w:val="0"/>
              <w:keepLines w:val="0"/>
              <w:widowControl/>
              <w:suppressLineNumbers w:val="0"/>
              <w:spacing w:before="31" w:beforeAutospacing="0" w:after="31" w:afterAutospacing="0" w:line="240" w:lineRule="auto"/>
              <w:ind w:left="0" w:right="0"/>
              <w:rPr>
                <w:rFonts w:hint="default" w:ascii="Times New Roman" w:eastAsia="黑体"/>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许可排放量</w:t>
            </w:r>
          </w:p>
          <w:p>
            <w:pPr>
              <w:pStyle w:val="41"/>
              <w:keepNext w:val="0"/>
              <w:keepLines w:val="0"/>
              <w:widowControl/>
              <w:suppressLineNumbers w:val="0"/>
              <w:spacing w:before="31" w:beforeAutospacing="0" w:after="31" w:afterAutospacing="0"/>
              <w:ind w:left="0" w:right="0"/>
              <w:rPr>
                <w:rFonts w:hint="default" w:ascii="Times New Roman" w:eastAsia="黑体"/>
                <w:snapToGrid w:val="0"/>
                <w:color w:val="000000" w:themeColor="text1"/>
                <w:spacing w:val="-6"/>
                <w:kern w:val="21"/>
                <w:szCs w:val="21"/>
                <w:highlight w:val="none"/>
                <w14:textFill>
                  <w14:solidFill>
                    <w14:schemeClr w14:val="tx1"/>
                  </w14:solidFill>
                </w14:textFill>
              </w:rPr>
            </w:pPr>
            <w:r>
              <w:rPr>
                <w:rFonts w:hint="default" w:ascii="Times New Roman" w:eastAsia="黑体"/>
                <w:color w:val="000000" w:themeColor="text1"/>
                <w:spacing w:val="-6"/>
                <w:kern w:val="21"/>
                <w:szCs w:val="21"/>
                <w:highlight w:val="none"/>
                <w14:textFill>
                  <w14:solidFill>
                    <w14:schemeClr w14:val="tx1"/>
                  </w14:solidFill>
                </w14:textFill>
              </w:rPr>
              <w:fldChar w:fldCharType="begin"/>
            </w:r>
            <w:r>
              <w:rPr>
                <w:rFonts w:hint="default" w:ascii="Times New Roman" w:eastAsia="黑体"/>
                <w:color w:val="000000" w:themeColor="text1"/>
                <w:spacing w:val="-6"/>
                <w:kern w:val="21"/>
                <w:szCs w:val="21"/>
                <w:highlight w:val="none"/>
                <w14:textFill>
                  <w14:solidFill>
                    <w14:schemeClr w14:val="tx1"/>
                  </w14:solidFill>
                </w14:textFill>
              </w:rPr>
              <w:instrText xml:space="preserve"> </w:instrText>
            </w:r>
            <w:r>
              <w:rPr>
                <w:rFonts w:hint="default" w:ascii="Times New Roman" w:eastAsia="黑体"/>
                <w:snapToGrid w:val="0"/>
                <w:color w:val="000000" w:themeColor="text1"/>
                <w:spacing w:val="-6"/>
                <w:kern w:val="21"/>
                <w:szCs w:val="21"/>
                <w:highlight w:val="none"/>
                <w14:textFill>
                  <w14:solidFill>
                    <w14:schemeClr w14:val="tx1"/>
                  </w14:solidFill>
                </w14:textFill>
              </w:rPr>
              <w:instrText xml:space="preserve">= 2 \* GB3 \* MERGEFORMAT </w:instrText>
            </w:r>
            <w:r>
              <w:rPr>
                <w:rFonts w:hint="default" w:ascii="Times New Roman" w:eastAsia="黑体"/>
                <w:color w:val="000000" w:themeColor="text1"/>
                <w:spacing w:val="-6"/>
                <w:kern w:val="21"/>
                <w:szCs w:val="21"/>
                <w:highlight w:val="none"/>
                <w14:textFill>
                  <w14:solidFill>
                    <w14:schemeClr w14:val="tx1"/>
                  </w14:solidFill>
                </w14:textFill>
              </w:rPr>
              <w:fldChar w:fldCharType="separate"/>
            </w:r>
            <w:r>
              <w:rPr>
                <w:rFonts w:hint="default" w:ascii="Times New Roman" w:eastAsia="黑体"/>
                <w:snapToGrid w:val="0"/>
                <w:color w:val="000000" w:themeColor="text1"/>
                <w:spacing w:val="-6"/>
                <w:kern w:val="21"/>
                <w:szCs w:val="21"/>
                <w:highlight w:val="none"/>
                <w14:textFill>
                  <w14:solidFill>
                    <w14:schemeClr w14:val="tx1"/>
                  </w14:solidFill>
                </w14:textFill>
              </w:rPr>
              <w:t>②</w:t>
            </w:r>
            <w:r>
              <w:rPr>
                <w:rFonts w:hint="default" w:ascii="Times New Roman" w:eastAsia="黑体"/>
                <w:color w:val="000000" w:themeColor="text1"/>
                <w:spacing w:val="-6"/>
                <w:kern w:val="21"/>
                <w:szCs w:val="21"/>
                <w:highlight w:val="none"/>
                <w14:textFill>
                  <w14:solidFill>
                    <w14:schemeClr w14:val="tx1"/>
                  </w14:solidFill>
                </w14:textFill>
              </w:rPr>
              <w:fldChar w:fldCharType="end"/>
            </w:r>
          </w:p>
        </w:tc>
        <w:tc>
          <w:tcPr>
            <w:tcW w:w="1703"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黑体"/>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在建工程</w:t>
            </w:r>
          </w:p>
          <w:p>
            <w:pPr>
              <w:pStyle w:val="41"/>
              <w:keepNext w:val="0"/>
              <w:keepLines w:val="0"/>
              <w:widowControl/>
              <w:suppressLineNumbers w:val="0"/>
              <w:spacing w:before="31" w:beforeAutospacing="0" w:after="31" w:afterAutospacing="0" w:line="240" w:lineRule="auto"/>
              <w:ind w:left="0" w:right="0"/>
              <w:rPr>
                <w:rFonts w:hint="default" w:ascii="Times New Roman" w:eastAsia="黑体"/>
                <w:snapToGrid w:val="0"/>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eastAsia="黑体"/>
                <w:color w:val="000000" w:themeColor="text1"/>
                <w:spacing w:val="-6"/>
                <w:kern w:val="21"/>
                <w:szCs w:val="21"/>
                <w:highlight w:val="none"/>
                <w14:textFill>
                  <w14:solidFill>
                    <w14:schemeClr w14:val="tx1"/>
                  </w14:solidFill>
                </w14:textFill>
              </w:rPr>
              <w:fldChar w:fldCharType="begin"/>
            </w:r>
            <w:r>
              <w:rPr>
                <w:rFonts w:hint="default" w:ascii="Times New Roman" w:eastAsia="黑体"/>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eastAsia="黑体"/>
                <w:color w:val="000000" w:themeColor="text1"/>
                <w:spacing w:val="-6"/>
                <w:kern w:val="21"/>
                <w:szCs w:val="21"/>
                <w:highlight w:val="none"/>
                <w14:textFill>
                  <w14:solidFill>
                    <w14:schemeClr w14:val="tx1"/>
                  </w14:solidFill>
                </w14:textFill>
              </w:rPr>
              <w:fldChar w:fldCharType="separate"/>
            </w:r>
            <w:r>
              <w:rPr>
                <w:rFonts w:hint="default" w:ascii="Times New Roman" w:eastAsia="黑体"/>
                <w:color w:val="000000" w:themeColor="text1"/>
                <w:kern w:val="2"/>
                <w:szCs w:val="21"/>
                <w:highlight w:val="none"/>
                <w14:textFill>
                  <w14:solidFill>
                    <w14:schemeClr w14:val="tx1"/>
                  </w14:solidFill>
                </w14:textFill>
              </w:rPr>
              <w:t>③</w:t>
            </w:r>
            <w:r>
              <w:rPr>
                <w:rFonts w:hint="default" w:ascii="Times New Roman" w:eastAsia="黑体"/>
                <w:color w:val="000000" w:themeColor="text1"/>
                <w:spacing w:val="-6"/>
                <w:kern w:val="21"/>
                <w:szCs w:val="21"/>
                <w:highlight w:val="none"/>
                <w14:textFill>
                  <w14:solidFill>
                    <w14:schemeClr w14:val="tx1"/>
                  </w14:solidFill>
                </w14:textFill>
              </w:rPr>
              <w:fldChar w:fldCharType="end"/>
            </w:r>
          </w:p>
        </w:tc>
        <w:tc>
          <w:tcPr>
            <w:tcW w:w="1560"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黑体"/>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本项目</w:t>
            </w:r>
          </w:p>
          <w:p>
            <w:pPr>
              <w:pStyle w:val="41"/>
              <w:keepNext w:val="0"/>
              <w:keepLines w:val="0"/>
              <w:widowControl/>
              <w:suppressLineNumbers w:val="0"/>
              <w:spacing w:before="31" w:beforeAutospacing="0" w:after="31" w:afterAutospacing="0" w:line="240" w:lineRule="auto"/>
              <w:ind w:left="0" w:right="0"/>
              <w:rPr>
                <w:rFonts w:hint="default" w:ascii="Times New Roman" w:eastAsia="黑体"/>
                <w:snapToGrid w:val="0"/>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eastAsia="黑体"/>
                <w:color w:val="000000" w:themeColor="text1"/>
                <w:spacing w:val="-6"/>
                <w:kern w:val="21"/>
                <w:szCs w:val="21"/>
                <w:highlight w:val="none"/>
                <w14:textFill>
                  <w14:solidFill>
                    <w14:schemeClr w14:val="tx1"/>
                  </w14:solidFill>
                </w14:textFill>
              </w:rPr>
              <w:fldChar w:fldCharType="begin"/>
            </w:r>
            <w:r>
              <w:rPr>
                <w:rFonts w:hint="default" w:ascii="Times New Roman" w:eastAsia="黑体"/>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eastAsia="黑体"/>
                <w:color w:val="000000" w:themeColor="text1"/>
                <w:spacing w:val="-6"/>
                <w:kern w:val="21"/>
                <w:szCs w:val="21"/>
                <w:highlight w:val="none"/>
                <w14:textFill>
                  <w14:solidFill>
                    <w14:schemeClr w14:val="tx1"/>
                  </w14:solidFill>
                </w14:textFill>
              </w:rPr>
              <w:fldChar w:fldCharType="separate"/>
            </w:r>
            <w:r>
              <w:rPr>
                <w:rFonts w:hint="default" w:ascii="Times New Roman" w:eastAsia="黑体"/>
                <w:color w:val="000000" w:themeColor="text1"/>
                <w:kern w:val="2"/>
                <w:szCs w:val="21"/>
                <w:highlight w:val="none"/>
                <w14:textFill>
                  <w14:solidFill>
                    <w14:schemeClr w14:val="tx1"/>
                  </w14:solidFill>
                </w14:textFill>
              </w:rPr>
              <w:t>④</w:t>
            </w:r>
            <w:r>
              <w:rPr>
                <w:rFonts w:hint="default" w:ascii="Times New Roman" w:eastAsia="黑体"/>
                <w:color w:val="000000" w:themeColor="text1"/>
                <w:spacing w:val="-6"/>
                <w:kern w:val="21"/>
                <w:szCs w:val="21"/>
                <w:highlight w:val="none"/>
                <w14:textFill>
                  <w14:solidFill>
                    <w14:schemeClr w14:val="tx1"/>
                  </w14:solidFill>
                </w14:textFill>
              </w:rPr>
              <w:fldChar w:fldCharType="end"/>
            </w:r>
          </w:p>
        </w:tc>
        <w:tc>
          <w:tcPr>
            <w:tcW w:w="1383"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黑体"/>
                <w:color w:val="000000" w:themeColor="text1"/>
                <w:spacing w:val="-16"/>
                <w:kern w:val="21"/>
                <w:szCs w:val="21"/>
                <w:highlight w:val="none"/>
                <w14:textFill>
                  <w14:solidFill>
                    <w14:schemeClr w14:val="tx1"/>
                  </w14:solidFill>
                </w14:textFill>
              </w:rPr>
            </w:pPr>
            <w:r>
              <w:rPr>
                <w:rFonts w:hint="default" w:ascii="Times New Roman" w:eastAsia="黑体"/>
                <w:snapToGrid w:val="0"/>
                <w:color w:val="000000" w:themeColor="text1"/>
                <w:spacing w:val="-16"/>
                <w:kern w:val="21"/>
                <w:szCs w:val="21"/>
                <w:highlight w:val="none"/>
                <w14:textFill>
                  <w14:solidFill>
                    <w14:schemeClr w14:val="tx1"/>
                  </w14:solidFill>
                </w14:textFill>
              </w:rPr>
              <w:t>以新带老削减量</w:t>
            </w:r>
          </w:p>
          <w:p>
            <w:pPr>
              <w:pStyle w:val="41"/>
              <w:keepNext w:val="0"/>
              <w:keepLines w:val="0"/>
              <w:widowControl/>
              <w:suppressLineNumbers w:val="0"/>
              <w:spacing w:before="31" w:beforeAutospacing="0" w:after="31" w:afterAutospacing="0" w:line="240" w:lineRule="auto"/>
              <w:ind w:left="0" w:right="0"/>
              <w:rPr>
                <w:rFonts w:hint="default" w:ascii="Times New Roman" w:eastAsia="黑体"/>
                <w:snapToGrid w:val="0"/>
                <w:color w:val="000000" w:themeColor="text1"/>
                <w:spacing w:val="-16"/>
                <w:kern w:val="21"/>
                <w:szCs w:val="21"/>
                <w:highlight w:val="none"/>
                <w14:textFill>
                  <w14:solidFill>
                    <w14:schemeClr w14:val="tx1"/>
                  </w14:solidFill>
                </w14:textFill>
              </w:rPr>
            </w:pPr>
            <w:r>
              <w:rPr>
                <w:rFonts w:hint="default" w:ascii="Times New Roman" w:eastAsia="黑体"/>
                <w:snapToGrid w:val="0"/>
                <w:color w:val="000000" w:themeColor="text1"/>
                <w:spacing w:val="-16"/>
                <w:kern w:val="21"/>
                <w:szCs w:val="21"/>
                <w:highlight w:val="none"/>
                <w14:textFill>
                  <w14:solidFill>
                    <w14:schemeClr w14:val="tx1"/>
                  </w14:solidFill>
                </w14:textFill>
              </w:rPr>
              <w:t>（新建项目不填）</w:t>
            </w:r>
            <w:r>
              <w:rPr>
                <w:rFonts w:hint="default" w:ascii="Times New Roman" w:eastAsia="黑体"/>
                <w:color w:val="000000" w:themeColor="text1"/>
                <w:spacing w:val="-16"/>
                <w:kern w:val="21"/>
                <w:szCs w:val="21"/>
                <w:highlight w:val="none"/>
                <w14:textFill>
                  <w14:solidFill>
                    <w14:schemeClr w14:val="tx1"/>
                  </w14:solidFill>
                </w14:textFill>
              </w:rPr>
              <w:fldChar w:fldCharType="begin"/>
            </w:r>
            <w:r>
              <w:rPr>
                <w:rFonts w:hint="default" w:ascii="Times New Roman" w:eastAsia="黑体"/>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eastAsia="黑体"/>
                <w:color w:val="000000" w:themeColor="text1"/>
                <w:spacing w:val="-16"/>
                <w:kern w:val="21"/>
                <w:szCs w:val="21"/>
                <w:highlight w:val="none"/>
                <w14:textFill>
                  <w14:solidFill>
                    <w14:schemeClr w14:val="tx1"/>
                  </w14:solidFill>
                </w14:textFill>
              </w:rPr>
              <w:fldChar w:fldCharType="separate"/>
            </w:r>
            <w:r>
              <w:rPr>
                <w:rFonts w:hint="default" w:ascii="Times New Roman" w:eastAsia="黑体"/>
                <w:color w:val="000000" w:themeColor="text1"/>
                <w:kern w:val="2"/>
                <w:szCs w:val="21"/>
                <w:highlight w:val="none"/>
                <w14:textFill>
                  <w14:solidFill>
                    <w14:schemeClr w14:val="tx1"/>
                  </w14:solidFill>
                </w14:textFill>
              </w:rPr>
              <w:t>⑤</w:t>
            </w:r>
            <w:r>
              <w:rPr>
                <w:rFonts w:hint="default" w:ascii="Times New Roman" w:eastAsia="黑体"/>
                <w:color w:val="000000" w:themeColor="text1"/>
                <w:spacing w:val="-16"/>
                <w:kern w:val="21"/>
                <w:szCs w:val="21"/>
                <w:highlight w:val="none"/>
                <w14:textFill>
                  <w14:solidFill>
                    <w14:schemeClr w14:val="tx1"/>
                  </w14:solidFill>
                </w14:textFill>
              </w:rPr>
              <w:fldChar w:fldCharType="end"/>
            </w:r>
          </w:p>
        </w:tc>
        <w:tc>
          <w:tcPr>
            <w:tcW w:w="1690"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黑体"/>
                <w:color w:val="000000" w:themeColor="text1"/>
                <w:spacing w:val="-16"/>
                <w:kern w:val="21"/>
                <w:szCs w:val="21"/>
                <w:highlight w:val="none"/>
                <w14:textFill>
                  <w14:solidFill>
                    <w14:schemeClr w14:val="tx1"/>
                  </w14:solidFill>
                </w14:textFill>
              </w:rPr>
            </w:pPr>
            <w:r>
              <w:rPr>
                <w:rFonts w:hint="default" w:ascii="Times New Roman" w:eastAsia="黑体"/>
                <w:snapToGrid w:val="0"/>
                <w:color w:val="000000" w:themeColor="text1"/>
                <w:spacing w:val="-16"/>
                <w:kern w:val="21"/>
                <w:szCs w:val="21"/>
                <w:highlight w:val="none"/>
                <w14:textFill>
                  <w14:solidFill>
                    <w14:schemeClr w14:val="tx1"/>
                  </w14:solidFill>
                </w14:textFill>
              </w:rPr>
              <w:t>本项目建成后</w:t>
            </w:r>
          </w:p>
          <w:p>
            <w:pPr>
              <w:pStyle w:val="41"/>
              <w:keepNext w:val="0"/>
              <w:keepLines w:val="0"/>
              <w:widowControl/>
              <w:suppressLineNumbers w:val="0"/>
              <w:spacing w:before="31" w:beforeAutospacing="0" w:after="31" w:afterAutospacing="0" w:line="240" w:lineRule="auto"/>
              <w:ind w:left="0" w:right="0"/>
              <w:rPr>
                <w:rFonts w:hint="default" w:ascii="Times New Roman" w:eastAsia="黑体"/>
                <w:snapToGrid w:val="0"/>
                <w:color w:val="000000" w:themeColor="text1"/>
                <w:spacing w:val="-16"/>
                <w:kern w:val="21"/>
                <w:szCs w:val="21"/>
                <w:highlight w:val="none"/>
                <w14:textFill>
                  <w14:solidFill>
                    <w14:schemeClr w14:val="tx1"/>
                  </w14:solidFill>
                </w14:textFill>
              </w:rPr>
            </w:pPr>
            <w:r>
              <w:rPr>
                <w:rFonts w:hint="default" w:ascii="Times New Roman" w:eastAsia="黑体"/>
                <w:snapToGrid w:val="0"/>
                <w:color w:val="000000" w:themeColor="text1"/>
                <w:spacing w:val="-16"/>
                <w:kern w:val="21"/>
                <w:szCs w:val="21"/>
                <w:highlight w:val="none"/>
                <w14:textFill>
                  <w14:solidFill>
                    <w14:schemeClr w14:val="tx1"/>
                  </w14:solidFill>
                </w14:textFill>
              </w:rPr>
              <w:t>全厂排放量（固体废物产生量）</w:t>
            </w:r>
            <w:r>
              <w:rPr>
                <w:rFonts w:hint="default" w:ascii="Times New Roman" w:eastAsia="黑体"/>
                <w:color w:val="000000" w:themeColor="text1"/>
                <w:spacing w:val="-16"/>
                <w:kern w:val="21"/>
                <w:szCs w:val="21"/>
                <w:highlight w:val="none"/>
                <w14:textFill>
                  <w14:solidFill>
                    <w14:schemeClr w14:val="tx1"/>
                  </w14:solidFill>
                </w14:textFill>
              </w:rPr>
              <w:fldChar w:fldCharType="begin"/>
            </w:r>
            <w:r>
              <w:rPr>
                <w:rFonts w:hint="default" w:ascii="Times New Roman" w:eastAsia="黑体"/>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eastAsia="黑体"/>
                <w:color w:val="000000" w:themeColor="text1"/>
                <w:spacing w:val="-16"/>
                <w:kern w:val="21"/>
                <w:szCs w:val="21"/>
                <w:highlight w:val="none"/>
                <w14:textFill>
                  <w14:solidFill>
                    <w14:schemeClr w14:val="tx1"/>
                  </w14:solidFill>
                </w14:textFill>
              </w:rPr>
              <w:fldChar w:fldCharType="separate"/>
            </w:r>
            <w:r>
              <w:rPr>
                <w:rFonts w:hint="default" w:ascii="Times New Roman" w:eastAsia="黑体"/>
                <w:color w:val="000000" w:themeColor="text1"/>
                <w:kern w:val="2"/>
                <w:szCs w:val="21"/>
                <w:highlight w:val="none"/>
                <w14:textFill>
                  <w14:solidFill>
                    <w14:schemeClr w14:val="tx1"/>
                  </w14:solidFill>
                </w14:textFill>
              </w:rPr>
              <w:t>⑥</w:t>
            </w:r>
            <w:r>
              <w:rPr>
                <w:rFonts w:hint="default" w:ascii="Times New Roman" w:eastAsia="黑体"/>
                <w:color w:val="000000" w:themeColor="text1"/>
                <w:spacing w:val="-16"/>
                <w:kern w:val="21"/>
                <w:szCs w:val="21"/>
                <w:highlight w:val="none"/>
                <w14:textFill>
                  <w14:solidFill>
                    <w14:schemeClr w14:val="tx1"/>
                  </w14:solidFill>
                </w14:textFill>
              </w:rPr>
              <w:fldChar w:fldCharType="end"/>
            </w:r>
          </w:p>
        </w:tc>
        <w:tc>
          <w:tcPr>
            <w:tcW w:w="1476"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黑体"/>
                <w:color w:val="000000" w:themeColor="text1"/>
                <w:spacing w:val="-6"/>
                <w:kern w:val="21"/>
                <w:szCs w:val="21"/>
                <w:highlight w:val="none"/>
                <w14:textFill>
                  <w14:solidFill>
                    <w14:schemeClr w14:val="tx1"/>
                  </w14:solidFill>
                </w14:textFill>
              </w:rPr>
            </w:pPr>
            <w:r>
              <w:rPr>
                <w:rFonts w:hint="default" w:ascii="Times New Roman" w:eastAsia="黑体"/>
                <w:snapToGrid w:val="0"/>
                <w:color w:val="000000" w:themeColor="text1"/>
                <w:spacing w:val="-6"/>
                <w:kern w:val="21"/>
                <w:szCs w:val="21"/>
                <w:highlight w:val="none"/>
                <w14:textFill>
                  <w14:solidFill>
                    <w14:schemeClr w14:val="tx1"/>
                  </w14:solidFill>
                </w14:textFill>
              </w:rPr>
              <w:t>变化量</w:t>
            </w:r>
          </w:p>
          <w:p>
            <w:pPr>
              <w:pStyle w:val="41"/>
              <w:keepNext w:val="0"/>
              <w:keepLines w:val="0"/>
              <w:widowControl/>
              <w:suppressLineNumbers w:val="0"/>
              <w:spacing w:before="31" w:beforeAutospacing="0" w:after="31" w:afterAutospacing="0" w:line="240" w:lineRule="auto"/>
              <w:ind w:left="0" w:right="0"/>
              <w:rPr>
                <w:rFonts w:hint="default" w:ascii="Times New Roman" w:eastAsia="黑体"/>
                <w:snapToGrid w:val="0"/>
                <w:color w:val="000000" w:themeColor="text1"/>
                <w:spacing w:val="-6"/>
                <w:kern w:val="21"/>
                <w:szCs w:val="21"/>
                <w:highlight w:val="none"/>
                <w14:textFill>
                  <w14:solidFill>
                    <w14:schemeClr w14:val="tx1"/>
                  </w14:solidFill>
                </w14:textFill>
              </w:rPr>
            </w:pPr>
            <w:r>
              <w:rPr>
                <w:rFonts w:hint="default" w:ascii="Times New Roman" w:eastAsia="黑体"/>
                <w:color w:val="000000" w:themeColor="text1"/>
                <w:spacing w:val="-6"/>
                <w:kern w:val="21"/>
                <w:szCs w:val="21"/>
                <w:highlight w:val="none"/>
                <w14:textFill>
                  <w14:solidFill>
                    <w14:schemeClr w14:val="tx1"/>
                  </w14:solidFill>
                </w14:textFill>
              </w:rPr>
              <w:fldChar w:fldCharType="begin"/>
            </w:r>
            <w:r>
              <w:rPr>
                <w:rFonts w:hint="default" w:ascii="Times New Roman" w:eastAsia="黑体"/>
                <w:color w:val="000000" w:themeColor="text1"/>
                <w:spacing w:val="-6"/>
                <w:kern w:val="21"/>
                <w:szCs w:val="21"/>
                <w:highlight w:val="none"/>
                <w14:textFill>
                  <w14:solidFill>
                    <w14:schemeClr w14:val="tx1"/>
                  </w14:solidFill>
                </w14:textFill>
              </w:rPr>
              <w:instrText xml:space="preserve"> </w:instrText>
            </w:r>
            <w:r>
              <w:rPr>
                <w:rFonts w:hint="default" w:ascii="Times New Roman" w:eastAsia="黑体"/>
                <w:snapToGrid w:val="0"/>
                <w:color w:val="000000" w:themeColor="text1"/>
                <w:spacing w:val="-6"/>
                <w:kern w:val="21"/>
                <w:szCs w:val="21"/>
                <w:highlight w:val="none"/>
                <w14:textFill>
                  <w14:solidFill>
                    <w14:schemeClr w14:val="tx1"/>
                  </w14:solidFill>
                </w14:textFill>
              </w:rPr>
              <w:instrText xml:space="preserve">= 7 \* GB3 \* MERGEFORMAT </w:instrText>
            </w:r>
            <w:r>
              <w:rPr>
                <w:rFonts w:hint="default" w:ascii="Times New Roman" w:eastAsia="黑体"/>
                <w:color w:val="000000" w:themeColor="text1"/>
                <w:spacing w:val="-6"/>
                <w:kern w:val="21"/>
                <w:szCs w:val="21"/>
                <w:highlight w:val="none"/>
                <w14:textFill>
                  <w14:solidFill>
                    <w14:schemeClr w14:val="tx1"/>
                  </w14:solidFill>
                </w14:textFill>
              </w:rPr>
              <w:fldChar w:fldCharType="separate"/>
            </w:r>
            <w:r>
              <w:rPr>
                <w:rFonts w:hint="default" w:ascii="Times New Roman" w:eastAsia="黑体"/>
                <w:color w:val="000000" w:themeColor="text1"/>
                <w:kern w:val="2"/>
                <w:szCs w:val="21"/>
                <w:highlight w:val="none"/>
                <w14:textFill>
                  <w14:solidFill>
                    <w14:schemeClr w14:val="tx1"/>
                  </w14:solidFill>
                </w14:textFill>
              </w:rPr>
              <w:t>⑦</w:t>
            </w:r>
            <w:r>
              <w:rPr>
                <w:rFonts w:hint="default" w:ascii="Times New Roman" w:eastAsia="黑体"/>
                <w:color w:val="000000" w:themeColor="text1"/>
                <w:spacing w:val="-6"/>
                <w:kern w:val="21"/>
                <w:szCs w:val="21"/>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restart"/>
            <w:tcBorders>
              <w:top w:val="single" w:color="auto" w:sz="4" w:space="0"/>
              <w:left w:val="single" w:color="auto" w:sz="8"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color w:val="000000" w:themeColor="text1"/>
                <w:kern w:val="21"/>
                <w:szCs w:val="21"/>
                <w:highlight w:val="none"/>
                <w14:textFill>
                  <w14:solidFill>
                    <w14:schemeClr w14:val="tx1"/>
                  </w14:solidFill>
                </w14:textFill>
              </w:rPr>
            </w:pPr>
            <w:r>
              <w:rPr>
                <w:rFonts w:hint="default" w:ascii="Times New Roman"/>
                <w:snapToGrid w:val="0"/>
                <w:color w:val="000000" w:themeColor="text1"/>
                <w:kern w:val="21"/>
                <w:szCs w:val="21"/>
                <w:highlight w:val="none"/>
                <w14:textFill>
                  <w14:solidFill>
                    <w14:schemeClr w14:val="tx1"/>
                  </w14:solidFill>
                </w14:textFill>
              </w:rPr>
              <w:t>废气</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snapToGrid w:val="0"/>
                <w:color w:val="000000" w:themeColor="text1"/>
                <w:kern w:val="21"/>
                <w:szCs w:val="21"/>
                <w:highlight w:val="none"/>
                <w14:textFill>
                  <w14:solidFill>
                    <w14:schemeClr w14:val="tx1"/>
                  </w14:solidFill>
                </w14:textFill>
              </w:rPr>
            </w:pPr>
            <w:r>
              <w:rPr>
                <w:rFonts w:hint="default" w:ascii="Times New Roman"/>
                <w:snapToGrid w:val="0"/>
                <w:color w:val="000000" w:themeColor="text1"/>
                <w:kern w:val="21"/>
                <w:szCs w:val="21"/>
                <w:highlight w:val="none"/>
                <w14:textFill>
                  <w14:solidFill>
                    <w14:schemeClr w14:val="tx1"/>
                  </w14:solidFill>
                </w14:textFill>
              </w:rPr>
              <w:t>颗粒物</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3.363t/a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3.363t/a</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continue"/>
            <w:tcBorders>
              <w:left w:val="single" w:color="auto" w:sz="8"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snapToGrid w:val="0"/>
                <w:color w:val="000000" w:themeColor="text1"/>
                <w:kern w:val="2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0.029t/a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0.029t/a</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restart"/>
            <w:tcBorders>
              <w:left w:val="single" w:color="auto" w:sz="8"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废水</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COD</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continue"/>
            <w:tcBorders>
              <w:left w:val="single" w:color="auto" w:sz="8"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snapToGrid w:val="0"/>
                <w:color w:val="000000" w:themeColor="text1"/>
                <w:kern w:val="2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氨氮</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restart"/>
            <w:tcBorders>
              <w:top w:val="single" w:color="auto" w:sz="4" w:space="0"/>
              <w:left w:val="single" w:color="auto" w:sz="8"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color w:val="000000" w:themeColor="text1"/>
                <w:kern w:val="21"/>
                <w:szCs w:val="21"/>
                <w:highlight w:val="none"/>
                <w14:textFill>
                  <w14:solidFill>
                    <w14:schemeClr w14:val="tx1"/>
                  </w14:solidFill>
                </w14:textFill>
              </w:rPr>
            </w:pPr>
            <w:r>
              <w:rPr>
                <w:rFonts w:hint="default" w:ascii="Times New Roman"/>
                <w:snapToGrid w:val="0"/>
                <w:color w:val="000000" w:themeColor="text1"/>
                <w:kern w:val="21"/>
                <w:szCs w:val="21"/>
                <w:highlight w:val="none"/>
                <w14:textFill>
                  <w14:solidFill>
                    <w14:schemeClr w14:val="tx1"/>
                  </w14:solidFill>
                </w14:textFill>
              </w:rPr>
              <w:t>一般工业</w:t>
            </w:r>
          </w:p>
          <w:p>
            <w:pPr>
              <w:pStyle w:val="41"/>
              <w:keepNext w:val="0"/>
              <w:keepLines w:val="0"/>
              <w:widowControl/>
              <w:suppressLineNumbers w:val="0"/>
              <w:spacing w:before="31" w:beforeAutospacing="0" w:after="31" w:afterAutospacing="0" w:line="240" w:lineRule="auto"/>
              <w:ind w:left="0" w:right="0"/>
              <w:rPr>
                <w:rFonts w:hint="default" w:ascii="Times New Roman"/>
                <w:color w:val="000000" w:themeColor="text1"/>
                <w:kern w:val="21"/>
                <w:szCs w:val="21"/>
                <w:highlight w:val="none"/>
                <w14:textFill>
                  <w14:solidFill>
                    <w14:schemeClr w14:val="tx1"/>
                  </w14:solidFill>
                </w14:textFill>
              </w:rPr>
            </w:pPr>
            <w:r>
              <w:rPr>
                <w:rFonts w:hint="default" w:ascii="Times New Roman"/>
                <w:snapToGrid w:val="0"/>
                <w:color w:val="000000" w:themeColor="text1"/>
                <w:kern w:val="21"/>
                <w:szCs w:val="21"/>
                <w:highlight w:val="none"/>
                <w14:textFill>
                  <w14:solidFill>
                    <w14:schemeClr w14:val="tx1"/>
                  </w14:solidFill>
                </w14:textFill>
              </w:rPr>
              <w:t>固体废物</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废木质边角料</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343t/a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343t/a</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continue"/>
            <w:tcBorders>
              <w:left w:val="single" w:color="auto" w:sz="8"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snapToGrid w:val="0"/>
                <w:color w:val="000000" w:themeColor="text1"/>
                <w:kern w:val="2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金属</w:t>
            </w:r>
            <w:r>
              <w:rPr>
                <w:rFonts w:hint="default" w:ascii="Times New Roman" w:hAnsi="Times New Roman" w:eastAsia="宋体" w:cs="Times New Roman"/>
                <w:color w:val="000000" w:themeColor="text1"/>
                <w:sz w:val="21"/>
                <w:szCs w:val="21"/>
                <w:highlight w:val="none"/>
                <w14:textFill>
                  <w14:solidFill>
                    <w14:schemeClr w14:val="tx1"/>
                  </w14:solidFill>
                </w14:textFill>
              </w:rPr>
              <w:t>边角料</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8.55t/a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8.55t/a</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continue"/>
            <w:tcBorders>
              <w:left w:val="single" w:color="auto" w:sz="8"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snapToGrid w:val="0"/>
                <w:color w:val="000000" w:themeColor="text1"/>
                <w:kern w:val="2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废封边条</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cs="Times New Roman"/>
                <w:snapToGrid w:val="0"/>
                <w:color w:val="000000" w:themeColor="text1"/>
                <w:kern w:val="21"/>
                <w:sz w:val="21"/>
                <w:szCs w:val="21"/>
                <w:highlight w:val="none"/>
                <w:lang w:val="en-US" w:eastAsia="zh-CN" w:bidi="ar-SA"/>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cs="Times New Roman"/>
                <w:snapToGrid w:val="0"/>
                <w:color w:val="000000" w:themeColor="text1"/>
                <w:kern w:val="21"/>
                <w:sz w:val="21"/>
                <w:szCs w:val="21"/>
                <w:highlight w:val="none"/>
                <w:lang w:val="en-US" w:eastAsia="zh-CN" w:bidi="ar-SA"/>
                <w14:textFill>
                  <w14:solidFill>
                    <w14:schemeClr w14:val="tx1"/>
                  </w14:solidFill>
                </w14:textFill>
              </w:rPr>
            </w:pP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cs="Times New Roman"/>
                <w:snapToGrid w:val="0"/>
                <w:color w:val="000000" w:themeColor="text1"/>
                <w:kern w:val="21"/>
                <w:sz w:val="21"/>
                <w:szCs w:val="21"/>
                <w:highlight w:val="none"/>
                <w:lang w:val="en-US" w:eastAsia="zh-CN" w:bidi="ar-SA"/>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cs="Times New Roman"/>
                <w:snapToGrid w:val="0"/>
                <w:color w:val="000000" w:themeColor="text1"/>
                <w:kern w:val="21"/>
                <w:sz w:val="21"/>
                <w:szCs w:val="21"/>
                <w:highlight w:val="none"/>
                <w:lang w:val="en-US" w:eastAsia="zh-CN" w:bidi="ar-SA"/>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1.5t/a</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continue"/>
            <w:tcBorders>
              <w:left w:val="single" w:color="auto" w:sz="8"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snapToGrid w:val="0"/>
                <w:color w:val="000000" w:themeColor="text1"/>
                <w:kern w:val="2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废纸箱纸板</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1.0t/a</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continue"/>
            <w:tcBorders>
              <w:left w:val="single" w:color="auto" w:sz="8"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snapToGrid w:val="0"/>
                <w:color w:val="000000" w:themeColor="text1"/>
                <w:kern w:val="2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塑粉</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2.47t/a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2.47t/a</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continue"/>
            <w:tcBorders>
              <w:left w:val="single" w:color="auto" w:sz="8"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snapToGrid w:val="0"/>
                <w:color w:val="000000" w:themeColor="text1"/>
                <w:kern w:val="2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除尘灰</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20.3t/a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20.3t/a</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restart"/>
            <w:tcBorders>
              <w:top w:val="single" w:color="auto" w:sz="4" w:space="0"/>
              <w:left w:val="single" w:color="auto" w:sz="8" w:space="0"/>
              <w:bottom w:val="single" w:color="auto" w:sz="8"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color w:val="000000" w:themeColor="text1"/>
                <w:kern w:val="21"/>
                <w:szCs w:val="21"/>
                <w:highlight w:val="none"/>
                <w14:textFill>
                  <w14:solidFill>
                    <w14:schemeClr w14:val="tx1"/>
                  </w14:solidFill>
                </w14:textFill>
              </w:rPr>
            </w:pPr>
            <w:r>
              <w:rPr>
                <w:rFonts w:hint="default" w:ascii="Times New Roman"/>
                <w:snapToGrid w:val="0"/>
                <w:color w:val="000000" w:themeColor="text1"/>
                <w:kern w:val="21"/>
                <w:szCs w:val="21"/>
                <w:highlight w:val="none"/>
                <w14:textFill>
                  <w14:solidFill>
                    <w14:schemeClr w14:val="tx1"/>
                  </w14:solidFill>
                </w14:textFill>
              </w:rPr>
              <w:t>危险废物</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1.138t/a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1.138t/a</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continue"/>
            <w:tcBorders>
              <w:left w:val="single" w:color="auto" w:sz="8"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snapToGrid w:val="0"/>
                <w:color w:val="000000" w:themeColor="text1"/>
                <w:kern w:val="2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废胶</w:t>
            </w:r>
            <w:r>
              <w:rPr>
                <w:rFonts w:hint="eastAsia" w:eastAsia="宋体" w:cs="Times New Roman"/>
                <w:color w:val="000000" w:themeColor="text1"/>
                <w:sz w:val="21"/>
                <w:szCs w:val="21"/>
                <w:highlight w:val="none"/>
                <w:lang w:val="en-US" w:eastAsia="zh-CN"/>
                <w14:textFill>
                  <w14:solidFill>
                    <w14:schemeClr w14:val="tx1"/>
                  </w14:solidFill>
                </w14:textFill>
              </w:rPr>
              <w:t>袋</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s="Times New Roman"/>
                <w:snapToGrid w:val="0"/>
                <w:color w:val="000000" w:themeColor="text1"/>
                <w:kern w:val="21"/>
                <w:sz w:val="21"/>
                <w:szCs w:val="21"/>
                <w:highlight w:val="none"/>
                <w:lang w:val="en-US" w:eastAsia="zh-CN"/>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snapToGrid w:val="0"/>
                <w:color w:val="000000" w:themeColor="text1"/>
                <w:kern w:val="21"/>
                <w:sz w:val="21"/>
                <w:szCs w:val="21"/>
                <w:highlight w:val="none"/>
                <w:lang w:val="en-US" w:eastAsia="zh-CN"/>
                <w14:textFill>
                  <w14:solidFill>
                    <w14:schemeClr w14:val="tx1"/>
                  </w14:solidFill>
                </w14:textFill>
              </w:rPr>
            </w:pP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snapToGrid w:val="0"/>
                <w:color w:val="000000" w:themeColor="text1"/>
                <w:kern w:val="21"/>
                <w:sz w:val="21"/>
                <w:szCs w:val="21"/>
                <w:highlight w:val="none"/>
                <w:lang w:val="en-US" w:eastAsia="zh-CN"/>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0.03t/a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snapToGrid w:val="0"/>
                <w:color w:val="000000" w:themeColor="text1"/>
                <w:kern w:val="21"/>
                <w:sz w:val="21"/>
                <w:szCs w:val="21"/>
                <w:highlight w:val="none"/>
                <w:lang w:val="en-US" w:eastAsia="zh-CN"/>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0.03t/a</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continue"/>
            <w:tcBorders>
              <w:left w:val="single" w:color="auto" w:sz="8" w:space="0"/>
              <w:right w:val="single" w:color="auto" w:sz="4" w:space="0"/>
            </w:tcBorders>
            <w:shd w:val="clear" w:color="auto" w:fill="auto"/>
            <w:vAlign w:val="center"/>
          </w:tcPr>
          <w:p>
            <w:pPr>
              <w:pStyle w:val="41"/>
              <w:keepNext w:val="0"/>
              <w:keepLines w:val="0"/>
              <w:widowControl/>
              <w:suppressLineNumbers w:val="0"/>
              <w:spacing w:before="31" w:beforeAutospacing="0" w:after="31" w:afterAutospacing="0" w:line="240" w:lineRule="auto"/>
              <w:ind w:left="0" w:right="0"/>
              <w:rPr>
                <w:rFonts w:hint="default" w:ascii="Times New Roman"/>
                <w:snapToGrid w:val="0"/>
                <w:color w:val="000000" w:themeColor="text1"/>
                <w:kern w:val="2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废机油</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s="Times New Roman"/>
                <w:snapToGrid w:val="0"/>
                <w:color w:val="000000" w:themeColor="text1"/>
                <w:kern w:val="21"/>
                <w:sz w:val="21"/>
                <w:szCs w:val="21"/>
                <w:highlight w:val="none"/>
                <w:lang w:val="en-US" w:eastAsia="zh-CN"/>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snapToGrid w:val="0"/>
                <w:color w:val="000000" w:themeColor="text1"/>
                <w:kern w:val="21"/>
                <w:sz w:val="21"/>
                <w:szCs w:val="21"/>
                <w:highlight w:val="none"/>
                <w:lang w:val="en-US" w:eastAsia="zh-CN"/>
                <w14:textFill>
                  <w14:solidFill>
                    <w14:schemeClr w14:val="tx1"/>
                  </w14:solidFill>
                </w14:textFill>
              </w:rPr>
            </w:pP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snapToGrid w:val="0"/>
                <w:color w:val="000000" w:themeColor="text1"/>
                <w:kern w:val="21"/>
                <w:sz w:val="21"/>
                <w:szCs w:val="21"/>
                <w:highlight w:val="none"/>
                <w:lang w:val="en-US" w:eastAsia="zh-CN"/>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0.3t/a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snapToGrid w:val="0"/>
                <w:color w:val="000000" w:themeColor="text1"/>
                <w:kern w:val="21"/>
                <w:sz w:val="21"/>
                <w:szCs w:val="21"/>
                <w:highlight w:val="none"/>
                <w:lang w:val="en-US" w:eastAsia="zh-CN"/>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0.3t/a</w:t>
            </w:r>
          </w:p>
        </w:tc>
        <w:tc>
          <w:tcPr>
            <w:tcW w:w="1476"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9" w:type="dxa"/>
            <w:vMerge w:val="continue"/>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废油桶</w:t>
            </w:r>
          </w:p>
        </w:tc>
        <w:tc>
          <w:tcPr>
            <w:tcW w:w="1703"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703"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560"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0.15t/a</w:t>
            </w:r>
          </w:p>
        </w:tc>
        <w:tc>
          <w:tcPr>
            <w:tcW w:w="1383"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690"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0.15t/a</w:t>
            </w:r>
          </w:p>
        </w:tc>
        <w:tc>
          <w:tcPr>
            <w:tcW w:w="1476" w:type="dxa"/>
            <w:tcBorders>
              <w:top w:val="single" w:color="auto" w:sz="4" w:space="0"/>
              <w:left w:val="single" w:color="auto" w:sz="4" w:space="0"/>
              <w:bottom w:val="single" w:color="auto" w:sz="8" w:space="0"/>
              <w:right w:val="single" w:color="auto" w:sz="8" w:space="0"/>
            </w:tcBorders>
            <w:shd w:val="clear" w:color="auto" w:fill="auto"/>
            <w:vAlign w:val="center"/>
          </w:tcPr>
          <w:p>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r>
    </w:tbl>
    <w:p>
      <w:pPr>
        <w:pStyle w:val="41"/>
        <w:keepNext w:val="0"/>
        <w:keepLines w:val="0"/>
        <w:pageBreakBefore w:val="0"/>
        <w:widowControl/>
        <w:kinsoku/>
        <w:wordWrap/>
        <w:overflowPunct/>
        <w:topLinePunct w:val="0"/>
        <w:autoSpaceDE/>
        <w:autoSpaceDN/>
        <w:bidi w:val="0"/>
        <w:adjustRightInd w:val="0"/>
        <w:snapToGrid w:val="0"/>
        <w:jc w:val="left"/>
        <w:textAlignment w:val="auto"/>
        <w:rPr>
          <w:rFonts w:hint="eastAsia" w:hAnsi="宋体"/>
          <w:color w:val="000000" w:themeColor="text1"/>
          <w:spacing w:val="-6"/>
          <w:kern w:val="21"/>
          <w:szCs w:val="21"/>
          <w:highlight w:val="none"/>
          <w:lang w:eastAsia="zh-CN"/>
          <w14:textFill>
            <w14:solidFill>
              <w14:schemeClr w14:val="tx1"/>
            </w14:solidFill>
          </w14:textFill>
        </w:rPr>
      </w:pPr>
      <w:r>
        <w:rPr>
          <w:rFonts w:hAnsi="宋体"/>
          <w:snapToGrid w:val="0"/>
          <w:color w:val="000000" w:themeColor="text1"/>
          <w:kern w:val="21"/>
          <w:szCs w:val="21"/>
          <w:highlight w:val="none"/>
          <w14:textFill>
            <w14:solidFill>
              <w14:schemeClr w14:val="tx1"/>
            </w14:solidFill>
          </w14:textFill>
        </w:rPr>
        <w:t>注：</w:t>
      </w:r>
      <w:r>
        <w:rPr>
          <w:rFonts w:hAnsi="宋体"/>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color w:val="000000" w:themeColor="text1"/>
          <w:spacing w:val="-1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⑥</w:t>
      </w:r>
      <w:r>
        <w:rPr>
          <w:rFonts w:hAnsi="宋体"/>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color w:val="000000" w:themeColor="text1"/>
          <w:spacing w:val="-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①</w:t>
      </w:r>
      <w:r>
        <w:rPr>
          <w:rFonts w:hAnsi="宋体"/>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color w:val="000000" w:themeColor="text1"/>
          <w:spacing w:val="-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③</w:t>
      </w:r>
      <w:r>
        <w:rPr>
          <w:rFonts w:hAnsi="宋体"/>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color w:val="000000" w:themeColor="text1"/>
          <w:spacing w:val="-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④</w:t>
      </w:r>
      <w:r>
        <w:rPr>
          <w:rFonts w:hAnsi="宋体"/>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color w:val="000000" w:themeColor="text1"/>
          <w:spacing w:val="-1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⑤</w:t>
      </w:r>
      <w:r>
        <w:rPr>
          <w:rFonts w:hAnsi="宋体"/>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color w:val="000000" w:themeColor="text1"/>
          <w:spacing w:val="-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⑦</w:t>
      </w:r>
      <w:r>
        <w:rPr>
          <w:rFonts w:hAnsi="宋体"/>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color w:val="000000" w:themeColor="text1"/>
          <w:spacing w:val="-1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⑥</w:t>
      </w:r>
      <w:r>
        <w:rPr>
          <w:rFonts w:hAnsi="宋体"/>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color w:val="000000" w:themeColor="text1"/>
          <w:spacing w:val="-6"/>
          <w:kern w:val="21"/>
          <w:szCs w:val="21"/>
          <w:highlight w:val="none"/>
          <w14:textFill>
            <w14:solidFill>
              <w14:schemeClr w14:val="tx1"/>
            </w14:solidFill>
          </w14:textFill>
        </w:rPr>
        <w:fldChar w:fldCharType="separate"/>
      </w:r>
      <w:r>
        <w:rPr>
          <w:rFonts w:hAnsi="宋体"/>
          <w:color w:val="000000" w:themeColor="text1"/>
          <w:szCs w:val="21"/>
          <w:highlight w:val="none"/>
          <w14:textFill>
            <w14:solidFill>
              <w14:schemeClr w14:val="tx1"/>
            </w14:solidFill>
          </w14:textFill>
        </w:rPr>
        <w:t>①</w:t>
      </w:r>
      <w:r>
        <w:rPr>
          <w:rFonts w:hAnsi="宋体"/>
          <w:color w:val="000000" w:themeColor="text1"/>
          <w:spacing w:val="-6"/>
          <w:kern w:val="21"/>
          <w:szCs w:val="21"/>
          <w:highlight w:val="none"/>
          <w14:textFill>
            <w14:solidFill>
              <w14:schemeClr w14:val="tx1"/>
            </w14:solidFill>
          </w14:textFill>
        </w:rPr>
        <w:fldChar w:fldCharType="end"/>
      </w:r>
    </w:p>
    <w:sectPr>
      <w:footerReference r:id="rId6" w:type="default"/>
      <w:pgSz w:w="16838" w:h="11906" w:orient="landscape"/>
      <w:pgMar w:top="1531" w:right="1702" w:bottom="1531" w:left="1702" w:header="851" w:footer="850" w:gutter="0"/>
      <w:pgNumType w:fmt="decimal"/>
      <w:cols w:space="0" w:num="1"/>
      <w:rtlGutter w:val="0"/>
      <w:docGrid w:type="lines"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6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posOffset>2776220</wp:posOffset>
              </wp:positionH>
              <wp:positionV relativeFrom="paragraph">
                <wp:posOffset>-76200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left="0" w:leftChars="0" w:firstLine="0" w:firstLineChars="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8.6pt;margin-top:-6pt;height:144pt;width:144pt;mso-position-horizontal-relative:margin;mso-wrap-style:none;z-index:251659264;mso-width-relative:page;mso-height-relative:page;" filled="f" stroked="f" coordsize="21600,21600" o:gfxdata="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n+C/vYAAAACwEAAA8AAAAAAAAAAQAgAAAAIgAAAGRycy9kb3ducmV2Lnht&#10;bFBLAQIUABQAAAAIAIdO4kD/W0FrMgIAAGMEAAAOAAAAAAAAAAEAIAAAACcBAABkcnMvZTJvRG9j&#10;LnhtbFBLBQYAAAAABgAGAFkBAADLBQAAAAA=&#10;">
              <v:fill on="f" focussize="0,0"/>
              <v:stroke on="f" weight="0.5pt"/>
              <v:imagedata o:title=""/>
              <o:lock v:ext="edit" aspectratio="f"/>
              <v:textbox inset="0mm,0mm,0mm,0mm" style="mso-fit-shape-to-text:t;">
                <w:txbxContent>
                  <w:p>
                    <w:pPr>
                      <w:pStyle w:val="16"/>
                      <w:ind w:left="0" w:leftChars="0" w:firstLine="0" w:firstLineChars="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4172C3"/>
    <w:multiLevelType w:val="singleLevel"/>
    <w:tmpl w:val="CE4172C3"/>
    <w:lvl w:ilvl="0" w:tentative="0">
      <w:start w:val="3"/>
      <w:numFmt w:val="chineseCounting"/>
      <w:suff w:val="nothing"/>
      <w:lvlText w:val="%1、"/>
      <w:lvlJc w:val="left"/>
      <w:rPr>
        <w:rFonts w:hint="eastAsia"/>
      </w:rPr>
    </w:lvl>
  </w:abstractNum>
  <w:abstractNum w:abstractNumId="1">
    <w:nsid w:val="CE5E4221"/>
    <w:multiLevelType w:val="singleLevel"/>
    <w:tmpl w:val="CE5E4221"/>
    <w:lvl w:ilvl="0" w:tentative="0">
      <w:start w:val="2"/>
      <w:numFmt w:val="decimal"/>
      <w:suff w:val="nothing"/>
      <w:lvlText w:val="（%1）"/>
      <w:lvlJc w:val="left"/>
    </w:lvl>
  </w:abstractNum>
  <w:abstractNum w:abstractNumId="2">
    <w:nsid w:val="DA17D578"/>
    <w:multiLevelType w:val="singleLevel"/>
    <w:tmpl w:val="DA17D578"/>
    <w:lvl w:ilvl="0" w:tentative="0">
      <w:start w:val="2"/>
      <w:numFmt w:val="chineseCounting"/>
      <w:suff w:val="nothing"/>
      <w:lvlText w:val="%1、"/>
      <w:lvlJc w:val="left"/>
      <w:rPr>
        <w:rFonts w:hint="eastAsia"/>
      </w:rPr>
    </w:lvl>
  </w:abstractNum>
  <w:abstractNum w:abstractNumId="3">
    <w:nsid w:val="E61C872D"/>
    <w:multiLevelType w:val="singleLevel"/>
    <w:tmpl w:val="E61C872D"/>
    <w:lvl w:ilvl="0" w:tentative="0">
      <w:start w:val="18"/>
      <w:numFmt w:val="chineseCounting"/>
      <w:suff w:val="nothing"/>
      <w:lvlText w:val="%1、"/>
      <w:lvlJc w:val="left"/>
      <w:rPr>
        <w:rFonts w:hint="eastAsia"/>
      </w:rPr>
    </w:lvl>
  </w:abstractNum>
  <w:abstractNum w:abstractNumId="4">
    <w:nsid w:val="F3D14D01"/>
    <w:multiLevelType w:val="singleLevel"/>
    <w:tmpl w:val="F3D14D01"/>
    <w:lvl w:ilvl="0" w:tentative="0">
      <w:start w:val="2"/>
      <w:numFmt w:val="decimal"/>
      <w:suff w:val="nothing"/>
      <w:lvlText w:val="%1、"/>
      <w:lvlJc w:val="left"/>
    </w:lvl>
  </w:abstractNum>
  <w:abstractNum w:abstractNumId="5">
    <w:nsid w:val="42508077"/>
    <w:multiLevelType w:val="singleLevel"/>
    <w:tmpl w:val="42508077"/>
    <w:lvl w:ilvl="0" w:tentative="0">
      <w:start w:val="2"/>
      <w:numFmt w:val="decimal"/>
      <w:suff w:val="nothing"/>
      <w:lvlText w:val="（%1）"/>
      <w:lvlJc w:val="left"/>
    </w:lvl>
  </w:abstractNum>
  <w:abstractNum w:abstractNumId="6">
    <w:nsid w:val="5682BE22"/>
    <w:multiLevelType w:val="singleLevel"/>
    <w:tmpl w:val="5682BE22"/>
    <w:lvl w:ilvl="0" w:tentative="0">
      <w:start w:val="2"/>
      <w:numFmt w:val="decimal"/>
      <w:suff w:val="nothing"/>
      <w:lvlText w:val="（%1）"/>
      <w:lvlJc w:val="left"/>
    </w:lvl>
  </w:abstractNum>
  <w:abstractNum w:abstractNumId="7">
    <w:nsid w:val="69BCBDBF"/>
    <w:multiLevelType w:val="singleLevel"/>
    <w:tmpl w:val="69BCBDBF"/>
    <w:lvl w:ilvl="0" w:tentative="0">
      <w:start w:val="2"/>
      <w:numFmt w:val="decimal"/>
      <w:suff w:val="nothing"/>
      <w:lvlText w:val="%1、"/>
      <w:lvlJc w:val="left"/>
    </w:lvl>
  </w:abstractNum>
  <w:num w:numId="1">
    <w:abstractNumId w:val="3"/>
  </w:num>
  <w:num w:numId="2">
    <w:abstractNumId w:val="2"/>
  </w:num>
  <w:num w:numId="3">
    <w:abstractNumId w:val="4"/>
  </w:num>
  <w:num w:numId="4">
    <w:abstractNumId w:val="7"/>
  </w:num>
  <w:num w:numId="5">
    <w:abstractNumId w:val="6"/>
  </w:num>
  <w:num w:numId="6">
    <w:abstractNumId w:val="1"/>
  </w:num>
  <w:num w:numId="7">
    <w:abstractNumId w:val="0"/>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我在人民广场吃炸鸡">
    <w15:presenceInfo w15:providerId="WPS Office" w15:userId="12258439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420"/>
  <w:drawingGridVerticalSpacing w:val="16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zNDYyY2E4Y2U2N2Q0MzlmODc0MmNmMDg2ZTE0NTQifQ=="/>
  </w:docVars>
  <w:rsids>
    <w:rsidRoot w:val="00172A27"/>
    <w:rsid w:val="00023806"/>
    <w:rsid w:val="001827CE"/>
    <w:rsid w:val="003233ED"/>
    <w:rsid w:val="00552C7A"/>
    <w:rsid w:val="006476E0"/>
    <w:rsid w:val="008A77C7"/>
    <w:rsid w:val="009427E5"/>
    <w:rsid w:val="00C25311"/>
    <w:rsid w:val="00D261C5"/>
    <w:rsid w:val="00D74596"/>
    <w:rsid w:val="00E852FC"/>
    <w:rsid w:val="0143581A"/>
    <w:rsid w:val="01450068"/>
    <w:rsid w:val="014A2475"/>
    <w:rsid w:val="017B0945"/>
    <w:rsid w:val="017F3A89"/>
    <w:rsid w:val="01961440"/>
    <w:rsid w:val="019B3009"/>
    <w:rsid w:val="01BB7E13"/>
    <w:rsid w:val="01CD0898"/>
    <w:rsid w:val="02240FF4"/>
    <w:rsid w:val="024A6D3D"/>
    <w:rsid w:val="02531D49"/>
    <w:rsid w:val="025B0BD4"/>
    <w:rsid w:val="028265A2"/>
    <w:rsid w:val="028E13EB"/>
    <w:rsid w:val="02AE1D7F"/>
    <w:rsid w:val="02C3726B"/>
    <w:rsid w:val="02CC480C"/>
    <w:rsid w:val="02CE354C"/>
    <w:rsid w:val="02CE3596"/>
    <w:rsid w:val="02D52B76"/>
    <w:rsid w:val="02E611D7"/>
    <w:rsid w:val="02ED22A1"/>
    <w:rsid w:val="03057A71"/>
    <w:rsid w:val="030D40BE"/>
    <w:rsid w:val="03157E45"/>
    <w:rsid w:val="03221C82"/>
    <w:rsid w:val="032233CF"/>
    <w:rsid w:val="032517AA"/>
    <w:rsid w:val="03311987"/>
    <w:rsid w:val="033B7533"/>
    <w:rsid w:val="0349117B"/>
    <w:rsid w:val="039113F9"/>
    <w:rsid w:val="03C01FEA"/>
    <w:rsid w:val="03D0646F"/>
    <w:rsid w:val="03D33559"/>
    <w:rsid w:val="03E77005"/>
    <w:rsid w:val="03E92413"/>
    <w:rsid w:val="03F0409E"/>
    <w:rsid w:val="04181739"/>
    <w:rsid w:val="0429473C"/>
    <w:rsid w:val="044319E6"/>
    <w:rsid w:val="044A663E"/>
    <w:rsid w:val="048D4351"/>
    <w:rsid w:val="0490366D"/>
    <w:rsid w:val="04B85E33"/>
    <w:rsid w:val="051E0804"/>
    <w:rsid w:val="05415B13"/>
    <w:rsid w:val="057C19CF"/>
    <w:rsid w:val="059B4EEA"/>
    <w:rsid w:val="05B30EEE"/>
    <w:rsid w:val="05B72A07"/>
    <w:rsid w:val="05CF1AFF"/>
    <w:rsid w:val="05EF2F96"/>
    <w:rsid w:val="0607573C"/>
    <w:rsid w:val="06144FC1"/>
    <w:rsid w:val="06634969"/>
    <w:rsid w:val="068B18D2"/>
    <w:rsid w:val="06A72333"/>
    <w:rsid w:val="06B61D5A"/>
    <w:rsid w:val="06E432D0"/>
    <w:rsid w:val="06F3181D"/>
    <w:rsid w:val="070A01D6"/>
    <w:rsid w:val="07395993"/>
    <w:rsid w:val="074B1AF0"/>
    <w:rsid w:val="076E5E4F"/>
    <w:rsid w:val="07716F4D"/>
    <w:rsid w:val="07752464"/>
    <w:rsid w:val="077C1770"/>
    <w:rsid w:val="077E1A2E"/>
    <w:rsid w:val="079A613C"/>
    <w:rsid w:val="07DC41B9"/>
    <w:rsid w:val="084360D4"/>
    <w:rsid w:val="0897577B"/>
    <w:rsid w:val="08990393"/>
    <w:rsid w:val="08A05F2E"/>
    <w:rsid w:val="08AD1C45"/>
    <w:rsid w:val="08C276F9"/>
    <w:rsid w:val="08F5187C"/>
    <w:rsid w:val="08FB2C0B"/>
    <w:rsid w:val="090C58D8"/>
    <w:rsid w:val="09341210"/>
    <w:rsid w:val="097143DB"/>
    <w:rsid w:val="097C6FBE"/>
    <w:rsid w:val="097F657F"/>
    <w:rsid w:val="09A37453"/>
    <w:rsid w:val="09CD2C33"/>
    <w:rsid w:val="09F14739"/>
    <w:rsid w:val="09FB55B8"/>
    <w:rsid w:val="0A143DCA"/>
    <w:rsid w:val="0A155D85"/>
    <w:rsid w:val="0A1E28E6"/>
    <w:rsid w:val="0A3E4060"/>
    <w:rsid w:val="0A7809B7"/>
    <w:rsid w:val="0A8D1088"/>
    <w:rsid w:val="0AAF1EFF"/>
    <w:rsid w:val="0AC9274D"/>
    <w:rsid w:val="0ACC4A0D"/>
    <w:rsid w:val="0ACE05D7"/>
    <w:rsid w:val="0AFF4BD9"/>
    <w:rsid w:val="0B111932"/>
    <w:rsid w:val="0B1526A9"/>
    <w:rsid w:val="0B253CC8"/>
    <w:rsid w:val="0B3C6B99"/>
    <w:rsid w:val="0B81389B"/>
    <w:rsid w:val="0C4F5747"/>
    <w:rsid w:val="0CA77331"/>
    <w:rsid w:val="0CD86AED"/>
    <w:rsid w:val="0CE0170C"/>
    <w:rsid w:val="0D002EE5"/>
    <w:rsid w:val="0D056D75"/>
    <w:rsid w:val="0D0C0AA4"/>
    <w:rsid w:val="0D177551"/>
    <w:rsid w:val="0D1B387B"/>
    <w:rsid w:val="0D414F00"/>
    <w:rsid w:val="0D4C612B"/>
    <w:rsid w:val="0D7D08A2"/>
    <w:rsid w:val="0D95362E"/>
    <w:rsid w:val="0D9965CC"/>
    <w:rsid w:val="0DA35CC7"/>
    <w:rsid w:val="0DDF1F5D"/>
    <w:rsid w:val="0DF01E5A"/>
    <w:rsid w:val="0DF134A1"/>
    <w:rsid w:val="0E2774A7"/>
    <w:rsid w:val="0E3B07BC"/>
    <w:rsid w:val="0E4D3F08"/>
    <w:rsid w:val="0E6C63BB"/>
    <w:rsid w:val="0E7476E7"/>
    <w:rsid w:val="0E7E4193"/>
    <w:rsid w:val="0EA753E8"/>
    <w:rsid w:val="0EBB3AF4"/>
    <w:rsid w:val="0EED1ED1"/>
    <w:rsid w:val="0EFC26D1"/>
    <w:rsid w:val="0EFC7485"/>
    <w:rsid w:val="0F090680"/>
    <w:rsid w:val="0F111912"/>
    <w:rsid w:val="0F4A6309"/>
    <w:rsid w:val="0FB650E8"/>
    <w:rsid w:val="0FD2474F"/>
    <w:rsid w:val="0FE34B24"/>
    <w:rsid w:val="101D170C"/>
    <w:rsid w:val="1028024E"/>
    <w:rsid w:val="10480E2B"/>
    <w:rsid w:val="10533619"/>
    <w:rsid w:val="107C3FFB"/>
    <w:rsid w:val="108D03D6"/>
    <w:rsid w:val="10A92DD3"/>
    <w:rsid w:val="10AD2B28"/>
    <w:rsid w:val="10D174C3"/>
    <w:rsid w:val="11035DAC"/>
    <w:rsid w:val="113D033F"/>
    <w:rsid w:val="113E0A49"/>
    <w:rsid w:val="114D5BE6"/>
    <w:rsid w:val="118869FA"/>
    <w:rsid w:val="11991213"/>
    <w:rsid w:val="11A46185"/>
    <w:rsid w:val="11C52CD9"/>
    <w:rsid w:val="11DC1CF8"/>
    <w:rsid w:val="11ED6B26"/>
    <w:rsid w:val="120A3D4B"/>
    <w:rsid w:val="12242321"/>
    <w:rsid w:val="1230204B"/>
    <w:rsid w:val="12385D30"/>
    <w:rsid w:val="124811CB"/>
    <w:rsid w:val="126464F1"/>
    <w:rsid w:val="12762995"/>
    <w:rsid w:val="12790206"/>
    <w:rsid w:val="12A6634B"/>
    <w:rsid w:val="12AF2767"/>
    <w:rsid w:val="130518A2"/>
    <w:rsid w:val="132A35A3"/>
    <w:rsid w:val="132B404D"/>
    <w:rsid w:val="13641967"/>
    <w:rsid w:val="1370543F"/>
    <w:rsid w:val="1374618F"/>
    <w:rsid w:val="1383605E"/>
    <w:rsid w:val="13907AEE"/>
    <w:rsid w:val="13AC5677"/>
    <w:rsid w:val="13AD711E"/>
    <w:rsid w:val="13F470C5"/>
    <w:rsid w:val="13FF1233"/>
    <w:rsid w:val="14101364"/>
    <w:rsid w:val="14252AFA"/>
    <w:rsid w:val="144009DA"/>
    <w:rsid w:val="14753AB3"/>
    <w:rsid w:val="1487148B"/>
    <w:rsid w:val="14971B67"/>
    <w:rsid w:val="149A490B"/>
    <w:rsid w:val="14BB4B5F"/>
    <w:rsid w:val="14E1184E"/>
    <w:rsid w:val="14E36464"/>
    <w:rsid w:val="15051099"/>
    <w:rsid w:val="15155054"/>
    <w:rsid w:val="15714A54"/>
    <w:rsid w:val="158D1367"/>
    <w:rsid w:val="15D55915"/>
    <w:rsid w:val="15F80BFE"/>
    <w:rsid w:val="161340A3"/>
    <w:rsid w:val="161E0866"/>
    <w:rsid w:val="161F46F7"/>
    <w:rsid w:val="163A700E"/>
    <w:rsid w:val="164B6F7F"/>
    <w:rsid w:val="165A18B8"/>
    <w:rsid w:val="165F2B47"/>
    <w:rsid w:val="1673306E"/>
    <w:rsid w:val="16A6046E"/>
    <w:rsid w:val="16C43076"/>
    <w:rsid w:val="16C904F5"/>
    <w:rsid w:val="16CB66C2"/>
    <w:rsid w:val="16EF5F02"/>
    <w:rsid w:val="16FD4994"/>
    <w:rsid w:val="176E0D67"/>
    <w:rsid w:val="17894CB0"/>
    <w:rsid w:val="17A10052"/>
    <w:rsid w:val="17AF79E2"/>
    <w:rsid w:val="17B10F10"/>
    <w:rsid w:val="17B1375A"/>
    <w:rsid w:val="17B14691"/>
    <w:rsid w:val="17CE55D0"/>
    <w:rsid w:val="17CE7BBF"/>
    <w:rsid w:val="17D1742D"/>
    <w:rsid w:val="17D30CB5"/>
    <w:rsid w:val="17E34138"/>
    <w:rsid w:val="17E92EF4"/>
    <w:rsid w:val="17ED7F43"/>
    <w:rsid w:val="18240C92"/>
    <w:rsid w:val="1855420D"/>
    <w:rsid w:val="185D3FE7"/>
    <w:rsid w:val="187F7D2F"/>
    <w:rsid w:val="188C1AB2"/>
    <w:rsid w:val="18A94431"/>
    <w:rsid w:val="18B24D66"/>
    <w:rsid w:val="18B86EE6"/>
    <w:rsid w:val="18C27F36"/>
    <w:rsid w:val="18C354F3"/>
    <w:rsid w:val="18F939DE"/>
    <w:rsid w:val="192C02D5"/>
    <w:rsid w:val="197253BC"/>
    <w:rsid w:val="197F7EC5"/>
    <w:rsid w:val="19A90B8D"/>
    <w:rsid w:val="19B36621"/>
    <w:rsid w:val="19B84F66"/>
    <w:rsid w:val="19C06789"/>
    <w:rsid w:val="19C34779"/>
    <w:rsid w:val="19FB727A"/>
    <w:rsid w:val="1A02029D"/>
    <w:rsid w:val="1A4B1C44"/>
    <w:rsid w:val="1A7D3400"/>
    <w:rsid w:val="1A873050"/>
    <w:rsid w:val="1AA475E6"/>
    <w:rsid w:val="1AAC256A"/>
    <w:rsid w:val="1AC43D2C"/>
    <w:rsid w:val="1AE94FBE"/>
    <w:rsid w:val="1AF95B35"/>
    <w:rsid w:val="1B0E36A4"/>
    <w:rsid w:val="1B910A48"/>
    <w:rsid w:val="1B956085"/>
    <w:rsid w:val="1B9F38FC"/>
    <w:rsid w:val="1BC21D75"/>
    <w:rsid w:val="1BD22841"/>
    <w:rsid w:val="1BEE55AA"/>
    <w:rsid w:val="1BF34341"/>
    <w:rsid w:val="1BFA3188"/>
    <w:rsid w:val="1C2F2E9F"/>
    <w:rsid w:val="1C6D2291"/>
    <w:rsid w:val="1C9A26EA"/>
    <w:rsid w:val="1C9F0025"/>
    <w:rsid w:val="1CCC570F"/>
    <w:rsid w:val="1D0253E4"/>
    <w:rsid w:val="1D357B45"/>
    <w:rsid w:val="1D3D274E"/>
    <w:rsid w:val="1D90395E"/>
    <w:rsid w:val="1DB213DC"/>
    <w:rsid w:val="1DB61742"/>
    <w:rsid w:val="1DB93368"/>
    <w:rsid w:val="1DCD0BC2"/>
    <w:rsid w:val="1DD75402"/>
    <w:rsid w:val="1DEF0B38"/>
    <w:rsid w:val="1DF61EC7"/>
    <w:rsid w:val="1E0438CC"/>
    <w:rsid w:val="1E2A6014"/>
    <w:rsid w:val="1E480DAA"/>
    <w:rsid w:val="1E4914A3"/>
    <w:rsid w:val="1E9762EB"/>
    <w:rsid w:val="1EA53004"/>
    <w:rsid w:val="1EB8717C"/>
    <w:rsid w:val="1ED8781E"/>
    <w:rsid w:val="1EEE7443"/>
    <w:rsid w:val="1F0D396C"/>
    <w:rsid w:val="1F18000E"/>
    <w:rsid w:val="1F7C17DC"/>
    <w:rsid w:val="1FA048DB"/>
    <w:rsid w:val="1FF30BBE"/>
    <w:rsid w:val="1FF32104"/>
    <w:rsid w:val="20255401"/>
    <w:rsid w:val="20453D48"/>
    <w:rsid w:val="20775FF5"/>
    <w:rsid w:val="207812B9"/>
    <w:rsid w:val="208445B0"/>
    <w:rsid w:val="20A67279"/>
    <w:rsid w:val="20D74BF7"/>
    <w:rsid w:val="20E57FD0"/>
    <w:rsid w:val="20F52909"/>
    <w:rsid w:val="21026DD4"/>
    <w:rsid w:val="2109401D"/>
    <w:rsid w:val="2165285C"/>
    <w:rsid w:val="21700446"/>
    <w:rsid w:val="217A308C"/>
    <w:rsid w:val="217B0F40"/>
    <w:rsid w:val="219E4D4F"/>
    <w:rsid w:val="21EA7F94"/>
    <w:rsid w:val="22233A5A"/>
    <w:rsid w:val="222B50BA"/>
    <w:rsid w:val="225E1B97"/>
    <w:rsid w:val="225E44DE"/>
    <w:rsid w:val="22702742"/>
    <w:rsid w:val="22743704"/>
    <w:rsid w:val="227F4065"/>
    <w:rsid w:val="22DE2C70"/>
    <w:rsid w:val="22DF172B"/>
    <w:rsid w:val="232738CC"/>
    <w:rsid w:val="23576068"/>
    <w:rsid w:val="236C6925"/>
    <w:rsid w:val="236D059D"/>
    <w:rsid w:val="238A7A37"/>
    <w:rsid w:val="23914419"/>
    <w:rsid w:val="23DA5DE6"/>
    <w:rsid w:val="23F36750"/>
    <w:rsid w:val="24093C91"/>
    <w:rsid w:val="242157C3"/>
    <w:rsid w:val="24311EAA"/>
    <w:rsid w:val="24633790"/>
    <w:rsid w:val="24A037C0"/>
    <w:rsid w:val="24A26F7B"/>
    <w:rsid w:val="24AF4679"/>
    <w:rsid w:val="24B86128"/>
    <w:rsid w:val="24D215AA"/>
    <w:rsid w:val="252D0733"/>
    <w:rsid w:val="253514DD"/>
    <w:rsid w:val="2540611D"/>
    <w:rsid w:val="2551032A"/>
    <w:rsid w:val="25561215"/>
    <w:rsid w:val="255D1030"/>
    <w:rsid w:val="257B43F8"/>
    <w:rsid w:val="25B255F8"/>
    <w:rsid w:val="25CD10ED"/>
    <w:rsid w:val="25D458D2"/>
    <w:rsid w:val="25DD571A"/>
    <w:rsid w:val="260C2ECE"/>
    <w:rsid w:val="26396DF4"/>
    <w:rsid w:val="26791309"/>
    <w:rsid w:val="267E6EFD"/>
    <w:rsid w:val="2689318E"/>
    <w:rsid w:val="269B2927"/>
    <w:rsid w:val="269C2718"/>
    <w:rsid w:val="26B90FA9"/>
    <w:rsid w:val="26D150CB"/>
    <w:rsid w:val="272C1B70"/>
    <w:rsid w:val="27312093"/>
    <w:rsid w:val="27D868FE"/>
    <w:rsid w:val="27F97FA9"/>
    <w:rsid w:val="27FF1A7E"/>
    <w:rsid w:val="28054359"/>
    <w:rsid w:val="28126D74"/>
    <w:rsid w:val="28520641"/>
    <w:rsid w:val="28D92B11"/>
    <w:rsid w:val="28E3573D"/>
    <w:rsid w:val="28ED3D5F"/>
    <w:rsid w:val="28F568D6"/>
    <w:rsid w:val="2913087C"/>
    <w:rsid w:val="29183639"/>
    <w:rsid w:val="29190408"/>
    <w:rsid w:val="293E7D5A"/>
    <w:rsid w:val="294E7987"/>
    <w:rsid w:val="29827E50"/>
    <w:rsid w:val="298302CD"/>
    <w:rsid w:val="29BB1E01"/>
    <w:rsid w:val="29DF126E"/>
    <w:rsid w:val="2A11466B"/>
    <w:rsid w:val="2A425534"/>
    <w:rsid w:val="2A8820F8"/>
    <w:rsid w:val="2AC944BF"/>
    <w:rsid w:val="2AF72B16"/>
    <w:rsid w:val="2AFB5029"/>
    <w:rsid w:val="2B076E3A"/>
    <w:rsid w:val="2B161A0E"/>
    <w:rsid w:val="2B1D2066"/>
    <w:rsid w:val="2B6F5066"/>
    <w:rsid w:val="2B786E22"/>
    <w:rsid w:val="2B7873C5"/>
    <w:rsid w:val="2B7E32B5"/>
    <w:rsid w:val="2B937427"/>
    <w:rsid w:val="2B996045"/>
    <w:rsid w:val="2B9C6250"/>
    <w:rsid w:val="2BB3445D"/>
    <w:rsid w:val="2BB76287"/>
    <w:rsid w:val="2BBD2276"/>
    <w:rsid w:val="2BCC7E11"/>
    <w:rsid w:val="2BDB25BD"/>
    <w:rsid w:val="2BE47802"/>
    <w:rsid w:val="2BF04A70"/>
    <w:rsid w:val="2BFD3113"/>
    <w:rsid w:val="2C0F0DD4"/>
    <w:rsid w:val="2C182279"/>
    <w:rsid w:val="2C286B06"/>
    <w:rsid w:val="2C2F36E2"/>
    <w:rsid w:val="2C3562B0"/>
    <w:rsid w:val="2C590B11"/>
    <w:rsid w:val="2C8833A5"/>
    <w:rsid w:val="2CBA2833"/>
    <w:rsid w:val="2D014B2A"/>
    <w:rsid w:val="2D086FCF"/>
    <w:rsid w:val="2D156954"/>
    <w:rsid w:val="2D1E7710"/>
    <w:rsid w:val="2D1F486A"/>
    <w:rsid w:val="2D4A661B"/>
    <w:rsid w:val="2D59274A"/>
    <w:rsid w:val="2D5B633D"/>
    <w:rsid w:val="2D636E4D"/>
    <w:rsid w:val="2D647324"/>
    <w:rsid w:val="2D6A0110"/>
    <w:rsid w:val="2D89068C"/>
    <w:rsid w:val="2D8A5400"/>
    <w:rsid w:val="2DC158A7"/>
    <w:rsid w:val="2DDA4C9A"/>
    <w:rsid w:val="2DEA30CA"/>
    <w:rsid w:val="2DF9330D"/>
    <w:rsid w:val="2E073C7C"/>
    <w:rsid w:val="2E1555FE"/>
    <w:rsid w:val="2E832059"/>
    <w:rsid w:val="2EAC4B33"/>
    <w:rsid w:val="2F1C72B3"/>
    <w:rsid w:val="2F23005A"/>
    <w:rsid w:val="2F2973A9"/>
    <w:rsid w:val="2F2C1714"/>
    <w:rsid w:val="2F2D07B2"/>
    <w:rsid w:val="2F450B6E"/>
    <w:rsid w:val="2F6D7B0F"/>
    <w:rsid w:val="2F836D2C"/>
    <w:rsid w:val="2F8E07F4"/>
    <w:rsid w:val="2FBB54FA"/>
    <w:rsid w:val="2FC3709C"/>
    <w:rsid w:val="2FCE2CA3"/>
    <w:rsid w:val="2FF211D1"/>
    <w:rsid w:val="300B0A4B"/>
    <w:rsid w:val="301F4EE8"/>
    <w:rsid w:val="303473F6"/>
    <w:rsid w:val="30731155"/>
    <w:rsid w:val="30895E2D"/>
    <w:rsid w:val="30973596"/>
    <w:rsid w:val="30B113A2"/>
    <w:rsid w:val="30CA30C1"/>
    <w:rsid w:val="30D23B66"/>
    <w:rsid w:val="30D562AB"/>
    <w:rsid w:val="30DF0573"/>
    <w:rsid w:val="30EE4C7F"/>
    <w:rsid w:val="30FB5378"/>
    <w:rsid w:val="310D5FB0"/>
    <w:rsid w:val="3142710A"/>
    <w:rsid w:val="314E6F14"/>
    <w:rsid w:val="31A737AC"/>
    <w:rsid w:val="32495C16"/>
    <w:rsid w:val="32787B12"/>
    <w:rsid w:val="32976B82"/>
    <w:rsid w:val="32A36BD3"/>
    <w:rsid w:val="32AE46C6"/>
    <w:rsid w:val="32C531CD"/>
    <w:rsid w:val="330B109D"/>
    <w:rsid w:val="332C7EEA"/>
    <w:rsid w:val="333308B1"/>
    <w:rsid w:val="333F1BB7"/>
    <w:rsid w:val="334818FC"/>
    <w:rsid w:val="33775400"/>
    <w:rsid w:val="338462EC"/>
    <w:rsid w:val="33907349"/>
    <w:rsid w:val="33AA01F7"/>
    <w:rsid w:val="33AA4DED"/>
    <w:rsid w:val="33AD5E70"/>
    <w:rsid w:val="33E67E90"/>
    <w:rsid w:val="34485CF2"/>
    <w:rsid w:val="345C5BEF"/>
    <w:rsid w:val="34AD7C43"/>
    <w:rsid w:val="3515212D"/>
    <w:rsid w:val="352C5D76"/>
    <w:rsid w:val="35301D0A"/>
    <w:rsid w:val="354130F1"/>
    <w:rsid w:val="35591407"/>
    <w:rsid w:val="357242D6"/>
    <w:rsid w:val="35872663"/>
    <w:rsid w:val="35A9270C"/>
    <w:rsid w:val="36250486"/>
    <w:rsid w:val="363E1597"/>
    <w:rsid w:val="3671649C"/>
    <w:rsid w:val="3676374D"/>
    <w:rsid w:val="368A6F17"/>
    <w:rsid w:val="3699052E"/>
    <w:rsid w:val="36B630DC"/>
    <w:rsid w:val="36CB59F9"/>
    <w:rsid w:val="36D65B7D"/>
    <w:rsid w:val="37164F30"/>
    <w:rsid w:val="37180CA8"/>
    <w:rsid w:val="375B510B"/>
    <w:rsid w:val="37BE7196"/>
    <w:rsid w:val="37EC5DE0"/>
    <w:rsid w:val="38244D04"/>
    <w:rsid w:val="38326EC4"/>
    <w:rsid w:val="38370CD5"/>
    <w:rsid w:val="38393D38"/>
    <w:rsid w:val="38463EC9"/>
    <w:rsid w:val="38476878"/>
    <w:rsid w:val="388012FC"/>
    <w:rsid w:val="38B06530"/>
    <w:rsid w:val="38B16E69"/>
    <w:rsid w:val="38EE2147"/>
    <w:rsid w:val="38F525A0"/>
    <w:rsid w:val="38FD0155"/>
    <w:rsid w:val="390034D4"/>
    <w:rsid w:val="39226967"/>
    <w:rsid w:val="3930756D"/>
    <w:rsid w:val="39663086"/>
    <w:rsid w:val="398E34A3"/>
    <w:rsid w:val="399A3BF6"/>
    <w:rsid w:val="39B02BFA"/>
    <w:rsid w:val="39E54B21"/>
    <w:rsid w:val="3A053B9B"/>
    <w:rsid w:val="3A0D222D"/>
    <w:rsid w:val="3A2D67C1"/>
    <w:rsid w:val="3A3052A6"/>
    <w:rsid w:val="3A3A0B49"/>
    <w:rsid w:val="3A476BFD"/>
    <w:rsid w:val="3A4B3142"/>
    <w:rsid w:val="3AB2671B"/>
    <w:rsid w:val="3ACF7138"/>
    <w:rsid w:val="3AF563A8"/>
    <w:rsid w:val="3B5B5607"/>
    <w:rsid w:val="3B616116"/>
    <w:rsid w:val="3B62183A"/>
    <w:rsid w:val="3B740B1F"/>
    <w:rsid w:val="3B80172C"/>
    <w:rsid w:val="3C0F71B2"/>
    <w:rsid w:val="3C211DCF"/>
    <w:rsid w:val="3C4C7E41"/>
    <w:rsid w:val="3C7076A7"/>
    <w:rsid w:val="3C960E30"/>
    <w:rsid w:val="3C9E2B66"/>
    <w:rsid w:val="3CAF79B9"/>
    <w:rsid w:val="3CC11CFC"/>
    <w:rsid w:val="3D3673FA"/>
    <w:rsid w:val="3D61238B"/>
    <w:rsid w:val="3D7A4028"/>
    <w:rsid w:val="3D7D5A18"/>
    <w:rsid w:val="3DA9265A"/>
    <w:rsid w:val="3DB22CC1"/>
    <w:rsid w:val="3DCC459A"/>
    <w:rsid w:val="3DD9309D"/>
    <w:rsid w:val="3DE9514C"/>
    <w:rsid w:val="3E09759C"/>
    <w:rsid w:val="3E410685"/>
    <w:rsid w:val="3E4E7132"/>
    <w:rsid w:val="3E633482"/>
    <w:rsid w:val="3E651ADA"/>
    <w:rsid w:val="3E74196D"/>
    <w:rsid w:val="3EA71349"/>
    <w:rsid w:val="3EA74F01"/>
    <w:rsid w:val="3EBB0897"/>
    <w:rsid w:val="3EFB0C93"/>
    <w:rsid w:val="3F003925"/>
    <w:rsid w:val="3F0742AF"/>
    <w:rsid w:val="3F0F2990"/>
    <w:rsid w:val="3F24318A"/>
    <w:rsid w:val="3F2B002A"/>
    <w:rsid w:val="3F88218E"/>
    <w:rsid w:val="3F88541E"/>
    <w:rsid w:val="3FAA090B"/>
    <w:rsid w:val="3FB26998"/>
    <w:rsid w:val="3FC15F34"/>
    <w:rsid w:val="3FE034BE"/>
    <w:rsid w:val="3FEC682B"/>
    <w:rsid w:val="3FEF1640"/>
    <w:rsid w:val="3FF5728E"/>
    <w:rsid w:val="40280A57"/>
    <w:rsid w:val="40355211"/>
    <w:rsid w:val="40493C80"/>
    <w:rsid w:val="405E0F10"/>
    <w:rsid w:val="40681089"/>
    <w:rsid w:val="406867FC"/>
    <w:rsid w:val="40742CC1"/>
    <w:rsid w:val="40BF2194"/>
    <w:rsid w:val="40E05A78"/>
    <w:rsid w:val="41022FD4"/>
    <w:rsid w:val="410B53D9"/>
    <w:rsid w:val="410C1D1E"/>
    <w:rsid w:val="41126927"/>
    <w:rsid w:val="41204A61"/>
    <w:rsid w:val="412E324E"/>
    <w:rsid w:val="413C4351"/>
    <w:rsid w:val="415154E1"/>
    <w:rsid w:val="4157061F"/>
    <w:rsid w:val="416829D0"/>
    <w:rsid w:val="41757C84"/>
    <w:rsid w:val="419B3734"/>
    <w:rsid w:val="41B25933"/>
    <w:rsid w:val="420720FC"/>
    <w:rsid w:val="42380450"/>
    <w:rsid w:val="4239456E"/>
    <w:rsid w:val="425440AD"/>
    <w:rsid w:val="426535B6"/>
    <w:rsid w:val="428213EE"/>
    <w:rsid w:val="42993D61"/>
    <w:rsid w:val="429A0B2E"/>
    <w:rsid w:val="42AE7254"/>
    <w:rsid w:val="42B83A9C"/>
    <w:rsid w:val="42B871C2"/>
    <w:rsid w:val="42C35C57"/>
    <w:rsid w:val="42C51BCF"/>
    <w:rsid w:val="430640AA"/>
    <w:rsid w:val="431628F3"/>
    <w:rsid w:val="431F37EA"/>
    <w:rsid w:val="432B1D8D"/>
    <w:rsid w:val="432E070E"/>
    <w:rsid w:val="43476D4A"/>
    <w:rsid w:val="43521A29"/>
    <w:rsid w:val="43553558"/>
    <w:rsid w:val="436B1094"/>
    <w:rsid w:val="436F49F9"/>
    <w:rsid w:val="437B6846"/>
    <w:rsid w:val="43C10182"/>
    <w:rsid w:val="43C27236"/>
    <w:rsid w:val="43E179C4"/>
    <w:rsid w:val="43EF7878"/>
    <w:rsid w:val="440D7F56"/>
    <w:rsid w:val="4444345D"/>
    <w:rsid w:val="44452751"/>
    <w:rsid w:val="446A6A62"/>
    <w:rsid w:val="449851D6"/>
    <w:rsid w:val="44AA4BAF"/>
    <w:rsid w:val="44F41584"/>
    <w:rsid w:val="45010FCD"/>
    <w:rsid w:val="45054C27"/>
    <w:rsid w:val="45191AA2"/>
    <w:rsid w:val="453273D9"/>
    <w:rsid w:val="453C3444"/>
    <w:rsid w:val="45451750"/>
    <w:rsid w:val="45480274"/>
    <w:rsid w:val="459C1ED4"/>
    <w:rsid w:val="45A66B7E"/>
    <w:rsid w:val="45AE0C6A"/>
    <w:rsid w:val="45C3390E"/>
    <w:rsid w:val="45CA1288"/>
    <w:rsid w:val="45DD4D0A"/>
    <w:rsid w:val="460D470D"/>
    <w:rsid w:val="464660EB"/>
    <w:rsid w:val="46513CE4"/>
    <w:rsid w:val="466709DA"/>
    <w:rsid w:val="46753A21"/>
    <w:rsid w:val="46762255"/>
    <w:rsid w:val="468E4733"/>
    <w:rsid w:val="46C90079"/>
    <w:rsid w:val="46DC154C"/>
    <w:rsid w:val="472F6522"/>
    <w:rsid w:val="47327B57"/>
    <w:rsid w:val="474260A3"/>
    <w:rsid w:val="474653BD"/>
    <w:rsid w:val="47482EE3"/>
    <w:rsid w:val="474F5AFF"/>
    <w:rsid w:val="4753585C"/>
    <w:rsid w:val="47544ADB"/>
    <w:rsid w:val="47720DAD"/>
    <w:rsid w:val="477A083B"/>
    <w:rsid w:val="47876D4D"/>
    <w:rsid w:val="47933769"/>
    <w:rsid w:val="47B5612D"/>
    <w:rsid w:val="47BA6056"/>
    <w:rsid w:val="47C85937"/>
    <w:rsid w:val="47FE1767"/>
    <w:rsid w:val="48120E05"/>
    <w:rsid w:val="48407663"/>
    <w:rsid w:val="485458B8"/>
    <w:rsid w:val="485E4EEC"/>
    <w:rsid w:val="4860425D"/>
    <w:rsid w:val="487D2E90"/>
    <w:rsid w:val="48BB68D0"/>
    <w:rsid w:val="48C50C7E"/>
    <w:rsid w:val="48EF3E04"/>
    <w:rsid w:val="490B2684"/>
    <w:rsid w:val="491C6209"/>
    <w:rsid w:val="493167A1"/>
    <w:rsid w:val="493A685C"/>
    <w:rsid w:val="496826E1"/>
    <w:rsid w:val="49846CC0"/>
    <w:rsid w:val="4993038A"/>
    <w:rsid w:val="49E46A53"/>
    <w:rsid w:val="49EF65FB"/>
    <w:rsid w:val="49F543E2"/>
    <w:rsid w:val="4A0707F1"/>
    <w:rsid w:val="4A0B5D0C"/>
    <w:rsid w:val="4A182544"/>
    <w:rsid w:val="4A273284"/>
    <w:rsid w:val="4A3C1E0C"/>
    <w:rsid w:val="4A45195C"/>
    <w:rsid w:val="4A7E7EDF"/>
    <w:rsid w:val="4AA03C9C"/>
    <w:rsid w:val="4ABB577A"/>
    <w:rsid w:val="4AC8648C"/>
    <w:rsid w:val="4ACC7CED"/>
    <w:rsid w:val="4AEE031F"/>
    <w:rsid w:val="4AF55130"/>
    <w:rsid w:val="4B117A90"/>
    <w:rsid w:val="4B1C0C8A"/>
    <w:rsid w:val="4B250C74"/>
    <w:rsid w:val="4B294DDA"/>
    <w:rsid w:val="4B2C1092"/>
    <w:rsid w:val="4B3D2633"/>
    <w:rsid w:val="4B3E6269"/>
    <w:rsid w:val="4B5F07FC"/>
    <w:rsid w:val="4B614574"/>
    <w:rsid w:val="4B720D9C"/>
    <w:rsid w:val="4B8D35BB"/>
    <w:rsid w:val="4B9761E7"/>
    <w:rsid w:val="4B990325"/>
    <w:rsid w:val="4BD85228"/>
    <w:rsid w:val="4BDD7E99"/>
    <w:rsid w:val="4BFA2159"/>
    <w:rsid w:val="4C116BF5"/>
    <w:rsid w:val="4C2227CC"/>
    <w:rsid w:val="4C39104D"/>
    <w:rsid w:val="4C650094"/>
    <w:rsid w:val="4C6E59B3"/>
    <w:rsid w:val="4C7B1416"/>
    <w:rsid w:val="4C7B1665"/>
    <w:rsid w:val="4C7C216D"/>
    <w:rsid w:val="4C8962ED"/>
    <w:rsid w:val="4C9D2539"/>
    <w:rsid w:val="4CC544F9"/>
    <w:rsid w:val="4CC73D9F"/>
    <w:rsid w:val="4CCC0D79"/>
    <w:rsid w:val="4CCC7436"/>
    <w:rsid w:val="4D063625"/>
    <w:rsid w:val="4D1F46E6"/>
    <w:rsid w:val="4D36558C"/>
    <w:rsid w:val="4D3D7270"/>
    <w:rsid w:val="4D67790C"/>
    <w:rsid w:val="4D6E13DC"/>
    <w:rsid w:val="4D902EEE"/>
    <w:rsid w:val="4D9619F2"/>
    <w:rsid w:val="4DF252CB"/>
    <w:rsid w:val="4DFE2939"/>
    <w:rsid w:val="4E1A11A0"/>
    <w:rsid w:val="4E1D70D7"/>
    <w:rsid w:val="4E2B18EE"/>
    <w:rsid w:val="4E393586"/>
    <w:rsid w:val="4E451354"/>
    <w:rsid w:val="4E5530FC"/>
    <w:rsid w:val="4E622644"/>
    <w:rsid w:val="4E6F45F4"/>
    <w:rsid w:val="4ECA0E36"/>
    <w:rsid w:val="4EF257E7"/>
    <w:rsid w:val="4EF92428"/>
    <w:rsid w:val="4F133DD7"/>
    <w:rsid w:val="4F192C84"/>
    <w:rsid w:val="4F283CB4"/>
    <w:rsid w:val="4F2B762F"/>
    <w:rsid w:val="4FB8570C"/>
    <w:rsid w:val="4FB940D4"/>
    <w:rsid w:val="4FDB5BF9"/>
    <w:rsid w:val="4FE03A2B"/>
    <w:rsid w:val="4FE24FA4"/>
    <w:rsid w:val="4FEB32EB"/>
    <w:rsid w:val="4FFB6B54"/>
    <w:rsid w:val="50152D26"/>
    <w:rsid w:val="50483730"/>
    <w:rsid w:val="504A12BE"/>
    <w:rsid w:val="5066622B"/>
    <w:rsid w:val="508E1E5D"/>
    <w:rsid w:val="50A0586C"/>
    <w:rsid w:val="50B669C9"/>
    <w:rsid w:val="50B821E1"/>
    <w:rsid w:val="50E7535C"/>
    <w:rsid w:val="511F2F07"/>
    <w:rsid w:val="51450494"/>
    <w:rsid w:val="514A7802"/>
    <w:rsid w:val="514F6B70"/>
    <w:rsid w:val="5151478A"/>
    <w:rsid w:val="51651AFA"/>
    <w:rsid w:val="5176064D"/>
    <w:rsid w:val="51772E0C"/>
    <w:rsid w:val="51786173"/>
    <w:rsid w:val="51D2168E"/>
    <w:rsid w:val="51FB0B52"/>
    <w:rsid w:val="520F6E87"/>
    <w:rsid w:val="52353D0E"/>
    <w:rsid w:val="527932BC"/>
    <w:rsid w:val="529369ED"/>
    <w:rsid w:val="52C33D66"/>
    <w:rsid w:val="52EB34F6"/>
    <w:rsid w:val="52F67F66"/>
    <w:rsid w:val="532C4200"/>
    <w:rsid w:val="53456B4D"/>
    <w:rsid w:val="534704F3"/>
    <w:rsid w:val="535D372A"/>
    <w:rsid w:val="53604638"/>
    <w:rsid w:val="537426D9"/>
    <w:rsid w:val="53BA6F17"/>
    <w:rsid w:val="53BC4849"/>
    <w:rsid w:val="54250973"/>
    <w:rsid w:val="54307E41"/>
    <w:rsid w:val="5437028A"/>
    <w:rsid w:val="54411979"/>
    <w:rsid w:val="544762D1"/>
    <w:rsid w:val="545D78A2"/>
    <w:rsid w:val="547674DF"/>
    <w:rsid w:val="547E7F44"/>
    <w:rsid w:val="549A28A4"/>
    <w:rsid w:val="54A454D1"/>
    <w:rsid w:val="54C33BA9"/>
    <w:rsid w:val="54CB7B02"/>
    <w:rsid w:val="54DF16B0"/>
    <w:rsid w:val="54F06CD6"/>
    <w:rsid w:val="55024293"/>
    <w:rsid w:val="55032E10"/>
    <w:rsid w:val="55107FCF"/>
    <w:rsid w:val="551B54BA"/>
    <w:rsid w:val="552B0073"/>
    <w:rsid w:val="553C572D"/>
    <w:rsid w:val="554B1EEA"/>
    <w:rsid w:val="554C67B5"/>
    <w:rsid w:val="555F3890"/>
    <w:rsid w:val="556116B0"/>
    <w:rsid w:val="558A0B6B"/>
    <w:rsid w:val="55982ED8"/>
    <w:rsid w:val="55A03EEB"/>
    <w:rsid w:val="55A175A6"/>
    <w:rsid w:val="55A22D4F"/>
    <w:rsid w:val="55CE3334"/>
    <w:rsid w:val="55D909B9"/>
    <w:rsid w:val="561641AD"/>
    <w:rsid w:val="561D732C"/>
    <w:rsid w:val="563100A4"/>
    <w:rsid w:val="56407196"/>
    <w:rsid w:val="56426087"/>
    <w:rsid w:val="565E03C9"/>
    <w:rsid w:val="56757694"/>
    <w:rsid w:val="56903F5F"/>
    <w:rsid w:val="569E4927"/>
    <w:rsid w:val="56D90150"/>
    <w:rsid w:val="56EF4104"/>
    <w:rsid w:val="56F24AFD"/>
    <w:rsid w:val="56FE7932"/>
    <w:rsid w:val="57034309"/>
    <w:rsid w:val="573A5F50"/>
    <w:rsid w:val="573B211D"/>
    <w:rsid w:val="57584D64"/>
    <w:rsid w:val="57586AAD"/>
    <w:rsid w:val="575E405D"/>
    <w:rsid w:val="57792C45"/>
    <w:rsid w:val="577C3370"/>
    <w:rsid w:val="578810EA"/>
    <w:rsid w:val="579572FB"/>
    <w:rsid w:val="57BB14B0"/>
    <w:rsid w:val="57C93F83"/>
    <w:rsid w:val="57D165DD"/>
    <w:rsid w:val="57EC3417"/>
    <w:rsid w:val="583A2B1F"/>
    <w:rsid w:val="58490C67"/>
    <w:rsid w:val="58975289"/>
    <w:rsid w:val="58A67A66"/>
    <w:rsid w:val="58A74D44"/>
    <w:rsid w:val="58C84820"/>
    <w:rsid w:val="58CD048A"/>
    <w:rsid w:val="58E32A6C"/>
    <w:rsid w:val="58FA5E7E"/>
    <w:rsid w:val="590C69E5"/>
    <w:rsid w:val="59356D60"/>
    <w:rsid w:val="594613D7"/>
    <w:rsid w:val="595E48E0"/>
    <w:rsid w:val="59606DF2"/>
    <w:rsid w:val="59891978"/>
    <w:rsid w:val="59916628"/>
    <w:rsid w:val="59BA7ABB"/>
    <w:rsid w:val="59F36D13"/>
    <w:rsid w:val="59F44805"/>
    <w:rsid w:val="5A093355"/>
    <w:rsid w:val="5A36306F"/>
    <w:rsid w:val="5A3C15A0"/>
    <w:rsid w:val="5A6043CA"/>
    <w:rsid w:val="5A637F6F"/>
    <w:rsid w:val="5A6A4ED7"/>
    <w:rsid w:val="5A6C75D8"/>
    <w:rsid w:val="5A884D1C"/>
    <w:rsid w:val="5A8F3A26"/>
    <w:rsid w:val="5AB64F46"/>
    <w:rsid w:val="5AB70CDF"/>
    <w:rsid w:val="5ABB65E5"/>
    <w:rsid w:val="5AD563E4"/>
    <w:rsid w:val="5AF96577"/>
    <w:rsid w:val="5B307ABF"/>
    <w:rsid w:val="5B321A89"/>
    <w:rsid w:val="5B4D68C3"/>
    <w:rsid w:val="5B5F44EF"/>
    <w:rsid w:val="5B8B15E4"/>
    <w:rsid w:val="5BA10582"/>
    <w:rsid w:val="5BB6101F"/>
    <w:rsid w:val="5BE24CBF"/>
    <w:rsid w:val="5BE53F27"/>
    <w:rsid w:val="5BF136F2"/>
    <w:rsid w:val="5C1967A5"/>
    <w:rsid w:val="5C2204C6"/>
    <w:rsid w:val="5C2D7BD0"/>
    <w:rsid w:val="5C2F3D9C"/>
    <w:rsid w:val="5C335AB8"/>
    <w:rsid w:val="5C4952DC"/>
    <w:rsid w:val="5C8518AF"/>
    <w:rsid w:val="5C8A04D7"/>
    <w:rsid w:val="5C9643DA"/>
    <w:rsid w:val="5CA63D15"/>
    <w:rsid w:val="5CAC6D2A"/>
    <w:rsid w:val="5CC901CB"/>
    <w:rsid w:val="5CDE684A"/>
    <w:rsid w:val="5CF834E9"/>
    <w:rsid w:val="5D0C17D7"/>
    <w:rsid w:val="5D122DEE"/>
    <w:rsid w:val="5D3E5631"/>
    <w:rsid w:val="5D4569AE"/>
    <w:rsid w:val="5D584DCA"/>
    <w:rsid w:val="5D6D3F49"/>
    <w:rsid w:val="5D7F6644"/>
    <w:rsid w:val="5D9F2A5D"/>
    <w:rsid w:val="5DB04EE7"/>
    <w:rsid w:val="5DB76275"/>
    <w:rsid w:val="5DC44A0C"/>
    <w:rsid w:val="5E0B4D95"/>
    <w:rsid w:val="5E791835"/>
    <w:rsid w:val="5E8B689C"/>
    <w:rsid w:val="5E8C37C6"/>
    <w:rsid w:val="5EB915BA"/>
    <w:rsid w:val="5EBE3EA6"/>
    <w:rsid w:val="5EFD2476"/>
    <w:rsid w:val="5EFF39EF"/>
    <w:rsid w:val="5F0323A2"/>
    <w:rsid w:val="5F066A42"/>
    <w:rsid w:val="5F250D66"/>
    <w:rsid w:val="5F6B5569"/>
    <w:rsid w:val="5F93359F"/>
    <w:rsid w:val="5FAF21C4"/>
    <w:rsid w:val="5FBD0C24"/>
    <w:rsid w:val="5FFE5700"/>
    <w:rsid w:val="600F2873"/>
    <w:rsid w:val="601302F3"/>
    <w:rsid w:val="6019191C"/>
    <w:rsid w:val="60512BA9"/>
    <w:rsid w:val="60653448"/>
    <w:rsid w:val="608F68A4"/>
    <w:rsid w:val="60A70313"/>
    <w:rsid w:val="60C74A21"/>
    <w:rsid w:val="60C8584A"/>
    <w:rsid w:val="60CB04E7"/>
    <w:rsid w:val="60D274A6"/>
    <w:rsid w:val="60D3786A"/>
    <w:rsid w:val="6103543C"/>
    <w:rsid w:val="613A1697"/>
    <w:rsid w:val="613C5706"/>
    <w:rsid w:val="614154B0"/>
    <w:rsid w:val="61497B2C"/>
    <w:rsid w:val="61742C47"/>
    <w:rsid w:val="61951903"/>
    <w:rsid w:val="61A30FEA"/>
    <w:rsid w:val="61A80DBC"/>
    <w:rsid w:val="61C17D22"/>
    <w:rsid w:val="61C3512C"/>
    <w:rsid w:val="61C91EFF"/>
    <w:rsid w:val="61CB303D"/>
    <w:rsid w:val="61D233DD"/>
    <w:rsid w:val="61DC552A"/>
    <w:rsid w:val="61E83FDA"/>
    <w:rsid w:val="622F7825"/>
    <w:rsid w:val="627213D0"/>
    <w:rsid w:val="62797F9D"/>
    <w:rsid w:val="6283706E"/>
    <w:rsid w:val="628D1D46"/>
    <w:rsid w:val="62CC1C4E"/>
    <w:rsid w:val="62D13935"/>
    <w:rsid w:val="62D34046"/>
    <w:rsid w:val="62D91739"/>
    <w:rsid w:val="62E351B5"/>
    <w:rsid w:val="62F43F02"/>
    <w:rsid w:val="632B74E9"/>
    <w:rsid w:val="63324C6E"/>
    <w:rsid w:val="633F423E"/>
    <w:rsid w:val="63717C79"/>
    <w:rsid w:val="637A68DF"/>
    <w:rsid w:val="63B44539"/>
    <w:rsid w:val="63C62EBC"/>
    <w:rsid w:val="63C952A6"/>
    <w:rsid w:val="63F53540"/>
    <w:rsid w:val="64112C89"/>
    <w:rsid w:val="64446389"/>
    <w:rsid w:val="644C3930"/>
    <w:rsid w:val="6455277C"/>
    <w:rsid w:val="64603E5C"/>
    <w:rsid w:val="646D0D23"/>
    <w:rsid w:val="64803865"/>
    <w:rsid w:val="64903C83"/>
    <w:rsid w:val="64A37553"/>
    <w:rsid w:val="64AB78B1"/>
    <w:rsid w:val="64DC3661"/>
    <w:rsid w:val="654C5CD3"/>
    <w:rsid w:val="654C6575"/>
    <w:rsid w:val="65535AD8"/>
    <w:rsid w:val="65663D79"/>
    <w:rsid w:val="658B66C1"/>
    <w:rsid w:val="658B6BC5"/>
    <w:rsid w:val="659155FE"/>
    <w:rsid w:val="65A476F6"/>
    <w:rsid w:val="65EF127F"/>
    <w:rsid w:val="66061B48"/>
    <w:rsid w:val="6639016F"/>
    <w:rsid w:val="664B39FF"/>
    <w:rsid w:val="66794933"/>
    <w:rsid w:val="66A40BAD"/>
    <w:rsid w:val="66E128B4"/>
    <w:rsid w:val="66F12AB4"/>
    <w:rsid w:val="670D650B"/>
    <w:rsid w:val="67126313"/>
    <w:rsid w:val="67410747"/>
    <w:rsid w:val="67511E58"/>
    <w:rsid w:val="67B71945"/>
    <w:rsid w:val="67B7656D"/>
    <w:rsid w:val="67D1400D"/>
    <w:rsid w:val="67D14378"/>
    <w:rsid w:val="67F1102B"/>
    <w:rsid w:val="67FA1B80"/>
    <w:rsid w:val="67FA46A7"/>
    <w:rsid w:val="67FB590C"/>
    <w:rsid w:val="67FE5457"/>
    <w:rsid w:val="681D5346"/>
    <w:rsid w:val="681F15E7"/>
    <w:rsid w:val="682F648B"/>
    <w:rsid w:val="6841330B"/>
    <w:rsid w:val="68525E8B"/>
    <w:rsid w:val="68727990"/>
    <w:rsid w:val="68AD274F"/>
    <w:rsid w:val="68C7438B"/>
    <w:rsid w:val="68CD5A4F"/>
    <w:rsid w:val="68CD5ACC"/>
    <w:rsid w:val="68D85A6E"/>
    <w:rsid w:val="68E41C7F"/>
    <w:rsid w:val="69327385"/>
    <w:rsid w:val="693E4E01"/>
    <w:rsid w:val="693E5CE8"/>
    <w:rsid w:val="69456C34"/>
    <w:rsid w:val="697101F8"/>
    <w:rsid w:val="697A490B"/>
    <w:rsid w:val="69801C11"/>
    <w:rsid w:val="69823580"/>
    <w:rsid w:val="699102C2"/>
    <w:rsid w:val="6992608B"/>
    <w:rsid w:val="69935128"/>
    <w:rsid w:val="69AD3E37"/>
    <w:rsid w:val="69E70EC9"/>
    <w:rsid w:val="69EC175E"/>
    <w:rsid w:val="6A194EEC"/>
    <w:rsid w:val="6A9A31A7"/>
    <w:rsid w:val="6AB726A3"/>
    <w:rsid w:val="6AE624BB"/>
    <w:rsid w:val="6B120F8F"/>
    <w:rsid w:val="6B361121"/>
    <w:rsid w:val="6B4E5DEA"/>
    <w:rsid w:val="6B5E18C4"/>
    <w:rsid w:val="6B6442C9"/>
    <w:rsid w:val="6BA130D5"/>
    <w:rsid w:val="6BAD26B6"/>
    <w:rsid w:val="6BB32772"/>
    <w:rsid w:val="6BC27EDE"/>
    <w:rsid w:val="6BD44496"/>
    <w:rsid w:val="6BD959FF"/>
    <w:rsid w:val="6C0905E4"/>
    <w:rsid w:val="6C206D97"/>
    <w:rsid w:val="6C557385"/>
    <w:rsid w:val="6C8E6023"/>
    <w:rsid w:val="6C8E6E97"/>
    <w:rsid w:val="6C9B79FA"/>
    <w:rsid w:val="6CAC7A21"/>
    <w:rsid w:val="6CF03552"/>
    <w:rsid w:val="6D142D9C"/>
    <w:rsid w:val="6D413368"/>
    <w:rsid w:val="6D582E02"/>
    <w:rsid w:val="6DA5112D"/>
    <w:rsid w:val="6DAB0109"/>
    <w:rsid w:val="6DC14B52"/>
    <w:rsid w:val="6DEC1F63"/>
    <w:rsid w:val="6DEF3809"/>
    <w:rsid w:val="6E2D58B9"/>
    <w:rsid w:val="6E614EA5"/>
    <w:rsid w:val="6E663A16"/>
    <w:rsid w:val="6E671E2C"/>
    <w:rsid w:val="6E7E74F8"/>
    <w:rsid w:val="6E92201A"/>
    <w:rsid w:val="6E997D2F"/>
    <w:rsid w:val="6EBE76B0"/>
    <w:rsid w:val="6F0A731D"/>
    <w:rsid w:val="6F240401"/>
    <w:rsid w:val="6F3C234C"/>
    <w:rsid w:val="6F5726F4"/>
    <w:rsid w:val="6F754641"/>
    <w:rsid w:val="6F7B7591"/>
    <w:rsid w:val="6F8B537D"/>
    <w:rsid w:val="6F963F3C"/>
    <w:rsid w:val="6F9B1553"/>
    <w:rsid w:val="6FC50E0F"/>
    <w:rsid w:val="6FC75452"/>
    <w:rsid w:val="6FCD1928"/>
    <w:rsid w:val="6FE612E2"/>
    <w:rsid w:val="6FEE5DF2"/>
    <w:rsid w:val="703134FA"/>
    <w:rsid w:val="70737A09"/>
    <w:rsid w:val="707A15E7"/>
    <w:rsid w:val="70913A0E"/>
    <w:rsid w:val="709C24CA"/>
    <w:rsid w:val="70FA5EFA"/>
    <w:rsid w:val="710542A6"/>
    <w:rsid w:val="71190F28"/>
    <w:rsid w:val="71213793"/>
    <w:rsid w:val="71355527"/>
    <w:rsid w:val="713C1D6D"/>
    <w:rsid w:val="71692C8E"/>
    <w:rsid w:val="71A0332C"/>
    <w:rsid w:val="71A37FFC"/>
    <w:rsid w:val="71B40089"/>
    <w:rsid w:val="72456CFC"/>
    <w:rsid w:val="72477770"/>
    <w:rsid w:val="725700A9"/>
    <w:rsid w:val="725C04A6"/>
    <w:rsid w:val="726A5CB0"/>
    <w:rsid w:val="727F1417"/>
    <w:rsid w:val="72843689"/>
    <w:rsid w:val="729420A8"/>
    <w:rsid w:val="72BD3ED6"/>
    <w:rsid w:val="72DA014C"/>
    <w:rsid w:val="72E66F89"/>
    <w:rsid w:val="730840D9"/>
    <w:rsid w:val="730F1287"/>
    <w:rsid w:val="73610D05"/>
    <w:rsid w:val="7369302C"/>
    <w:rsid w:val="7374326F"/>
    <w:rsid w:val="738C1AEF"/>
    <w:rsid w:val="739E0815"/>
    <w:rsid w:val="73D83EF4"/>
    <w:rsid w:val="73ED3B7A"/>
    <w:rsid w:val="73F1326B"/>
    <w:rsid w:val="73F22B6A"/>
    <w:rsid w:val="73F92CEC"/>
    <w:rsid w:val="7408706A"/>
    <w:rsid w:val="7423609F"/>
    <w:rsid w:val="744E2473"/>
    <w:rsid w:val="746D7236"/>
    <w:rsid w:val="74926D5A"/>
    <w:rsid w:val="74996D9A"/>
    <w:rsid w:val="749A63E7"/>
    <w:rsid w:val="74A929C2"/>
    <w:rsid w:val="74DA65B7"/>
    <w:rsid w:val="74DD0F00"/>
    <w:rsid w:val="75217E0F"/>
    <w:rsid w:val="756923C9"/>
    <w:rsid w:val="756B5E6B"/>
    <w:rsid w:val="75710F99"/>
    <w:rsid w:val="758219FB"/>
    <w:rsid w:val="758E56B6"/>
    <w:rsid w:val="75AC1C95"/>
    <w:rsid w:val="75BE0CA2"/>
    <w:rsid w:val="75C64FAC"/>
    <w:rsid w:val="75D964E7"/>
    <w:rsid w:val="75E04EE1"/>
    <w:rsid w:val="75E52628"/>
    <w:rsid w:val="7616644E"/>
    <w:rsid w:val="764E5797"/>
    <w:rsid w:val="7652039A"/>
    <w:rsid w:val="7657143C"/>
    <w:rsid w:val="765C3C55"/>
    <w:rsid w:val="76944F4E"/>
    <w:rsid w:val="76B1069A"/>
    <w:rsid w:val="76B77DE9"/>
    <w:rsid w:val="76C7633F"/>
    <w:rsid w:val="76C8586F"/>
    <w:rsid w:val="76D67314"/>
    <w:rsid w:val="76F35625"/>
    <w:rsid w:val="77015D8E"/>
    <w:rsid w:val="77062109"/>
    <w:rsid w:val="777A05E8"/>
    <w:rsid w:val="77906FEF"/>
    <w:rsid w:val="779D54AA"/>
    <w:rsid w:val="77C62AF7"/>
    <w:rsid w:val="77E6296F"/>
    <w:rsid w:val="780B305C"/>
    <w:rsid w:val="78133C69"/>
    <w:rsid w:val="783833C6"/>
    <w:rsid w:val="785E722E"/>
    <w:rsid w:val="78B83176"/>
    <w:rsid w:val="78D405F9"/>
    <w:rsid w:val="78F044E3"/>
    <w:rsid w:val="7914254E"/>
    <w:rsid w:val="791D2404"/>
    <w:rsid w:val="794216AA"/>
    <w:rsid w:val="794C1B60"/>
    <w:rsid w:val="795E3E9C"/>
    <w:rsid w:val="79682BBD"/>
    <w:rsid w:val="79927E6B"/>
    <w:rsid w:val="79974DFF"/>
    <w:rsid w:val="799A4565"/>
    <w:rsid w:val="79B50E56"/>
    <w:rsid w:val="7A3B7394"/>
    <w:rsid w:val="7A410474"/>
    <w:rsid w:val="7A5E1AFB"/>
    <w:rsid w:val="7A603AC5"/>
    <w:rsid w:val="7A7059B7"/>
    <w:rsid w:val="7A8F7BF0"/>
    <w:rsid w:val="7A925C48"/>
    <w:rsid w:val="7AB14320"/>
    <w:rsid w:val="7ACD3EED"/>
    <w:rsid w:val="7AD14F03"/>
    <w:rsid w:val="7AE07E53"/>
    <w:rsid w:val="7AE75D85"/>
    <w:rsid w:val="7AED1461"/>
    <w:rsid w:val="7B2048E2"/>
    <w:rsid w:val="7B451A09"/>
    <w:rsid w:val="7B53416A"/>
    <w:rsid w:val="7B5C344D"/>
    <w:rsid w:val="7B641393"/>
    <w:rsid w:val="7B78259B"/>
    <w:rsid w:val="7B8C06F8"/>
    <w:rsid w:val="7B937ECA"/>
    <w:rsid w:val="7B980C0A"/>
    <w:rsid w:val="7BFA7EBA"/>
    <w:rsid w:val="7C1D0F5D"/>
    <w:rsid w:val="7C2F07C2"/>
    <w:rsid w:val="7C3D3992"/>
    <w:rsid w:val="7C690BD8"/>
    <w:rsid w:val="7C9A5059"/>
    <w:rsid w:val="7C9B42E3"/>
    <w:rsid w:val="7CB47368"/>
    <w:rsid w:val="7CBA4472"/>
    <w:rsid w:val="7CC12FFA"/>
    <w:rsid w:val="7CD57AFA"/>
    <w:rsid w:val="7CFB75B4"/>
    <w:rsid w:val="7D1D2DAB"/>
    <w:rsid w:val="7D356BA0"/>
    <w:rsid w:val="7D8B3B48"/>
    <w:rsid w:val="7D94748A"/>
    <w:rsid w:val="7D992C4E"/>
    <w:rsid w:val="7DAA55FB"/>
    <w:rsid w:val="7DC0325A"/>
    <w:rsid w:val="7DD57561"/>
    <w:rsid w:val="7DEB18F7"/>
    <w:rsid w:val="7E0309B5"/>
    <w:rsid w:val="7E171E91"/>
    <w:rsid w:val="7E6D084A"/>
    <w:rsid w:val="7E7365EF"/>
    <w:rsid w:val="7E8D0C00"/>
    <w:rsid w:val="7E9525EA"/>
    <w:rsid w:val="7E970BD8"/>
    <w:rsid w:val="7EAD1705"/>
    <w:rsid w:val="7EFF7750"/>
    <w:rsid w:val="7F0973A7"/>
    <w:rsid w:val="7F1C3D0F"/>
    <w:rsid w:val="7F1E1B53"/>
    <w:rsid w:val="7F5476B9"/>
    <w:rsid w:val="7F5C44BA"/>
    <w:rsid w:val="7F8C710A"/>
    <w:rsid w:val="7FD51808"/>
    <w:rsid w:val="7FD74225"/>
    <w:rsid w:val="7FF64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720" w:firstLineChars="200"/>
      <w:jc w:val="both"/>
    </w:pPr>
    <w:rPr>
      <w:rFonts w:ascii="Times New Roman" w:hAnsi="Times New Roman" w:eastAsiaTheme="minorEastAsia" w:cstheme="minorBidi"/>
      <w:kern w:val="2"/>
      <w:sz w:val="24"/>
      <w:szCs w:val="24"/>
      <w:lang w:val="en-US" w:eastAsia="zh-CN" w:bidi="ar-SA"/>
    </w:rPr>
  </w:style>
  <w:style w:type="paragraph" w:styleId="2">
    <w:name w:val="heading 1"/>
    <w:basedOn w:val="1"/>
    <w:next w:val="1"/>
    <w:qFormat/>
    <w:uiPriority w:val="0"/>
    <w:pPr>
      <w:keepNext/>
      <w:outlineLvl w:val="0"/>
    </w:pPr>
    <w:rPr>
      <w:b/>
      <w:bCs/>
      <w:sz w:val="2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b/>
      <w:bCs/>
      <w:sz w:val="28"/>
      <w:szCs w:val="28"/>
    </w:rPr>
  </w:style>
  <w:style w:type="character" w:default="1" w:styleId="27">
    <w:name w:val="Default Paragraph Font"/>
    <w:semiHidden/>
    <w:unhideWhenUsed/>
    <w:qFormat/>
    <w:uiPriority w:val="1"/>
  </w:style>
  <w:style w:type="table" w:default="1" w:styleId="2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7"/>
    <w:link w:val="78"/>
    <w:qFormat/>
    <w:uiPriority w:val="0"/>
    <w:pPr>
      <w:ind w:firstLine="420"/>
    </w:pPr>
    <w:rPr>
      <w:rFonts w:ascii="Times New Roman"/>
      <w:sz w:val="28"/>
    </w:rPr>
  </w:style>
  <w:style w:type="paragraph" w:customStyle="1" w:styleId="7">
    <w:name w:val="样式 正文文本 + 首行缩进:  2 字符"/>
    <w:basedOn w:val="8"/>
    <w:qFormat/>
    <w:uiPriority w:val="0"/>
    <w:pPr>
      <w:spacing w:after="0" w:line="480" w:lineRule="exact"/>
      <w:ind w:firstLine="480" w:firstLineChars="200"/>
    </w:pPr>
  </w:style>
  <w:style w:type="paragraph" w:styleId="8">
    <w:name w:val="Body Text"/>
    <w:basedOn w:val="1"/>
    <w:next w:val="9"/>
    <w:qFormat/>
    <w:uiPriority w:val="0"/>
    <w:pPr>
      <w:spacing w:after="120"/>
    </w:pPr>
  </w:style>
  <w:style w:type="paragraph" w:customStyle="1" w:styleId="9">
    <w:name w:val="Date1"/>
    <w:basedOn w:val="1"/>
    <w:next w:val="1"/>
    <w:qFormat/>
    <w:uiPriority w:val="0"/>
    <w:pPr>
      <w:adjustRightInd w:val="0"/>
      <w:textAlignment w:val="baseline"/>
    </w:pPr>
    <w:rPr>
      <w:rFonts w:ascii="楷体_GB2312" w:hAnsi="楷体_GB2312"/>
    </w:rPr>
  </w:style>
  <w:style w:type="paragraph" w:styleId="10">
    <w:name w:val="annotation text"/>
    <w:basedOn w:val="1"/>
    <w:link w:val="57"/>
    <w:qFormat/>
    <w:uiPriority w:val="99"/>
    <w:pPr>
      <w:jc w:val="left"/>
    </w:pPr>
  </w:style>
  <w:style w:type="paragraph" w:styleId="11">
    <w:name w:val="Body Text Indent"/>
    <w:basedOn w:val="1"/>
    <w:qFormat/>
    <w:uiPriority w:val="0"/>
    <w:pPr>
      <w:spacing w:after="120"/>
      <w:ind w:left="420" w:leftChars="200"/>
    </w:pPr>
  </w:style>
  <w:style w:type="paragraph" w:styleId="12">
    <w:name w:val="Block Text"/>
    <w:basedOn w:val="1"/>
    <w:unhideWhenUsed/>
    <w:qFormat/>
    <w:uiPriority w:val="99"/>
    <w:pPr>
      <w:jc w:val="left"/>
    </w:pPr>
  </w:style>
  <w:style w:type="paragraph" w:styleId="13">
    <w:name w:val="Plain Text"/>
    <w:basedOn w:val="1"/>
    <w:qFormat/>
    <w:uiPriority w:val="0"/>
    <w:rPr>
      <w:rFonts w:ascii="宋体" w:hAnsi="Courier New"/>
      <w:sz w:val="28"/>
    </w:rPr>
  </w:style>
  <w:style w:type="paragraph" w:styleId="14">
    <w:name w:val="Body Text Indent 2"/>
    <w:basedOn w:val="1"/>
    <w:next w:val="1"/>
    <w:unhideWhenUsed/>
    <w:qFormat/>
    <w:uiPriority w:val="99"/>
    <w:pPr>
      <w:spacing w:after="120" w:line="480" w:lineRule="auto"/>
      <w:ind w:left="420" w:leftChars="200"/>
    </w:pPr>
  </w:style>
  <w:style w:type="paragraph" w:styleId="15">
    <w:name w:val="Balloon Text"/>
    <w:basedOn w:val="1"/>
    <w:link w:val="59"/>
    <w:qFormat/>
    <w:uiPriority w:val="0"/>
    <w:rPr>
      <w:sz w:val="18"/>
      <w:szCs w:val="18"/>
    </w:rPr>
  </w:style>
  <w:style w:type="paragraph" w:styleId="16">
    <w:name w:val="footer"/>
    <w:basedOn w:val="1"/>
    <w:link w:val="38"/>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2"/>
    <w:basedOn w:val="1"/>
    <w:next w:val="1"/>
    <w:qFormat/>
    <w:uiPriority w:val="0"/>
    <w:pPr>
      <w:widowControl/>
      <w:ind w:left="420" w:leftChars="200"/>
      <w:jc w:val="left"/>
    </w:pPr>
    <w:rPr>
      <w:rFonts w:hint="eastAsia" w:ascii="宋体" w:hAnsi="宋体" w:eastAsia="宋体" w:cs="Times New Roman"/>
      <w:kern w:val="0"/>
      <w:sz w:val="24"/>
    </w:rPr>
  </w:style>
  <w:style w:type="paragraph" w:styleId="19">
    <w:name w:val="Body Text 2"/>
    <w:basedOn w:val="1"/>
    <w:qFormat/>
    <w:uiPriority w:val="0"/>
    <w:pPr>
      <w:spacing w:after="120" w:line="480" w:lineRule="auto"/>
    </w:pPr>
  </w:style>
  <w:style w:type="paragraph" w:styleId="20">
    <w:name w:val="Normal (Web)"/>
    <w:basedOn w:val="1"/>
    <w:link w:val="39"/>
    <w:qFormat/>
    <w:uiPriority w:val="0"/>
    <w:pPr>
      <w:widowControl/>
      <w:spacing w:beforeAutospacing="1" w:afterAutospacing="1"/>
      <w:jc w:val="left"/>
    </w:pPr>
    <w:rPr>
      <w:rFonts w:hint="eastAsia" w:ascii="宋体" w:hAnsi="宋体" w:eastAsia="宋体" w:cs="Times New Roman"/>
      <w:kern w:val="0"/>
      <w:sz w:val="24"/>
      <w:szCs w:val="20"/>
    </w:rPr>
  </w:style>
  <w:style w:type="paragraph" w:styleId="21">
    <w:name w:val="annotation subject"/>
    <w:basedOn w:val="10"/>
    <w:next w:val="10"/>
    <w:link w:val="58"/>
    <w:qFormat/>
    <w:uiPriority w:val="0"/>
    <w:rPr>
      <w:b/>
      <w:bCs/>
    </w:rPr>
  </w:style>
  <w:style w:type="paragraph" w:styleId="22">
    <w:name w:val="Body Text First Indent"/>
    <w:basedOn w:val="8"/>
    <w:qFormat/>
    <w:uiPriority w:val="0"/>
    <w:pPr>
      <w:ind w:firstLine="420" w:firstLineChars="100"/>
    </w:pPr>
  </w:style>
  <w:style w:type="paragraph" w:styleId="23">
    <w:name w:val="Body Text First Indent 2"/>
    <w:basedOn w:val="11"/>
    <w:qFormat/>
    <w:uiPriority w:val="0"/>
    <w:pPr>
      <w:spacing w:line="360" w:lineRule="auto"/>
      <w:ind w:firstLine="420" w:firstLineChars="200"/>
    </w:pPr>
    <w:rPr>
      <w:sz w:val="24"/>
    </w:rPr>
  </w:style>
  <w:style w:type="table" w:styleId="25">
    <w:name w:val="Table Grid"/>
    <w:basedOn w:val="24"/>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26">
    <w:name w:val="Table Elegant"/>
    <w:basedOn w:val="2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character" w:styleId="28">
    <w:name w:val="Strong"/>
    <w:basedOn w:val="27"/>
    <w:qFormat/>
    <w:uiPriority w:val="0"/>
    <w:rPr>
      <w:b/>
    </w:rPr>
  </w:style>
  <w:style w:type="character" w:styleId="29">
    <w:name w:val="Emphasis"/>
    <w:qFormat/>
    <w:uiPriority w:val="0"/>
    <w:rPr>
      <w:b/>
      <w:sz w:val="21"/>
      <w:szCs w:val="21"/>
    </w:rPr>
  </w:style>
  <w:style w:type="character" w:styleId="30">
    <w:name w:val="Hyperlink"/>
    <w:basedOn w:val="27"/>
    <w:qFormat/>
    <w:uiPriority w:val="0"/>
    <w:rPr>
      <w:color w:val="0000FF"/>
      <w:u w:val="single"/>
    </w:rPr>
  </w:style>
  <w:style w:type="character" w:styleId="31">
    <w:name w:val="annotation reference"/>
    <w:basedOn w:val="27"/>
    <w:qFormat/>
    <w:uiPriority w:val="0"/>
    <w:rPr>
      <w:sz w:val="21"/>
      <w:szCs w:val="21"/>
    </w:rPr>
  </w:style>
  <w:style w:type="paragraph" w:customStyle="1" w:styleId="32">
    <w:name w:val="样式 样式 样式 四号 左侧:  1.53 厘米 + 首行缩进:  2 字符 + 居中 左侧:  2 字符 首行缩进:  2..."/>
    <w:basedOn w:val="33"/>
    <w:next w:val="1"/>
    <w:qFormat/>
    <w:uiPriority w:val="0"/>
    <w:pPr>
      <w:jc w:val="center"/>
    </w:pPr>
  </w:style>
  <w:style w:type="paragraph" w:customStyle="1" w:styleId="33">
    <w:name w:val="样式 样式 四号 左侧:  1.53 厘米 + 首行缩进:  2 字符"/>
    <w:basedOn w:val="34"/>
    <w:qFormat/>
    <w:uiPriority w:val="0"/>
    <w:pPr>
      <w:ind w:left="200" w:leftChars="200"/>
    </w:pPr>
    <w:rPr>
      <w:szCs w:val="20"/>
    </w:rPr>
  </w:style>
  <w:style w:type="paragraph" w:customStyle="1" w:styleId="34">
    <w:name w:val="样式 四号 左侧:  1.53 厘米"/>
    <w:basedOn w:val="1"/>
    <w:qFormat/>
    <w:uiPriority w:val="0"/>
    <w:pPr>
      <w:adjustRightInd w:val="0"/>
    </w:pPr>
    <w:rPr>
      <w:w w:val="90"/>
      <w:sz w:val="28"/>
      <w:szCs w:val="28"/>
    </w:rPr>
  </w:style>
  <w:style w:type="paragraph" w:customStyle="1" w:styleId="35">
    <w:name w:val="Default"/>
    <w:basedOn w:val="36"/>
    <w:next w:val="1"/>
    <w:link w:val="7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6">
    <w:name w:val="A-表格文字"/>
    <w:basedOn w:val="1"/>
    <w:next w:val="1"/>
    <w:qFormat/>
    <w:uiPriority w:val="0"/>
    <w:pPr>
      <w:autoSpaceDE w:val="0"/>
      <w:autoSpaceDN w:val="0"/>
      <w:adjustRightInd w:val="0"/>
      <w:jc w:val="center"/>
      <w:textAlignment w:val="center"/>
    </w:pPr>
    <w:rPr>
      <w:rFonts w:ascii="Times New Roman" w:hAnsi="Times New Roman"/>
      <w:kern w:val="0"/>
      <w:szCs w:val="21"/>
    </w:rPr>
  </w:style>
  <w:style w:type="paragraph" w:customStyle="1" w:styleId="37">
    <w:name w:val="_Style 4"/>
    <w:basedOn w:val="1"/>
    <w:qFormat/>
    <w:uiPriority w:val="0"/>
  </w:style>
  <w:style w:type="character" w:customStyle="1" w:styleId="38">
    <w:name w:val="页脚 字符1"/>
    <w:basedOn w:val="27"/>
    <w:link w:val="16"/>
    <w:qFormat/>
    <w:uiPriority w:val="0"/>
    <w:rPr>
      <w:sz w:val="18"/>
    </w:rPr>
  </w:style>
  <w:style w:type="character" w:customStyle="1" w:styleId="39">
    <w:name w:val="普通(网站) 字符"/>
    <w:basedOn w:val="27"/>
    <w:link w:val="20"/>
    <w:qFormat/>
    <w:uiPriority w:val="0"/>
    <w:rPr>
      <w:rFonts w:hint="eastAsia" w:ascii="宋体" w:hAnsi="宋体" w:eastAsia="宋体" w:cs="宋体"/>
      <w:sz w:val="24"/>
    </w:rPr>
  </w:style>
  <w:style w:type="character" w:customStyle="1" w:styleId="40">
    <w:name w:val="表格 Char"/>
    <w:basedOn w:val="27"/>
    <w:link w:val="41"/>
    <w:qFormat/>
    <w:uiPriority w:val="0"/>
    <w:rPr>
      <w:rFonts w:hint="default" w:ascii="Times New Roman" w:hAnsi="Times New Roman" w:eastAsia="宋体" w:cs="宋体"/>
      <w:sz w:val="21"/>
    </w:rPr>
  </w:style>
  <w:style w:type="paragraph" w:customStyle="1" w:styleId="41">
    <w:name w:val="表格"/>
    <w:basedOn w:val="1"/>
    <w:next w:val="1"/>
    <w:link w:val="40"/>
    <w:qFormat/>
    <w:uiPriority w:val="0"/>
    <w:pPr>
      <w:adjustRightInd w:val="0"/>
      <w:snapToGrid w:val="0"/>
      <w:spacing w:line="240" w:lineRule="auto"/>
      <w:ind w:firstLine="0" w:firstLineChars="0"/>
      <w:jc w:val="center"/>
    </w:pPr>
    <w:rPr>
      <w:rFonts w:eastAsia="宋体" w:cs="Times New Roman"/>
      <w:kern w:val="0"/>
      <w:sz w:val="21"/>
      <w:szCs w:val="20"/>
    </w:rPr>
  </w:style>
  <w:style w:type="character" w:customStyle="1" w:styleId="42">
    <w:name w:val="页脚 字符"/>
    <w:basedOn w:val="27"/>
    <w:qFormat/>
    <w:uiPriority w:val="0"/>
    <w:rPr>
      <w:kern w:val="2"/>
      <w:sz w:val="18"/>
      <w:szCs w:val="18"/>
    </w:rPr>
  </w:style>
  <w:style w:type="paragraph" w:customStyle="1" w:styleId="43">
    <w:name w:val="+正文"/>
    <w:basedOn w:val="1"/>
    <w:qFormat/>
    <w:uiPriority w:val="0"/>
    <w:pPr>
      <w:spacing w:line="360" w:lineRule="auto"/>
    </w:pPr>
    <w:rPr>
      <w:sz w:val="28"/>
      <w:szCs w:val="28"/>
    </w:rPr>
  </w:style>
  <w:style w:type="paragraph" w:customStyle="1" w:styleId="44">
    <w:name w:val="常用"/>
    <w:basedOn w:val="1"/>
    <w:qFormat/>
    <w:uiPriority w:val="0"/>
    <w:pPr>
      <w:spacing w:line="360" w:lineRule="auto"/>
      <w:ind w:firstLine="420"/>
      <w:jc w:val="left"/>
    </w:pPr>
    <w:rPr>
      <w:szCs w:val="22"/>
    </w:rPr>
  </w:style>
  <w:style w:type="paragraph" w:customStyle="1" w:styleId="45">
    <w:name w:val="0表-序号"/>
    <w:next w:val="1"/>
    <w:qFormat/>
    <w:uiPriority w:val="0"/>
    <w:pPr>
      <w:tabs>
        <w:tab w:val="left" w:pos="0"/>
      </w:tabs>
      <w:adjustRightInd w:val="0"/>
      <w:snapToGrid w:val="0"/>
      <w:jc w:val="center"/>
    </w:pPr>
    <w:rPr>
      <w:rFonts w:ascii="Times New Roman" w:hAnsi="Times New Roman" w:eastAsia="黑体" w:cs="Times New Roman"/>
      <w:sz w:val="21"/>
      <w:lang w:val="en-US" w:eastAsia="zh-CN" w:bidi="ar-SA"/>
    </w:rPr>
  </w:style>
  <w:style w:type="paragraph" w:customStyle="1" w:styleId="46">
    <w:name w:val="000表格正文"/>
    <w:basedOn w:val="1"/>
    <w:next w:val="1"/>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rPr>
  </w:style>
  <w:style w:type="paragraph" w:customStyle="1" w:styleId="47">
    <w:name w:val="图表标题"/>
    <w:basedOn w:val="1"/>
    <w:qFormat/>
    <w:uiPriority w:val="0"/>
    <w:pPr>
      <w:spacing w:line="360" w:lineRule="auto"/>
      <w:jc w:val="center"/>
    </w:pPr>
    <w:rPr>
      <w:rFonts w:ascii="Times New Roman" w:hAnsi="Times New Roman" w:eastAsia="宋体"/>
      <w:b/>
      <w:szCs w:val="21"/>
    </w:rPr>
  </w:style>
  <w:style w:type="paragraph" w:customStyle="1" w:styleId="48">
    <w:name w:val="dr正文"/>
    <w:basedOn w:val="1"/>
    <w:qFormat/>
    <w:uiPriority w:val="0"/>
    <w:pPr>
      <w:widowControl/>
      <w:ind w:firstLine="480"/>
    </w:pPr>
  </w:style>
  <w:style w:type="paragraph" w:customStyle="1" w:styleId="49">
    <w:name w:val="Table Paragraph"/>
    <w:basedOn w:val="1"/>
    <w:qFormat/>
    <w:uiPriority w:val="1"/>
  </w:style>
  <w:style w:type="paragraph" w:customStyle="1" w:styleId="50">
    <w:name w:val="我的表格文字"/>
    <w:basedOn w:val="1"/>
    <w:qFormat/>
    <w:uiPriority w:val="0"/>
    <w:pPr>
      <w:widowControl/>
      <w:adjustRightInd w:val="0"/>
      <w:snapToGrid w:val="0"/>
      <w:jc w:val="center"/>
      <w:textAlignment w:val="center"/>
    </w:pPr>
    <w:rPr>
      <w:color w:val="FF0000"/>
      <w:kern w:val="0"/>
      <w:szCs w:val="21"/>
    </w:rPr>
  </w:style>
  <w:style w:type="paragraph" w:customStyle="1" w:styleId="51">
    <w:name w:val="书表格内"/>
    <w:basedOn w:val="1"/>
    <w:qFormat/>
    <w:uiPriority w:val="0"/>
    <w:pPr>
      <w:spacing w:line="0" w:lineRule="atLeast"/>
      <w:jc w:val="center"/>
    </w:pPr>
    <w:rPr>
      <w:rFonts w:ascii="Times New Roman" w:hAnsi="Times New Roman"/>
      <w:szCs w:val="21"/>
    </w:rPr>
  </w:style>
  <w:style w:type="paragraph" w:customStyle="1" w:styleId="52">
    <w:name w:val="表格文字"/>
    <w:basedOn w:val="1"/>
    <w:qFormat/>
    <w:uiPriority w:val="0"/>
    <w:pPr>
      <w:jc w:val="center"/>
    </w:pPr>
    <w:rPr>
      <w:sz w:val="24"/>
    </w:rPr>
  </w:style>
  <w:style w:type="character" w:customStyle="1" w:styleId="53">
    <w:name w:val="font41"/>
    <w:basedOn w:val="27"/>
    <w:qFormat/>
    <w:uiPriority w:val="0"/>
    <w:rPr>
      <w:rFonts w:hint="default" w:ascii="Times New Roman" w:hAnsi="Times New Roman" w:cs="Times New Roman"/>
      <w:b/>
      <w:color w:val="000000"/>
      <w:sz w:val="21"/>
      <w:szCs w:val="21"/>
      <w:u w:val="none"/>
      <w:vertAlign w:val="subscript"/>
    </w:rPr>
  </w:style>
  <w:style w:type="paragraph" w:customStyle="1" w:styleId="54">
    <w:name w:val="Char5"/>
    <w:basedOn w:val="1"/>
    <w:qFormat/>
    <w:uiPriority w:val="0"/>
    <w:pPr>
      <w:spacing w:line="360" w:lineRule="auto"/>
    </w:pPr>
    <w:rPr>
      <w:rFonts w:ascii="宋体" w:hAnsi="宋体" w:cs="宋体"/>
    </w:rPr>
  </w:style>
  <w:style w:type="paragraph" w:customStyle="1" w:styleId="55">
    <w:name w:val="样式 四号 首行缩进:  2 字符"/>
    <w:basedOn w:val="1"/>
    <w:qFormat/>
    <w:uiPriority w:val="0"/>
    <w:pPr>
      <w:spacing w:line="480" w:lineRule="atLeast"/>
      <w:ind w:firstLine="200" w:firstLineChars="200"/>
    </w:pPr>
  </w:style>
  <w:style w:type="paragraph" w:customStyle="1" w:styleId="56">
    <w:name w:val="0表格正文"/>
    <w:basedOn w:val="1"/>
    <w:next w:val="1"/>
    <w:qFormat/>
    <w:uiPriority w:val="0"/>
    <w:pPr>
      <w:pBdr>
        <w:top w:val="none" w:color="auto" w:sz="0" w:space="1"/>
        <w:left w:val="none" w:color="auto" w:sz="0" w:space="4"/>
        <w:bottom w:val="none" w:color="auto" w:sz="0" w:space="1"/>
        <w:right w:val="none" w:color="auto" w:sz="0" w:space="4"/>
      </w:pBdr>
      <w:jc w:val="center"/>
    </w:pPr>
    <w:rPr>
      <w:kern w:val="0"/>
      <w:szCs w:val="20"/>
    </w:rPr>
  </w:style>
  <w:style w:type="character" w:customStyle="1" w:styleId="57">
    <w:name w:val="批注文字 字符"/>
    <w:basedOn w:val="27"/>
    <w:link w:val="10"/>
    <w:qFormat/>
    <w:uiPriority w:val="99"/>
    <w:rPr>
      <w:rFonts w:asciiTheme="minorHAnsi" w:hAnsiTheme="minorHAnsi" w:eastAsiaTheme="minorEastAsia" w:cstheme="minorBidi"/>
      <w:kern w:val="2"/>
      <w:sz w:val="21"/>
      <w:szCs w:val="24"/>
    </w:rPr>
  </w:style>
  <w:style w:type="character" w:customStyle="1" w:styleId="58">
    <w:name w:val="批注主题 字符"/>
    <w:basedOn w:val="57"/>
    <w:link w:val="21"/>
    <w:qFormat/>
    <w:uiPriority w:val="0"/>
    <w:rPr>
      <w:rFonts w:asciiTheme="minorHAnsi" w:hAnsiTheme="minorHAnsi" w:eastAsiaTheme="minorEastAsia" w:cstheme="minorBidi"/>
      <w:b/>
      <w:bCs/>
      <w:kern w:val="2"/>
      <w:sz w:val="21"/>
      <w:szCs w:val="24"/>
    </w:rPr>
  </w:style>
  <w:style w:type="character" w:customStyle="1" w:styleId="59">
    <w:name w:val="批注框文本 字符"/>
    <w:basedOn w:val="27"/>
    <w:link w:val="15"/>
    <w:qFormat/>
    <w:uiPriority w:val="0"/>
    <w:rPr>
      <w:rFonts w:asciiTheme="minorHAnsi" w:hAnsiTheme="minorHAnsi" w:eastAsiaTheme="minorEastAsia" w:cstheme="minorBidi"/>
      <w:kern w:val="2"/>
      <w:sz w:val="18"/>
      <w:szCs w:val="18"/>
    </w:rPr>
  </w:style>
  <w:style w:type="paragraph" w:styleId="60">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1">
    <w:name w:val="p0"/>
    <w:basedOn w:val="1"/>
    <w:unhideWhenUsed/>
    <w:qFormat/>
    <w:uiPriority w:val="0"/>
    <w:pPr>
      <w:widowControl/>
      <w:spacing w:beforeLines="0" w:afterLines="0"/>
    </w:pPr>
    <w:rPr>
      <w:rFonts w:hint="eastAsia" w:ascii="Times New Roman" w:hAnsi="Times New Roman" w:eastAsia="Times New Roman"/>
      <w:kern w:val="0"/>
      <w:sz w:val="21"/>
      <w:szCs w:val="21"/>
    </w:rPr>
  </w:style>
  <w:style w:type="paragraph" w:styleId="62">
    <w:name w:val="List Paragraph"/>
    <w:basedOn w:val="1"/>
    <w:qFormat/>
    <w:uiPriority w:val="34"/>
    <w:pPr>
      <w:widowControl/>
      <w:adjustRightInd w:val="0"/>
      <w:snapToGrid w:val="0"/>
      <w:ind w:firstLine="420" w:firstLineChars="200"/>
    </w:pPr>
    <w:rPr>
      <w:rFonts w:ascii="Tahoma" w:hAnsi="Tahoma" w:eastAsia="楷体_GB2312"/>
      <w:kern w:val="0"/>
      <w:sz w:val="24"/>
      <w:szCs w:val="22"/>
    </w:rPr>
  </w:style>
  <w:style w:type="paragraph" w:customStyle="1" w:styleId="63">
    <w:name w:val="图表11111"/>
    <w:basedOn w:val="64"/>
    <w:qFormat/>
    <w:uiPriority w:val="0"/>
  </w:style>
  <w:style w:type="paragraph" w:customStyle="1" w:styleId="64">
    <w:name w:val="图表"/>
    <w:basedOn w:val="1"/>
    <w:qFormat/>
    <w:uiPriority w:val="9"/>
    <w:pPr>
      <w:spacing w:line="360" w:lineRule="auto"/>
      <w:jc w:val="center"/>
    </w:pPr>
    <w:rPr>
      <w:rFonts w:eastAsia="黑体"/>
      <w:color w:val="000000"/>
      <w:sz w:val="24"/>
    </w:rPr>
  </w:style>
  <w:style w:type="paragraph" w:customStyle="1" w:styleId="65">
    <w:name w:val="表格正文"/>
    <w:basedOn w:val="1"/>
    <w:next w:val="1"/>
    <w:qFormat/>
    <w:uiPriority w:val="0"/>
    <w:pPr>
      <w:jc w:val="center"/>
    </w:pPr>
    <w:rPr>
      <w:szCs w:val="22"/>
    </w:rPr>
  </w:style>
  <w:style w:type="character" w:customStyle="1" w:styleId="66">
    <w:name w:val="font21"/>
    <w:basedOn w:val="27"/>
    <w:qFormat/>
    <w:uiPriority w:val="0"/>
    <w:rPr>
      <w:rFonts w:hint="default" w:ascii="Times New Roman" w:hAnsi="Times New Roman" w:cs="Times New Roman"/>
      <w:color w:val="000000"/>
      <w:sz w:val="21"/>
      <w:szCs w:val="21"/>
      <w:u w:val="none"/>
    </w:rPr>
  </w:style>
  <w:style w:type="character" w:customStyle="1" w:styleId="67">
    <w:name w:val="font11"/>
    <w:basedOn w:val="27"/>
    <w:qFormat/>
    <w:uiPriority w:val="0"/>
    <w:rPr>
      <w:rFonts w:hint="eastAsia" w:ascii="宋体" w:hAnsi="宋体" w:eastAsia="宋体" w:cs="宋体"/>
      <w:color w:val="000000"/>
      <w:sz w:val="21"/>
      <w:szCs w:val="21"/>
      <w:u w:val="none"/>
    </w:rPr>
  </w:style>
  <w:style w:type="paragraph" w:customStyle="1" w:styleId="68">
    <w:name w:val="表格文本"/>
    <w:basedOn w:val="1"/>
    <w:qFormat/>
    <w:uiPriority w:val="0"/>
    <w:pPr>
      <w:adjustRightInd/>
      <w:spacing w:line="240" w:lineRule="auto"/>
      <w:ind w:firstLine="0" w:firstLineChars="0"/>
      <w:jc w:val="center"/>
    </w:pPr>
    <w:rPr>
      <w:kern w:val="0"/>
      <w:sz w:val="21"/>
      <w:szCs w:val="21"/>
    </w:rPr>
  </w:style>
  <w:style w:type="character" w:customStyle="1" w:styleId="69">
    <w:name w:val="15"/>
    <w:basedOn w:val="27"/>
    <w:qFormat/>
    <w:uiPriority w:val="0"/>
    <w:rPr>
      <w:rFonts w:hint="default" w:ascii="Times New Roman" w:hAnsi="Times New Roman" w:cs="Times New Roman"/>
      <w:b/>
      <w:bCs/>
      <w:sz w:val="21"/>
      <w:szCs w:val="21"/>
    </w:rPr>
  </w:style>
  <w:style w:type="character" w:customStyle="1" w:styleId="70">
    <w:name w:val="Default Char"/>
    <w:link w:val="35"/>
    <w:qFormat/>
    <w:uiPriority w:val="0"/>
    <w:rPr>
      <w:rFonts w:ascii="宋体" w:hAnsi="Times New Roman" w:eastAsia="宋体" w:cs="宋体"/>
      <w:color w:val="000000"/>
      <w:sz w:val="24"/>
      <w:szCs w:val="24"/>
      <w:lang w:val="en-US" w:eastAsia="zh-CN" w:bidi="ar-SA"/>
    </w:rPr>
  </w:style>
  <w:style w:type="paragraph" w:customStyle="1" w:styleId="71">
    <w:name w:val="表头"/>
    <w:basedOn w:val="1"/>
    <w:qFormat/>
    <w:uiPriority w:val="0"/>
    <w:pPr>
      <w:keepNext w:val="0"/>
      <w:keepLines w:val="0"/>
      <w:widowControl/>
      <w:suppressLineNumbers w:val="0"/>
      <w:spacing w:before="0" w:beforeAutospacing="0" w:after="0" w:afterAutospacing="0"/>
      <w:ind w:left="0" w:right="0"/>
      <w:jc w:val="center"/>
    </w:pPr>
    <w:rPr>
      <w:rFonts w:hint="default" w:ascii="Calibri" w:hAnsi="Calibri" w:eastAsia="黑体" w:cs="Times New Roman"/>
      <w:bCs/>
      <w:kern w:val="0"/>
      <w:sz w:val="21"/>
      <w:szCs w:val="21"/>
      <w:lang w:val="en-US" w:eastAsia="zh-CN" w:bidi="ar"/>
    </w:rPr>
  </w:style>
  <w:style w:type="paragraph" w:customStyle="1" w:styleId="72">
    <w:name w:val="表文字"/>
    <w:basedOn w:val="1"/>
    <w:next w:val="1"/>
    <w:qFormat/>
    <w:uiPriority w:val="0"/>
    <w:pPr>
      <w:overflowPunct w:val="0"/>
      <w:autoSpaceDE w:val="0"/>
      <w:autoSpaceDN w:val="0"/>
      <w:adjustRightInd w:val="0"/>
      <w:snapToGrid w:val="0"/>
      <w:jc w:val="center"/>
      <w:textAlignment w:val="baseline"/>
    </w:pPr>
    <w:rPr>
      <w:kern w:val="0"/>
      <w:szCs w:val="21"/>
    </w:rPr>
  </w:style>
  <w:style w:type="paragraph" w:customStyle="1" w:styleId="73">
    <w:name w:val="_Style 1"/>
    <w:qFormat/>
    <w:uiPriority w:val="0"/>
    <w:pPr>
      <w:adjustRightInd w:val="0"/>
      <w:snapToGrid w:val="0"/>
      <w:spacing w:line="480" w:lineRule="exact"/>
      <w:ind w:firstLine="480" w:firstLineChars="200"/>
    </w:pPr>
    <w:rPr>
      <w:rFonts w:ascii="Times New Roman" w:hAnsi="Times New Roman" w:eastAsia="宋体" w:cs="Times New Roman"/>
      <w:sz w:val="24"/>
      <w:szCs w:val="22"/>
      <w:lang w:val="en-US" w:eastAsia="zh-CN" w:bidi="ar-SA"/>
    </w:rPr>
  </w:style>
  <w:style w:type="paragraph" w:customStyle="1" w:styleId="74">
    <w:name w:val="至科正文"/>
    <w:basedOn w:val="1"/>
    <w:qFormat/>
    <w:uiPriority w:val="0"/>
    <w:pPr>
      <w:adjustRightInd/>
      <w:snapToGrid/>
      <w:spacing w:line="360" w:lineRule="auto"/>
      <w:ind w:firstLine="720" w:firstLineChars="200"/>
      <w:jc w:val="left"/>
    </w:pPr>
    <w:rPr>
      <w:rFonts w:ascii="宋体" w:hAnsi="宋体" w:eastAsia="宋体" w:cs="宋体"/>
      <w:bCs/>
      <w:sz w:val="24"/>
      <w:szCs w:val="21"/>
    </w:rPr>
  </w:style>
  <w:style w:type="paragraph" w:customStyle="1" w:styleId="75">
    <w:name w:val="表内容"/>
    <w:basedOn w:val="1"/>
    <w:qFormat/>
    <w:uiPriority w:val="0"/>
    <w:pPr>
      <w:adjustRightInd w:val="0"/>
      <w:spacing w:line="320" w:lineRule="exact"/>
      <w:jc w:val="center"/>
    </w:pPr>
    <w:rPr>
      <w:rFonts w:ascii="Times New Roman"/>
      <w:szCs w:val="21"/>
    </w:rPr>
  </w:style>
  <w:style w:type="paragraph" w:customStyle="1" w:styleId="76">
    <w:name w:val="lh-正文-报告表"/>
    <w:basedOn w:val="1"/>
    <w:qFormat/>
    <w:uiPriority w:val="0"/>
    <w:pPr>
      <w:spacing w:line="360" w:lineRule="auto"/>
      <w:ind w:firstLine="480" w:firstLineChars="200"/>
    </w:pPr>
    <w:rPr>
      <w:rFonts w:ascii="Times New Roman"/>
      <w:kern w:val="0"/>
      <w:sz w:val="24"/>
      <w:szCs w:val="21"/>
    </w:rPr>
  </w:style>
  <w:style w:type="paragraph" w:customStyle="1" w:styleId="77">
    <w:name w:val="书正文"/>
    <w:basedOn w:val="1"/>
    <w:qFormat/>
    <w:uiPriority w:val="0"/>
    <w:pPr>
      <w:spacing w:line="500" w:lineRule="exact"/>
      <w:ind w:firstLine="640" w:firstLineChars="200"/>
    </w:pPr>
  </w:style>
  <w:style w:type="character" w:customStyle="1" w:styleId="78">
    <w:name w:val="正文缩进 字符1"/>
    <w:basedOn w:val="27"/>
    <w:link w:val="6"/>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microsoft.com/office/2011/relationships/people" Target="people.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wmf"/><Relationship Id="rId17" Type="http://schemas.openxmlformats.org/officeDocument/2006/relationships/oleObject" Target="embeddings/oleObject4.bin"/><Relationship Id="rId16" Type="http://schemas.openxmlformats.org/officeDocument/2006/relationships/image" Target="media/image6.wmf"/><Relationship Id="rId15" Type="http://schemas.openxmlformats.org/officeDocument/2006/relationships/oleObject" Target="embeddings/oleObject3.bin"/><Relationship Id="rId14" Type="http://schemas.openxmlformats.org/officeDocument/2006/relationships/image" Target="media/image5.wmf"/><Relationship Id="rId13" Type="http://schemas.openxmlformats.org/officeDocument/2006/relationships/oleObject" Target="embeddings/oleObject2.bin"/><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40718</Words>
  <Characters>46029</Characters>
  <Lines>1</Lines>
  <Paragraphs>1</Paragraphs>
  <TotalTime>4</TotalTime>
  <ScaleCrop>false</ScaleCrop>
  <LinksUpToDate>false</LinksUpToDate>
  <CharactersWithSpaces>46358</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dc:creator>
  <cp:lastModifiedBy>NTKO</cp:lastModifiedBy>
  <cp:lastPrinted>2023-09-26T04:29:00Z</cp:lastPrinted>
  <dcterms:modified xsi:type="dcterms:W3CDTF">2024-01-29T07:22:40Z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1CED7D489312412C8FA3344B17AE65B8</vt:lpwstr>
  </property>
</Properties>
</file>