
<file path=[Content_Types].xml><?xml version="1.0" encoding="utf-8"?>
<Types xmlns="http://schemas.openxmlformats.org/package/2006/content-types">
  <Default Extension="emf" ContentType="image/x-emf"/>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vsd" ContentType="application/vnd.visio"/>
  <Override PartName="/word/embeddings/oleObject2.bin" ContentType="application/vnd.openxmlformats-officedocument.oleObject"/>
  <Override PartName="/word/embeddings/oleObject3.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7 -->
  <w:body>
    <w:p w14:paraId="09DCABD1">
      <w:pPr>
        <w:shd w:val="clear" w:color="auto" w:fill="auto"/>
        <w:rPr>
          <w:rFonts w:ascii="Times New Roman" w:eastAsia="宋体" w:hAnsi="Times New Roman" w:cs="Times New Roman" w:hint="default"/>
          <w:color w:val="auto"/>
          <w:highlight w:val="none"/>
          <w:lang w:val="en-US" w:eastAsia="zh-CN"/>
        </w:rPr>
      </w:pPr>
      <w:r>
        <w:rPr>
          <w:rFonts w:ascii="Times New Roman" w:hAnsi="Times New Roman" w:cs="Times New Roman" w:hint="default"/>
          <w:color w:val="auto"/>
          <w:highlight w:val="none"/>
          <w:lang w:val="en-US" w:eastAsia="zh-CN"/>
        </w:rPr>
        <w:t xml:space="preserve">  </w:t>
      </w:r>
    </w:p>
    <w:p w14:paraId="38080C85">
      <w:pPr>
        <w:shd w:val="clear" w:color="auto" w:fill="auto"/>
        <w:rPr>
          <w:rFonts w:ascii="Times New Roman" w:hAnsi="Times New Roman" w:cs="Times New Roman" w:hint="default"/>
          <w:color w:val="auto"/>
          <w:highlight w:val="none"/>
        </w:rPr>
      </w:pPr>
    </w:p>
    <w:p w14:paraId="56303172">
      <w:pPr>
        <w:shd w:val="clear" w:color="auto" w:fill="auto"/>
        <w:rPr>
          <w:rFonts w:ascii="Times New Roman" w:hAnsi="Times New Roman" w:cs="Times New Roman" w:hint="default"/>
          <w:color w:val="auto"/>
          <w:highlight w:val="none"/>
        </w:rPr>
      </w:pPr>
    </w:p>
    <w:p w14:paraId="38CDA294">
      <w:pPr>
        <w:shd w:val="clear" w:color="auto" w:fill="auto"/>
        <w:rPr>
          <w:rFonts w:ascii="Times New Roman" w:hAnsi="Times New Roman" w:cs="Times New Roman" w:hint="default"/>
          <w:color w:val="auto"/>
          <w:highlight w:val="none"/>
        </w:rPr>
      </w:pPr>
    </w:p>
    <w:p w14:paraId="6DB88FFF">
      <w:pPr>
        <w:spacing w:before="305" w:line="185" w:lineRule="auto"/>
        <w:ind w:left="222"/>
        <w:outlineLvl w:val="0"/>
        <w:rPr>
          <w:rFonts w:ascii="微软雅黑" w:eastAsia="微软雅黑" w:hAnsi="微软雅黑" w:cs="微软雅黑"/>
          <w:color w:val="auto"/>
          <w:sz w:val="71"/>
          <w:szCs w:val="71"/>
        </w:rPr>
      </w:pPr>
      <w:r>
        <w:rPr>
          <w:rFonts w:ascii="微软雅黑" w:eastAsia="微软雅黑" w:hAnsi="微软雅黑" w:cs="微软雅黑"/>
          <w:color w:val="auto"/>
          <w:spacing w:val="8"/>
          <w:sz w:val="72"/>
          <w:szCs w:val="72"/>
        </w:rPr>
        <w:t>建设项目环境影响报告表</w:t>
      </w:r>
    </w:p>
    <w:p w14:paraId="05A666C3">
      <w:pPr>
        <w:pStyle w:val="BodyText"/>
        <w:spacing w:line="244" w:lineRule="auto"/>
        <w:rPr>
          <w:color w:val="auto"/>
        </w:rPr>
      </w:pPr>
    </w:p>
    <w:p w14:paraId="02606DC2">
      <w:pPr>
        <w:pStyle w:val="BodyText"/>
        <w:spacing w:line="244" w:lineRule="auto"/>
        <w:rPr>
          <w:color w:val="auto"/>
        </w:rPr>
      </w:pPr>
    </w:p>
    <w:p w14:paraId="64E4478B">
      <w:pPr>
        <w:pStyle w:val="BodyText"/>
        <w:spacing w:line="244" w:lineRule="auto"/>
        <w:rPr>
          <w:color w:val="auto"/>
        </w:rPr>
      </w:pPr>
    </w:p>
    <w:p w14:paraId="0BB20EB5">
      <w:pPr>
        <w:pStyle w:val="BodyText"/>
        <w:spacing w:line="245" w:lineRule="auto"/>
        <w:rPr>
          <w:color w:val="auto"/>
        </w:rPr>
      </w:pPr>
    </w:p>
    <w:p w14:paraId="276663D9">
      <w:pPr>
        <w:pStyle w:val="BodyText"/>
        <w:spacing w:line="245" w:lineRule="auto"/>
        <w:rPr>
          <w:color w:val="auto"/>
        </w:rPr>
      </w:pPr>
    </w:p>
    <w:p w14:paraId="24EE88A3">
      <w:pPr>
        <w:pStyle w:val="BodyText"/>
        <w:spacing w:line="245" w:lineRule="auto"/>
        <w:rPr>
          <w:color w:val="auto"/>
        </w:rPr>
      </w:pPr>
    </w:p>
    <w:p w14:paraId="57D7CA78">
      <w:pPr>
        <w:pStyle w:val="BodyText"/>
        <w:spacing w:line="245" w:lineRule="auto"/>
        <w:rPr>
          <w:color w:val="auto"/>
        </w:rPr>
      </w:pPr>
    </w:p>
    <w:p w14:paraId="27D95B1B">
      <w:pPr>
        <w:pStyle w:val="BodyText"/>
        <w:spacing w:line="245" w:lineRule="auto"/>
        <w:rPr>
          <w:color w:val="auto"/>
        </w:rPr>
      </w:pPr>
    </w:p>
    <w:p w14:paraId="3E2AE52B">
      <w:pPr>
        <w:pStyle w:val="BodyText"/>
        <w:spacing w:line="245" w:lineRule="auto"/>
        <w:rPr>
          <w:color w:val="auto"/>
        </w:rPr>
      </w:pPr>
    </w:p>
    <w:p w14:paraId="756A32F0">
      <w:pPr>
        <w:pStyle w:val="BodyText"/>
        <w:spacing w:line="245" w:lineRule="auto"/>
        <w:rPr>
          <w:color w:val="auto"/>
        </w:rPr>
      </w:pPr>
    </w:p>
    <w:p w14:paraId="489DC1DF">
      <w:pPr>
        <w:pStyle w:val="BodyText"/>
        <w:spacing w:line="245" w:lineRule="auto"/>
        <w:rPr>
          <w:color w:val="auto"/>
        </w:rPr>
      </w:pPr>
    </w:p>
    <w:p w14:paraId="4E3FA549">
      <w:pPr>
        <w:pStyle w:val="BodyText"/>
        <w:spacing w:line="245" w:lineRule="auto"/>
        <w:rPr>
          <w:color w:val="auto"/>
          <w:sz w:val="32"/>
          <w:szCs w:val="32"/>
        </w:rPr>
      </w:pPr>
    </w:p>
    <w:p w14:paraId="23600ECF">
      <w:pPr>
        <w:spacing w:before="101" w:line="356" w:lineRule="auto"/>
        <w:ind w:left="1668" w:right="13" w:hanging="1632"/>
        <w:rPr>
          <w:rFonts w:ascii="宋体" w:eastAsia="宋体" w:hAnsi="宋体" w:cs="宋体" w:hint="default"/>
          <w:b/>
          <w:bCs/>
          <w:color w:val="auto"/>
          <w:sz w:val="32"/>
          <w:szCs w:val="32"/>
          <w:u w:val="single"/>
          <w:lang w:val="en-US" w:eastAsia="zh-CN"/>
        </w:rPr>
      </w:pPr>
      <w:r>
        <w:rPr>
          <w:rFonts w:ascii="宋体" w:eastAsia="宋体" w:hAnsi="宋体" w:cs="宋体" w:hint="eastAsia"/>
          <w:b/>
          <w:bCs/>
          <w:color w:val="auto"/>
          <w:spacing w:val="2"/>
          <w:sz w:val="32"/>
          <w:szCs w:val="32"/>
        </w:rPr>
        <w:t>项目名称：</w:t>
      </w:r>
      <w:r>
        <w:rPr>
          <w:rFonts w:ascii="宋体" w:eastAsia="宋体" w:hAnsi="宋体" w:cs="宋体" w:hint="eastAsia"/>
          <w:b/>
          <w:bCs/>
          <w:color w:val="auto"/>
          <w:spacing w:val="2"/>
          <w:sz w:val="32"/>
          <w:szCs w:val="32"/>
          <w:lang w:val="en-US" w:eastAsia="zh-CN"/>
        </w:rPr>
        <w:t xml:space="preserve">    </w:t>
      </w:r>
      <w:r>
        <w:rPr>
          <w:rFonts w:ascii="宋体" w:eastAsia="宋体" w:hAnsi="宋体" w:cs="宋体" w:hint="eastAsia"/>
          <w:b/>
          <w:bCs/>
          <w:color w:val="auto"/>
          <w:spacing w:val="2"/>
          <w:sz w:val="32"/>
          <w:szCs w:val="32"/>
          <w:u w:val="single"/>
          <w:lang w:val="en-US" w:eastAsia="zh-CN"/>
        </w:rPr>
        <w:t xml:space="preserve">      </w:t>
      </w:r>
      <w:r>
        <w:rPr>
          <w:rFonts w:ascii="宋体" w:eastAsia="宋体" w:hAnsi="宋体" w:cs="宋体" w:hint="eastAsia"/>
          <w:b/>
          <w:bCs/>
          <w:color w:val="auto"/>
          <w:spacing w:val="2"/>
          <w:sz w:val="32"/>
          <w:szCs w:val="32"/>
          <w:u w:val="single"/>
        </w:rPr>
        <w:t>天启鸿源围场共享储能电站项目</w:t>
      </w:r>
      <w:r>
        <w:rPr>
          <w:rFonts w:ascii="宋体" w:hAnsi="宋体" w:cs="宋体" w:hint="eastAsia"/>
          <w:b/>
          <w:bCs/>
          <w:color w:val="auto"/>
          <w:spacing w:val="2"/>
          <w:sz w:val="32"/>
          <w:szCs w:val="32"/>
          <w:u w:val="single"/>
          <w:lang w:val="en-US" w:eastAsia="zh-CN"/>
        </w:rPr>
        <w:t xml:space="preserve">       </w:t>
      </w:r>
    </w:p>
    <w:p w14:paraId="1448A8AF">
      <w:pPr>
        <w:spacing w:before="51" w:line="226" w:lineRule="auto"/>
        <w:ind w:left="3234" w:hanging="3200" w:leftChars="16" w:hangingChars="1000"/>
        <w:rPr>
          <w:rFonts w:ascii="宋体" w:eastAsia="宋体" w:hAnsi="宋体" w:cs="宋体" w:hint="default"/>
          <w:b/>
          <w:bCs/>
          <w:color w:val="auto"/>
          <w:sz w:val="32"/>
          <w:szCs w:val="32"/>
          <w:u w:val="single"/>
          <w:lang w:val="en-US" w:eastAsia="zh-CN"/>
        </w:rPr>
      </w:pPr>
      <w:r>
        <w:rPr>
          <w:rFonts w:ascii="宋体" w:eastAsia="宋体" w:hAnsi="宋体" w:cs="宋体" w:hint="eastAsia"/>
          <w:b/>
          <w:bCs/>
          <w:color w:val="auto"/>
          <w:spacing w:val="8"/>
          <w:sz w:val="32"/>
          <w:szCs w:val="32"/>
        </w:rPr>
        <w:t>建设单位（盖章</w:t>
      </w:r>
      <w:r>
        <w:rPr>
          <w:rFonts w:ascii="宋体" w:eastAsia="宋体" w:hAnsi="宋体" w:cs="宋体" w:hint="eastAsia"/>
          <w:b/>
          <w:bCs/>
          <w:color w:val="auto"/>
          <w:spacing w:val="21"/>
          <w:sz w:val="32"/>
          <w:szCs w:val="32"/>
        </w:rPr>
        <w:t>）：</w:t>
      </w:r>
      <w:r>
        <w:rPr>
          <w:rFonts w:ascii="宋体" w:eastAsia="宋体" w:hAnsi="宋体" w:cs="宋体" w:hint="eastAsia"/>
          <w:b/>
          <w:bCs/>
          <w:color w:val="auto"/>
          <w:spacing w:val="21"/>
          <w:sz w:val="32"/>
          <w:szCs w:val="32"/>
          <w:u w:val="single"/>
        </w:rPr>
        <w:t>启鸿围场满族蒙古族自治县新能源科技有限公司</w:t>
      </w:r>
      <w:r>
        <w:rPr>
          <w:rFonts w:ascii="宋体" w:hAnsi="宋体" w:cs="宋体" w:hint="eastAsia"/>
          <w:b/>
          <w:bCs/>
          <w:color w:val="auto"/>
          <w:spacing w:val="21"/>
          <w:sz w:val="32"/>
          <w:szCs w:val="32"/>
          <w:u w:val="single"/>
          <w:lang w:val="en-US" w:eastAsia="zh-CN"/>
        </w:rPr>
        <w:t xml:space="preserve">          </w:t>
      </w:r>
    </w:p>
    <w:p w14:paraId="1752C2CE">
      <w:pPr>
        <w:pStyle w:val="BodyText"/>
        <w:spacing w:line="250" w:lineRule="auto"/>
        <w:rPr>
          <w:rFonts w:ascii="宋体" w:eastAsia="宋体" w:hAnsi="宋体" w:cs="宋体" w:hint="eastAsia"/>
          <w:b/>
          <w:bCs/>
          <w:color w:val="auto"/>
          <w:sz w:val="32"/>
          <w:szCs w:val="32"/>
        </w:rPr>
      </w:pPr>
    </w:p>
    <w:p w14:paraId="08A3EA1F">
      <w:pPr>
        <w:pStyle w:val="BodyText"/>
        <w:spacing w:line="251" w:lineRule="auto"/>
        <w:rPr>
          <w:rFonts w:ascii="宋体" w:eastAsia="宋体" w:hAnsi="宋体" w:cs="宋体" w:hint="eastAsia"/>
          <w:b/>
          <w:bCs/>
          <w:color w:val="auto"/>
          <w:sz w:val="32"/>
          <w:szCs w:val="32"/>
        </w:rPr>
      </w:pPr>
    </w:p>
    <w:p w14:paraId="01DF33F6">
      <w:pPr>
        <w:pStyle w:val="BodyText"/>
        <w:spacing w:line="251" w:lineRule="auto"/>
        <w:rPr>
          <w:rFonts w:ascii="宋体" w:eastAsia="宋体" w:hAnsi="宋体" w:cs="宋体" w:hint="eastAsia"/>
          <w:b/>
          <w:bCs/>
          <w:color w:val="auto"/>
          <w:sz w:val="32"/>
          <w:szCs w:val="32"/>
        </w:rPr>
      </w:pPr>
    </w:p>
    <w:p w14:paraId="567BE80F">
      <w:pPr>
        <w:spacing w:before="98" w:line="369" w:lineRule="auto"/>
        <w:ind w:right="1180"/>
        <w:jc w:val="center"/>
        <w:rPr>
          <w:rFonts w:ascii="宋体" w:eastAsia="宋体" w:hAnsi="宋体" w:cs="宋体" w:hint="default"/>
          <w:b/>
          <w:bCs/>
          <w:color w:val="auto"/>
          <w:spacing w:val="-2"/>
          <w:sz w:val="32"/>
          <w:szCs w:val="32"/>
          <w:u w:val="single"/>
          <w:lang w:val="en-US" w:eastAsia="zh-CN"/>
        </w:rPr>
      </w:pPr>
      <w:r>
        <w:rPr>
          <w:rFonts w:ascii="宋体" w:eastAsia="宋体" w:hAnsi="宋体" w:cs="宋体" w:hint="eastAsia"/>
          <w:b/>
          <w:bCs/>
          <w:color w:val="auto"/>
          <w:spacing w:val="-2"/>
          <w:sz w:val="32"/>
          <w:szCs w:val="32"/>
        </w:rPr>
        <w:t>编制单位：</w:t>
      </w:r>
      <w:r>
        <w:rPr>
          <w:rFonts w:ascii="宋体" w:eastAsia="宋体" w:hAnsi="宋体" w:cs="宋体" w:hint="eastAsia"/>
          <w:b/>
          <w:bCs/>
          <w:color w:val="auto"/>
          <w:spacing w:val="-2"/>
          <w:sz w:val="32"/>
          <w:szCs w:val="32"/>
          <w:u w:val="single"/>
          <w:lang w:val="en-US" w:eastAsia="zh-CN"/>
        </w:rPr>
        <w:t>天津市普林思瑞科技发展有限公司</w:t>
      </w:r>
    </w:p>
    <w:p w14:paraId="17BC7B93">
      <w:pPr>
        <w:spacing w:before="98" w:line="369" w:lineRule="auto"/>
        <w:ind w:right="1180"/>
        <w:jc w:val="center"/>
        <w:rPr>
          <w:rFonts w:ascii="宋体" w:eastAsia="宋体" w:hAnsi="宋体" w:cs="宋体" w:hint="default"/>
          <w:b/>
          <w:bCs/>
          <w:color w:val="auto"/>
          <w:spacing w:val="-14"/>
          <w:sz w:val="32"/>
          <w:szCs w:val="32"/>
          <w:u w:val="single"/>
          <w:lang w:val="en-US" w:eastAsia="zh-CN"/>
        </w:rPr>
      </w:pPr>
      <w:r>
        <w:rPr>
          <w:rFonts w:ascii="宋体" w:eastAsia="宋体" w:hAnsi="宋体" w:cs="宋体" w:hint="eastAsia"/>
          <w:b/>
          <w:bCs/>
          <w:color w:val="auto"/>
          <w:spacing w:val="-14"/>
          <w:sz w:val="32"/>
          <w:szCs w:val="32"/>
        </w:rPr>
        <w:t>编制日期：</w:t>
      </w:r>
      <w:r>
        <w:rPr>
          <w:rFonts w:ascii="宋体" w:eastAsia="宋体" w:hAnsi="宋体" w:cs="宋体" w:hint="eastAsia"/>
          <w:b/>
          <w:bCs/>
          <w:color w:val="auto"/>
          <w:spacing w:val="-14"/>
          <w:sz w:val="32"/>
          <w:szCs w:val="32"/>
          <w:lang w:val="en-US" w:eastAsia="zh-CN"/>
        </w:rPr>
        <w:t xml:space="preserve"> </w:t>
      </w:r>
      <w:r>
        <w:rPr>
          <w:rFonts w:ascii="宋体" w:eastAsia="宋体" w:hAnsi="宋体" w:cs="宋体" w:hint="eastAsia"/>
          <w:b/>
          <w:bCs/>
          <w:color w:val="auto"/>
          <w:spacing w:val="-14"/>
          <w:sz w:val="32"/>
          <w:szCs w:val="32"/>
          <w:u w:val="single"/>
          <w:lang w:val="en-US" w:eastAsia="zh-CN"/>
        </w:rPr>
        <w:t xml:space="preserve"> </w:t>
      </w:r>
      <w:r>
        <w:rPr>
          <w:rFonts w:ascii="宋体" w:eastAsia="宋体" w:hAnsi="宋体" w:cs="宋体" w:hint="eastAsia"/>
          <w:b/>
          <w:bCs/>
          <w:color w:val="auto"/>
          <w:spacing w:val="-14"/>
          <w:sz w:val="32"/>
          <w:szCs w:val="32"/>
          <w:u w:val="single"/>
        </w:rPr>
        <w:t>2024年</w:t>
      </w:r>
      <w:r>
        <w:rPr>
          <w:rFonts w:ascii="宋体" w:hAnsi="宋体" w:cs="宋体" w:hint="eastAsia"/>
          <w:b/>
          <w:bCs/>
          <w:color w:val="auto"/>
          <w:spacing w:val="-14"/>
          <w:sz w:val="32"/>
          <w:szCs w:val="32"/>
          <w:u w:val="single"/>
          <w:lang w:val="en-US" w:eastAsia="zh-CN"/>
        </w:rPr>
        <w:t>7</w:t>
      </w:r>
      <w:r>
        <w:rPr>
          <w:rFonts w:ascii="宋体" w:eastAsia="宋体" w:hAnsi="宋体" w:cs="宋体" w:hint="eastAsia"/>
          <w:b/>
          <w:bCs/>
          <w:color w:val="auto"/>
          <w:spacing w:val="-14"/>
          <w:sz w:val="32"/>
          <w:szCs w:val="32"/>
          <w:u w:val="single"/>
        </w:rPr>
        <w:t>月</w:t>
      </w:r>
    </w:p>
    <w:p w14:paraId="329F8181">
      <w:pPr>
        <w:spacing w:before="98" w:line="369" w:lineRule="auto"/>
        <w:ind w:left="1476" w:right="1180"/>
        <w:rPr>
          <w:rFonts w:ascii="仿宋" w:eastAsia="仿宋" w:hAnsi="仿宋" w:cs="仿宋"/>
          <w:color w:val="auto"/>
          <w:spacing w:val="-14"/>
          <w:sz w:val="30"/>
          <w:szCs w:val="30"/>
        </w:rPr>
      </w:pPr>
    </w:p>
    <w:p w14:paraId="6FCED2AE">
      <w:pPr>
        <w:spacing w:before="98" w:line="369" w:lineRule="auto"/>
        <w:ind w:left="1476" w:right="1180"/>
        <w:rPr>
          <w:rFonts w:ascii="仿宋" w:eastAsia="仿宋" w:hAnsi="仿宋" w:cs="仿宋"/>
          <w:color w:val="auto"/>
          <w:spacing w:val="-14"/>
          <w:sz w:val="30"/>
          <w:szCs w:val="30"/>
        </w:rPr>
        <w:sectPr>
          <w:footerReference w:type="even" r:id="rId5"/>
          <w:footerReference w:type="default" r:id="rId6"/>
          <w:pgSz w:w="11906" w:h="16838"/>
          <w:pgMar w:top="1701" w:right="1531" w:bottom="1701" w:left="1531" w:header="851" w:footer="1077" w:gutter="0"/>
          <w:pgBorders>
            <w:top w:val="none" w:sz="0" w:space="0" w:color="auto"/>
            <w:left w:val="none" w:sz="0" w:space="0" w:color="auto"/>
            <w:bottom w:val="none" w:sz="0" w:space="0" w:color="auto"/>
            <w:right w:val="none" w:sz="0" w:space="0" w:color="auto"/>
          </w:pgBorders>
          <w:pgNumType w:fmt="decimal" w:start="1"/>
          <w:cols w:num="1" w:space="720"/>
          <w:docGrid w:type="lines" w:linePitch="312" w:charSpace="0"/>
        </w:sectPr>
      </w:pPr>
    </w:p>
    <w:p w14:paraId="7DC329F9">
      <w:pPr>
        <w:spacing w:before="98" w:line="369" w:lineRule="auto"/>
        <w:ind w:left="1476" w:right="1180"/>
        <w:rPr>
          <w:rFonts w:ascii="仿宋" w:eastAsia="仿宋" w:hAnsi="仿宋" w:cs="仿宋"/>
          <w:color w:val="auto"/>
          <w:spacing w:val="-14"/>
          <w:sz w:val="30"/>
          <w:szCs w:val="30"/>
        </w:rPr>
      </w:pPr>
    </w:p>
    <w:p w14:paraId="4DA78FCA">
      <w:pPr>
        <w:pStyle w:val="NormalWeb"/>
        <w:spacing w:before="0" w:beforeAutospacing="0" w:after="0" w:afterAutospacing="0" w:line="480" w:lineRule="auto"/>
        <w:jc w:val="center"/>
        <w:outlineLvl w:val="0"/>
        <w:rPr>
          <w:rFonts w:ascii="Times New Roman" w:eastAsia="宋体" w:hAnsi="Times New Roman" w:cs="Times New Roman" w:hint="default"/>
          <w:snapToGrid w:val="0"/>
          <w:color w:val="auto"/>
          <w:sz w:val="30"/>
          <w:szCs w:val="30"/>
          <w:highlight w:val="none"/>
        </w:rPr>
      </w:pPr>
      <w:r>
        <w:rPr>
          <w:rFonts w:ascii="Times New Roman" w:eastAsia="宋体" w:hAnsi="Times New Roman" w:cs="Times New Roman" w:hint="default"/>
          <w:snapToGrid w:val="0"/>
          <w:color w:val="auto"/>
          <w:sz w:val="30"/>
          <w:szCs w:val="30"/>
          <w:highlight w:val="none"/>
        </w:rPr>
        <w:t>一、建设项目基本情况</w:t>
      </w:r>
    </w:p>
    <w:tbl>
      <w:tblPr>
        <w:tblStyle w:val="TableNormal"/>
        <w:tblW w:w="498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0" w:type="dxa"/>
          <w:left w:w="0" w:type="dxa"/>
          <w:bottom w:w="0" w:type="dxa"/>
          <w:right w:w="0" w:type="dxa"/>
        </w:tblCellMar>
      </w:tblPr>
      <w:tblGrid>
        <w:gridCol w:w="1543"/>
        <w:gridCol w:w="1770"/>
        <w:gridCol w:w="2460"/>
        <w:gridCol w:w="3062"/>
      </w:tblGrid>
      <w:tr w14:paraId="2F87C88D">
        <w:tblPrEx>
          <w:tblW w:w="498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0" w:type="dxa"/>
            <w:left w:w="0" w:type="dxa"/>
            <w:bottom w:w="0" w:type="dxa"/>
            <w:right w:w="0" w:type="dxa"/>
          </w:tblCellMar>
        </w:tblPrEx>
        <w:trPr>
          <w:trHeight w:val="497"/>
          <w:jc w:val="center"/>
        </w:trPr>
        <w:tc>
          <w:tcPr>
            <w:tcW w:w="1545" w:type="dxa"/>
            <w:tcMar>
              <w:top w:w="16" w:type="dxa"/>
              <w:left w:w="16" w:type="dxa"/>
              <w:right w:w="16" w:type="dxa"/>
            </w:tcMar>
            <w:vAlign w:val="center"/>
          </w:tcPr>
          <w:p w14:paraId="0E3EA9D0">
            <w:pPr>
              <w:autoSpaceDE w:val="0"/>
              <w:autoSpaceDN w:val="0"/>
              <w:adjustRightInd w:val="0"/>
              <w:snapToGrid w:val="0"/>
              <w:jc w:val="center"/>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设项目名称</w:t>
            </w:r>
          </w:p>
        </w:tc>
        <w:tc>
          <w:tcPr>
            <w:tcW w:w="7297" w:type="dxa"/>
            <w:gridSpan w:val="3"/>
            <w:vAlign w:val="center"/>
          </w:tcPr>
          <w:p w14:paraId="75777060">
            <w:pPr>
              <w:autoSpaceDE w:val="0"/>
              <w:autoSpaceDN w:val="0"/>
              <w:adjustRightInd w:val="0"/>
              <w:snapToGrid w:val="0"/>
              <w:jc w:val="center"/>
              <w:rPr>
                <w:rFonts w:ascii="Times New Roman" w:eastAsia="宋体" w:hAnsi="Times New Roman" w:cs="Times New Roman" w:hint="default"/>
                <w:color w:val="auto"/>
                <w:kern w:val="0"/>
                <w:sz w:val="24"/>
                <w:highlight w:val="none"/>
                <w:lang w:eastAsia="zh-CN"/>
              </w:rPr>
            </w:pPr>
            <w:r>
              <w:rPr>
                <w:rFonts w:ascii="Times New Roman" w:eastAsia="宋体" w:hAnsi="Times New Roman" w:cs="Times New Roman" w:hint="default"/>
                <w:color w:val="auto"/>
                <w:kern w:val="0"/>
                <w:sz w:val="24"/>
                <w:highlight w:val="none"/>
              </w:rPr>
              <w:t>天启鸿源围场共享储能电站项目</w:t>
            </w:r>
          </w:p>
        </w:tc>
      </w:tr>
      <w:tr w14:paraId="10DBF54B">
        <w:tblPrEx>
          <w:tblW w:w="4980" w:type="pct"/>
          <w:jc w:val="center"/>
          <w:tblLayout w:type="fixed"/>
          <w:tblCellMar>
            <w:top w:w="0" w:type="dxa"/>
            <w:left w:w="0" w:type="dxa"/>
            <w:bottom w:w="0" w:type="dxa"/>
            <w:right w:w="0" w:type="dxa"/>
          </w:tblCellMar>
        </w:tblPrEx>
        <w:trPr>
          <w:trHeight w:val="90"/>
          <w:jc w:val="center"/>
        </w:trPr>
        <w:tc>
          <w:tcPr>
            <w:tcW w:w="1545" w:type="dxa"/>
            <w:tcMar>
              <w:top w:w="16" w:type="dxa"/>
              <w:left w:w="16" w:type="dxa"/>
              <w:right w:w="16" w:type="dxa"/>
            </w:tcMar>
            <w:vAlign w:val="center"/>
          </w:tcPr>
          <w:p w14:paraId="20594BE0">
            <w:pPr>
              <w:autoSpaceDE w:val="0"/>
              <w:autoSpaceDN w:val="0"/>
              <w:adjustRightInd w:val="0"/>
              <w:snapToGrid w:val="0"/>
              <w:jc w:val="center"/>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项目代码</w:t>
            </w:r>
          </w:p>
        </w:tc>
        <w:tc>
          <w:tcPr>
            <w:tcW w:w="7297" w:type="dxa"/>
            <w:gridSpan w:val="3"/>
            <w:vAlign w:val="center"/>
          </w:tcPr>
          <w:p w14:paraId="54415B75">
            <w:pPr>
              <w:autoSpaceDE w:val="0"/>
              <w:autoSpaceDN w:val="0"/>
              <w:adjustRightInd w:val="0"/>
              <w:snapToGrid w:val="0"/>
              <w:jc w:val="center"/>
              <w:rPr>
                <w:rFonts w:ascii="Times New Roman" w:eastAsia="宋体" w:hAnsi="Times New Roman" w:cs="Times New Roman" w:hint="default"/>
                <w:color w:val="auto"/>
                <w:kern w:val="0"/>
                <w:sz w:val="24"/>
                <w:highlight w:val="none"/>
                <w:lang w:val="en-US" w:eastAsia="zh-CN"/>
              </w:rPr>
            </w:pPr>
            <w:r>
              <w:rPr>
                <w:rFonts w:cs="Times New Roman" w:hint="eastAsia"/>
                <w:color w:val="auto"/>
                <w:kern w:val="0"/>
                <w:sz w:val="24"/>
                <w:highlight w:val="none"/>
                <w:lang w:val="en-US" w:eastAsia="zh-CN"/>
              </w:rPr>
              <w:t>2305-130828-89-01-461038</w:t>
            </w:r>
          </w:p>
        </w:tc>
      </w:tr>
      <w:tr w14:paraId="0A120E7B">
        <w:tblPrEx>
          <w:tblW w:w="4980" w:type="pct"/>
          <w:jc w:val="center"/>
          <w:tblLayout w:type="fixed"/>
          <w:tblCellMar>
            <w:top w:w="0" w:type="dxa"/>
            <w:left w:w="0" w:type="dxa"/>
            <w:bottom w:w="0" w:type="dxa"/>
            <w:right w:w="0" w:type="dxa"/>
          </w:tblCellMar>
        </w:tblPrEx>
        <w:trPr>
          <w:trHeight w:val="497"/>
          <w:jc w:val="center"/>
        </w:trPr>
        <w:tc>
          <w:tcPr>
            <w:tcW w:w="1545" w:type="dxa"/>
            <w:tcMar>
              <w:top w:w="16" w:type="dxa"/>
              <w:left w:w="16" w:type="dxa"/>
              <w:right w:w="16" w:type="dxa"/>
            </w:tcMar>
            <w:vAlign w:val="center"/>
          </w:tcPr>
          <w:p w14:paraId="2ABF60B0">
            <w:pPr>
              <w:autoSpaceDE w:val="0"/>
              <w:autoSpaceDN w:val="0"/>
              <w:adjustRightInd w:val="0"/>
              <w:snapToGrid w:val="0"/>
              <w:jc w:val="center"/>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建设单位联系人</w:t>
            </w:r>
          </w:p>
        </w:tc>
        <w:tc>
          <w:tcPr>
            <w:tcW w:w="1771" w:type="dxa"/>
            <w:vAlign w:val="center"/>
          </w:tcPr>
          <w:p w14:paraId="3DE12B8E">
            <w:pPr>
              <w:autoSpaceDE w:val="0"/>
              <w:autoSpaceDN w:val="0"/>
              <w:adjustRightInd w:val="0"/>
              <w:snapToGrid w:val="0"/>
              <w:jc w:val="center"/>
              <w:rPr>
                <w:rFonts w:ascii="Times New Roman" w:eastAsia="宋体" w:hAnsi="Times New Roman" w:cs="Times New Roman" w:hint="default"/>
                <w:color w:val="auto"/>
                <w:kern w:val="0"/>
                <w:sz w:val="24"/>
                <w:highlight w:val="none"/>
                <w:lang w:val="en-US" w:eastAsia="zh-CN"/>
              </w:rPr>
            </w:pPr>
            <w:r>
              <w:rPr>
                <w:rFonts w:ascii="Times New Roman" w:eastAsia="宋体" w:hAnsi="Times New Roman" w:cs="Times New Roman" w:hint="default"/>
                <w:color w:val="auto"/>
                <w:kern w:val="0"/>
                <w:sz w:val="24"/>
                <w:highlight w:val="none"/>
                <w:lang w:val="en-US" w:eastAsia="zh-CN"/>
              </w:rPr>
              <w:t>张涛</w:t>
            </w:r>
          </w:p>
        </w:tc>
        <w:tc>
          <w:tcPr>
            <w:tcW w:w="2462" w:type="dxa"/>
            <w:vAlign w:val="center"/>
          </w:tcPr>
          <w:p w14:paraId="7E7A3F2D">
            <w:pPr>
              <w:autoSpaceDE w:val="0"/>
              <w:autoSpaceDN w:val="0"/>
              <w:adjustRightInd w:val="0"/>
              <w:snapToGrid w:val="0"/>
              <w:jc w:val="center"/>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联系方式</w:t>
            </w:r>
          </w:p>
        </w:tc>
        <w:tc>
          <w:tcPr>
            <w:tcW w:w="3064" w:type="dxa"/>
            <w:vAlign w:val="center"/>
          </w:tcPr>
          <w:p w14:paraId="74F9E3B7">
            <w:pPr>
              <w:autoSpaceDE w:val="0"/>
              <w:autoSpaceDN w:val="0"/>
              <w:adjustRightInd w:val="0"/>
              <w:snapToGrid w:val="0"/>
              <w:jc w:val="center"/>
              <w:rPr>
                <w:rFonts w:ascii="Times New Roman" w:eastAsia="宋体" w:hAnsi="Times New Roman" w:cs="Times New Roman" w:hint="default"/>
                <w:color w:val="auto"/>
                <w:kern w:val="0"/>
                <w:sz w:val="24"/>
                <w:highlight w:val="none"/>
                <w:lang w:val="en-US" w:eastAsia="zh-CN"/>
              </w:rPr>
            </w:pPr>
            <w:r>
              <w:rPr>
                <w:rFonts w:cs="Times New Roman" w:hint="eastAsia"/>
                <w:color w:val="auto"/>
                <w:kern w:val="0"/>
                <w:sz w:val="24"/>
                <w:highlight w:val="none"/>
                <w:lang w:val="en-US" w:eastAsia="zh-CN"/>
              </w:rPr>
              <w:t>/</w:t>
            </w:r>
            <w:bookmarkStart w:id="0" w:name="_GoBack"/>
            <w:bookmarkEnd w:id="0"/>
          </w:p>
        </w:tc>
      </w:tr>
      <w:tr w14:paraId="3C653B24">
        <w:tblPrEx>
          <w:tblW w:w="4980" w:type="pct"/>
          <w:jc w:val="center"/>
          <w:tblLayout w:type="fixed"/>
          <w:tblCellMar>
            <w:top w:w="0" w:type="dxa"/>
            <w:left w:w="0" w:type="dxa"/>
            <w:bottom w:w="0" w:type="dxa"/>
            <w:right w:w="0" w:type="dxa"/>
          </w:tblCellMar>
        </w:tblPrEx>
        <w:trPr>
          <w:trHeight w:val="90"/>
          <w:jc w:val="center"/>
        </w:trPr>
        <w:tc>
          <w:tcPr>
            <w:tcW w:w="1545" w:type="dxa"/>
            <w:tcMar>
              <w:top w:w="16" w:type="dxa"/>
              <w:left w:w="16" w:type="dxa"/>
              <w:right w:w="16" w:type="dxa"/>
            </w:tcMar>
            <w:vAlign w:val="center"/>
          </w:tcPr>
          <w:p w14:paraId="0FCD3B99">
            <w:pPr>
              <w:autoSpaceDE w:val="0"/>
              <w:autoSpaceDN w:val="0"/>
              <w:adjustRightInd w:val="0"/>
              <w:snapToGrid w:val="0"/>
              <w:jc w:val="center"/>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建设地点</w:t>
            </w:r>
          </w:p>
        </w:tc>
        <w:tc>
          <w:tcPr>
            <w:tcW w:w="7297" w:type="dxa"/>
            <w:gridSpan w:val="3"/>
            <w:vAlign w:val="center"/>
          </w:tcPr>
          <w:p w14:paraId="66F0993A">
            <w:pPr>
              <w:pStyle w:val="NormalWeb"/>
              <w:spacing w:before="0" w:beforeAutospacing="0" w:after="0" w:afterAutospacing="0" w:line="480" w:lineRule="auto"/>
              <w:jc w:val="center"/>
              <w:outlineLvl w:val="0"/>
              <w:rPr>
                <w:rFonts w:ascii="Times New Roman" w:eastAsia="宋体" w:hAnsi="Times New Roman" w:cs="Times New Roman" w:hint="default"/>
                <w:color w:val="auto"/>
                <w:kern w:val="0"/>
                <w:sz w:val="24"/>
                <w:highlight w:val="none"/>
                <w:lang w:val="en-US" w:eastAsia="zh-CN"/>
              </w:rPr>
            </w:pPr>
            <w:r>
              <w:rPr>
                <w:rFonts w:ascii="Times New Roman" w:eastAsia="宋体" w:hAnsi="Times New Roman" w:cs="Times New Roman" w:hint="default"/>
                <w:color w:val="auto"/>
                <w:kern w:val="0"/>
                <w:sz w:val="24"/>
                <w:highlight w:val="none"/>
              </w:rPr>
              <w:t>河北省承德市围场满族蒙古族自治县半截塔</w:t>
            </w:r>
            <w:r>
              <w:rPr>
                <w:rFonts w:ascii="Times New Roman" w:eastAsia="宋体" w:hAnsi="Times New Roman" w:cs="Times New Roman" w:hint="default"/>
                <w:color w:val="auto"/>
                <w:kern w:val="0"/>
                <w:sz w:val="24"/>
                <w:highlight w:val="none"/>
                <w:lang w:val="en-US" w:eastAsia="zh-CN"/>
              </w:rPr>
              <w:t>镇半截塔村</w:t>
            </w:r>
            <w:r>
              <w:rPr>
                <w:rFonts w:ascii="Times New Roman" w:hAnsi="Times New Roman" w:cs="Times New Roman" w:hint="eastAsia"/>
                <w:color w:val="auto"/>
                <w:kern w:val="0"/>
                <w:sz w:val="24"/>
                <w:highlight w:val="none"/>
                <w:lang w:val="en-US" w:eastAsia="zh-CN"/>
              </w:rPr>
              <w:t>东</w:t>
            </w:r>
          </w:p>
        </w:tc>
      </w:tr>
      <w:tr w14:paraId="38B3523E">
        <w:tblPrEx>
          <w:tblW w:w="4980" w:type="pct"/>
          <w:jc w:val="center"/>
          <w:tblLayout w:type="fixed"/>
          <w:tblCellMar>
            <w:top w:w="0" w:type="dxa"/>
            <w:left w:w="0" w:type="dxa"/>
            <w:bottom w:w="0" w:type="dxa"/>
            <w:right w:w="0" w:type="dxa"/>
          </w:tblCellMar>
        </w:tblPrEx>
        <w:trPr>
          <w:trHeight w:val="497"/>
          <w:jc w:val="center"/>
        </w:trPr>
        <w:tc>
          <w:tcPr>
            <w:tcW w:w="1545" w:type="dxa"/>
            <w:tcMar>
              <w:top w:w="16" w:type="dxa"/>
              <w:left w:w="16" w:type="dxa"/>
              <w:right w:w="16" w:type="dxa"/>
            </w:tcMar>
            <w:vAlign w:val="center"/>
          </w:tcPr>
          <w:p w14:paraId="409F1247">
            <w:pPr>
              <w:autoSpaceDE w:val="0"/>
              <w:autoSpaceDN w:val="0"/>
              <w:adjustRightInd w:val="0"/>
              <w:snapToGrid w:val="0"/>
              <w:jc w:val="center"/>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地理坐标</w:t>
            </w:r>
          </w:p>
        </w:tc>
        <w:tc>
          <w:tcPr>
            <w:tcW w:w="7297" w:type="dxa"/>
            <w:gridSpan w:val="3"/>
            <w:vAlign w:val="center"/>
          </w:tcPr>
          <w:p w14:paraId="240E722B">
            <w:pPr>
              <w:autoSpaceDE w:val="0"/>
              <w:autoSpaceDN w:val="0"/>
              <w:adjustRightInd w:val="0"/>
              <w:snapToGrid w:val="0"/>
              <w:jc w:val="center"/>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117度</w:t>
            </w:r>
            <w:r>
              <w:rPr>
                <w:rFonts w:ascii="Times New Roman" w:eastAsia="宋体" w:hAnsi="Times New Roman" w:cs="Times New Roman" w:hint="default"/>
                <w:color w:val="auto"/>
                <w:kern w:val="0"/>
                <w:sz w:val="24"/>
                <w:highlight w:val="none"/>
                <w:lang w:val="en-US" w:eastAsia="zh-CN"/>
              </w:rPr>
              <w:t>28</w:t>
            </w:r>
            <w:r>
              <w:rPr>
                <w:rFonts w:ascii="Times New Roman" w:eastAsia="宋体" w:hAnsi="Times New Roman" w:cs="Times New Roman" w:hint="default"/>
                <w:color w:val="auto"/>
                <w:kern w:val="0"/>
                <w:sz w:val="24"/>
                <w:highlight w:val="none"/>
              </w:rPr>
              <w:t>分</w:t>
            </w:r>
            <w:r>
              <w:rPr>
                <w:rFonts w:ascii="Times New Roman" w:eastAsia="宋体" w:hAnsi="Times New Roman" w:cs="Times New Roman" w:hint="default"/>
                <w:color w:val="auto"/>
                <w:kern w:val="0"/>
                <w:sz w:val="24"/>
                <w:highlight w:val="none"/>
                <w:lang w:val="en-US" w:eastAsia="zh-CN"/>
              </w:rPr>
              <w:t>9</w:t>
            </w:r>
            <w:r>
              <w:rPr>
                <w:rFonts w:ascii="Times New Roman" w:eastAsia="宋体" w:hAnsi="Times New Roman" w:cs="Times New Roman" w:hint="default"/>
                <w:color w:val="auto"/>
                <w:kern w:val="0"/>
                <w:sz w:val="24"/>
                <w:highlight w:val="none"/>
              </w:rPr>
              <w:t>.</w:t>
            </w:r>
            <w:r>
              <w:rPr>
                <w:rFonts w:ascii="Times New Roman" w:eastAsia="宋体" w:hAnsi="Times New Roman" w:cs="Times New Roman" w:hint="default"/>
                <w:color w:val="auto"/>
                <w:kern w:val="0"/>
                <w:sz w:val="24"/>
                <w:highlight w:val="none"/>
                <w:lang w:val="en-US" w:eastAsia="zh-CN"/>
              </w:rPr>
              <w:t>436</w:t>
            </w:r>
            <w:r>
              <w:rPr>
                <w:rFonts w:ascii="Times New Roman" w:eastAsia="宋体" w:hAnsi="Times New Roman" w:cs="Times New Roman" w:hint="default"/>
                <w:color w:val="auto"/>
                <w:kern w:val="0"/>
                <w:sz w:val="24"/>
                <w:highlight w:val="none"/>
              </w:rPr>
              <w:t>秒，</w:t>
            </w:r>
            <w:r>
              <w:rPr>
                <w:rFonts w:ascii="Times New Roman" w:eastAsia="宋体" w:hAnsi="Times New Roman" w:cs="Times New Roman" w:hint="default"/>
                <w:color w:val="auto"/>
                <w:kern w:val="0"/>
                <w:sz w:val="24"/>
                <w:highlight w:val="none"/>
                <w:lang w:val="en-US" w:eastAsia="zh-CN"/>
              </w:rPr>
              <w:t>41</w:t>
            </w:r>
            <w:r>
              <w:rPr>
                <w:rFonts w:ascii="Times New Roman" w:eastAsia="宋体" w:hAnsi="Times New Roman" w:cs="Times New Roman" w:hint="default"/>
                <w:color w:val="auto"/>
                <w:kern w:val="0"/>
                <w:sz w:val="24"/>
                <w:highlight w:val="none"/>
              </w:rPr>
              <w:t>度</w:t>
            </w:r>
            <w:r>
              <w:rPr>
                <w:rFonts w:ascii="Times New Roman" w:eastAsia="宋体" w:hAnsi="Times New Roman" w:cs="Times New Roman" w:hint="default"/>
                <w:color w:val="auto"/>
                <w:kern w:val="0"/>
                <w:sz w:val="24"/>
                <w:highlight w:val="none"/>
                <w:lang w:val="en-US" w:eastAsia="zh-CN"/>
              </w:rPr>
              <w:t>55</w:t>
            </w:r>
            <w:r>
              <w:rPr>
                <w:rFonts w:ascii="Times New Roman" w:eastAsia="宋体" w:hAnsi="Times New Roman" w:cs="Times New Roman" w:hint="default"/>
                <w:color w:val="auto"/>
                <w:kern w:val="0"/>
                <w:sz w:val="24"/>
                <w:highlight w:val="none"/>
              </w:rPr>
              <w:t>分</w:t>
            </w:r>
            <w:r>
              <w:rPr>
                <w:rFonts w:ascii="Times New Roman" w:eastAsia="宋体" w:hAnsi="Times New Roman" w:cs="Times New Roman" w:hint="default"/>
                <w:color w:val="auto"/>
                <w:kern w:val="0"/>
                <w:sz w:val="24"/>
                <w:highlight w:val="none"/>
                <w:lang w:val="en-US" w:eastAsia="zh-CN"/>
              </w:rPr>
              <w:t>2</w:t>
            </w:r>
            <w:r>
              <w:rPr>
                <w:rFonts w:ascii="Times New Roman" w:eastAsia="宋体" w:hAnsi="Times New Roman" w:cs="Times New Roman" w:hint="default"/>
                <w:color w:val="auto"/>
                <w:kern w:val="0"/>
                <w:sz w:val="24"/>
                <w:highlight w:val="none"/>
              </w:rPr>
              <w:t>8.</w:t>
            </w:r>
            <w:r>
              <w:rPr>
                <w:rFonts w:ascii="Times New Roman" w:eastAsia="宋体" w:hAnsi="Times New Roman" w:cs="Times New Roman" w:hint="default"/>
                <w:color w:val="auto"/>
                <w:kern w:val="0"/>
                <w:sz w:val="24"/>
                <w:highlight w:val="none"/>
                <w:lang w:val="en-US" w:eastAsia="zh-CN"/>
              </w:rPr>
              <w:t>840</w:t>
            </w:r>
            <w:r>
              <w:rPr>
                <w:rFonts w:ascii="Times New Roman" w:eastAsia="宋体" w:hAnsi="Times New Roman" w:cs="Times New Roman" w:hint="default"/>
                <w:color w:val="auto"/>
                <w:kern w:val="0"/>
                <w:sz w:val="24"/>
                <w:highlight w:val="none"/>
              </w:rPr>
              <w:t>秒；</w:t>
            </w:r>
          </w:p>
        </w:tc>
      </w:tr>
      <w:tr w14:paraId="3FEC9910">
        <w:tblPrEx>
          <w:tblW w:w="4980" w:type="pct"/>
          <w:jc w:val="center"/>
          <w:tblLayout w:type="fixed"/>
          <w:tblCellMar>
            <w:top w:w="0" w:type="dxa"/>
            <w:left w:w="0" w:type="dxa"/>
            <w:bottom w:w="0" w:type="dxa"/>
            <w:right w:w="0" w:type="dxa"/>
          </w:tblCellMar>
        </w:tblPrEx>
        <w:trPr>
          <w:trHeight w:val="90"/>
          <w:jc w:val="center"/>
        </w:trPr>
        <w:tc>
          <w:tcPr>
            <w:tcW w:w="1545" w:type="dxa"/>
            <w:tcMar>
              <w:top w:w="16" w:type="dxa"/>
              <w:left w:w="16" w:type="dxa"/>
              <w:right w:w="16" w:type="dxa"/>
            </w:tcMar>
            <w:vAlign w:val="center"/>
          </w:tcPr>
          <w:p w14:paraId="1B7864EB">
            <w:pPr>
              <w:autoSpaceDE w:val="0"/>
              <w:autoSpaceDN w:val="0"/>
              <w:adjustRightInd w:val="0"/>
              <w:snapToGrid w:val="0"/>
              <w:jc w:val="center"/>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国民经济行业类别</w:t>
            </w:r>
          </w:p>
        </w:tc>
        <w:tc>
          <w:tcPr>
            <w:tcW w:w="1771" w:type="dxa"/>
            <w:vAlign w:val="center"/>
          </w:tcPr>
          <w:p w14:paraId="37690AC9">
            <w:pPr>
              <w:autoSpaceDE w:val="0"/>
              <w:autoSpaceDN w:val="0"/>
              <w:adjustRightInd w:val="0"/>
              <w:snapToGrid w:val="0"/>
              <w:jc w:val="center"/>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D44</w:t>
            </w:r>
            <w:r>
              <w:rPr>
                <w:rFonts w:ascii="Times New Roman" w:eastAsia="宋体" w:hAnsi="Times New Roman" w:cs="Times New Roman" w:hint="default"/>
                <w:color w:val="auto"/>
                <w:kern w:val="0"/>
                <w:sz w:val="24"/>
                <w:highlight w:val="none"/>
                <w:lang w:val="en-US" w:eastAsia="zh-CN"/>
              </w:rPr>
              <w:t>20电力供应</w:t>
            </w:r>
          </w:p>
        </w:tc>
        <w:tc>
          <w:tcPr>
            <w:tcW w:w="2462" w:type="dxa"/>
            <w:vAlign w:val="center"/>
          </w:tcPr>
          <w:p w14:paraId="09F60390">
            <w:pPr>
              <w:autoSpaceDE w:val="0"/>
              <w:autoSpaceDN w:val="0"/>
              <w:adjustRightInd w:val="0"/>
              <w:snapToGrid w:val="0"/>
              <w:jc w:val="center"/>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建设项目</w:t>
            </w:r>
          </w:p>
          <w:p w14:paraId="7C2EF29D">
            <w:pPr>
              <w:autoSpaceDE w:val="0"/>
              <w:autoSpaceDN w:val="0"/>
              <w:adjustRightInd w:val="0"/>
              <w:snapToGrid w:val="0"/>
              <w:jc w:val="center"/>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行业类别</w:t>
            </w:r>
          </w:p>
        </w:tc>
        <w:tc>
          <w:tcPr>
            <w:tcW w:w="3064" w:type="dxa"/>
            <w:vAlign w:val="center"/>
          </w:tcPr>
          <w:p w14:paraId="5786A0C1">
            <w:pPr>
              <w:autoSpaceDE w:val="0"/>
              <w:autoSpaceDN w:val="0"/>
              <w:adjustRightInd w:val="0"/>
              <w:snapToGrid w:val="0"/>
              <w:jc w:val="center"/>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五十五、核与辐射161输变电工程</w:t>
            </w:r>
          </w:p>
        </w:tc>
      </w:tr>
      <w:tr w14:paraId="7D2D3657">
        <w:tblPrEx>
          <w:tblW w:w="4980" w:type="pct"/>
          <w:jc w:val="center"/>
          <w:tblLayout w:type="fixed"/>
          <w:tblCellMar>
            <w:top w:w="0" w:type="dxa"/>
            <w:left w:w="0" w:type="dxa"/>
            <w:bottom w:w="0" w:type="dxa"/>
            <w:right w:w="0" w:type="dxa"/>
          </w:tblCellMar>
        </w:tblPrEx>
        <w:trPr>
          <w:trHeight w:val="1219"/>
          <w:jc w:val="center"/>
        </w:trPr>
        <w:tc>
          <w:tcPr>
            <w:tcW w:w="1545" w:type="dxa"/>
            <w:tcMar>
              <w:top w:w="16" w:type="dxa"/>
              <w:left w:w="16" w:type="dxa"/>
              <w:right w:w="16" w:type="dxa"/>
            </w:tcMar>
            <w:vAlign w:val="center"/>
          </w:tcPr>
          <w:p w14:paraId="3F4DD3D0">
            <w:pPr>
              <w:autoSpaceDE w:val="0"/>
              <w:autoSpaceDN w:val="0"/>
              <w:adjustRightInd w:val="0"/>
              <w:snapToGrid w:val="0"/>
              <w:jc w:val="center"/>
              <w:rPr>
                <w:rFonts w:ascii="Times New Roman" w:eastAsia="宋体" w:hAnsi="Times New Roman" w:cs="Times New Roman" w:hint="default"/>
                <w:color w:val="auto"/>
                <w:kern w:val="0"/>
                <w:sz w:val="24"/>
                <w:highlight w:val="none"/>
              </w:rPr>
            </w:pPr>
          </w:p>
          <w:p w14:paraId="1F05D9D7">
            <w:pPr>
              <w:autoSpaceDE w:val="0"/>
              <w:autoSpaceDN w:val="0"/>
              <w:adjustRightInd w:val="0"/>
              <w:snapToGrid w:val="0"/>
              <w:jc w:val="center"/>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建设性质</w:t>
            </w:r>
          </w:p>
        </w:tc>
        <w:tc>
          <w:tcPr>
            <w:tcW w:w="1771" w:type="dxa"/>
            <w:vAlign w:val="center"/>
          </w:tcPr>
          <w:p w14:paraId="27E4B789">
            <w:pPr>
              <w:autoSpaceDE w:val="0"/>
              <w:autoSpaceDN w:val="0"/>
              <w:adjustRightInd w:val="0"/>
              <w:snapToGrid w:val="0"/>
              <w:jc w:val="left"/>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■新建（迁建）</w:t>
            </w:r>
          </w:p>
          <w:p w14:paraId="64504C53">
            <w:pPr>
              <w:autoSpaceDE w:val="0"/>
              <w:autoSpaceDN w:val="0"/>
              <w:adjustRightInd w:val="0"/>
              <w:snapToGrid w:val="0"/>
              <w:jc w:val="left"/>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 改建</w:t>
            </w:r>
          </w:p>
          <w:p w14:paraId="23DC8F77">
            <w:pPr>
              <w:autoSpaceDE w:val="0"/>
              <w:autoSpaceDN w:val="0"/>
              <w:adjustRightInd w:val="0"/>
              <w:snapToGrid w:val="0"/>
              <w:jc w:val="left"/>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□扩建</w:t>
            </w:r>
          </w:p>
          <w:p w14:paraId="0FD7087C">
            <w:pPr>
              <w:autoSpaceDE w:val="0"/>
              <w:autoSpaceDN w:val="0"/>
              <w:adjustRightInd w:val="0"/>
              <w:snapToGrid w:val="0"/>
              <w:jc w:val="left"/>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□技术改造</w:t>
            </w:r>
          </w:p>
        </w:tc>
        <w:tc>
          <w:tcPr>
            <w:tcW w:w="2462" w:type="dxa"/>
            <w:vAlign w:val="center"/>
          </w:tcPr>
          <w:p w14:paraId="6333E1EF">
            <w:pPr>
              <w:autoSpaceDE w:val="0"/>
              <w:autoSpaceDN w:val="0"/>
              <w:adjustRightInd w:val="0"/>
              <w:snapToGrid w:val="0"/>
              <w:jc w:val="center"/>
              <w:rPr>
                <w:rFonts w:ascii="Times New Roman" w:eastAsia="宋体" w:hAnsi="Times New Roman" w:cs="Times New Roman" w:hint="default"/>
                <w:color w:val="auto"/>
                <w:kern w:val="0"/>
                <w:sz w:val="24"/>
                <w:highlight w:val="none"/>
              </w:rPr>
            </w:pPr>
          </w:p>
          <w:p w14:paraId="1B290972">
            <w:pPr>
              <w:autoSpaceDE w:val="0"/>
              <w:autoSpaceDN w:val="0"/>
              <w:adjustRightInd w:val="0"/>
              <w:snapToGrid w:val="0"/>
              <w:jc w:val="center"/>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建设项目</w:t>
            </w:r>
          </w:p>
          <w:p w14:paraId="183A981E">
            <w:pPr>
              <w:autoSpaceDE w:val="0"/>
              <w:autoSpaceDN w:val="0"/>
              <w:adjustRightInd w:val="0"/>
              <w:snapToGrid w:val="0"/>
              <w:jc w:val="center"/>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申报情形</w:t>
            </w:r>
          </w:p>
        </w:tc>
        <w:tc>
          <w:tcPr>
            <w:tcW w:w="3064" w:type="dxa"/>
            <w:vAlign w:val="center"/>
          </w:tcPr>
          <w:p w14:paraId="419BFBAF">
            <w:pPr>
              <w:autoSpaceDE w:val="0"/>
              <w:autoSpaceDN w:val="0"/>
              <w:adjustRightInd w:val="0"/>
              <w:snapToGrid w:val="0"/>
              <w:jc w:val="left"/>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■首次申报项目</w:t>
            </w:r>
          </w:p>
          <w:p w14:paraId="1B2FA25A">
            <w:pPr>
              <w:autoSpaceDE w:val="0"/>
              <w:autoSpaceDN w:val="0"/>
              <w:adjustRightInd w:val="0"/>
              <w:snapToGrid w:val="0"/>
              <w:jc w:val="left"/>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□不予批准后再次申报项目</w:t>
            </w:r>
          </w:p>
          <w:p w14:paraId="444BCD94">
            <w:pPr>
              <w:autoSpaceDE w:val="0"/>
              <w:autoSpaceDN w:val="0"/>
              <w:adjustRightInd w:val="0"/>
              <w:snapToGrid w:val="0"/>
              <w:jc w:val="left"/>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□超五年重新审核项目</w:t>
            </w:r>
          </w:p>
          <w:p w14:paraId="6CED38BD">
            <w:pPr>
              <w:autoSpaceDE w:val="0"/>
              <w:autoSpaceDN w:val="0"/>
              <w:adjustRightInd w:val="0"/>
              <w:snapToGrid w:val="0"/>
              <w:jc w:val="left"/>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□重大变动重新报批项目</w:t>
            </w:r>
          </w:p>
        </w:tc>
      </w:tr>
      <w:tr w14:paraId="14CC9A59">
        <w:tblPrEx>
          <w:tblW w:w="4980" w:type="pct"/>
          <w:jc w:val="center"/>
          <w:tblLayout w:type="fixed"/>
          <w:tblCellMar>
            <w:top w:w="0" w:type="dxa"/>
            <w:left w:w="0" w:type="dxa"/>
            <w:bottom w:w="0" w:type="dxa"/>
            <w:right w:w="0" w:type="dxa"/>
          </w:tblCellMar>
        </w:tblPrEx>
        <w:trPr>
          <w:trHeight w:val="851"/>
          <w:jc w:val="center"/>
        </w:trPr>
        <w:tc>
          <w:tcPr>
            <w:tcW w:w="1545" w:type="dxa"/>
            <w:tcMar>
              <w:top w:w="16" w:type="dxa"/>
              <w:left w:w="16" w:type="dxa"/>
              <w:right w:w="16" w:type="dxa"/>
            </w:tcMar>
            <w:vAlign w:val="center"/>
          </w:tcPr>
          <w:p w14:paraId="56D08CD4">
            <w:pPr>
              <w:autoSpaceDE w:val="0"/>
              <w:autoSpaceDN w:val="0"/>
              <w:adjustRightInd w:val="0"/>
              <w:snapToGrid w:val="0"/>
              <w:jc w:val="center"/>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项目审批部门（选填）</w:t>
            </w:r>
          </w:p>
        </w:tc>
        <w:tc>
          <w:tcPr>
            <w:tcW w:w="1771" w:type="dxa"/>
            <w:vAlign w:val="center"/>
          </w:tcPr>
          <w:p w14:paraId="15EB9ABE">
            <w:pPr>
              <w:autoSpaceDE w:val="0"/>
              <w:autoSpaceDN w:val="0"/>
              <w:adjustRightInd w:val="0"/>
              <w:snapToGrid w:val="0"/>
              <w:jc w:val="center"/>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围场满族蒙古族自治县行政审批局</w:t>
            </w:r>
          </w:p>
        </w:tc>
        <w:tc>
          <w:tcPr>
            <w:tcW w:w="2462" w:type="dxa"/>
            <w:vAlign w:val="center"/>
          </w:tcPr>
          <w:p w14:paraId="5EA072EA">
            <w:pPr>
              <w:autoSpaceDE w:val="0"/>
              <w:autoSpaceDN w:val="0"/>
              <w:adjustRightInd w:val="0"/>
              <w:snapToGrid w:val="0"/>
              <w:jc w:val="center"/>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项目审批文号（选填）</w:t>
            </w:r>
          </w:p>
        </w:tc>
        <w:tc>
          <w:tcPr>
            <w:tcW w:w="3064" w:type="dxa"/>
            <w:vAlign w:val="center"/>
          </w:tcPr>
          <w:p w14:paraId="7752DB6C">
            <w:pPr>
              <w:autoSpaceDE w:val="0"/>
              <w:autoSpaceDN w:val="0"/>
              <w:adjustRightInd w:val="0"/>
              <w:snapToGrid w:val="0"/>
              <w:jc w:val="center"/>
              <w:rPr>
                <w:rFonts w:ascii="Times New Roman" w:eastAsia="宋体" w:hAnsi="Times New Roman" w:cs="Times New Roman" w:hint="default"/>
                <w:color w:val="auto"/>
                <w:kern w:val="0"/>
                <w:sz w:val="24"/>
                <w:highlight w:val="none"/>
                <w:lang w:val="en-US" w:eastAsia="zh-CN"/>
              </w:rPr>
            </w:pPr>
            <w:r>
              <w:rPr>
                <w:rFonts w:ascii="Times New Roman" w:eastAsia="宋体" w:hAnsi="Times New Roman" w:cs="Times New Roman" w:hint="default"/>
                <w:color w:val="auto"/>
                <w:kern w:val="0"/>
                <w:sz w:val="24"/>
                <w:highlight w:val="none"/>
              </w:rPr>
              <w:t>围审批备字</w:t>
            </w:r>
            <w:r>
              <w:rPr>
                <w:rFonts w:ascii="Times New Roman" w:eastAsia="宋体" w:hAnsi="Times New Roman" w:cs="Times New Roman" w:hint="default"/>
                <w:color w:val="auto"/>
                <w:kern w:val="0"/>
                <w:sz w:val="24"/>
                <w:highlight w:val="none"/>
                <w:lang w:eastAsia="zh-CN"/>
              </w:rPr>
              <w:t>〔</w:t>
            </w:r>
            <w:r>
              <w:rPr>
                <w:rFonts w:ascii="Times New Roman" w:eastAsia="宋体" w:hAnsi="Times New Roman" w:cs="Times New Roman" w:hint="default"/>
                <w:color w:val="auto"/>
                <w:kern w:val="0"/>
                <w:sz w:val="24"/>
                <w:highlight w:val="none"/>
              </w:rPr>
              <w:t>2022</w:t>
            </w:r>
            <w:r>
              <w:rPr>
                <w:rFonts w:ascii="Times New Roman" w:eastAsia="宋体" w:hAnsi="Times New Roman" w:cs="Times New Roman" w:hint="default"/>
                <w:color w:val="auto"/>
                <w:kern w:val="0"/>
                <w:sz w:val="24"/>
                <w:highlight w:val="none"/>
                <w:lang w:eastAsia="zh-CN"/>
              </w:rPr>
              <w:t>〕</w:t>
            </w:r>
            <w:r>
              <w:rPr>
                <w:rFonts w:ascii="Times New Roman" w:eastAsia="宋体" w:hAnsi="Times New Roman" w:cs="Times New Roman" w:hint="default"/>
                <w:color w:val="auto"/>
                <w:kern w:val="0"/>
                <w:sz w:val="24"/>
                <w:highlight w:val="none"/>
              </w:rPr>
              <w:t>99号</w:t>
            </w:r>
          </w:p>
        </w:tc>
      </w:tr>
      <w:tr w14:paraId="62E12CC1">
        <w:tblPrEx>
          <w:tblW w:w="4980" w:type="pct"/>
          <w:jc w:val="center"/>
          <w:tblLayout w:type="fixed"/>
          <w:tblCellMar>
            <w:top w:w="0" w:type="dxa"/>
            <w:left w:w="0" w:type="dxa"/>
            <w:bottom w:w="0" w:type="dxa"/>
            <w:right w:w="0" w:type="dxa"/>
          </w:tblCellMar>
        </w:tblPrEx>
        <w:trPr>
          <w:trHeight w:val="497"/>
          <w:jc w:val="center"/>
        </w:trPr>
        <w:tc>
          <w:tcPr>
            <w:tcW w:w="1545" w:type="dxa"/>
            <w:tcMar>
              <w:top w:w="16" w:type="dxa"/>
              <w:left w:w="16" w:type="dxa"/>
              <w:right w:w="16" w:type="dxa"/>
            </w:tcMar>
            <w:vAlign w:val="center"/>
          </w:tcPr>
          <w:p w14:paraId="4CD354BF">
            <w:pPr>
              <w:autoSpaceDE w:val="0"/>
              <w:autoSpaceDN w:val="0"/>
              <w:adjustRightInd w:val="0"/>
              <w:snapToGrid w:val="0"/>
              <w:jc w:val="center"/>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总投资（万元）</w:t>
            </w:r>
          </w:p>
        </w:tc>
        <w:tc>
          <w:tcPr>
            <w:tcW w:w="1771" w:type="dxa"/>
            <w:vAlign w:val="center"/>
          </w:tcPr>
          <w:p w14:paraId="17920CF2">
            <w:pPr>
              <w:autoSpaceDE w:val="0"/>
              <w:autoSpaceDN w:val="0"/>
              <w:adjustRightInd w:val="0"/>
              <w:snapToGrid w:val="0"/>
              <w:jc w:val="center"/>
              <w:rPr>
                <w:rFonts w:ascii="Times New Roman" w:eastAsia="宋体" w:hAnsi="Times New Roman" w:cs="Times New Roman" w:hint="default"/>
                <w:color w:val="auto"/>
                <w:kern w:val="0"/>
                <w:sz w:val="24"/>
                <w:highlight w:val="none"/>
                <w:lang w:val="en-US" w:eastAsia="zh-CN"/>
              </w:rPr>
            </w:pPr>
            <w:r>
              <w:rPr>
                <w:rFonts w:cs="Times New Roman" w:hint="eastAsia"/>
                <w:color w:val="auto"/>
                <w:kern w:val="0"/>
                <w:sz w:val="24"/>
                <w:highlight w:val="none"/>
                <w:lang w:val="en-US" w:eastAsia="zh-CN"/>
              </w:rPr>
              <w:t>160000</w:t>
            </w:r>
          </w:p>
        </w:tc>
        <w:tc>
          <w:tcPr>
            <w:tcW w:w="2462" w:type="dxa"/>
            <w:tcMar>
              <w:top w:w="16" w:type="dxa"/>
              <w:left w:w="16" w:type="dxa"/>
              <w:right w:w="16" w:type="dxa"/>
            </w:tcMar>
            <w:vAlign w:val="center"/>
          </w:tcPr>
          <w:p w14:paraId="2050D017">
            <w:pPr>
              <w:autoSpaceDE w:val="0"/>
              <w:autoSpaceDN w:val="0"/>
              <w:adjustRightInd w:val="0"/>
              <w:snapToGrid w:val="0"/>
              <w:jc w:val="center"/>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环保投资（万元）</w:t>
            </w:r>
          </w:p>
        </w:tc>
        <w:tc>
          <w:tcPr>
            <w:tcW w:w="3064" w:type="dxa"/>
            <w:vAlign w:val="center"/>
          </w:tcPr>
          <w:p w14:paraId="3C700EC0">
            <w:pPr>
              <w:autoSpaceDE w:val="0"/>
              <w:autoSpaceDN w:val="0"/>
              <w:adjustRightInd w:val="0"/>
              <w:snapToGrid w:val="0"/>
              <w:jc w:val="center"/>
              <w:rPr>
                <w:rFonts w:ascii="Times New Roman" w:eastAsia="宋体" w:hAnsi="Times New Roman" w:cs="Times New Roman" w:hint="default"/>
                <w:color w:val="auto"/>
                <w:kern w:val="0"/>
                <w:sz w:val="24"/>
                <w:highlight w:val="none"/>
                <w:lang w:val="en-US"/>
              </w:rPr>
            </w:pPr>
            <w:r>
              <w:rPr>
                <w:rFonts w:ascii="Times New Roman" w:eastAsia="宋体" w:hAnsi="Times New Roman" w:cs="Times New Roman" w:hint="default"/>
                <w:color w:val="auto"/>
                <w:kern w:val="0"/>
                <w:sz w:val="24"/>
                <w:highlight w:val="none"/>
                <w:lang w:val="en-US" w:eastAsia="zh-CN"/>
              </w:rPr>
              <w:t>231</w:t>
            </w:r>
          </w:p>
        </w:tc>
      </w:tr>
      <w:tr w14:paraId="4E5C5439">
        <w:tblPrEx>
          <w:tblW w:w="4980" w:type="pct"/>
          <w:jc w:val="center"/>
          <w:tblLayout w:type="fixed"/>
          <w:tblCellMar>
            <w:top w:w="0" w:type="dxa"/>
            <w:left w:w="0" w:type="dxa"/>
            <w:bottom w:w="0" w:type="dxa"/>
            <w:right w:w="0" w:type="dxa"/>
          </w:tblCellMar>
        </w:tblPrEx>
        <w:trPr>
          <w:trHeight w:val="497"/>
          <w:jc w:val="center"/>
        </w:trPr>
        <w:tc>
          <w:tcPr>
            <w:tcW w:w="1545" w:type="dxa"/>
            <w:tcMar>
              <w:top w:w="16" w:type="dxa"/>
              <w:left w:w="16" w:type="dxa"/>
              <w:right w:w="16" w:type="dxa"/>
            </w:tcMar>
            <w:vAlign w:val="center"/>
          </w:tcPr>
          <w:p w14:paraId="209E79F5">
            <w:pPr>
              <w:autoSpaceDE w:val="0"/>
              <w:autoSpaceDN w:val="0"/>
              <w:adjustRightInd w:val="0"/>
              <w:snapToGrid w:val="0"/>
              <w:jc w:val="center"/>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环保投资占比（%）</w:t>
            </w:r>
          </w:p>
        </w:tc>
        <w:tc>
          <w:tcPr>
            <w:tcW w:w="1771" w:type="dxa"/>
            <w:vAlign w:val="center"/>
          </w:tcPr>
          <w:p w14:paraId="6A120BCD">
            <w:pPr>
              <w:autoSpaceDE w:val="0"/>
              <w:autoSpaceDN w:val="0"/>
              <w:adjustRightInd w:val="0"/>
              <w:snapToGrid w:val="0"/>
              <w:jc w:val="center"/>
              <w:rPr>
                <w:rFonts w:ascii="Times New Roman" w:eastAsia="宋体" w:hAnsi="Times New Roman" w:cs="Times New Roman" w:hint="default"/>
                <w:color w:val="auto"/>
                <w:kern w:val="0"/>
                <w:sz w:val="24"/>
                <w:highlight w:val="none"/>
                <w:lang w:val="en-US"/>
              </w:rPr>
            </w:pPr>
            <w:r>
              <w:rPr>
                <w:rFonts w:ascii="Times New Roman" w:eastAsia="宋体" w:hAnsi="Times New Roman" w:cs="Times New Roman" w:hint="default"/>
                <w:color w:val="auto"/>
                <w:sz w:val="24"/>
                <w:szCs w:val="24"/>
                <w:lang w:val="en-US" w:eastAsia="zh-CN"/>
              </w:rPr>
              <w:t>0.</w:t>
            </w:r>
            <w:r>
              <w:rPr>
                <w:rFonts w:cs="Times New Roman" w:hint="eastAsia"/>
                <w:color w:val="auto"/>
                <w:sz w:val="24"/>
                <w:szCs w:val="24"/>
                <w:lang w:val="en-US" w:eastAsia="zh-CN"/>
              </w:rPr>
              <w:t>144</w:t>
            </w:r>
          </w:p>
        </w:tc>
        <w:tc>
          <w:tcPr>
            <w:tcW w:w="2462" w:type="dxa"/>
            <w:tcMar>
              <w:top w:w="16" w:type="dxa"/>
              <w:left w:w="16" w:type="dxa"/>
              <w:right w:w="16" w:type="dxa"/>
            </w:tcMar>
            <w:vAlign w:val="center"/>
          </w:tcPr>
          <w:p w14:paraId="056E481B">
            <w:pPr>
              <w:autoSpaceDE w:val="0"/>
              <w:autoSpaceDN w:val="0"/>
              <w:adjustRightInd w:val="0"/>
              <w:snapToGrid w:val="0"/>
              <w:jc w:val="center"/>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施工工期</w:t>
            </w:r>
          </w:p>
        </w:tc>
        <w:tc>
          <w:tcPr>
            <w:tcW w:w="3064" w:type="dxa"/>
            <w:vAlign w:val="center"/>
          </w:tcPr>
          <w:p w14:paraId="7D92C90B">
            <w:pPr>
              <w:autoSpaceDE w:val="0"/>
              <w:autoSpaceDN w:val="0"/>
              <w:adjustRightInd w:val="0"/>
              <w:snapToGrid w:val="0"/>
              <w:jc w:val="center"/>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lang w:val="en-US" w:eastAsia="zh-CN"/>
              </w:rPr>
              <w:t>7</w:t>
            </w:r>
            <w:r>
              <w:rPr>
                <w:rFonts w:ascii="Times New Roman" w:eastAsia="宋体" w:hAnsi="Times New Roman" w:cs="Times New Roman" w:hint="default"/>
                <w:color w:val="auto"/>
                <w:kern w:val="0"/>
                <w:sz w:val="24"/>
                <w:highlight w:val="none"/>
              </w:rPr>
              <w:t>个月</w:t>
            </w:r>
          </w:p>
        </w:tc>
      </w:tr>
      <w:tr w14:paraId="46BCB107">
        <w:tblPrEx>
          <w:tblW w:w="4980" w:type="pct"/>
          <w:jc w:val="center"/>
          <w:tblLayout w:type="fixed"/>
          <w:tblCellMar>
            <w:top w:w="0" w:type="dxa"/>
            <w:left w:w="0" w:type="dxa"/>
            <w:bottom w:w="0" w:type="dxa"/>
            <w:right w:w="0" w:type="dxa"/>
          </w:tblCellMar>
        </w:tblPrEx>
        <w:trPr>
          <w:trHeight w:val="90"/>
          <w:jc w:val="center"/>
        </w:trPr>
        <w:tc>
          <w:tcPr>
            <w:tcW w:w="1545" w:type="dxa"/>
            <w:tcMar>
              <w:top w:w="16" w:type="dxa"/>
              <w:left w:w="16" w:type="dxa"/>
              <w:right w:w="16" w:type="dxa"/>
            </w:tcMar>
            <w:vAlign w:val="center"/>
          </w:tcPr>
          <w:p w14:paraId="5CE74880">
            <w:pPr>
              <w:autoSpaceDE w:val="0"/>
              <w:autoSpaceDN w:val="0"/>
              <w:adjustRightInd w:val="0"/>
              <w:snapToGrid w:val="0"/>
              <w:jc w:val="center"/>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是否开工建设</w:t>
            </w:r>
          </w:p>
        </w:tc>
        <w:tc>
          <w:tcPr>
            <w:tcW w:w="1771" w:type="dxa"/>
            <w:vAlign w:val="center"/>
          </w:tcPr>
          <w:p w14:paraId="3E8B7537">
            <w:pPr>
              <w:autoSpaceDE w:val="0"/>
              <w:autoSpaceDN w:val="0"/>
              <w:adjustRightInd w:val="0"/>
              <w:snapToGrid w:val="0"/>
              <w:jc w:val="both"/>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■否</w:t>
            </w:r>
          </w:p>
          <w:p w14:paraId="0D75A42B">
            <w:pPr>
              <w:autoSpaceDE w:val="0"/>
              <w:autoSpaceDN w:val="0"/>
              <w:adjustRightInd w:val="0"/>
              <w:snapToGrid w:val="0"/>
              <w:jc w:val="both"/>
              <w:rPr>
                <w:rFonts w:ascii="Times New Roman" w:eastAsia="宋体" w:hAnsi="Times New Roman" w:cs="Times New Roman" w:hint="default"/>
                <w:color w:val="auto"/>
                <w:kern w:val="0"/>
                <w:sz w:val="24"/>
                <w:highlight w:val="none"/>
                <w:lang w:val="en-US" w:eastAsia="zh-CN"/>
              </w:rPr>
            </w:pPr>
            <w:r>
              <w:rPr>
                <w:rFonts w:ascii="Times New Roman" w:eastAsia="宋体" w:hAnsi="Times New Roman" w:cs="Times New Roman" w:hint="default"/>
                <w:color w:val="auto"/>
                <w:kern w:val="0"/>
                <w:sz w:val="24"/>
                <w:highlight w:val="none"/>
              </w:rPr>
              <w:t>□是：</w:t>
            </w:r>
          </w:p>
        </w:tc>
        <w:tc>
          <w:tcPr>
            <w:tcW w:w="2462" w:type="dxa"/>
            <w:tcMar>
              <w:top w:w="16" w:type="dxa"/>
              <w:left w:w="16" w:type="dxa"/>
              <w:right w:w="16" w:type="dxa"/>
            </w:tcMar>
            <w:vAlign w:val="center"/>
          </w:tcPr>
          <w:p w14:paraId="3CBC9BA0">
            <w:pPr>
              <w:autoSpaceDE w:val="0"/>
              <w:autoSpaceDN w:val="0"/>
              <w:adjustRightInd w:val="0"/>
              <w:snapToGrid w:val="0"/>
              <w:jc w:val="center"/>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用地面积（m</w:t>
            </w:r>
            <w:r>
              <w:rPr>
                <w:rFonts w:ascii="Times New Roman" w:eastAsia="宋体" w:hAnsi="Times New Roman" w:cs="Times New Roman" w:hint="default"/>
                <w:color w:val="auto"/>
                <w:kern w:val="0"/>
                <w:sz w:val="24"/>
                <w:highlight w:val="none"/>
                <w:vertAlign w:val="superscript"/>
              </w:rPr>
              <w:t>2</w:t>
            </w:r>
            <w:r>
              <w:rPr>
                <w:rFonts w:ascii="Times New Roman" w:eastAsia="宋体" w:hAnsi="Times New Roman" w:cs="Times New Roman" w:hint="default"/>
                <w:color w:val="auto"/>
                <w:kern w:val="0"/>
                <w:sz w:val="24"/>
                <w:highlight w:val="none"/>
              </w:rPr>
              <w:t>）</w:t>
            </w:r>
          </w:p>
        </w:tc>
        <w:tc>
          <w:tcPr>
            <w:tcW w:w="3064" w:type="dxa"/>
            <w:vAlign w:val="center"/>
          </w:tcPr>
          <w:p w14:paraId="29C8BEB9">
            <w:pPr>
              <w:autoSpaceDE w:val="0"/>
              <w:autoSpaceDN w:val="0"/>
              <w:adjustRightInd w:val="0"/>
              <w:snapToGrid w:val="0"/>
              <w:jc w:val="center"/>
              <w:rPr>
                <w:rFonts w:ascii="Times New Roman" w:eastAsia="宋体" w:hAnsi="Times New Roman" w:cs="Times New Roman" w:hint="default"/>
                <w:color w:val="auto"/>
                <w:kern w:val="0"/>
                <w:sz w:val="24"/>
                <w:highlight w:val="none"/>
                <w:lang w:val="en-US" w:eastAsia="zh-CN"/>
              </w:rPr>
            </w:pPr>
            <w:r>
              <w:rPr>
                <w:rFonts w:ascii="Times New Roman" w:eastAsia="宋体" w:hAnsi="Times New Roman" w:cs="Times New Roman" w:hint="default"/>
                <w:color w:val="auto"/>
                <w:kern w:val="0"/>
                <w:sz w:val="24"/>
                <w:highlight w:val="none"/>
                <w:lang w:val="en-US" w:eastAsia="zh-CN"/>
              </w:rPr>
              <w:t>9</w:t>
            </w:r>
            <w:r>
              <w:rPr>
                <w:rFonts w:cs="Times New Roman" w:hint="eastAsia"/>
                <w:color w:val="auto"/>
                <w:kern w:val="0"/>
                <w:sz w:val="24"/>
                <w:highlight w:val="none"/>
                <w:lang w:val="en-US" w:eastAsia="zh-CN"/>
              </w:rPr>
              <w:t>80</w:t>
            </w:r>
            <w:r>
              <w:rPr>
                <w:rFonts w:ascii="Times New Roman" w:eastAsia="宋体" w:hAnsi="Times New Roman" w:cs="Times New Roman" w:hint="default"/>
                <w:color w:val="auto"/>
                <w:kern w:val="0"/>
                <w:sz w:val="24"/>
                <w:highlight w:val="none"/>
                <w:lang w:val="en-US" w:eastAsia="zh-CN"/>
              </w:rPr>
              <w:t>00</w:t>
            </w:r>
          </w:p>
        </w:tc>
      </w:tr>
      <w:tr w14:paraId="05CA7FE0">
        <w:tblPrEx>
          <w:tblW w:w="4980" w:type="pct"/>
          <w:jc w:val="center"/>
          <w:tblLayout w:type="fixed"/>
          <w:tblCellMar>
            <w:top w:w="0" w:type="dxa"/>
            <w:left w:w="108" w:type="dxa"/>
            <w:bottom w:w="0" w:type="dxa"/>
            <w:right w:w="108" w:type="dxa"/>
          </w:tblCellMar>
        </w:tblPrEx>
        <w:trPr>
          <w:trHeight w:val="681"/>
          <w:jc w:val="center"/>
        </w:trPr>
        <w:tc>
          <w:tcPr>
            <w:tcW w:w="1545" w:type="dxa"/>
            <w:vAlign w:val="center"/>
          </w:tcPr>
          <w:p w14:paraId="6825A6CF">
            <w:pPr>
              <w:autoSpaceDE w:val="0"/>
              <w:autoSpaceDN w:val="0"/>
              <w:adjustRightInd w:val="0"/>
              <w:snapToGrid w:val="0"/>
              <w:jc w:val="center"/>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专项评价设置情况</w:t>
            </w:r>
          </w:p>
        </w:tc>
        <w:tc>
          <w:tcPr>
            <w:tcW w:w="7297" w:type="dxa"/>
            <w:gridSpan w:val="3"/>
            <w:vAlign w:val="center"/>
          </w:tcPr>
          <w:p w14:paraId="7DB54C1F">
            <w:pPr>
              <w:autoSpaceDE w:val="0"/>
              <w:autoSpaceDN w:val="0"/>
              <w:adjustRightInd w:val="0"/>
              <w:snapToGrid w:val="0"/>
              <w:jc w:val="center"/>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lang w:val="en-US" w:eastAsia="zh-CN"/>
              </w:rPr>
              <w:t>1、</w:t>
            </w:r>
            <w:r>
              <w:rPr>
                <w:rFonts w:ascii="Times New Roman" w:eastAsia="宋体" w:hAnsi="Times New Roman" w:cs="Times New Roman" w:hint="default"/>
                <w:color w:val="auto"/>
                <w:kern w:val="0"/>
                <w:sz w:val="24"/>
                <w:highlight w:val="none"/>
              </w:rPr>
              <w:t>根据《环境影响评价技术导则 输变电》（HJ 24-2020）附录B中的要求，本项目设置电磁环境影响</w:t>
            </w:r>
            <w:r>
              <w:rPr>
                <w:rFonts w:ascii="Times New Roman" w:eastAsia="宋体" w:hAnsi="Times New Roman" w:cs="Times New Roman" w:hint="default"/>
                <w:color w:val="auto"/>
                <w:kern w:val="0"/>
                <w:sz w:val="24"/>
                <w:highlight w:val="none"/>
                <w:lang w:val="en-US" w:eastAsia="zh-CN"/>
              </w:rPr>
              <w:t>专项</w:t>
            </w:r>
            <w:r>
              <w:rPr>
                <w:rFonts w:ascii="Times New Roman" w:eastAsia="宋体" w:hAnsi="Times New Roman" w:cs="Times New Roman" w:hint="default"/>
                <w:color w:val="auto"/>
                <w:kern w:val="0"/>
                <w:sz w:val="24"/>
                <w:highlight w:val="none"/>
              </w:rPr>
              <w:t>评价。</w:t>
            </w:r>
          </w:p>
          <w:p w14:paraId="50DE1B68">
            <w:pPr>
              <w:autoSpaceDE w:val="0"/>
              <w:autoSpaceDN w:val="0"/>
              <w:adjustRightInd w:val="0"/>
              <w:snapToGrid w:val="0"/>
              <w:jc w:val="center"/>
              <w:rPr>
                <w:rFonts w:ascii="Times New Roman" w:eastAsia="宋体" w:hAnsi="Times New Roman" w:cs="Times New Roman" w:hint="default"/>
                <w:color w:val="auto"/>
                <w:kern w:val="0"/>
                <w:sz w:val="24"/>
                <w:highlight w:val="none"/>
                <w:lang w:val="en-US" w:eastAsia="zh-CN"/>
              </w:rPr>
            </w:pPr>
            <w:r>
              <w:rPr>
                <w:rFonts w:ascii="Times New Roman" w:eastAsia="宋体" w:hAnsi="Times New Roman" w:cs="Times New Roman" w:hint="default"/>
                <w:color w:val="auto"/>
                <w:kern w:val="0"/>
                <w:sz w:val="24"/>
                <w:highlight w:val="none"/>
                <w:lang w:val="en-US" w:eastAsia="zh-CN"/>
              </w:rPr>
              <w:t>2、本项目属于有毒有害和易燃易爆危险物质存储量超过临界量的建设项目。设置环境风险专项评价：</w:t>
            </w:r>
          </w:p>
        </w:tc>
      </w:tr>
      <w:tr w14:paraId="290E9D40">
        <w:tblPrEx>
          <w:tblW w:w="4980" w:type="pct"/>
          <w:jc w:val="center"/>
          <w:tblLayout w:type="fixed"/>
          <w:tblCellMar>
            <w:top w:w="0" w:type="dxa"/>
            <w:left w:w="108" w:type="dxa"/>
            <w:bottom w:w="0" w:type="dxa"/>
            <w:right w:w="108" w:type="dxa"/>
          </w:tblCellMar>
        </w:tblPrEx>
        <w:trPr>
          <w:trHeight w:val="799"/>
          <w:jc w:val="center"/>
        </w:trPr>
        <w:tc>
          <w:tcPr>
            <w:tcW w:w="1545" w:type="dxa"/>
            <w:vAlign w:val="center"/>
          </w:tcPr>
          <w:p w14:paraId="2C98675B">
            <w:pPr>
              <w:autoSpaceDE w:val="0"/>
              <w:autoSpaceDN w:val="0"/>
              <w:adjustRightInd w:val="0"/>
              <w:snapToGrid w:val="0"/>
              <w:jc w:val="center"/>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规划情况</w:t>
            </w:r>
          </w:p>
        </w:tc>
        <w:tc>
          <w:tcPr>
            <w:tcW w:w="7297" w:type="dxa"/>
            <w:gridSpan w:val="3"/>
            <w:vAlign w:val="center"/>
          </w:tcPr>
          <w:p w14:paraId="464C11B2">
            <w:pPr>
              <w:autoSpaceDE w:val="0"/>
              <w:autoSpaceDN w:val="0"/>
              <w:adjustRightInd w:val="0"/>
              <w:snapToGrid w:val="0"/>
              <w:jc w:val="center"/>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无</w:t>
            </w:r>
          </w:p>
        </w:tc>
      </w:tr>
      <w:tr w14:paraId="7D0F9AF3">
        <w:tblPrEx>
          <w:tblW w:w="4980" w:type="pct"/>
          <w:jc w:val="center"/>
          <w:tblLayout w:type="fixed"/>
          <w:tblCellMar>
            <w:top w:w="0" w:type="dxa"/>
            <w:left w:w="108" w:type="dxa"/>
            <w:bottom w:w="0" w:type="dxa"/>
            <w:right w:w="108" w:type="dxa"/>
          </w:tblCellMar>
        </w:tblPrEx>
        <w:trPr>
          <w:trHeight w:val="798"/>
          <w:jc w:val="center"/>
        </w:trPr>
        <w:tc>
          <w:tcPr>
            <w:tcW w:w="1545" w:type="dxa"/>
            <w:vAlign w:val="center"/>
          </w:tcPr>
          <w:p w14:paraId="6D84F796">
            <w:pPr>
              <w:autoSpaceDE w:val="0"/>
              <w:autoSpaceDN w:val="0"/>
              <w:adjustRightInd w:val="0"/>
              <w:snapToGrid w:val="0"/>
              <w:jc w:val="center"/>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规划环境影响评价情况</w:t>
            </w:r>
          </w:p>
        </w:tc>
        <w:tc>
          <w:tcPr>
            <w:tcW w:w="7297" w:type="dxa"/>
            <w:gridSpan w:val="3"/>
            <w:vAlign w:val="center"/>
          </w:tcPr>
          <w:p w14:paraId="3D979736">
            <w:pPr>
              <w:autoSpaceDE w:val="0"/>
              <w:autoSpaceDN w:val="0"/>
              <w:adjustRightInd w:val="0"/>
              <w:snapToGrid w:val="0"/>
              <w:jc w:val="center"/>
              <w:rPr>
                <w:rFonts w:ascii="Times New Roman" w:eastAsia="宋体" w:hAnsi="Times New Roman" w:cs="Times New Roman" w:hint="default"/>
                <w:color w:val="auto"/>
                <w:kern w:val="0"/>
                <w:sz w:val="24"/>
                <w:highlight w:val="none"/>
                <w:lang w:eastAsia="zh-CN"/>
              </w:rPr>
            </w:pPr>
            <w:r>
              <w:rPr>
                <w:rFonts w:ascii="Times New Roman" w:eastAsia="宋体" w:hAnsi="Times New Roman" w:cs="Times New Roman" w:hint="default"/>
                <w:color w:val="auto"/>
                <w:kern w:val="0"/>
                <w:sz w:val="24"/>
                <w:highlight w:val="none"/>
              </w:rPr>
              <w:t>无</w:t>
            </w:r>
          </w:p>
        </w:tc>
      </w:tr>
      <w:tr w14:paraId="68BFDBA9">
        <w:tblPrEx>
          <w:tblW w:w="4980" w:type="pct"/>
          <w:jc w:val="center"/>
          <w:tblLayout w:type="fixed"/>
          <w:tblCellMar>
            <w:top w:w="0" w:type="dxa"/>
            <w:left w:w="108" w:type="dxa"/>
            <w:bottom w:w="0" w:type="dxa"/>
            <w:right w:w="108" w:type="dxa"/>
          </w:tblCellMar>
        </w:tblPrEx>
        <w:trPr>
          <w:trHeight w:val="987"/>
          <w:jc w:val="center"/>
        </w:trPr>
        <w:tc>
          <w:tcPr>
            <w:tcW w:w="1545" w:type="dxa"/>
            <w:vAlign w:val="center"/>
          </w:tcPr>
          <w:p w14:paraId="0B76DC6E">
            <w:pPr>
              <w:autoSpaceDE w:val="0"/>
              <w:autoSpaceDN w:val="0"/>
              <w:adjustRightInd w:val="0"/>
              <w:snapToGrid w:val="0"/>
              <w:jc w:val="center"/>
              <w:rPr>
                <w:rFonts w:ascii="Times New Roman" w:eastAsia="宋体" w:hAnsi="Times New Roman" w:cs="Times New Roman" w:hint="default"/>
                <w:color w:val="auto"/>
                <w:kern w:val="0"/>
                <w:sz w:val="24"/>
                <w:highlight w:val="none"/>
              </w:rPr>
            </w:pPr>
            <w:r>
              <w:rPr>
                <w:rFonts w:ascii="Times New Roman" w:eastAsia="宋体" w:hAnsi="Times New Roman" w:cs="Times New Roman" w:hint="default"/>
                <w:color w:val="auto"/>
                <w:kern w:val="0"/>
                <w:sz w:val="24"/>
                <w:highlight w:val="none"/>
              </w:rPr>
              <w:t>规划及规划环境影响评价符合性分析</w:t>
            </w:r>
          </w:p>
        </w:tc>
        <w:tc>
          <w:tcPr>
            <w:tcW w:w="7297" w:type="dxa"/>
            <w:gridSpan w:val="3"/>
            <w:vAlign w:val="center"/>
          </w:tcPr>
          <w:p w14:paraId="621DC799">
            <w:pPr>
              <w:pStyle w:val="lh--"/>
              <w:keepNext w:val="0"/>
              <w:keepLines w:val="0"/>
              <w:pageBreakBefore w:val="0"/>
              <w:widowControl w:val="0"/>
              <w:kinsoku/>
              <w:wordWrap/>
              <w:overflowPunct/>
              <w:topLinePunct w:val="0"/>
              <w:autoSpaceDE/>
              <w:autoSpaceDN/>
              <w:bidi w:val="0"/>
              <w:adjustRightInd w:val="0"/>
              <w:snapToGrid w:val="0"/>
              <w:ind w:left="0" w:firstLine="0" w:leftChars="0" w:firstLineChars="0"/>
              <w:jc w:val="center"/>
              <w:textAlignment w:val="auto"/>
              <w:rPr>
                <w:rFonts w:ascii="Times New Roman" w:eastAsia="宋体" w:hAnsi="Times New Roman" w:cs="Times New Roman" w:hint="default"/>
                <w:color w:val="auto"/>
                <w:highlight w:val="none"/>
                <w:lang w:val="en-US" w:eastAsia="zh-CN"/>
              </w:rPr>
            </w:pPr>
            <w:r>
              <w:rPr>
                <w:rFonts w:ascii="Times New Roman" w:eastAsia="宋体" w:hAnsi="Times New Roman" w:cs="Times New Roman" w:hint="default"/>
                <w:color w:val="auto"/>
                <w:highlight w:val="none"/>
                <w:lang w:val="en-US" w:eastAsia="zh-CN"/>
              </w:rPr>
              <w:t>无</w:t>
            </w:r>
          </w:p>
        </w:tc>
      </w:tr>
      <w:tr w14:paraId="2030B430">
        <w:tblPrEx>
          <w:tblW w:w="4980" w:type="pct"/>
          <w:jc w:val="center"/>
          <w:tblLayout w:type="fixed"/>
          <w:tblCellMar>
            <w:top w:w="0" w:type="dxa"/>
            <w:left w:w="108" w:type="dxa"/>
            <w:bottom w:w="0" w:type="dxa"/>
            <w:right w:w="108" w:type="dxa"/>
          </w:tblCellMar>
        </w:tblPrEx>
        <w:trPr>
          <w:trHeight w:val="90"/>
          <w:jc w:val="center"/>
        </w:trPr>
        <w:tc>
          <w:tcPr>
            <w:tcW w:w="1545" w:type="dxa"/>
            <w:vAlign w:val="center"/>
          </w:tcPr>
          <w:p w14:paraId="026F4233">
            <w:pPr>
              <w:autoSpaceDE w:val="0"/>
              <w:autoSpaceDN w:val="0"/>
              <w:adjustRightInd w:val="0"/>
              <w:snapToGrid w:val="0"/>
              <w:jc w:val="center"/>
              <w:rPr>
                <w:rFonts w:ascii="Times New Roman" w:eastAsia="宋体" w:hAnsi="Times New Roman" w:cs="Times New Roman" w:hint="default"/>
                <w:color w:val="auto"/>
                <w:kern w:val="0"/>
                <w:szCs w:val="21"/>
                <w:highlight w:val="none"/>
              </w:rPr>
            </w:pPr>
            <w:r>
              <w:rPr>
                <w:rFonts w:ascii="Times New Roman" w:eastAsia="宋体" w:hAnsi="Times New Roman" w:cs="Times New Roman" w:hint="default"/>
                <w:color w:val="auto"/>
                <w:kern w:val="0"/>
                <w:sz w:val="24"/>
                <w:szCs w:val="21"/>
                <w:highlight w:val="none"/>
              </w:rPr>
              <w:t>其他符合性分析</w:t>
            </w:r>
          </w:p>
        </w:tc>
        <w:tc>
          <w:tcPr>
            <w:tcW w:w="7297" w:type="dxa"/>
            <w:gridSpan w:val="3"/>
            <w:vAlign w:val="center"/>
          </w:tcPr>
          <w:p w14:paraId="2F7380A1">
            <w:pPr>
              <w:keepNext w:val="0"/>
              <w:keepLines w:val="0"/>
              <w:widowControl/>
              <w:suppressLineNumbers w:val="0"/>
              <w:jc w:val="left"/>
              <w:rPr>
                <w:rFonts w:ascii="Times New Roman" w:eastAsia="宋体" w:hAnsi="Times New Roman" w:cs="Times New Roman" w:hint="default"/>
                <w:color w:val="auto"/>
                <w:sz w:val="24"/>
                <w:szCs w:val="24"/>
              </w:rPr>
            </w:pPr>
            <w:r>
              <w:rPr>
                <w:rFonts w:ascii="Times New Roman" w:eastAsia="宋体" w:hAnsi="Times New Roman" w:cs="Times New Roman" w:hint="default"/>
                <w:b/>
                <w:bCs w:val="0"/>
                <w:color w:val="auto"/>
                <w:sz w:val="24"/>
                <w:szCs w:val="32"/>
                <w:highlight w:val="none"/>
                <w:lang w:val="en-US" w:eastAsia="zh-CN"/>
              </w:rPr>
              <w:t>1、</w:t>
            </w:r>
            <w:r>
              <w:rPr>
                <w:rFonts w:ascii="Times New Roman" w:eastAsia="宋体" w:hAnsi="Times New Roman" w:cs="Times New Roman" w:hint="default"/>
                <w:b/>
                <w:bCs/>
                <w:color w:val="auto"/>
                <w:kern w:val="0"/>
                <w:sz w:val="24"/>
                <w:szCs w:val="24"/>
                <w:lang w:val="en-US" w:eastAsia="zh-CN" w:bidi="ar"/>
              </w:rPr>
              <w:t>《市场准入负面清单》符合性分析</w:t>
            </w:r>
          </w:p>
          <w:p w14:paraId="076C89E1">
            <w:pPr>
              <w:spacing w:line="440" w:lineRule="exact"/>
              <w:ind w:firstLine="480" w:firstLineChars="200"/>
              <w:rPr>
                <w:rFonts w:ascii="Times New Roman" w:eastAsia="宋体" w:hAnsi="Times New Roman" w:cs="Times New Roman" w:hint="default"/>
                <w:color w:val="auto"/>
                <w:sz w:val="24"/>
                <w:lang w:val="en-US" w:eastAsia="zh-CN"/>
              </w:rPr>
            </w:pPr>
            <w:r>
              <w:rPr>
                <w:rFonts w:ascii="Times New Roman" w:eastAsia="宋体" w:hAnsi="Times New Roman" w:cs="Times New Roman" w:hint="default"/>
                <w:color w:val="auto"/>
                <w:sz w:val="24"/>
                <w:lang w:val="en-US" w:eastAsia="zh-CN"/>
              </w:rPr>
              <w:t>根据“国家发展改革委商务部关于印发《市场准入负面清单（2022年版）》的通知（发改体改规[2022]397号）”，应严格落实“全国一张清单”管理要求，坚决维护市场准入负面清单制度的统一性、严肃性和权威性，确保“一单尽列、单外无单”。按照党中央、国务院要求编制的涉及行业性、领域性、区域性等方面，需要用负面清单管理思路或管理模式出台相关措施的，应纳入全国统一的市场准入负面清单。产业结构调整指导目录、政府核准的投资项目目录纳入市场准入负面清单，地方对两个目录有细化规定的，从其规定。地方国家重点生态功能区和农产品主产区产业准入负面清单（或禁止限制目录）及地方按照党中央、国务院要求制定的地方性产业结构禁止准入目录，统一纳入市场准入负面清单。</w:t>
            </w:r>
          </w:p>
          <w:p w14:paraId="17C44D61">
            <w:pPr>
              <w:spacing w:line="440" w:lineRule="exact"/>
              <w:ind w:firstLine="480" w:firstLineChars="200"/>
              <w:rPr>
                <w:rFonts w:ascii="Times New Roman" w:eastAsia="宋体" w:hAnsi="Times New Roman" w:cs="Times New Roman" w:hint="default"/>
                <w:color w:val="auto"/>
                <w:sz w:val="24"/>
                <w:lang w:val="en-US" w:eastAsia="zh-CN"/>
              </w:rPr>
            </w:pPr>
            <w:r>
              <w:rPr>
                <w:rFonts w:ascii="Times New Roman" w:eastAsia="宋体" w:hAnsi="Times New Roman" w:cs="Times New Roman" w:hint="default"/>
                <w:color w:val="auto"/>
                <w:sz w:val="24"/>
                <w:lang w:val="en-US" w:eastAsia="zh-CN"/>
              </w:rPr>
              <w:t>根据《市场准入负面清单（2022年版）》，禁止准入类共6项，涉及生态环境保护的3项，具体如下表所示。</w:t>
            </w:r>
          </w:p>
          <w:p w14:paraId="34CC72A2">
            <w:pPr>
              <w:spacing w:line="440" w:lineRule="exact"/>
              <w:ind w:firstLine="480" w:firstLineChars="200"/>
              <w:rPr>
                <w:rFonts w:ascii="Times New Roman" w:eastAsia="宋体" w:hAnsi="Times New Roman" w:cs="Times New Roman" w:hint="default"/>
                <w:b w:val="0"/>
                <w:bCs w:val="0"/>
                <w:color w:val="auto"/>
                <w:sz w:val="21"/>
                <w:szCs w:val="21"/>
              </w:rPr>
            </w:pPr>
            <w:r>
              <w:rPr>
                <w:rFonts w:ascii="Times New Roman" w:eastAsia="宋体" w:hAnsi="Times New Roman" w:cs="Times New Roman" w:hint="default"/>
                <w:color w:val="auto"/>
                <w:sz w:val="24"/>
              </w:rPr>
              <w:t>表1-1  《市场准入负面清单（2022年版）》禁止准入</w:t>
            </w:r>
            <w:r>
              <w:rPr>
                <w:rFonts w:ascii="Times New Roman" w:eastAsia="宋体" w:hAnsi="Times New Roman" w:cs="Times New Roman" w:hint="default"/>
                <w:b w:val="0"/>
                <w:bCs w:val="0"/>
                <w:color w:val="auto"/>
                <w:spacing w:val="-3"/>
                <w:sz w:val="21"/>
                <w:szCs w:val="21"/>
              </w:rPr>
              <w:t>类事项</w:t>
            </w:r>
          </w:p>
          <w:tbl>
            <w:tblPr>
              <w:tblStyle w:val="TableNormal0"/>
              <w:tblW w:w="4988"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
            <w:tblGrid>
              <w:gridCol w:w="451"/>
              <w:gridCol w:w="1080"/>
              <w:gridCol w:w="790"/>
              <w:gridCol w:w="1576"/>
              <w:gridCol w:w="2116"/>
              <w:gridCol w:w="1040"/>
            </w:tblGrid>
            <w:tr w14:paraId="5318C319">
              <w:tblPrEx>
                <w:tblW w:w="4988"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Ex>
              <w:trPr>
                <w:trHeight w:val="556"/>
              </w:trPr>
              <w:tc>
                <w:tcPr>
                  <w:tcW w:w="320" w:type="pct"/>
                  <w:tcBorders>
                    <w:top w:val="single" w:sz="2" w:space="0" w:color="000000"/>
                    <w:left w:val="single" w:sz="2" w:space="0" w:color="000000"/>
                  </w:tcBorders>
                  <w:noWrap w:val="0"/>
                  <w:vAlign w:val="center"/>
                </w:tcPr>
                <w:p w14:paraId="6A11632E">
                  <w:pPr>
                    <w:pStyle w:val="a3"/>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序号</w:t>
                  </w:r>
                </w:p>
              </w:tc>
              <w:tc>
                <w:tcPr>
                  <w:tcW w:w="766" w:type="pct"/>
                  <w:tcBorders>
                    <w:top w:val="single" w:sz="2" w:space="0" w:color="000000"/>
                  </w:tcBorders>
                  <w:noWrap w:val="0"/>
                  <w:vAlign w:val="center"/>
                </w:tcPr>
                <w:p w14:paraId="5B5B0C9F">
                  <w:pPr>
                    <w:pStyle w:val="a3"/>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禁止或许可事项</w:t>
                  </w:r>
                </w:p>
              </w:tc>
              <w:tc>
                <w:tcPr>
                  <w:tcW w:w="560" w:type="pct"/>
                  <w:tcBorders>
                    <w:top w:val="single" w:sz="2" w:space="0" w:color="000000"/>
                  </w:tcBorders>
                  <w:noWrap w:val="0"/>
                  <w:vAlign w:val="center"/>
                </w:tcPr>
                <w:p w14:paraId="7EA68DE8">
                  <w:pPr>
                    <w:pStyle w:val="a3"/>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事项</w:t>
                  </w:r>
                </w:p>
                <w:p w14:paraId="27EF537F">
                  <w:pPr>
                    <w:pStyle w:val="a3"/>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编码</w:t>
                  </w:r>
                </w:p>
              </w:tc>
              <w:tc>
                <w:tcPr>
                  <w:tcW w:w="1117" w:type="pct"/>
                  <w:tcBorders>
                    <w:top w:val="single" w:sz="2" w:space="0" w:color="000000"/>
                    <w:right w:val="single" w:sz="2" w:space="0" w:color="000000"/>
                  </w:tcBorders>
                  <w:noWrap w:val="0"/>
                  <w:vAlign w:val="center"/>
                </w:tcPr>
                <w:p w14:paraId="05FD1F03">
                  <w:pPr>
                    <w:pStyle w:val="a3"/>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禁止或许可准入措施描述</w:t>
                  </w:r>
                </w:p>
              </w:tc>
              <w:tc>
                <w:tcPr>
                  <w:tcW w:w="1500" w:type="pct"/>
                  <w:tcBorders>
                    <w:top w:val="single" w:sz="2" w:space="0" w:color="000000"/>
                    <w:right w:val="single" w:sz="2" w:space="0" w:color="000000"/>
                  </w:tcBorders>
                  <w:noWrap w:val="0"/>
                  <w:vAlign w:val="center"/>
                </w:tcPr>
                <w:p w14:paraId="08F451AB">
                  <w:pPr>
                    <w:pStyle w:val="a3"/>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本项目情况</w:t>
                  </w:r>
                </w:p>
              </w:tc>
              <w:tc>
                <w:tcPr>
                  <w:tcW w:w="734" w:type="pct"/>
                  <w:tcBorders>
                    <w:top w:val="single" w:sz="2" w:space="0" w:color="000000"/>
                    <w:right w:val="single" w:sz="2" w:space="0" w:color="000000"/>
                  </w:tcBorders>
                  <w:noWrap w:val="0"/>
                  <w:vAlign w:val="center"/>
                </w:tcPr>
                <w:p w14:paraId="6CA3D7F0">
                  <w:pPr>
                    <w:pStyle w:val="a3"/>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备注</w:t>
                  </w:r>
                </w:p>
              </w:tc>
            </w:tr>
            <w:tr w14:paraId="6744598A">
              <w:tblPrEx>
                <w:tblW w:w="4988" w:type="pct"/>
                <w:tblInd w:w="0" w:type="dxa"/>
                <w:tblLayout w:type="fixed"/>
                <w:tblCellMar>
                  <w:top w:w="0" w:type="dxa"/>
                  <w:left w:w="0" w:type="dxa"/>
                  <w:bottom w:w="0" w:type="dxa"/>
                  <w:right w:w="0" w:type="dxa"/>
                </w:tblCellMar>
              </w:tblPrEx>
              <w:trPr>
                <w:trHeight w:val="400"/>
              </w:trPr>
              <w:tc>
                <w:tcPr>
                  <w:tcW w:w="5000" w:type="pct"/>
                  <w:gridSpan w:val="6"/>
                  <w:tcBorders>
                    <w:left w:val="single" w:sz="2" w:space="0" w:color="000000"/>
                    <w:right w:val="single" w:sz="2" w:space="0" w:color="000000"/>
                  </w:tcBorders>
                  <w:noWrap w:val="0"/>
                  <w:vAlign w:val="center"/>
                </w:tcPr>
                <w:p w14:paraId="7CE68D2F">
                  <w:pPr>
                    <w:pStyle w:val="a3"/>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一、禁止准入类</w:t>
                  </w:r>
                </w:p>
              </w:tc>
            </w:tr>
            <w:tr w14:paraId="663284B0">
              <w:tblPrEx>
                <w:tblW w:w="4988" w:type="pct"/>
                <w:tblInd w:w="0" w:type="dxa"/>
                <w:tblLayout w:type="fixed"/>
                <w:tblCellMar>
                  <w:top w:w="0" w:type="dxa"/>
                  <w:left w:w="0" w:type="dxa"/>
                  <w:bottom w:w="0" w:type="dxa"/>
                  <w:right w:w="0" w:type="dxa"/>
                </w:tblCellMar>
              </w:tblPrEx>
              <w:trPr>
                <w:trHeight w:val="1095"/>
              </w:trPr>
              <w:tc>
                <w:tcPr>
                  <w:tcW w:w="320" w:type="pct"/>
                  <w:tcBorders>
                    <w:left w:val="single" w:sz="2" w:space="0" w:color="000000"/>
                  </w:tcBorders>
                  <w:noWrap w:val="0"/>
                  <w:vAlign w:val="center"/>
                </w:tcPr>
                <w:p w14:paraId="1A4A5AAE">
                  <w:pPr>
                    <w:pStyle w:val="a3"/>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1</w:t>
                  </w:r>
                </w:p>
              </w:tc>
              <w:tc>
                <w:tcPr>
                  <w:tcW w:w="766" w:type="pct"/>
                  <w:noWrap w:val="0"/>
                  <w:vAlign w:val="center"/>
                </w:tcPr>
                <w:p w14:paraId="7D216347">
                  <w:pPr>
                    <w:pStyle w:val="a3"/>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法律、法规、国务院决定等明确设立且与市场准入相关的禁止性规定</w:t>
                  </w:r>
                </w:p>
              </w:tc>
              <w:tc>
                <w:tcPr>
                  <w:tcW w:w="560" w:type="pct"/>
                  <w:noWrap w:val="0"/>
                  <w:vAlign w:val="center"/>
                </w:tcPr>
                <w:p w14:paraId="74F7CADD">
                  <w:pPr>
                    <w:pStyle w:val="a3"/>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100001</w:t>
                  </w:r>
                </w:p>
              </w:tc>
              <w:tc>
                <w:tcPr>
                  <w:tcW w:w="1117" w:type="pct"/>
                  <w:tcBorders>
                    <w:right w:val="single" w:sz="2" w:space="0" w:color="000000"/>
                  </w:tcBorders>
                  <w:noWrap w:val="0"/>
                  <w:vAlign w:val="center"/>
                </w:tcPr>
                <w:p w14:paraId="7029FEB9">
                  <w:pPr>
                    <w:pStyle w:val="a3"/>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法律、法规、国务院决定等明确设立，且与市场准入相关的禁止性规定。</w:t>
                  </w:r>
                </w:p>
              </w:tc>
              <w:tc>
                <w:tcPr>
                  <w:tcW w:w="1500" w:type="pct"/>
                  <w:tcBorders>
                    <w:right w:val="single" w:sz="2" w:space="0" w:color="000000"/>
                  </w:tcBorders>
                  <w:noWrap w:val="0"/>
                  <w:vAlign w:val="center"/>
                </w:tcPr>
                <w:p w14:paraId="6ECD67DF">
                  <w:pPr>
                    <w:pStyle w:val="a3"/>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本项目储能站建设属于电力供应，不涉及相关行业禁止措施</w:t>
                  </w:r>
                </w:p>
              </w:tc>
              <w:tc>
                <w:tcPr>
                  <w:tcW w:w="734" w:type="pct"/>
                  <w:tcBorders>
                    <w:right w:val="single" w:sz="2" w:space="0" w:color="000000"/>
                  </w:tcBorders>
                  <w:noWrap w:val="0"/>
                  <w:vAlign w:val="center"/>
                </w:tcPr>
                <w:p w14:paraId="356605F0">
                  <w:pPr>
                    <w:pStyle w:val="a3"/>
                    <w:jc w:val="both"/>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不在禁止范围内</w:t>
                  </w:r>
                </w:p>
              </w:tc>
            </w:tr>
            <w:tr w14:paraId="7FB82645">
              <w:tblPrEx>
                <w:tblW w:w="4988" w:type="pct"/>
                <w:tblInd w:w="0" w:type="dxa"/>
                <w:tblLayout w:type="fixed"/>
                <w:tblCellMar>
                  <w:top w:w="0" w:type="dxa"/>
                  <w:left w:w="0" w:type="dxa"/>
                  <w:bottom w:w="0" w:type="dxa"/>
                  <w:right w:w="0" w:type="dxa"/>
                </w:tblCellMar>
              </w:tblPrEx>
              <w:trPr>
                <w:trHeight w:val="1638"/>
              </w:trPr>
              <w:tc>
                <w:tcPr>
                  <w:tcW w:w="320" w:type="pct"/>
                  <w:tcBorders>
                    <w:left w:val="single" w:sz="2" w:space="0" w:color="000000"/>
                  </w:tcBorders>
                  <w:noWrap w:val="0"/>
                  <w:vAlign w:val="center"/>
                </w:tcPr>
                <w:p w14:paraId="13F7268C">
                  <w:pPr>
                    <w:pStyle w:val="a3"/>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2</w:t>
                  </w:r>
                </w:p>
              </w:tc>
              <w:tc>
                <w:tcPr>
                  <w:tcW w:w="766" w:type="pct"/>
                  <w:noWrap w:val="0"/>
                  <w:vAlign w:val="center"/>
                </w:tcPr>
                <w:p w14:paraId="7C0CF5B2">
                  <w:pPr>
                    <w:pStyle w:val="a3"/>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国家产业政策明令淘汰和限制的产品、技术、工艺、设备及行为</w:t>
                  </w:r>
                </w:p>
              </w:tc>
              <w:tc>
                <w:tcPr>
                  <w:tcW w:w="560" w:type="pct"/>
                  <w:noWrap w:val="0"/>
                  <w:vAlign w:val="center"/>
                </w:tcPr>
                <w:p w14:paraId="2F50DC04">
                  <w:pPr>
                    <w:pStyle w:val="a3"/>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100002</w:t>
                  </w:r>
                </w:p>
              </w:tc>
              <w:tc>
                <w:tcPr>
                  <w:tcW w:w="1117" w:type="pct"/>
                  <w:tcBorders>
                    <w:right w:val="single" w:sz="2" w:space="0" w:color="000000"/>
                  </w:tcBorders>
                  <w:noWrap w:val="0"/>
                  <w:vAlign w:val="center"/>
                </w:tcPr>
                <w:p w14:paraId="7BF9426C">
                  <w:pPr>
                    <w:pStyle w:val="a3"/>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《产业结构调整指导目录》中的淘汰类项目，禁止投资；限制类项目，禁止新建禁止投资建设《汽车产业投资管理规定》所列的汽车投资禁止类事项。</w:t>
                  </w:r>
                </w:p>
              </w:tc>
              <w:tc>
                <w:tcPr>
                  <w:tcW w:w="1500" w:type="pct"/>
                  <w:tcBorders>
                    <w:right w:val="single" w:sz="2" w:space="0" w:color="000000"/>
                  </w:tcBorders>
                  <w:noWrap w:val="0"/>
                  <w:vAlign w:val="center"/>
                </w:tcPr>
                <w:p w14:paraId="3F78116A">
                  <w:pPr>
                    <w:pStyle w:val="a3"/>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本项目不属于《产业结构调整指导目录（2024年本）》中的淘汰类、限制类项目，也不在《河北省禁止投资的产业目录（2014年版）》和《河北省政府核准的投资项目目录（2017年本）》 及工信部《限期淘汰产生严重污染环境的工业固体废物的落后生产工艺设备名录》范围内。项目建设及运营过程，无该禁止行为。</w:t>
                  </w:r>
                </w:p>
              </w:tc>
              <w:tc>
                <w:tcPr>
                  <w:tcW w:w="734" w:type="pct"/>
                  <w:tcBorders>
                    <w:right w:val="single" w:sz="2" w:space="0" w:color="000000"/>
                  </w:tcBorders>
                  <w:noWrap w:val="0"/>
                  <w:vAlign w:val="center"/>
                </w:tcPr>
                <w:p w14:paraId="6DA90B5D">
                  <w:pPr>
                    <w:pStyle w:val="a3"/>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不在禁止范围内</w:t>
                  </w:r>
                </w:p>
              </w:tc>
            </w:tr>
            <w:tr w14:paraId="45B7FB4B">
              <w:tblPrEx>
                <w:tblW w:w="4988" w:type="pct"/>
                <w:tblInd w:w="0" w:type="dxa"/>
                <w:tblLayout w:type="fixed"/>
                <w:tblCellMar>
                  <w:top w:w="0" w:type="dxa"/>
                  <w:left w:w="0" w:type="dxa"/>
                  <w:bottom w:w="0" w:type="dxa"/>
                  <w:right w:w="0" w:type="dxa"/>
                </w:tblCellMar>
              </w:tblPrEx>
              <w:trPr>
                <w:trHeight w:val="1366"/>
              </w:trPr>
              <w:tc>
                <w:tcPr>
                  <w:tcW w:w="320" w:type="pct"/>
                  <w:tcBorders>
                    <w:left w:val="single" w:sz="2" w:space="0" w:color="000000"/>
                    <w:bottom w:val="single" w:sz="2" w:space="0" w:color="000000"/>
                  </w:tcBorders>
                  <w:noWrap w:val="0"/>
                  <w:vAlign w:val="center"/>
                </w:tcPr>
                <w:p w14:paraId="32456CF5">
                  <w:pPr>
                    <w:pStyle w:val="a3"/>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3</w:t>
                  </w:r>
                </w:p>
              </w:tc>
              <w:tc>
                <w:tcPr>
                  <w:tcW w:w="766" w:type="pct"/>
                  <w:tcBorders>
                    <w:bottom w:val="single" w:sz="2" w:space="0" w:color="000000"/>
                  </w:tcBorders>
                  <w:noWrap w:val="0"/>
                  <w:vAlign w:val="center"/>
                </w:tcPr>
                <w:p w14:paraId="2DEAA910">
                  <w:pPr>
                    <w:pStyle w:val="a3"/>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不符合主体功能区建设要求的各类开发活动</w:t>
                  </w:r>
                </w:p>
              </w:tc>
              <w:tc>
                <w:tcPr>
                  <w:tcW w:w="560" w:type="pct"/>
                  <w:tcBorders>
                    <w:bottom w:val="single" w:sz="2" w:space="0" w:color="000000"/>
                  </w:tcBorders>
                  <w:noWrap w:val="0"/>
                  <w:vAlign w:val="center"/>
                </w:tcPr>
                <w:p w14:paraId="04682933">
                  <w:pPr>
                    <w:pStyle w:val="a3"/>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100003</w:t>
                  </w:r>
                </w:p>
              </w:tc>
              <w:tc>
                <w:tcPr>
                  <w:tcW w:w="1117" w:type="pct"/>
                  <w:tcBorders>
                    <w:bottom w:val="single" w:sz="2" w:space="0" w:color="000000"/>
                    <w:right w:val="single" w:sz="2" w:space="0" w:color="000000"/>
                  </w:tcBorders>
                  <w:noWrap w:val="0"/>
                  <w:vAlign w:val="center"/>
                </w:tcPr>
                <w:p w14:paraId="3F0053FD">
                  <w:pPr>
                    <w:pStyle w:val="a3"/>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地方国家重点生态功能区产业准入负面清单（或禁止限制目录）、农产品主产区产业准入负面清单（或禁止限制目录）所列有关事项。</w:t>
                  </w:r>
                </w:p>
              </w:tc>
              <w:tc>
                <w:tcPr>
                  <w:tcW w:w="1500" w:type="pct"/>
                  <w:tcBorders>
                    <w:bottom w:val="single" w:sz="2" w:space="0" w:color="000000"/>
                    <w:right w:val="single" w:sz="2" w:space="0" w:color="000000"/>
                  </w:tcBorders>
                  <w:noWrap w:val="0"/>
                  <w:vAlign w:val="center"/>
                </w:tcPr>
                <w:p w14:paraId="5728A856">
                  <w:pPr>
                    <w:pStyle w:val="a3"/>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根据项目所在区域省市生态功能区划、“三线一单”及生态红线管控清单，项目的建设无“地方国家重点生态功能区产 业准入负面清单（或禁止限制目录）、农产品主产区产业准入负面清单（或禁止限制目录）所列有关事项</w:t>
                  </w:r>
                </w:p>
              </w:tc>
              <w:tc>
                <w:tcPr>
                  <w:tcW w:w="734" w:type="pct"/>
                  <w:tcBorders>
                    <w:bottom w:val="single" w:sz="2" w:space="0" w:color="000000"/>
                    <w:right w:val="single" w:sz="2" w:space="0" w:color="000000"/>
                  </w:tcBorders>
                  <w:noWrap w:val="0"/>
                  <w:vAlign w:val="center"/>
                </w:tcPr>
                <w:p w14:paraId="5EB9EEFC">
                  <w:pPr>
                    <w:pStyle w:val="a3"/>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不在禁止范围内</w:t>
                  </w:r>
                </w:p>
              </w:tc>
            </w:tr>
          </w:tbl>
          <w:p w14:paraId="3400CAC8">
            <w:pPr>
              <w:pStyle w:val="lh-2---"/>
              <w:numPr>
                <w:ilvl w:val="1"/>
                <w:numId w:val="0"/>
              </w:numPr>
              <w:ind w:leftChars="0"/>
              <w:rPr>
                <w:rFonts w:ascii="Times New Roman" w:eastAsia="宋体" w:hAnsi="Times New Roman" w:cs="Times New Roman" w:hint="default"/>
                <w:b/>
                <w:bCs w:val="0"/>
                <w:color w:val="auto"/>
                <w:highlight w:val="none"/>
              </w:rPr>
            </w:pPr>
            <w:r>
              <w:rPr>
                <w:rFonts w:eastAsia="宋体" w:cs="Times New Roman" w:hint="eastAsia"/>
                <w:b/>
                <w:bCs w:val="0"/>
                <w:color w:val="auto"/>
                <w:highlight w:val="none"/>
                <w:lang w:val="en-US" w:eastAsia="zh-CN"/>
              </w:rPr>
              <w:t>2</w:t>
            </w:r>
            <w:r>
              <w:rPr>
                <w:rFonts w:ascii="Times New Roman" w:eastAsia="宋体" w:hAnsi="Times New Roman" w:cs="Times New Roman" w:hint="default"/>
                <w:b/>
                <w:bCs w:val="0"/>
                <w:color w:val="auto"/>
                <w:highlight w:val="none"/>
                <w:lang w:val="en-US" w:eastAsia="zh-CN"/>
              </w:rPr>
              <w:t>、</w:t>
            </w:r>
            <w:r>
              <w:rPr>
                <w:rFonts w:ascii="Times New Roman" w:eastAsia="宋体" w:hAnsi="Times New Roman" w:cs="Times New Roman" w:hint="default"/>
                <w:b/>
                <w:bCs w:val="0"/>
                <w:color w:val="auto"/>
                <w:highlight w:val="none"/>
              </w:rPr>
              <w:t>“三线一单”</w:t>
            </w:r>
            <w:r>
              <w:rPr>
                <w:rFonts w:ascii="Times New Roman" w:eastAsia="宋体" w:hAnsi="Times New Roman" w:cs="Times New Roman" w:hint="default"/>
                <w:b/>
                <w:bCs w:val="0"/>
                <w:color w:val="auto"/>
                <w:highlight w:val="none"/>
                <w:lang w:val="en-US" w:eastAsia="zh-CN"/>
              </w:rPr>
              <w:t>管控要求</w:t>
            </w:r>
            <w:r>
              <w:rPr>
                <w:rFonts w:ascii="Times New Roman" w:eastAsia="宋体" w:hAnsi="Times New Roman" w:cs="Times New Roman" w:hint="default"/>
                <w:b/>
                <w:bCs w:val="0"/>
                <w:color w:val="auto"/>
                <w:highlight w:val="none"/>
              </w:rPr>
              <w:t>符合性分析</w:t>
            </w:r>
          </w:p>
          <w:p w14:paraId="43428315">
            <w:pPr>
              <w:spacing w:line="440" w:lineRule="exact"/>
              <w:ind w:firstLine="480" w:firstLineChars="200"/>
              <w:rPr>
                <w:rFonts w:ascii="Times New Roman" w:eastAsia="宋体" w:hAnsi="Times New Roman" w:cs="Times New Roman" w:hint="default"/>
                <w:color w:val="auto"/>
                <w:sz w:val="24"/>
              </w:rPr>
            </w:pPr>
            <w:r>
              <w:rPr>
                <w:rFonts w:ascii="Times New Roman" w:eastAsia="宋体" w:hAnsi="Times New Roman" w:cs="Times New Roman" w:hint="default"/>
                <w:color w:val="auto"/>
                <w:sz w:val="24"/>
              </w:rPr>
              <w:t>（1）生态保护红线</w:t>
            </w:r>
          </w:p>
          <w:p w14:paraId="03287C8C">
            <w:pPr>
              <w:spacing w:line="440" w:lineRule="exact"/>
              <w:ind w:firstLine="480" w:firstLineChars="200"/>
              <w:rPr>
                <w:rFonts w:ascii="Times New Roman" w:eastAsia="宋体" w:hAnsi="Times New Roman" w:cs="Times New Roman" w:hint="default"/>
                <w:color w:val="auto"/>
                <w:sz w:val="24"/>
              </w:rPr>
            </w:pPr>
            <w:r>
              <w:rPr>
                <w:rFonts w:ascii="Times New Roman" w:eastAsia="宋体" w:hAnsi="Times New Roman" w:cs="Times New Roman" w:hint="default"/>
                <w:color w:val="auto"/>
                <w:sz w:val="24"/>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14:paraId="48CF8912">
            <w:pPr>
              <w:spacing w:line="440" w:lineRule="exact"/>
              <w:ind w:firstLine="480" w:firstLineChars="200"/>
              <w:rPr>
                <w:rFonts w:ascii="Times New Roman" w:eastAsia="宋体" w:hAnsi="Times New Roman" w:cs="Times New Roman" w:hint="default"/>
                <w:color w:val="auto"/>
                <w:sz w:val="24"/>
                <w:lang w:eastAsia="zh-CN"/>
              </w:rPr>
            </w:pPr>
            <w:r>
              <w:rPr>
                <w:rFonts w:ascii="Times New Roman" w:eastAsia="宋体" w:hAnsi="Times New Roman" w:cs="Times New Roman" w:hint="default"/>
                <w:color w:val="auto"/>
                <w:sz w:val="24"/>
                <w:lang w:val="en-US" w:eastAsia="zh-CN"/>
              </w:rPr>
              <w:t>根据</w:t>
            </w:r>
            <w:r>
              <w:rPr>
                <w:rFonts w:ascii="Times New Roman" w:eastAsia="宋体" w:hAnsi="Times New Roman" w:cs="Times New Roman" w:hint="default"/>
                <w:color w:val="auto"/>
                <w:sz w:val="24"/>
              </w:rPr>
              <w:t>围场满族蒙古族自治县自然资源和规划局出具了《</w:t>
            </w:r>
            <w:r>
              <w:rPr>
                <w:rFonts w:ascii="Times New Roman" w:eastAsia="宋体" w:hAnsi="Times New Roman" w:cs="Times New Roman" w:hint="default"/>
                <w:color w:val="auto"/>
                <w:sz w:val="24"/>
              </w:rPr>
              <w:t>关于</w:t>
            </w:r>
            <w:r>
              <w:rPr>
                <w:rFonts w:ascii="Times New Roman" w:eastAsia="宋体" w:hAnsi="Times New Roman" w:cs="Times New Roman" w:hint="default"/>
                <w:color w:val="auto"/>
                <w:sz w:val="24"/>
              </w:rPr>
              <w:t>天启鸿源围场共享储能电站项目</w:t>
            </w:r>
            <w:r>
              <w:rPr>
                <w:rFonts w:ascii="Times New Roman" w:eastAsia="宋体" w:hAnsi="Times New Roman" w:cs="Times New Roman" w:hint="default"/>
                <w:color w:val="auto"/>
                <w:sz w:val="24"/>
                <w:lang w:val="en-US" w:eastAsia="zh-CN"/>
              </w:rPr>
              <w:t>用地</w:t>
            </w:r>
            <w:r>
              <w:rPr>
                <w:rFonts w:ascii="Times New Roman" w:eastAsia="宋体" w:hAnsi="Times New Roman" w:cs="Times New Roman" w:hint="default"/>
                <w:color w:val="auto"/>
                <w:sz w:val="24"/>
              </w:rPr>
              <w:t>是否</w:t>
            </w:r>
            <w:r>
              <w:rPr>
                <w:rFonts w:ascii="Times New Roman" w:eastAsia="宋体" w:hAnsi="Times New Roman" w:cs="Times New Roman" w:hint="default"/>
                <w:color w:val="auto"/>
                <w:sz w:val="24"/>
                <w:lang w:val="en-US" w:eastAsia="zh-CN"/>
              </w:rPr>
              <w:t>涉及生态保护红线的说明</w:t>
            </w:r>
            <w:r>
              <w:rPr>
                <w:rFonts w:ascii="Times New Roman" w:eastAsia="宋体" w:hAnsi="Times New Roman" w:cs="Times New Roman" w:hint="default"/>
                <w:color w:val="auto"/>
                <w:sz w:val="24"/>
              </w:rPr>
              <w:t>》，本项目不占用生态保护红线，详见附件</w:t>
            </w:r>
            <w:r>
              <w:rPr>
                <w:rFonts w:ascii="Times New Roman" w:eastAsia="宋体" w:hAnsi="Times New Roman" w:cs="Times New Roman" w:hint="default"/>
                <w:color w:val="auto"/>
                <w:sz w:val="24"/>
                <w:lang w:eastAsia="zh-CN"/>
              </w:rPr>
              <w:t>。</w:t>
            </w:r>
          </w:p>
          <w:p w14:paraId="63CABC18">
            <w:pPr>
              <w:spacing w:line="440" w:lineRule="exact"/>
              <w:ind w:firstLine="480" w:firstLineChars="200"/>
              <w:rPr>
                <w:rFonts w:ascii="Times New Roman" w:eastAsia="宋体" w:hAnsi="Times New Roman" w:cs="Times New Roman" w:hint="default"/>
                <w:color w:val="auto"/>
                <w:sz w:val="24"/>
              </w:rPr>
            </w:pPr>
            <w:r>
              <w:rPr>
                <w:rFonts w:ascii="Times New Roman" w:eastAsia="宋体" w:hAnsi="Times New Roman" w:cs="Times New Roman" w:hint="default"/>
                <w:color w:val="auto"/>
                <w:sz w:val="24"/>
              </w:rPr>
              <w:t>（2）环境质量底线</w:t>
            </w:r>
          </w:p>
          <w:p w14:paraId="55B021DF">
            <w:pPr>
              <w:spacing w:line="440" w:lineRule="exact"/>
              <w:ind w:firstLine="480" w:firstLineChars="200"/>
              <w:rPr>
                <w:rFonts w:ascii="Times New Roman" w:eastAsia="宋体" w:hAnsi="Times New Roman" w:cs="Times New Roman" w:hint="default"/>
                <w:color w:val="auto"/>
                <w:sz w:val="24"/>
              </w:rPr>
            </w:pPr>
            <w:r>
              <w:rPr>
                <w:rFonts w:ascii="Times New Roman" w:eastAsia="宋体" w:hAnsi="Times New Roman" w:cs="Times New Roman" w:hint="default"/>
                <w:color w:val="auto"/>
                <w:sz w:val="24"/>
              </w:rPr>
              <w:t>项目所在区域的环境质量底线为：环境空气质量目标为《环境空气质量标准》(GB3095-2012及修改单)二级标准要求；地表水环境质量目标为《地表水环境质量标准》（GB3838-2002）中的Ⅲ类标准；地下水环境质量目标为《地下水质量标准》(GB/T14848-2017)中的Ⅲ类标准；声环境质量目标为《声环境质量标准》（GB3096-2008）中</w:t>
            </w:r>
            <w:r>
              <w:rPr>
                <w:rFonts w:cs="Times New Roman" w:hint="eastAsia"/>
                <w:color w:val="auto"/>
                <w:sz w:val="24"/>
                <w:lang w:val="en-US" w:eastAsia="zh-CN"/>
              </w:rPr>
              <w:t>2</w:t>
            </w:r>
            <w:r>
              <w:rPr>
                <w:rFonts w:ascii="Times New Roman" w:eastAsia="宋体" w:hAnsi="Times New Roman" w:cs="Times New Roman" w:hint="default"/>
                <w:color w:val="auto"/>
                <w:sz w:val="24"/>
              </w:rPr>
              <w:t>类标准。</w:t>
            </w:r>
          </w:p>
          <w:p w14:paraId="238DA21C">
            <w:pPr>
              <w:spacing w:line="440" w:lineRule="exact"/>
              <w:ind w:firstLine="480" w:firstLineChars="200"/>
              <w:rPr>
                <w:rFonts w:ascii="Times New Roman" w:eastAsia="宋体" w:hAnsi="Times New Roman" w:cs="Times New Roman" w:hint="default"/>
                <w:color w:val="auto"/>
                <w:sz w:val="24"/>
              </w:rPr>
            </w:pPr>
            <w:r>
              <w:rPr>
                <w:rFonts w:ascii="Times New Roman" w:eastAsia="宋体" w:hAnsi="Times New Roman" w:cs="Times New Roman" w:hint="default"/>
                <w:color w:val="auto"/>
                <w:sz w:val="24"/>
              </w:rPr>
              <w:t>本项目施工期施工扬尘经采取措施后施工扬尘满足《施工场地扬尘排放标准》（DB13/2934-2019）表1标准要求，机械尾气符合排放要求；无废水外排；噪声对周边敏感点影响较小，施工期间固废妥善处置，施工期影响短，且随着施工期结束而终止，项目施工期排放的污染物不会对区域环境质量底线造成冲击。</w:t>
            </w:r>
          </w:p>
          <w:p w14:paraId="67CF014B">
            <w:pPr>
              <w:spacing w:line="440" w:lineRule="exact"/>
              <w:ind w:firstLine="480" w:firstLineChars="200"/>
              <w:rPr>
                <w:rFonts w:ascii="Times New Roman" w:eastAsia="宋体" w:hAnsi="Times New Roman" w:cs="Times New Roman" w:hint="default"/>
                <w:color w:val="auto"/>
                <w:sz w:val="24"/>
              </w:rPr>
            </w:pPr>
            <w:r>
              <w:rPr>
                <w:rFonts w:ascii="Times New Roman" w:eastAsia="宋体" w:hAnsi="Times New Roman" w:cs="Times New Roman" w:hint="default"/>
                <w:color w:val="auto"/>
                <w:sz w:val="24"/>
              </w:rPr>
              <w:t>本项目只涉及</w:t>
            </w:r>
            <w:r>
              <w:rPr>
                <w:rFonts w:ascii="Times New Roman" w:eastAsia="宋体" w:hAnsi="Times New Roman" w:cs="Times New Roman" w:hint="default"/>
                <w:color w:val="auto"/>
                <w:sz w:val="24"/>
                <w:lang w:val="en-US" w:eastAsia="zh-CN"/>
              </w:rPr>
              <w:t>储能站和升压站</w:t>
            </w:r>
            <w:r>
              <w:rPr>
                <w:rFonts w:ascii="Times New Roman" w:eastAsia="宋体" w:hAnsi="Times New Roman" w:cs="Times New Roman" w:hint="default"/>
                <w:color w:val="auto"/>
                <w:sz w:val="24"/>
              </w:rPr>
              <w:t>，运营期无生产废气产生，</w:t>
            </w:r>
            <w:r>
              <w:rPr>
                <w:rFonts w:ascii="Times New Roman" w:eastAsia="宋体" w:hAnsi="Times New Roman" w:cs="Times New Roman" w:hint="default"/>
                <w:color w:val="auto"/>
                <w:sz w:val="24"/>
                <w:lang w:val="en-US" w:eastAsia="zh-CN"/>
              </w:rPr>
              <w:t>生活污水</w:t>
            </w:r>
            <w:r>
              <w:rPr>
                <w:rFonts w:ascii="Times New Roman" w:eastAsia="宋体" w:hAnsi="Times New Roman" w:cs="Times New Roman" w:hint="default"/>
                <w:color w:val="auto"/>
                <w:sz w:val="24"/>
              </w:rPr>
              <w:t>用于绿化及抑尘，无废水外排；</w:t>
            </w:r>
            <w:r>
              <w:rPr>
                <w:rFonts w:ascii="Times New Roman" w:eastAsia="宋体" w:hAnsi="Times New Roman" w:cs="Times New Roman" w:hint="default"/>
                <w:color w:val="auto"/>
                <w:kern w:val="0"/>
                <w:sz w:val="24"/>
                <w:highlight w:val="none"/>
              </w:rPr>
              <w:t>电磁</w:t>
            </w:r>
            <w:r>
              <w:rPr>
                <w:rFonts w:ascii="Times New Roman" w:eastAsia="宋体" w:hAnsi="Times New Roman" w:cs="Times New Roman" w:hint="default"/>
                <w:color w:val="auto"/>
                <w:kern w:val="0"/>
                <w:sz w:val="24"/>
                <w:highlight w:val="none"/>
                <w:lang w:val="en-US" w:eastAsia="zh-CN"/>
              </w:rPr>
              <w:t>及</w:t>
            </w:r>
            <w:r>
              <w:rPr>
                <w:rFonts w:ascii="Times New Roman" w:eastAsia="宋体" w:hAnsi="Times New Roman" w:cs="Times New Roman" w:hint="default"/>
                <w:color w:val="auto"/>
                <w:sz w:val="24"/>
              </w:rPr>
              <w:t>噪声经分析不会对周边产生明显影响，固废妥善处置。采取本环评提出的相关防治措施后，经分析可知，项目运营期排放的污染物不会对区域环境质量底线造成冲击。</w:t>
            </w:r>
          </w:p>
          <w:p w14:paraId="606CD5D4">
            <w:pPr>
              <w:spacing w:line="440" w:lineRule="exact"/>
              <w:ind w:firstLine="480" w:firstLineChars="200"/>
              <w:rPr>
                <w:rFonts w:ascii="Times New Roman" w:eastAsia="宋体" w:hAnsi="Times New Roman" w:cs="Times New Roman" w:hint="default"/>
                <w:color w:val="auto"/>
                <w:sz w:val="24"/>
              </w:rPr>
            </w:pPr>
            <w:r>
              <w:rPr>
                <w:rFonts w:ascii="Times New Roman" w:eastAsia="宋体" w:hAnsi="Times New Roman" w:cs="Times New Roman" w:hint="default"/>
                <w:color w:val="auto"/>
                <w:sz w:val="24"/>
              </w:rPr>
              <w:t>（3）资源利用上</w:t>
            </w:r>
            <w:r>
              <w:rPr>
                <w:rFonts w:ascii="Times New Roman" w:eastAsia="宋体" w:hAnsi="Times New Roman" w:cs="Times New Roman" w:hint="default"/>
                <w:color w:val="auto"/>
                <w:sz w:val="24"/>
                <w:lang w:eastAsia="zh-CN"/>
              </w:rPr>
              <w:t>限</w:t>
            </w:r>
          </w:p>
          <w:p w14:paraId="44359ACF">
            <w:pPr>
              <w:spacing w:line="440" w:lineRule="exact"/>
              <w:ind w:firstLine="480" w:firstLineChars="200"/>
              <w:rPr>
                <w:rFonts w:ascii="Times New Roman" w:eastAsia="宋体" w:hAnsi="Times New Roman" w:cs="Times New Roman" w:hint="default"/>
                <w:color w:val="auto"/>
                <w:sz w:val="24"/>
              </w:rPr>
            </w:pPr>
            <w:r>
              <w:rPr>
                <w:rFonts w:ascii="Times New Roman" w:eastAsia="宋体" w:hAnsi="Times New Roman" w:cs="Times New Roman" w:hint="default"/>
                <w:color w:val="auto"/>
                <w:sz w:val="24"/>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14:paraId="0FC8E409">
            <w:pPr>
              <w:spacing w:line="440" w:lineRule="exact"/>
              <w:ind w:firstLine="480" w:firstLineChars="200"/>
              <w:rPr>
                <w:rFonts w:ascii="Times New Roman" w:eastAsia="宋体" w:hAnsi="Times New Roman" w:cs="Times New Roman" w:hint="default"/>
                <w:color w:val="auto"/>
                <w:sz w:val="24"/>
              </w:rPr>
            </w:pPr>
            <w:r>
              <w:rPr>
                <w:rFonts w:ascii="Times New Roman" w:eastAsia="宋体" w:hAnsi="Times New Roman" w:cs="Times New Roman" w:hint="default"/>
                <w:color w:val="auto"/>
                <w:sz w:val="24"/>
              </w:rPr>
              <w:t>本项目用</w:t>
            </w:r>
            <w:r>
              <w:rPr>
                <w:rFonts w:ascii="Times New Roman" w:eastAsia="宋体" w:hAnsi="Times New Roman" w:cs="Times New Roman" w:hint="default"/>
                <w:color w:val="auto"/>
                <w:sz w:val="24"/>
                <w:lang w:val="en-US" w:eastAsia="zh-CN"/>
              </w:rPr>
              <w:t>升压站占地面积147亩。土地资源利用合理；升压站内工作人员2</w:t>
            </w:r>
            <w:r>
              <w:rPr>
                <w:rFonts w:cs="Times New Roman" w:hint="eastAsia"/>
                <w:color w:val="auto"/>
                <w:sz w:val="24"/>
                <w:lang w:val="en-US" w:eastAsia="zh-CN"/>
              </w:rPr>
              <w:t>0</w:t>
            </w:r>
            <w:r>
              <w:rPr>
                <w:rFonts w:ascii="Times New Roman" w:eastAsia="宋体" w:hAnsi="Times New Roman" w:cs="Times New Roman" w:hint="default"/>
                <w:color w:val="auto"/>
                <w:sz w:val="24"/>
                <w:lang w:val="en-US" w:eastAsia="zh-CN"/>
              </w:rPr>
              <w:t>人，生活用水量较少。本项目属于能源基础设施，项目实施后为周边负荷供电，不属于资源利用限制类项目，运营期不消耗其他能源。因此符合资源利用上线要求。</w:t>
            </w:r>
          </w:p>
          <w:p w14:paraId="61D630EF">
            <w:pPr>
              <w:spacing w:line="440" w:lineRule="exact"/>
              <w:ind w:firstLine="480" w:firstLineChars="200"/>
              <w:rPr>
                <w:rFonts w:ascii="Times New Roman" w:eastAsia="宋体" w:hAnsi="Times New Roman" w:cs="Times New Roman" w:hint="default"/>
                <w:color w:val="auto"/>
                <w:sz w:val="24"/>
              </w:rPr>
            </w:pPr>
            <w:r>
              <w:rPr>
                <w:rFonts w:ascii="Times New Roman" w:eastAsia="宋体" w:hAnsi="Times New Roman" w:cs="Times New Roman" w:hint="default"/>
                <w:color w:val="auto"/>
                <w:sz w:val="24"/>
              </w:rPr>
              <w:t>本项目建成运营后通过内部管理、设备选型、废物回收利用、污染治理等方面采取合理可行的防治措施，以“节能、降耗、减污”为目标，有效地控制污染。项目的水、电、土壤等资源利用不会突破区域的资源利用上</w:t>
            </w:r>
            <w:r>
              <w:rPr>
                <w:rFonts w:ascii="Times New Roman" w:eastAsia="宋体" w:hAnsi="Times New Roman" w:cs="Times New Roman" w:hint="default"/>
                <w:color w:val="auto"/>
                <w:sz w:val="24"/>
                <w:lang w:eastAsia="zh-CN"/>
              </w:rPr>
              <w:t>限</w:t>
            </w:r>
            <w:r>
              <w:rPr>
                <w:rFonts w:ascii="Times New Roman" w:eastAsia="宋体" w:hAnsi="Times New Roman" w:cs="Times New Roman" w:hint="default"/>
                <w:color w:val="auto"/>
                <w:sz w:val="24"/>
              </w:rPr>
              <w:t>。</w:t>
            </w:r>
          </w:p>
          <w:p w14:paraId="1BE100B8">
            <w:pPr>
              <w:spacing w:line="440" w:lineRule="exact"/>
              <w:ind w:firstLine="480" w:firstLineChars="200"/>
              <w:rPr>
                <w:rFonts w:ascii="Times New Roman" w:eastAsia="宋体" w:hAnsi="Times New Roman" w:cs="Times New Roman" w:hint="default"/>
                <w:color w:val="auto"/>
                <w:sz w:val="24"/>
              </w:rPr>
            </w:pPr>
            <w:r>
              <w:rPr>
                <w:rFonts w:ascii="Times New Roman" w:eastAsia="宋体" w:hAnsi="Times New Roman" w:cs="Times New Roman" w:hint="default"/>
                <w:color w:val="auto"/>
                <w:sz w:val="24"/>
              </w:rPr>
              <w:t>（</w:t>
            </w:r>
            <w:r>
              <w:rPr>
                <w:rFonts w:cs="Times New Roman" w:hint="eastAsia"/>
                <w:color w:val="auto"/>
                <w:sz w:val="24"/>
                <w:lang w:val="en-US" w:eastAsia="zh-CN"/>
              </w:rPr>
              <w:t>4</w:t>
            </w:r>
            <w:r>
              <w:rPr>
                <w:rFonts w:ascii="Times New Roman" w:eastAsia="宋体" w:hAnsi="Times New Roman" w:cs="Times New Roman" w:hint="default"/>
                <w:color w:val="auto"/>
                <w:sz w:val="24"/>
              </w:rPr>
              <w:t>）环境准入负面清单</w:t>
            </w:r>
          </w:p>
          <w:p w14:paraId="30D33E4E">
            <w:pPr>
              <w:spacing w:line="440" w:lineRule="exact"/>
              <w:ind w:firstLine="480" w:firstLineChars="200"/>
              <w:rPr>
                <w:rFonts w:ascii="Times New Roman" w:eastAsia="宋体" w:hAnsi="Times New Roman" w:cs="Times New Roman" w:hint="default"/>
                <w:color w:val="auto"/>
                <w:sz w:val="24"/>
              </w:rPr>
            </w:pPr>
            <w:r>
              <w:rPr>
                <w:rFonts w:ascii="Times New Roman" w:eastAsia="宋体" w:hAnsi="Times New Roman" w:cs="Times New Roman" w:hint="default"/>
                <w:color w:val="auto"/>
                <w:sz w:val="24"/>
              </w:rPr>
              <w:t>根据《市场准入负面清单（2022年版）》符合性判定，项目的建设符合国家、省管理要求，不在环境准入负面清单之列。对照《关于印发改善大气环境质量实施区域差别化环境准入的指导意见的通知》（冀环环评函[2019]308号），承德市属于重点生态功能区，依托现有资源适当发展生态旅游、商务会展等第三服务产业；积极发展农林牧业、食品加工、新能源等；重点建设制造、电子信息技术产业。重点提高矿山开采、金属制品加工等行业环境准入要求。禁止露天采矿、石灰石制造、平板玻璃制造、氮肥制造等。</w:t>
            </w:r>
          </w:p>
          <w:p w14:paraId="7DFF8C87">
            <w:pPr>
              <w:spacing w:line="440" w:lineRule="exact"/>
              <w:ind w:firstLine="480" w:firstLineChars="200"/>
              <w:rPr>
                <w:rFonts w:ascii="Times New Roman" w:eastAsia="宋体" w:hAnsi="Times New Roman" w:cs="Times New Roman" w:hint="default"/>
                <w:color w:val="auto"/>
                <w:sz w:val="24"/>
              </w:rPr>
            </w:pPr>
            <w:r>
              <w:rPr>
                <w:rFonts w:ascii="Times New Roman" w:eastAsia="宋体" w:hAnsi="Times New Roman" w:cs="Times New Roman" w:hint="default"/>
                <w:color w:val="auto"/>
                <w:sz w:val="24"/>
              </w:rPr>
              <w:t>根据《康保县等坝上六县国家重点生态功能区产业准入负面清单（试行）》中“河北省围场满族蒙古族自治县国家重点生态功能区产业准入负面清单”，本项目为</w:t>
            </w:r>
            <w:r>
              <w:rPr>
                <w:rFonts w:cs="Times New Roman" w:hint="eastAsia"/>
                <w:color w:val="auto"/>
                <w:sz w:val="24"/>
                <w:lang w:val="en-US" w:eastAsia="zh-CN"/>
              </w:rPr>
              <w:t>储能站</w:t>
            </w:r>
            <w:r>
              <w:rPr>
                <w:rFonts w:ascii="Times New Roman" w:eastAsia="宋体" w:hAnsi="Times New Roman" w:cs="Times New Roman" w:hint="default"/>
                <w:color w:val="auto"/>
                <w:sz w:val="24"/>
              </w:rPr>
              <w:t>工程，不在“河北省围场满族蒙古族自治县国家重点生态功能区产业准入负面清单”内。</w:t>
            </w:r>
          </w:p>
          <w:p w14:paraId="77CDE7F8">
            <w:pPr>
              <w:spacing w:line="440" w:lineRule="exact"/>
              <w:ind w:firstLine="480" w:firstLineChars="200"/>
              <w:rPr>
                <w:rFonts w:ascii="Times New Roman" w:eastAsia="宋体" w:hAnsi="Times New Roman" w:cs="Times New Roman" w:hint="default"/>
                <w:color w:val="auto"/>
                <w:sz w:val="24"/>
              </w:rPr>
            </w:pPr>
            <w:r>
              <w:rPr>
                <w:rFonts w:ascii="Times New Roman" w:eastAsia="宋体" w:hAnsi="Times New Roman" w:cs="Times New Roman" w:hint="default"/>
                <w:color w:val="auto"/>
                <w:sz w:val="24"/>
              </w:rPr>
              <w:t>本项目建设实现了生产过程中“污染物排放最小化、废</w:t>
            </w:r>
            <w:r>
              <w:rPr>
                <w:rFonts w:ascii="宋体" w:eastAsia="宋体" w:hAnsi="宋体" w:cs="宋体" w:hint="eastAsia"/>
                <w:color w:val="auto"/>
                <w:sz w:val="24"/>
              </w:rPr>
              <w:t>物资源化和无害化”</w:t>
            </w:r>
            <w:r>
              <w:rPr>
                <w:rFonts w:ascii="Times New Roman" w:eastAsia="宋体" w:hAnsi="Times New Roman" w:cs="Times New Roman" w:hint="default"/>
                <w:color w:val="auto"/>
                <w:sz w:val="24"/>
              </w:rPr>
              <w:t>的循环经济生产模式，因此本项目为环境准入允许类。</w:t>
            </w:r>
          </w:p>
          <w:p w14:paraId="23CA1DF3">
            <w:pPr>
              <w:spacing w:line="440" w:lineRule="exact"/>
              <w:ind w:firstLine="480" w:firstLineChars="200"/>
              <w:rPr>
                <w:rFonts w:ascii="Times New Roman" w:eastAsia="宋体" w:hAnsi="Times New Roman" w:cs="Times New Roman" w:hint="default"/>
                <w:color w:val="auto"/>
                <w:sz w:val="24"/>
              </w:rPr>
            </w:pPr>
            <w:r>
              <w:rPr>
                <w:rFonts w:ascii="Times New Roman" w:eastAsia="宋体" w:hAnsi="Times New Roman" w:cs="Times New Roman" w:hint="default"/>
                <w:color w:val="auto"/>
                <w:sz w:val="24"/>
              </w:rPr>
              <w:t>经分析，本项目符合</w:t>
            </w:r>
            <w:r>
              <w:rPr>
                <w:rFonts w:cs="Times New Roman" w:hint="eastAsia"/>
                <w:color w:val="auto"/>
                <w:sz w:val="24"/>
                <w:lang w:val="en-US" w:eastAsia="zh-CN"/>
              </w:rPr>
              <w:t>河北省</w:t>
            </w:r>
            <w:r>
              <w:rPr>
                <w:rFonts w:ascii="宋体" w:eastAsia="宋体" w:hAnsi="宋体" w:cs="宋体" w:hint="eastAsia"/>
                <w:color w:val="auto"/>
                <w:sz w:val="24"/>
              </w:rPr>
              <w:t>“三线一单”</w:t>
            </w:r>
            <w:r>
              <w:rPr>
                <w:rFonts w:ascii="Times New Roman" w:eastAsia="宋体" w:hAnsi="Times New Roman" w:cs="Times New Roman" w:hint="default"/>
                <w:color w:val="auto"/>
                <w:sz w:val="24"/>
              </w:rPr>
              <w:t>要求。</w:t>
            </w:r>
          </w:p>
          <w:p w14:paraId="6C4D1FC0">
            <w:pPr>
              <w:pStyle w:val="lh-2---"/>
              <w:numPr>
                <w:ilvl w:val="1"/>
                <w:numId w:val="0"/>
              </w:numPr>
              <w:ind w:leftChars="0"/>
              <w:rPr>
                <w:rFonts w:ascii="Times New Roman" w:eastAsia="宋体" w:hAnsi="Times New Roman" w:cs="Times New Roman" w:hint="default"/>
                <w:b/>
                <w:bCs w:val="0"/>
                <w:color w:val="auto"/>
                <w:highlight w:val="none"/>
                <w:lang w:val="en-US" w:eastAsia="zh-CN"/>
              </w:rPr>
            </w:pPr>
            <w:r>
              <w:rPr>
                <w:rFonts w:eastAsia="宋体" w:cs="Times New Roman" w:hint="eastAsia"/>
                <w:b/>
                <w:bCs w:val="0"/>
                <w:color w:val="auto"/>
                <w:highlight w:val="none"/>
                <w:lang w:val="en-US" w:eastAsia="zh-CN"/>
              </w:rPr>
              <w:t>3</w:t>
            </w:r>
            <w:r>
              <w:rPr>
                <w:rFonts w:ascii="Times New Roman" w:eastAsia="宋体" w:hAnsi="Times New Roman" w:cs="Times New Roman" w:hint="eastAsia"/>
                <w:b/>
                <w:bCs w:val="0"/>
                <w:color w:val="auto"/>
                <w:highlight w:val="none"/>
                <w:lang w:val="en-US" w:eastAsia="zh-CN"/>
              </w:rPr>
              <w:t>、</w:t>
            </w:r>
            <w:r>
              <w:rPr>
                <w:rFonts w:ascii="Times New Roman" w:eastAsia="宋体" w:hAnsi="Times New Roman" w:cs="Times New Roman" w:hint="default"/>
                <w:b/>
                <w:bCs w:val="0"/>
                <w:color w:val="auto"/>
                <w:highlight w:val="none"/>
                <w:lang w:val="en-US" w:eastAsia="zh-CN"/>
              </w:rPr>
              <w:t>与</w:t>
            </w:r>
            <w:r>
              <w:rPr>
                <w:rFonts w:eastAsia="宋体" w:cs="Times New Roman" w:hint="eastAsia"/>
                <w:b/>
                <w:bCs w:val="0"/>
                <w:color w:val="auto"/>
                <w:highlight w:val="none"/>
                <w:lang w:val="en-US" w:eastAsia="zh-CN"/>
              </w:rPr>
              <w:t>河北省、</w:t>
            </w:r>
            <w:r>
              <w:rPr>
                <w:rFonts w:ascii="Times New Roman" w:eastAsia="宋体" w:hAnsi="Times New Roman" w:cs="Times New Roman" w:hint="default"/>
                <w:b/>
                <w:bCs w:val="0"/>
                <w:color w:val="auto"/>
                <w:highlight w:val="none"/>
                <w:lang w:val="en-US" w:eastAsia="zh-CN"/>
              </w:rPr>
              <w:t>承德市生态环境管控符合性分析</w:t>
            </w:r>
          </w:p>
          <w:p w14:paraId="5C195CA4">
            <w:pPr>
              <w:spacing w:line="440" w:lineRule="exact"/>
              <w:ind w:firstLine="480" w:firstLineChars="200"/>
              <w:rPr>
                <w:rFonts w:ascii="Times New Roman" w:eastAsia="宋体" w:hAnsi="Times New Roman" w:cs="Times New Roman" w:hint="default"/>
                <w:color w:val="auto"/>
                <w:sz w:val="24"/>
              </w:rPr>
            </w:pPr>
            <w:r>
              <w:rPr>
                <w:rFonts w:ascii="Times New Roman" w:eastAsia="宋体" w:hAnsi="Times New Roman" w:cs="Times New Roman" w:hint="default"/>
                <w:color w:val="auto"/>
                <w:sz w:val="24"/>
              </w:rPr>
              <w:t>项目位于河北省围场满族蒙古族自治县</w:t>
            </w:r>
            <w:r>
              <w:rPr>
                <w:rFonts w:ascii="Times New Roman" w:eastAsia="宋体" w:hAnsi="Times New Roman" w:cs="Times New Roman" w:hint="default"/>
                <w:color w:val="auto"/>
                <w:sz w:val="24"/>
                <w:lang w:eastAsia="zh-CN"/>
              </w:rPr>
              <w:t>半截塔镇</w:t>
            </w:r>
            <w:r>
              <w:rPr>
                <w:rFonts w:ascii="Times New Roman" w:eastAsia="宋体" w:hAnsi="Times New Roman" w:cs="Times New Roman" w:hint="default"/>
                <w:color w:val="auto"/>
                <w:sz w:val="24"/>
              </w:rPr>
              <w:t>，根据《河北省人民政府关于加快实施“三线一单”生态环境分区管控的意见》（冀政字〔2020〕71号）</w:t>
            </w:r>
            <w:r>
              <w:rPr>
                <w:rFonts w:cs="Times New Roman" w:hint="eastAsia"/>
                <w:color w:val="auto"/>
                <w:sz w:val="24"/>
                <w:lang w:eastAsia="zh-CN"/>
              </w:rPr>
              <w:t>、</w:t>
            </w:r>
            <w:r>
              <w:rPr>
                <w:rFonts w:ascii="Times New Roman" w:eastAsia="宋体" w:hAnsi="Times New Roman" w:cs="Times New Roman" w:hint="default"/>
                <w:color w:val="auto"/>
                <w:sz w:val="24"/>
              </w:rPr>
              <w:t>承德市生态环境局发布了《承德市人民政府关于加快实施“三线一单”生态环境分区管控的意见》</w:t>
            </w:r>
            <w:r>
              <w:rPr>
                <w:rFonts w:cs="Times New Roman" w:hint="eastAsia"/>
                <w:color w:val="auto"/>
                <w:sz w:val="24"/>
                <w:lang w:val="en-US" w:eastAsia="zh-CN"/>
              </w:rPr>
              <w:t>可知</w:t>
            </w:r>
            <w:r>
              <w:rPr>
                <w:rFonts w:ascii="Times New Roman" w:eastAsia="宋体" w:hAnsi="Times New Roman" w:cs="Times New Roman" w:hint="default"/>
                <w:color w:val="auto"/>
                <w:sz w:val="24"/>
              </w:rPr>
              <w:t>，</w:t>
            </w:r>
            <w:r>
              <w:rPr>
                <w:rFonts w:cs="Times New Roman" w:hint="eastAsia"/>
                <w:color w:val="auto"/>
                <w:sz w:val="24"/>
                <w:lang w:val="en-US" w:eastAsia="zh-CN"/>
              </w:rPr>
              <w:t>本项目涉及的环境管控单元</w:t>
            </w:r>
            <w:r>
              <w:rPr>
                <w:rFonts w:ascii="Times New Roman" w:eastAsia="宋体" w:hAnsi="Times New Roman" w:cs="Times New Roman" w:hint="default"/>
                <w:color w:val="auto"/>
                <w:sz w:val="24"/>
              </w:rPr>
              <w:t>编号</w:t>
            </w:r>
            <w:r>
              <w:rPr>
                <w:rFonts w:cs="Times New Roman" w:hint="eastAsia"/>
                <w:color w:val="auto"/>
                <w:sz w:val="24"/>
                <w:lang w:val="en-US" w:eastAsia="zh-CN"/>
              </w:rPr>
              <w:t>为</w:t>
            </w:r>
            <w:r>
              <w:rPr>
                <w:rFonts w:ascii="Times New Roman" w:eastAsia="宋体" w:hAnsi="Times New Roman" w:cs="Times New Roman" w:hint="default"/>
                <w:color w:val="auto"/>
                <w:sz w:val="24"/>
              </w:rPr>
              <w:t>：ZH13082831479</w:t>
            </w:r>
            <w:r>
              <w:rPr>
                <w:rFonts w:ascii="Times New Roman" w:eastAsia="宋体" w:hAnsi="Times New Roman" w:cs="Times New Roman" w:hint="default"/>
                <w:color w:val="auto"/>
                <w:sz w:val="24"/>
                <w:lang w:val="en-US" w:eastAsia="zh-CN"/>
              </w:rPr>
              <w:t>和</w:t>
            </w:r>
            <w:r>
              <w:rPr>
                <w:rFonts w:ascii="Times New Roman" w:eastAsia="宋体" w:hAnsi="Times New Roman" w:cs="Times New Roman" w:hint="default"/>
                <w:color w:val="auto"/>
                <w:sz w:val="24"/>
              </w:rPr>
              <w:t>ZH1308281000</w:t>
            </w:r>
            <w:r>
              <w:rPr>
                <w:rFonts w:ascii="Times New Roman" w:eastAsia="宋体" w:hAnsi="Times New Roman" w:cs="Times New Roman" w:hint="default"/>
                <w:color w:val="auto"/>
                <w:sz w:val="24"/>
                <w:lang w:val="en-US" w:eastAsia="zh-CN"/>
              </w:rPr>
              <w:t>9</w:t>
            </w:r>
            <w:r>
              <w:rPr>
                <w:rFonts w:ascii="Times New Roman" w:eastAsia="宋体" w:hAnsi="Times New Roman" w:cs="Times New Roman" w:hint="default"/>
                <w:color w:val="auto"/>
                <w:sz w:val="24"/>
              </w:rPr>
              <w:t>，项目环境管控单元准入清单符合性分析判定内容如下表所示：</w:t>
            </w:r>
          </w:p>
          <w:p w14:paraId="5235CD84">
            <w:pPr>
              <w:autoSpaceDE w:val="0"/>
              <w:autoSpaceDN w:val="0"/>
              <w:adjustRightInd w:val="0"/>
              <w:snapToGrid w:val="0"/>
              <w:jc w:val="center"/>
              <w:rPr>
                <w:rFonts w:ascii="Times New Roman" w:eastAsia="宋体" w:hAnsi="Times New Roman" w:cs="Times New Roman" w:hint="default"/>
                <w:b/>
                <w:color w:val="auto"/>
                <w:sz w:val="24"/>
              </w:rPr>
            </w:pPr>
            <w:r>
              <w:rPr>
                <w:rFonts w:ascii="Times New Roman" w:eastAsia="宋体" w:hAnsi="Times New Roman" w:cs="Times New Roman" w:hint="default"/>
                <w:b/>
                <w:color w:val="auto"/>
                <w:sz w:val="24"/>
              </w:rPr>
              <w:t>表1-1  项目环境管控单元准入清单符合性分析表</w:t>
            </w:r>
          </w:p>
          <w:tbl>
            <w:tblPr>
              <w:tblStyle w:val="TableNormal"/>
              <w:tblW w:w="4995" w:type="pct"/>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CellMar>
                <w:top w:w="0" w:type="dxa"/>
                <w:left w:w="108" w:type="dxa"/>
                <w:bottom w:w="0" w:type="dxa"/>
                <w:right w:w="108" w:type="dxa"/>
              </w:tblCellMar>
            </w:tblPr>
            <w:tblGrid>
              <w:gridCol w:w="349"/>
              <w:gridCol w:w="339"/>
              <w:gridCol w:w="326"/>
              <w:gridCol w:w="469"/>
              <w:gridCol w:w="381"/>
              <w:gridCol w:w="469"/>
              <w:gridCol w:w="610"/>
              <w:gridCol w:w="642"/>
              <w:gridCol w:w="1342"/>
              <w:gridCol w:w="1696"/>
              <w:gridCol w:w="426"/>
            </w:tblGrid>
            <w:tr w14:paraId="65EA8C16">
              <w:tblPrEx>
                <w:tblW w:w="4995" w:type="pct"/>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CellMar>
                  <w:top w:w="0" w:type="dxa"/>
                  <w:left w:w="108" w:type="dxa"/>
                  <w:bottom w:w="0" w:type="dxa"/>
                  <w:right w:w="108" w:type="dxa"/>
                </w:tblCellMar>
              </w:tblPrEx>
              <w:trPr>
                <w:trHeight w:val="777"/>
                <w:jc w:val="center"/>
              </w:trPr>
              <w:tc>
                <w:tcPr>
                  <w:tcW w:w="248" w:type="pct"/>
                  <w:tcBorders>
                    <w:tl2br w:val="nil"/>
                    <w:tr2bl w:val="nil"/>
                  </w:tcBorders>
                  <w:noWrap w:val="0"/>
                  <w:vAlign w:val="center"/>
                </w:tcPr>
                <w:p w14:paraId="0DE3A2AA">
                  <w:pPr>
                    <w:pStyle w:val="a3"/>
                    <w:spacing w:line="240" w:lineRule="auto"/>
                    <w:rPr>
                      <w:rFonts w:ascii="Times New Roman" w:eastAsia="宋体" w:hAnsi="Times New Roman" w:cs="Times New Roman" w:hint="default"/>
                      <w:b/>
                      <w:bCs/>
                      <w:color w:val="auto"/>
                      <w:sz w:val="21"/>
                      <w:szCs w:val="21"/>
                    </w:rPr>
                  </w:pPr>
                  <w:r>
                    <w:rPr>
                      <w:rFonts w:ascii="Times New Roman" w:eastAsia="宋体" w:hAnsi="Times New Roman" w:cs="Times New Roman" w:hint="default"/>
                      <w:b/>
                      <w:bCs/>
                      <w:color w:val="auto"/>
                      <w:sz w:val="21"/>
                      <w:szCs w:val="21"/>
                    </w:rPr>
                    <w:t>编号</w:t>
                  </w:r>
                </w:p>
              </w:tc>
              <w:tc>
                <w:tcPr>
                  <w:tcW w:w="240" w:type="pct"/>
                  <w:tcBorders>
                    <w:tl2br w:val="nil"/>
                    <w:tr2bl w:val="nil"/>
                  </w:tcBorders>
                  <w:noWrap w:val="0"/>
                  <w:vAlign w:val="center"/>
                </w:tcPr>
                <w:p w14:paraId="18341951">
                  <w:pPr>
                    <w:pStyle w:val="a3"/>
                    <w:spacing w:line="240" w:lineRule="auto"/>
                    <w:rPr>
                      <w:rFonts w:ascii="Times New Roman" w:eastAsia="宋体" w:hAnsi="Times New Roman" w:cs="Times New Roman" w:hint="default"/>
                      <w:b/>
                      <w:bCs/>
                      <w:color w:val="auto"/>
                      <w:sz w:val="21"/>
                      <w:szCs w:val="21"/>
                    </w:rPr>
                  </w:pPr>
                  <w:r>
                    <w:rPr>
                      <w:rFonts w:ascii="Times New Roman" w:eastAsia="宋体" w:hAnsi="Times New Roman" w:cs="Times New Roman" w:hint="default"/>
                      <w:b/>
                      <w:bCs/>
                      <w:color w:val="auto"/>
                      <w:sz w:val="21"/>
                      <w:szCs w:val="21"/>
                    </w:rPr>
                    <w:t>省</w:t>
                  </w:r>
                </w:p>
              </w:tc>
              <w:tc>
                <w:tcPr>
                  <w:tcW w:w="231" w:type="pct"/>
                  <w:tcBorders>
                    <w:tl2br w:val="nil"/>
                    <w:tr2bl w:val="nil"/>
                  </w:tcBorders>
                  <w:noWrap w:val="0"/>
                  <w:vAlign w:val="center"/>
                </w:tcPr>
                <w:p w14:paraId="7843DD3E">
                  <w:pPr>
                    <w:pStyle w:val="a3"/>
                    <w:spacing w:line="240" w:lineRule="auto"/>
                    <w:rPr>
                      <w:rFonts w:ascii="Times New Roman" w:eastAsia="宋体" w:hAnsi="Times New Roman" w:cs="Times New Roman" w:hint="default"/>
                      <w:b/>
                      <w:bCs/>
                      <w:color w:val="auto"/>
                      <w:sz w:val="21"/>
                      <w:szCs w:val="21"/>
                    </w:rPr>
                  </w:pPr>
                  <w:r>
                    <w:rPr>
                      <w:rFonts w:ascii="Times New Roman" w:eastAsia="宋体" w:hAnsi="Times New Roman" w:cs="Times New Roman" w:hint="default"/>
                      <w:b/>
                      <w:bCs/>
                      <w:color w:val="auto"/>
                      <w:sz w:val="21"/>
                      <w:szCs w:val="21"/>
                    </w:rPr>
                    <w:t>市</w:t>
                  </w:r>
                </w:p>
              </w:tc>
              <w:tc>
                <w:tcPr>
                  <w:tcW w:w="332" w:type="pct"/>
                  <w:tcBorders>
                    <w:tl2br w:val="nil"/>
                    <w:tr2bl w:val="nil"/>
                  </w:tcBorders>
                  <w:noWrap w:val="0"/>
                  <w:vAlign w:val="center"/>
                </w:tcPr>
                <w:p w14:paraId="78FA6DD3">
                  <w:pPr>
                    <w:pStyle w:val="a3"/>
                    <w:spacing w:line="240" w:lineRule="auto"/>
                    <w:rPr>
                      <w:rFonts w:ascii="Times New Roman" w:eastAsia="宋体" w:hAnsi="Times New Roman" w:cs="Times New Roman" w:hint="default"/>
                      <w:b/>
                      <w:bCs/>
                      <w:color w:val="auto"/>
                      <w:sz w:val="21"/>
                      <w:szCs w:val="21"/>
                    </w:rPr>
                  </w:pPr>
                  <w:r>
                    <w:rPr>
                      <w:rFonts w:ascii="Times New Roman" w:eastAsia="宋体" w:hAnsi="Times New Roman" w:cs="Times New Roman" w:hint="default"/>
                      <w:b/>
                      <w:bCs/>
                      <w:color w:val="auto"/>
                      <w:sz w:val="21"/>
                      <w:szCs w:val="21"/>
                    </w:rPr>
                    <w:t>县</w:t>
                  </w:r>
                </w:p>
              </w:tc>
              <w:tc>
                <w:tcPr>
                  <w:tcW w:w="270" w:type="pct"/>
                  <w:tcBorders>
                    <w:tl2br w:val="nil"/>
                    <w:tr2bl w:val="nil"/>
                  </w:tcBorders>
                  <w:noWrap w:val="0"/>
                  <w:vAlign w:val="center"/>
                </w:tcPr>
                <w:p w14:paraId="40147E3B">
                  <w:pPr>
                    <w:pStyle w:val="a3"/>
                    <w:spacing w:line="240" w:lineRule="auto"/>
                    <w:rPr>
                      <w:rFonts w:ascii="Times New Roman" w:eastAsia="宋体" w:hAnsi="Times New Roman" w:cs="Times New Roman" w:hint="default"/>
                      <w:b/>
                      <w:bCs/>
                      <w:color w:val="auto"/>
                      <w:sz w:val="21"/>
                      <w:szCs w:val="21"/>
                    </w:rPr>
                  </w:pPr>
                  <w:r>
                    <w:rPr>
                      <w:rFonts w:ascii="Times New Roman" w:eastAsia="宋体" w:hAnsi="Times New Roman" w:cs="Times New Roman" w:hint="default"/>
                      <w:b/>
                      <w:bCs/>
                      <w:color w:val="auto"/>
                      <w:sz w:val="21"/>
                      <w:szCs w:val="21"/>
                    </w:rPr>
                    <w:t>涉及乡镇</w:t>
                  </w:r>
                </w:p>
              </w:tc>
              <w:tc>
                <w:tcPr>
                  <w:tcW w:w="332" w:type="pct"/>
                  <w:tcBorders>
                    <w:tl2br w:val="nil"/>
                    <w:tr2bl w:val="nil"/>
                  </w:tcBorders>
                  <w:noWrap w:val="0"/>
                  <w:vAlign w:val="center"/>
                </w:tcPr>
                <w:p w14:paraId="0058A039">
                  <w:pPr>
                    <w:pStyle w:val="a3"/>
                    <w:spacing w:line="240" w:lineRule="auto"/>
                    <w:rPr>
                      <w:rFonts w:ascii="Times New Roman" w:eastAsia="宋体" w:hAnsi="Times New Roman" w:cs="Times New Roman" w:hint="default"/>
                      <w:b/>
                      <w:bCs/>
                      <w:color w:val="auto"/>
                      <w:sz w:val="21"/>
                      <w:szCs w:val="21"/>
                    </w:rPr>
                  </w:pPr>
                  <w:r>
                    <w:rPr>
                      <w:rFonts w:ascii="Times New Roman" w:eastAsia="宋体" w:hAnsi="Times New Roman" w:cs="Times New Roman" w:hint="default"/>
                      <w:b/>
                      <w:bCs/>
                      <w:color w:val="auto"/>
                      <w:sz w:val="21"/>
                      <w:szCs w:val="21"/>
                    </w:rPr>
                    <w:t>管控类型</w:t>
                  </w:r>
                </w:p>
              </w:tc>
              <w:tc>
                <w:tcPr>
                  <w:tcW w:w="432" w:type="pct"/>
                  <w:tcBorders>
                    <w:tl2br w:val="nil"/>
                    <w:tr2bl w:val="nil"/>
                  </w:tcBorders>
                  <w:noWrap w:val="0"/>
                  <w:vAlign w:val="center"/>
                </w:tcPr>
                <w:p w14:paraId="64C8B085">
                  <w:pPr>
                    <w:pStyle w:val="a3"/>
                    <w:spacing w:line="240" w:lineRule="auto"/>
                    <w:rPr>
                      <w:rFonts w:ascii="Times New Roman" w:eastAsia="宋体" w:hAnsi="Times New Roman" w:cs="Times New Roman" w:hint="default"/>
                      <w:b/>
                      <w:bCs/>
                      <w:color w:val="auto"/>
                      <w:sz w:val="21"/>
                      <w:szCs w:val="21"/>
                    </w:rPr>
                  </w:pPr>
                  <w:r>
                    <w:rPr>
                      <w:rFonts w:ascii="Times New Roman" w:eastAsia="宋体" w:hAnsi="Times New Roman" w:cs="Times New Roman" w:hint="default"/>
                      <w:b/>
                      <w:bCs/>
                      <w:color w:val="auto"/>
                      <w:sz w:val="21"/>
                      <w:szCs w:val="21"/>
                    </w:rPr>
                    <w:t>环境要素类别</w:t>
                  </w:r>
                </w:p>
              </w:tc>
              <w:tc>
                <w:tcPr>
                  <w:tcW w:w="455" w:type="pct"/>
                  <w:tcBorders>
                    <w:tl2br w:val="nil"/>
                    <w:tr2bl w:val="nil"/>
                  </w:tcBorders>
                  <w:noWrap w:val="0"/>
                  <w:vAlign w:val="center"/>
                </w:tcPr>
                <w:p w14:paraId="162BA685">
                  <w:pPr>
                    <w:pStyle w:val="a3"/>
                    <w:spacing w:line="240" w:lineRule="auto"/>
                    <w:rPr>
                      <w:rFonts w:ascii="Times New Roman" w:eastAsia="宋体" w:hAnsi="Times New Roman" w:cs="Times New Roman" w:hint="default"/>
                      <w:b/>
                      <w:bCs/>
                      <w:color w:val="auto"/>
                      <w:sz w:val="21"/>
                      <w:szCs w:val="21"/>
                    </w:rPr>
                  </w:pPr>
                  <w:r>
                    <w:rPr>
                      <w:rFonts w:ascii="Times New Roman" w:eastAsia="宋体" w:hAnsi="Times New Roman" w:cs="Times New Roman" w:hint="default"/>
                      <w:b/>
                      <w:bCs/>
                      <w:color w:val="auto"/>
                      <w:sz w:val="21"/>
                      <w:szCs w:val="21"/>
                    </w:rPr>
                    <w:t>维度</w:t>
                  </w:r>
                </w:p>
              </w:tc>
              <w:tc>
                <w:tcPr>
                  <w:tcW w:w="951" w:type="pct"/>
                  <w:tcBorders>
                    <w:tl2br w:val="nil"/>
                    <w:tr2bl w:val="nil"/>
                  </w:tcBorders>
                  <w:noWrap w:val="0"/>
                  <w:vAlign w:val="center"/>
                </w:tcPr>
                <w:p w14:paraId="0351E4EF">
                  <w:pPr>
                    <w:pStyle w:val="a3"/>
                    <w:spacing w:line="240" w:lineRule="auto"/>
                    <w:rPr>
                      <w:rFonts w:ascii="Times New Roman" w:eastAsia="宋体" w:hAnsi="Times New Roman" w:cs="Times New Roman" w:hint="default"/>
                      <w:b/>
                      <w:bCs/>
                      <w:color w:val="auto"/>
                      <w:sz w:val="21"/>
                      <w:szCs w:val="21"/>
                    </w:rPr>
                  </w:pPr>
                  <w:r>
                    <w:rPr>
                      <w:rFonts w:ascii="Times New Roman" w:eastAsia="宋体" w:hAnsi="Times New Roman" w:cs="Times New Roman" w:hint="default"/>
                      <w:b/>
                      <w:bCs/>
                      <w:color w:val="auto"/>
                      <w:sz w:val="21"/>
                      <w:szCs w:val="21"/>
                    </w:rPr>
                    <w:t>管控措施</w:t>
                  </w:r>
                </w:p>
              </w:tc>
              <w:tc>
                <w:tcPr>
                  <w:tcW w:w="1202" w:type="pct"/>
                  <w:tcBorders>
                    <w:tl2br w:val="nil"/>
                    <w:tr2bl w:val="nil"/>
                  </w:tcBorders>
                  <w:noWrap w:val="0"/>
                  <w:vAlign w:val="center"/>
                </w:tcPr>
                <w:p w14:paraId="18B4B309">
                  <w:pPr>
                    <w:pStyle w:val="a3"/>
                    <w:spacing w:line="240" w:lineRule="auto"/>
                    <w:rPr>
                      <w:rFonts w:ascii="Times New Roman" w:eastAsia="宋体" w:hAnsi="Times New Roman" w:cs="Times New Roman" w:hint="default"/>
                      <w:b/>
                      <w:bCs/>
                      <w:color w:val="auto"/>
                      <w:sz w:val="21"/>
                      <w:szCs w:val="21"/>
                    </w:rPr>
                  </w:pPr>
                  <w:r>
                    <w:rPr>
                      <w:rFonts w:ascii="Times New Roman" w:eastAsia="宋体" w:hAnsi="Times New Roman" w:cs="Times New Roman" w:hint="default"/>
                      <w:b/>
                      <w:bCs/>
                      <w:color w:val="auto"/>
                      <w:sz w:val="21"/>
                      <w:szCs w:val="21"/>
                    </w:rPr>
                    <w:t>企业情况</w:t>
                  </w:r>
                </w:p>
              </w:tc>
              <w:tc>
                <w:tcPr>
                  <w:tcW w:w="302" w:type="pct"/>
                  <w:tcBorders>
                    <w:tl2br w:val="nil"/>
                    <w:tr2bl w:val="nil"/>
                  </w:tcBorders>
                  <w:noWrap w:val="0"/>
                  <w:vAlign w:val="center"/>
                </w:tcPr>
                <w:p w14:paraId="360870C0">
                  <w:pPr>
                    <w:pStyle w:val="a3"/>
                    <w:spacing w:line="240" w:lineRule="auto"/>
                    <w:rPr>
                      <w:rFonts w:ascii="Times New Roman" w:eastAsia="宋体" w:hAnsi="Times New Roman" w:cs="Times New Roman" w:hint="default"/>
                      <w:b/>
                      <w:bCs/>
                      <w:color w:val="auto"/>
                      <w:sz w:val="21"/>
                      <w:szCs w:val="21"/>
                    </w:rPr>
                  </w:pPr>
                  <w:r>
                    <w:rPr>
                      <w:rFonts w:ascii="Times New Roman" w:eastAsia="宋体" w:hAnsi="Times New Roman" w:cs="Times New Roman" w:hint="default"/>
                      <w:b/>
                      <w:bCs/>
                      <w:color w:val="auto"/>
                      <w:sz w:val="21"/>
                      <w:szCs w:val="21"/>
                    </w:rPr>
                    <w:t>符合性</w:t>
                  </w:r>
                </w:p>
              </w:tc>
            </w:tr>
            <w:tr w14:paraId="0CDD76E4">
              <w:tblPrEx>
                <w:tblW w:w="4995" w:type="pct"/>
                <w:jc w:val="center"/>
                <w:tblLayout w:type="fixed"/>
                <w:tblCellMar>
                  <w:top w:w="0" w:type="dxa"/>
                  <w:left w:w="108" w:type="dxa"/>
                  <w:bottom w:w="0" w:type="dxa"/>
                  <w:right w:w="108" w:type="dxa"/>
                </w:tblCellMar>
              </w:tblPrEx>
              <w:trPr>
                <w:trHeight w:val="766"/>
                <w:jc w:val="center"/>
              </w:trPr>
              <w:tc>
                <w:tcPr>
                  <w:tcW w:w="248" w:type="pct"/>
                  <w:vMerge w:val="restart"/>
                  <w:tcBorders>
                    <w:tl2br w:val="nil"/>
                    <w:tr2bl w:val="nil"/>
                  </w:tcBorders>
                  <w:noWrap w:val="0"/>
                  <w:vAlign w:val="center"/>
                </w:tcPr>
                <w:p w14:paraId="5EA0F213">
                  <w:pPr>
                    <w:pStyle w:val="a3"/>
                    <w:spacing w:line="240" w:lineRule="auto"/>
                    <w:rPr>
                      <w:rFonts w:ascii="Times New Roman" w:eastAsia="宋体" w:hAnsi="Times New Roman" w:cs="Times New Roman" w:hint="default"/>
                      <w:b/>
                      <w:bCs/>
                      <w:color w:val="auto"/>
                      <w:sz w:val="21"/>
                      <w:szCs w:val="21"/>
                    </w:rPr>
                  </w:pPr>
                  <w:r>
                    <w:rPr>
                      <w:rFonts w:ascii="Times New Roman" w:eastAsia="宋体" w:hAnsi="Times New Roman" w:cs="Times New Roman" w:hint="default"/>
                      <w:color w:val="auto"/>
                      <w:sz w:val="21"/>
                      <w:szCs w:val="21"/>
                    </w:rPr>
                    <w:t>ZH13082831479</w:t>
                  </w:r>
                </w:p>
              </w:tc>
              <w:tc>
                <w:tcPr>
                  <w:tcW w:w="240" w:type="pct"/>
                  <w:vMerge w:val="restart"/>
                  <w:tcBorders>
                    <w:tl2br w:val="nil"/>
                    <w:tr2bl w:val="nil"/>
                  </w:tcBorders>
                  <w:noWrap w:val="0"/>
                  <w:vAlign w:val="center"/>
                </w:tcPr>
                <w:p w14:paraId="4707916F">
                  <w:pPr>
                    <w:pStyle w:val="a3"/>
                    <w:spacing w:line="240" w:lineRule="auto"/>
                    <w:rPr>
                      <w:rFonts w:ascii="Times New Roman" w:eastAsia="宋体" w:hAnsi="Times New Roman" w:cs="Times New Roman" w:hint="default"/>
                      <w:b/>
                      <w:bCs/>
                      <w:color w:val="auto"/>
                      <w:sz w:val="21"/>
                      <w:szCs w:val="21"/>
                    </w:rPr>
                  </w:pPr>
                  <w:r>
                    <w:rPr>
                      <w:rFonts w:ascii="Times New Roman" w:eastAsia="宋体" w:hAnsi="Times New Roman" w:cs="Times New Roman" w:hint="default"/>
                      <w:color w:val="auto"/>
                      <w:sz w:val="21"/>
                      <w:szCs w:val="21"/>
                    </w:rPr>
                    <w:t>河北省</w:t>
                  </w:r>
                </w:p>
              </w:tc>
              <w:tc>
                <w:tcPr>
                  <w:tcW w:w="231" w:type="pct"/>
                  <w:vMerge w:val="restart"/>
                  <w:tcBorders>
                    <w:tl2br w:val="nil"/>
                    <w:tr2bl w:val="nil"/>
                  </w:tcBorders>
                  <w:noWrap w:val="0"/>
                  <w:vAlign w:val="center"/>
                </w:tcPr>
                <w:p w14:paraId="34F76837">
                  <w:pPr>
                    <w:pStyle w:val="a3"/>
                    <w:spacing w:line="240" w:lineRule="auto"/>
                    <w:rPr>
                      <w:rFonts w:ascii="Times New Roman" w:eastAsia="宋体" w:hAnsi="Times New Roman" w:cs="Times New Roman" w:hint="default"/>
                      <w:b/>
                      <w:bCs/>
                      <w:color w:val="auto"/>
                      <w:sz w:val="21"/>
                      <w:szCs w:val="21"/>
                    </w:rPr>
                  </w:pPr>
                  <w:r>
                    <w:rPr>
                      <w:rFonts w:ascii="Times New Roman" w:eastAsia="宋体" w:hAnsi="Times New Roman" w:cs="Times New Roman" w:hint="default"/>
                      <w:color w:val="auto"/>
                      <w:sz w:val="21"/>
                      <w:szCs w:val="21"/>
                    </w:rPr>
                    <w:t>承德市</w:t>
                  </w:r>
                </w:p>
              </w:tc>
              <w:tc>
                <w:tcPr>
                  <w:tcW w:w="332" w:type="pct"/>
                  <w:vMerge w:val="restart"/>
                  <w:tcBorders>
                    <w:tl2br w:val="nil"/>
                    <w:tr2bl w:val="nil"/>
                  </w:tcBorders>
                  <w:noWrap w:val="0"/>
                  <w:vAlign w:val="center"/>
                </w:tcPr>
                <w:p w14:paraId="47CDB457">
                  <w:pPr>
                    <w:pStyle w:val="a3"/>
                    <w:spacing w:line="240" w:lineRule="auto"/>
                    <w:rPr>
                      <w:rFonts w:ascii="Times New Roman" w:eastAsia="宋体" w:hAnsi="Times New Roman" w:cs="Times New Roman" w:hint="default"/>
                      <w:b/>
                      <w:bCs/>
                      <w:color w:val="auto"/>
                      <w:sz w:val="21"/>
                      <w:szCs w:val="21"/>
                    </w:rPr>
                  </w:pPr>
                  <w:r>
                    <w:rPr>
                      <w:rFonts w:ascii="Times New Roman" w:eastAsia="宋体" w:hAnsi="Times New Roman" w:cs="Times New Roman" w:hint="default"/>
                      <w:color w:val="auto"/>
                      <w:sz w:val="21"/>
                      <w:szCs w:val="21"/>
                    </w:rPr>
                    <w:t>围场满族蒙古族自治县</w:t>
                  </w:r>
                </w:p>
              </w:tc>
              <w:tc>
                <w:tcPr>
                  <w:tcW w:w="270" w:type="pct"/>
                  <w:vMerge w:val="restart"/>
                  <w:tcBorders>
                    <w:tl2br w:val="nil"/>
                    <w:tr2bl w:val="nil"/>
                  </w:tcBorders>
                  <w:noWrap w:val="0"/>
                  <w:vAlign w:val="center"/>
                </w:tcPr>
                <w:p w14:paraId="5FCD7F2B">
                  <w:pPr>
                    <w:pStyle w:val="a3"/>
                    <w:spacing w:line="240" w:lineRule="auto"/>
                    <w:rPr>
                      <w:rFonts w:ascii="Times New Roman" w:eastAsia="宋体" w:hAnsi="Times New Roman" w:cs="Times New Roman" w:hint="default"/>
                      <w:b/>
                      <w:bCs/>
                      <w:color w:val="auto"/>
                      <w:sz w:val="21"/>
                      <w:szCs w:val="21"/>
                    </w:rPr>
                  </w:pPr>
                  <w:r>
                    <w:rPr>
                      <w:rFonts w:ascii="Times New Roman" w:eastAsia="宋体" w:hAnsi="Times New Roman" w:cs="Times New Roman" w:hint="default"/>
                      <w:b w:val="0"/>
                      <w:bCs w:val="0"/>
                      <w:color w:val="auto"/>
                      <w:sz w:val="21"/>
                      <w:szCs w:val="21"/>
                      <w:lang w:eastAsia="zh-CN"/>
                    </w:rPr>
                    <w:t>半截塔镇</w:t>
                  </w:r>
                </w:p>
              </w:tc>
              <w:tc>
                <w:tcPr>
                  <w:tcW w:w="332" w:type="pct"/>
                  <w:vMerge w:val="restart"/>
                  <w:tcBorders>
                    <w:tl2br w:val="nil"/>
                    <w:tr2bl w:val="nil"/>
                  </w:tcBorders>
                  <w:noWrap w:val="0"/>
                  <w:vAlign w:val="center"/>
                </w:tcPr>
                <w:p w14:paraId="2CDAF7E8">
                  <w:pPr>
                    <w:pStyle w:val="a3"/>
                    <w:spacing w:line="240" w:lineRule="auto"/>
                    <w:rPr>
                      <w:rFonts w:ascii="Times New Roman" w:eastAsia="宋体" w:hAnsi="Times New Roman" w:cs="Times New Roman" w:hint="default"/>
                      <w:b/>
                      <w:bCs/>
                      <w:color w:val="auto"/>
                      <w:sz w:val="21"/>
                      <w:szCs w:val="21"/>
                    </w:rPr>
                  </w:pPr>
                  <w:r>
                    <w:rPr>
                      <w:rFonts w:ascii="Times New Roman" w:eastAsia="宋体" w:hAnsi="Times New Roman" w:cs="Times New Roman" w:hint="default"/>
                      <w:color w:val="auto"/>
                      <w:sz w:val="22"/>
                      <w:szCs w:val="22"/>
                    </w:rPr>
                    <w:t>一般管控单元</w:t>
                  </w:r>
                </w:p>
              </w:tc>
              <w:tc>
                <w:tcPr>
                  <w:tcW w:w="432" w:type="pct"/>
                  <w:vMerge w:val="restart"/>
                  <w:tcBorders>
                    <w:tl2br w:val="nil"/>
                    <w:tr2bl w:val="nil"/>
                  </w:tcBorders>
                  <w:noWrap w:val="0"/>
                  <w:vAlign w:val="center"/>
                </w:tcPr>
                <w:p w14:paraId="60A5B993">
                  <w:pPr>
                    <w:pStyle w:val="R-"/>
                    <w:spacing w:line="360" w:lineRule="exact"/>
                    <w:rPr>
                      <w:rFonts w:ascii="Times New Roman" w:eastAsia="宋体" w:hAnsi="Times New Roman" w:cs="Times New Roman" w:hint="default"/>
                      <w:b/>
                      <w:bCs/>
                      <w:color w:val="auto"/>
                      <w:sz w:val="21"/>
                      <w:szCs w:val="21"/>
                    </w:rPr>
                  </w:pPr>
                  <w:r>
                    <w:rPr>
                      <w:rFonts w:ascii="Times New Roman" w:eastAsia="宋体" w:hAnsi="Times New Roman" w:cs="Times New Roman" w:hint="default"/>
                      <w:color w:val="auto"/>
                      <w:sz w:val="22"/>
                      <w:szCs w:val="22"/>
                    </w:rPr>
                    <w:t>一般管控区</w:t>
                  </w:r>
                </w:p>
              </w:tc>
              <w:tc>
                <w:tcPr>
                  <w:tcW w:w="455" w:type="pct"/>
                  <w:tcBorders>
                    <w:tl2br w:val="nil"/>
                    <w:tr2bl w:val="nil"/>
                  </w:tcBorders>
                  <w:noWrap w:val="0"/>
                  <w:vAlign w:val="center"/>
                </w:tcPr>
                <w:p w14:paraId="153ED0F1">
                  <w:pPr>
                    <w:pStyle w:val="a3"/>
                    <w:spacing w:line="240" w:lineRule="auto"/>
                    <w:rPr>
                      <w:rFonts w:ascii="Times New Roman" w:eastAsia="宋体" w:hAnsi="Times New Roman" w:cs="Times New Roman" w:hint="default"/>
                      <w:b/>
                      <w:bCs/>
                      <w:color w:val="auto"/>
                      <w:sz w:val="21"/>
                      <w:szCs w:val="21"/>
                    </w:rPr>
                  </w:pPr>
                  <w:r>
                    <w:rPr>
                      <w:rFonts w:ascii="Times New Roman" w:eastAsia="宋体" w:hAnsi="Times New Roman" w:cs="Times New Roman" w:hint="default"/>
                      <w:color w:val="auto"/>
                      <w:sz w:val="21"/>
                      <w:szCs w:val="21"/>
                    </w:rPr>
                    <w:t>空间布局约束</w:t>
                  </w:r>
                </w:p>
              </w:tc>
              <w:tc>
                <w:tcPr>
                  <w:tcW w:w="951" w:type="pct"/>
                  <w:vMerge w:val="restart"/>
                  <w:tcBorders>
                    <w:tl2br w:val="nil"/>
                    <w:tr2bl w:val="nil"/>
                  </w:tcBorders>
                  <w:noWrap w:val="0"/>
                  <w:vAlign w:val="center"/>
                </w:tcPr>
                <w:p w14:paraId="540E4591">
                  <w:pPr>
                    <w:pStyle w:val="a3"/>
                    <w:spacing w:line="240" w:lineRule="auto"/>
                    <w:rPr>
                      <w:rFonts w:ascii="Times New Roman" w:eastAsia="宋体" w:hAnsi="Times New Roman" w:cs="Times New Roman" w:hint="default"/>
                      <w:b/>
                      <w:bCs/>
                      <w:color w:val="auto"/>
                      <w:sz w:val="21"/>
                      <w:szCs w:val="21"/>
                    </w:rPr>
                  </w:pPr>
                  <w:r>
                    <w:rPr>
                      <w:rFonts w:ascii="Times New Roman" w:eastAsia="宋体" w:hAnsi="Times New Roman" w:cs="Times New Roman" w:hint="default"/>
                      <w:b w:val="0"/>
                      <w:bCs w:val="0"/>
                      <w:color w:val="auto"/>
                      <w:sz w:val="21"/>
                      <w:szCs w:val="21"/>
                    </w:rPr>
                    <w:t>1.严格执行国家和省关于产业准入、总量控制和污染物排放标准等管控要求。</w:t>
                  </w:r>
                </w:p>
              </w:tc>
              <w:tc>
                <w:tcPr>
                  <w:tcW w:w="1202" w:type="pct"/>
                  <w:vMerge w:val="restart"/>
                  <w:tcBorders>
                    <w:tl2br w:val="nil"/>
                    <w:tr2bl w:val="nil"/>
                  </w:tcBorders>
                  <w:noWrap w:val="0"/>
                  <w:vAlign w:val="center"/>
                </w:tcPr>
                <w:p w14:paraId="6DF2B4E5">
                  <w:pPr>
                    <w:pStyle w:val="a3"/>
                    <w:spacing w:line="240" w:lineRule="auto"/>
                    <w:rPr>
                      <w:rFonts w:ascii="Times New Roman" w:eastAsia="宋体" w:hAnsi="Times New Roman" w:cs="Times New Roman" w:hint="default"/>
                      <w:b/>
                      <w:bCs/>
                      <w:color w:val="auto"/>
                      <w:sz w:val="21"/>
                      <w:szCs w:val="21"/>
                      <w:lang w:val="en-US" w:eastAsia="zh-CN"/>
                    </w:rPr>
                  </w:pPr>
                  <w:r>
                    <w:rPr>
                      <w:rFonts w:ascii="Times New Roman" w:eastAsia="宋体" w:hAnsi="Times New Roman" w:cs="Times New Roman" w:hint="default"/>
                      <w:b w:val="0"/>
                      <w:bCs w:val="0"/>
                      <w:color w:val="auto"/>
                      <w:sz w:val="21"/>
                      <w:szCs w:val="21"/>
                      <w:lang w:val="en-US" w:eastAsia="zh-CN"/>
                    </w:rPr>
                    <w:t>本项目</w:t>
                  </w:r>
                  <w:r>
                    <w:rPr>
                      <w:rFonts w:ascii="Times New Roman" w:eastAsia="宋体" w:hAnsi="Times New Roman" w:cs="Times New Roman" w:hint="default"/>
                      <w:color w:val="auto"/>
                      <w:sz w:val="21"/>
                      <w:szCs w:val="21"/>
                    </w:rPr>
                    <w:t>为</w:t>
                  </w:r>
                  <w:r>
                    <w:rPr>
                      <w:rFonts w:ascii="Times New Roman" w:eastAsia="宋体" w:hAnsi="Times New Roman" w:cs="Times New Roman" w:hint="default"/>
                      <w:color w:val="auto"/>
                      <w:sz w:val="21"/>
                      <w:szCs w:val="21"/>
                      <w:lang w:val="en-US" w:eastAsia="zh-CN"/>
                    </w:rPr>
                    <w:t>储能项目</w:t>
                  </w:r>
                  <w:r>
                    <w:rPr>
                      <w:rFonts w:ascii="Times New Roman" w:eastAsia="宋体" w:hAnsi="Times New Roman" w:cs="Times New Roman" w:hint="default"/>
                      <w:b w:val="0"/>
                      <w:bCs w:val="0"/>
                      <w:color w:val="auto"/>
                      <w:sz w:val="21"/>
                      <w:szCs w:val="21"/>
                      <w:lang w:val="en-US" w:eastAsia="zh-CN"/>
                    </w:rPr>
                    <w:t>用地性质为公用设施用地，</w:t>
                  </w:r>
                  <w:r>
                    <w:rPr>
                      <w:rFonts w:cs="Times New Roman" w:hint="eastAsia"/>
                      <w:b w:val="0"/>
                      <w:bCs w:val="0"/>
                      <w:color w:val="auto"/>
                      <w:sz w:val="21"/>
                      <w:szCs w:val="21"/>
                      <w:lang w:val="en-US" w:eastAsia="zh-CN"/>
                    </w:rPr>
                    <w:t>经对照《市场准入负面清单（2022年版）》，</w:t>
                  </w:r>
                  <w:r>
                    <w:rPr>
                      <w:rFonts w:ascii="Times New Roman" w:eastAsia="宋体" w:hAnsi="Times New Roman" w:cs="Times New Roman" w:hint="default"/>
                      <w:b w:val="0"/>
                      <w:bCs w:val="0"/>
                      <w:color w:val="auto"/>
                      <w:sz w:val="21"/>
                      <w:szCs w:val="21"/>
                      <w:lang w:val="en-US" w:eastAsia="zh-CN"/>
                    </w:rPr>
                    <w:t>项目满足</w:t>
                  </w:r>
                  <w:r>
                    <w:rPr>
                      <w:rFonts w:ascii="Times New Roman" w:eastAsia="宋体" w:hAnsi="Times New Roman" w:cs="Times New Roman" w:hint="default"/>
                      <w:b w:val="0"/>
                      <w:bCs w:val="0"/>
                      <w:color w:val="auto"/>
                      <w:sz w:val="21"/>
                      <w:szCs w:val="21"/>
                    </w:rPr>
                    <w:t>国家和省关于产业准入、</w:t>
                  </w:r>
                  <w:r>
                    <w:rPr>
                      <w:rFonts w:cs="Times New Roman" w:hint="eastAsia"/>
                      <w:b w:val="0"/>
                      <w:bCs w:val="0"/>
                      <w:color w:val="auto"/>
                      <w:sz w:val="21"/>
                      <w:szCs w:val="21"/>
                      <w:lang w:val="en-US" w:eastAsia="zh-CN"/>
                    </w:rPr>
                    <w:t>本项目运行期无废气排放。废水处理后回用不外排，污染物</w:t>
                  </w:r>
                  <w:r>
                    <w:rPr>
                      <w:rFonts w:ascii="Times New Roman" w:eastAsia="宋体" w:hAnsi="Times New Roman" w:cs="Times New Roman" w:hint="default"/>
                      <w:b w:val="0"/>
                      <w:bCs w:val="0"/>
                      <w:color w:val="auto"/>
                      <w:sz w:val="21"/>
                      <w:szCs w:val="21"/>
                    </w:rPr>
                    <w:t>总量控制和污染物排放标准等管控要求。</w:t>
                  </w:r>
                </w:p>
              </w:tc>
              <w:tc>
                <w:tcPr>
                  <w:tcW w:w="302" w:type="pct"/>
                  <w:vMerge w:val="restart"/>
                  <w:tcBorders>
                    <w:tl2br w:val="nil"/>
                    <w:tr2bl w:val="nil"/>
                  </w:tcBorders>
                  <w:noWrap w:val="0"/>
                  <w:vAlign w:val="center"/>
                </w:tcPr>
                <w:p w14:paraId="354A6694">
                  <w:pPr>
                    <w:pStyle w:val="a3"/>
                    <w:spacing w:line="240" w:lineRule="auto"/>
                    <w:rPr>
                      <w:rFonts w:ascii="Times New Roman" w:eastAsia="宋体" w:hAnsi="Times New Roman" w:cs="Times New Roman" w:hint="default"/>
                      <w:b/>
                      <w:bCs/>
                      <w:color w:val="auto"/>
                      <w:sz w:val="21"/>
                      <w:szCs w:val="21"/>
                    </w:rPr>
                  </w:pPr>
                  <w:r>
                    <w:rPr>
                      <w:rFonts w:ascii="Times New Roman" w:eastAsia="宋体" w:hAnsi="Times New Roman" w:cs="Times New Roman" w:hint="default"/>
                      <w:color w:val="auto"/>
                      <w:sz w:val="21"/>
                      <w:szCs w:val="21"/>
                    </w:rPr>
                    <w:t>符合</w:t>
                  </w:r>
                </w:p>
              </w:tc>
            </w:tr>
            <w:tr w14:paraId="75C5FFC0">
              <w:tblPrEx>
                <w:tblW w:w="4995" w:type="pct"/>
                <w:jc w:val="center"/>
                <w:tblLayout w:type="fixed"/>
                <w:tblCellMar>
                  <w:top w:w="0" w:type="dxa"/>
                  <w:left w:w="108" w:type="dxa"/>
                  <w:bottom w:w="0" w:type="dxa"/>
                  <w:right w:w="108" w:type="dxa"/>
                </w:tblCellMar>
              </w:tblPrEx>
              <w:trPr>
                <w:trHeight w:val="766"/>
                <w:jc w:val="center"/>
              </w:trPr>
              <w:tc>
                <w:tcPr>
                  <w:tcW w:w="248" w:type="pct"/>
                  <w:vMerge/>
                  <w:tcBorders>
                    <w:tl2br w:val="nil"/>
                    <w:tr2bl w:val="nil"/>
                  </w:tcBorders>
                  <w:noWrap w:val="0"/>
                  <w:vAlign w:val="center"/>
                </w:tcPr>
                <w:p w14:paraId="78EF88E0">
                  <w:pPr>
                    <w:pStyle w:val="a3"/>
                    <w:spacing w:line="240" w:lineRule="auto"/>
                    <w:rPr>
                      <w:rFonts w:ascii="Times New Roman" w:eastAsia="宋体" w:hAnsi="Times New Roman" w:cs="Times New Roman" w:hint="default"/>
                      <w:color w:val="auto"/>
                    </w:rPr>
                  </w:pPr>
                </w:p>
              </w:tc>
              <w:tc>
                <w:tcPr>
                  <w:tcW w:w="240" w:type="pct"/>
                  <w:vMerge/>
                  <w:tcBorders>
                    <w:tl2br w:val="nil"/>
                    <w:tr2bl w:val="nil"/>
                  </w:tcBorders>
                  <w:noWrap w:val="0"/>
                  <w:vAlign w:val="center"/>
                </w:tcPr>
                <w:p w14:paraId="73E819EC">
                  <w:pPr>
                    <w:pStyle w:val="a3"/>
                    <w:spacing w:line="240" w:lineRule="auto"/>
                    <w:rPr>
                      <w:rFonts w:ascii="Times New Roman" w:eastAsia="宋体" w:hAnsi="Times New Roman" w:cs="Times New Roman" w:hint="default"/>
                      <w:color w:val="auto"/>
                    </w:rPr>
                  </w:pPr>
                </w:p>
              </w:tc>
              <w:tc>
                <w:tcPr>
                  <w:tcW w:w="231" w:type="pct"/>
                  <w:vMerge/>
                  <w:tcBorders>
                    <w:tl2br w:val="nil"/>
                    <w:tr2bl w:val="nil"/>
                  </w:tcBorders>
                  <w:noWrap w:val="0"/>
                  <w:vAlign w:val="center"/>
                </w:tcPr>
                <w:p w14:paraId="08503C16">
                  <w:pPr>
                    <w:pStyle w:val="a3"/>
                    <w:spacing w:line="240" w:lineRule="auto"/>
                    <w:rPr>
                      <w:rFonts w:ascii="Times New Roman" w:eastAsia="宋体" w:hAnsi="Times New Roman" w:cs="Times New Roman" w:hint="default"/>
                      <w:color w:val="auto"/>
                    </w:rPr>
                  </w:pPr>
                </w:p>
              </w:tc>
              <w:tc>
                <w:tcPr>
                  <w:tcW w:w="332" w:type="pct"/>
                  <w:vMerge/>
                  <w:tcBorders>
                    <w:tl2br w:val="nil"/>
                    <w:tr2bl w:val="nil"/>
                  </w:tcBorders>
                  <w:noWrap w:val="0"/>
                  <w:vAlign w:val="center"/>
                </w:tcPr>
                <w:p w14:paraId="385E52A9">
                  <w:pPr>
                    <w:pStyle w:val="a3"/>
                    <w:spacing w:line="240" w:lineRule="auto"/>
                    <w:rPr>
                      <w:rFonts w:ascii="Times New Roman" w:eastAsia="宋体" w:hAnsi="Times New Roman" w:cs="Times New Roman" w:hint="default"/>
                      <w:color w:val="auto"/>
                    </w:rPr>
                  </w:pPr>
                </w:p>
              </w:tc>
              <w:tc>
                <w:tcPr>
                  <w:tcW w:w="270" w:type="pct"/>
                  <w:vMerge/>
                  <w:tcBorders>
                    <w:tl2br w:val="nil"/>
                    <w:tr2bl w:val="nil"/>
                  </w:tcBorders>
                  <w:noWrap w:val="0"/>
                  <w:vAlign w:val="center"/>
                </w:tcPr>
                <w:p w14:paraId="307D7B9E">
                  <w:pPr>
                    <w:pStyle w:val="a3"/>
                    <w:spacing w:line="240" w:lineRule="auto"/>
                    <w:rPr>
                      <w:rFonts w:ascii="Times New Roman" w:eastAsia="宋体" w:hAnsi="Times New Roman" w:cs="Times New Roman" w:hint="default"/>
                      <w:color w:val="auto"/>
                    </w:rPr>
                  </w:pPr>
                </w:p>
              </w:tc>
              <w:tc>
                <w:tcPr>
                  <w:tcW w:w="332" w:type="pct"/>
                  <w:vMerge/>
                  <w:tcBorders>
                    <w:tl2br w:val="nil"/>
                    <w:tr2bl w:val="nil"/>
                  </w:tcBorders>
                  <w:noWrap w:val="0"/>
                  <w:vAlign w:val="center"/>
                </w:tcPr>
                <w:p w14:paraId="5929055F">
                  <w:pPr>
                    <w:pStyle w:val="a3"/>
                    <w:spacing w:line="240" w:lineRule="auto"/>
                    <w:rPr>
                      <w:rFonts w:ascii="Times New Roman" w:eastAsia="宋体" w:hAnsi="Times New Roman" w:cs="Times New Roman" w:hint="default"/>
                      <w:color w:val="auto"/>
                    </w:rPr>
                  </w:pPr>
                </w:p>
              </w:tc>
              <w:tc>
                <w:tcPr>
                  <w:tcW w:w="432" w:type="pct"/>
                  <w:vMerge/>
                  <w:tcBorders>
                    <w:tl2br w:val="nil"/>
                    <w:tr2bl w:val="nil"/>
                  </w:tcBorders>
                  <w:noWrap w:val="0"/>
                  <w:vAlign w:val="center"/>
                </w:tcPr>
                <w:p w14:paraId="323CFAD5">
                  <w:pPr>
                    <w:pStyle w:val="a3"/>
                    <w:spacing w:line="240" w:lineRule="auto"/>
                    <w:rPr>
                      <w:rFonts w:ascii="Times New Roman" w:eastAsia="宋体" w:hAnsi="Times New Roman" w:cs="Times New Roman" w:hint="default"/>
                      <w:color w:val="auto"/>
                    </w:rPr>
                  </w:pPr>
                </w:p>
              </w:tc>
              <w:tc>
                <w:tcPr>
                  <w:tcW w:w="455" w:type="pct"/>
                  <w:tcBorders>
                    <w:tl2br w:val="nil"/>
                    <w:tr2bl w:val="nil"/>
                  </w:tcBorders>
                  <w:noWrap w:val="0"/>
                  <w:vAlign w:val="center"/>
                </w:tcPr>
                <w:p w14:paraId="1F12839F">
                  <w:pPr>
                    <w:pStyle w:val="a3"/>
                    <w:spacing w:line="240" w:lineRule="auto"/>
                    <w:rPr>
                      <w:rFonts w:ascii="Times New Roman" w:eastAsia="宋体" w:hAnsi="Times New Roman" w:cs="Times New Roman" w:hint="default"/>
                      <w:b/>
                      <w:bCs/>
                      <w:color w:val="auto"/>
                      <w:sz w:val="21"/>
                      <w:szCs w:val="21"/>
                    </w:rPr>
                  </w:pPr>
                  <w:r>
                    <w:rPr>
                      <w:rFonts w:ascii="Times New Roman" w:eastAsia="宋体" w:hAnsi="Times New Roman" w:cs="Times New Roman" w:hint="default"/>
                      <w:color w:val="auto"/>
                      <w:sz w:val="21"/>
                      <w:szCs w:val="21"/>
                    </w:rPr>
                    <w:t>污染物排放管控</w:t>
                  </w:r>
                </w:p>
              </w:tc>
              <w:tc>
                <w:tcPr>
                  <w:tcW w:w="951" w:type="pct"/>
                  <w:vMerge/>
                  <w:tcBorders>
                    <w:tl2br w:val="nil"/>
                    <w:tr2bl w:val="nil"/>
                  </w:tcBorders>
                  <w:noWrap w:val="0"/>
                  <w:vAlign w:val="center"/>
                </w:tcPr>
                <w:p w14:paraId="3100BBCD">
                  <w:pPr>
                    <w:pStyle w:val="a3"/>
                    <w:spacing w:line="240" w:lineRule="auto"/>
                    <w:rPr>
                      <w:rFonts w:ascii="Times New Roman" w:eastAsia="宋体" w:hAnsi="Times New Roman" w:cs="Times New Roman" w:hint="default"/>
                      <w:b/>
                      <w:bCs/>
                      <w:color w:val="auto"/>
                      <w:sz w:val="21"/>
                      <w:szCs w:val="21"/>
                    </w:rPr>
                  </w:pPr>
                </w:p>
              </w:tc>
              <w:tc>
                <w:tcPr>
                  <w:tcW w:w="1202" w:type="pct"/>
                  <w:vMerge/>
                  <w:tcBorders>
                    <w:tl2br w:val="nil"/>
                    <w:tr2bl w:val="nil"/>
                  </w:tcBorders>
                  <w:noWrap w:val="0"/>
                  <w:vAlign w:val="center"/>
                </w:tcPr>
                <w:p w14:paraId="1CEA02DE">
                  <w:pPr>
                    <w:pStyle w:val="a3"/>
                    <w:spacing w:line="240" w:lineRule="auto"/>
                    <w:rPr>
                      <w:rFonts w:ascii="Times New Roman" w:eastAsia="宋体" w:hAnsi="Times New Roman" w:cs="Times New Roman" w:hint="default"/>
                      <w:b/>
                      <w:bCs/>
                      <w:color w:val="auto"/>
                      <w:sz w:val="21"/>
                      <w:szCs w:val="21"/>
                    </w:rPr>
                  </w:pPr>
                </w:p>
              </w:tc>
              <w:tc>
                <w:tcPr>
                  <w:tcW w:w="302" w:type="pct"/>
                  <w:vMerge/>
                  <w:tcBorders>
                    <w:tl2br w:val="nil"/>
                    <w:tr2bl w:val="nil"/>
                  </w:tcBorders>
                  <w:noWrap w:val="0"/>
                  <w:vAlign w:val="center"/>
                </w:tcPr>
                <w:p w14:paraId="77F00F96">
                  <w:pPr>
                    <w:pStyle w:val="a3"/>
                    <w:spacing w:line="240" w:lineRule="auto"/>
                    <w:rPr>
                      <w:rFonts w:ascii="Times New Roman" w:eastAsia="宋体" w:hAnsi="Times New Roman" w:cs="Times New Roman" w:hint="default"/>
                      <w:b/>
                      <w:bCs/>
                      <w:color w:val="auto"/>
                      <w:sz w:val="21"/>
                      <w:szCs w:val="21"/>
                    </w:rPr>
                  </w:pPr>
                </w:p>
              </w:tc>
            </w:tr>
            <w:tr w14:paraId="7D169737">
              <w:tblPrEx>
                <w:tblW w:w="4995" w:type="pct"/>
                <w:jc w:val="center"/>
                <w:tblLayout w:type="fixed"/>
                <w:tblCellMar>
                  <w:top w:w="0" w:type="dxa"/>
                  <w:left w:w="108" w:type="dxa"/>
                  <w:bottom w:w="0" w:type="dxa"/>
                  <w:right w:w="108" w:type="dxa"/>
                </w:tblCellMar>
              </w:tblPrEx>
              <w:trPr>
                <w:trHeight w:val="766"/>
                <w:jc w:val="center"/>
              </w:trPr>
              <w:tc>
                <w:tcPr>
                  <w:tcW w:w="248" w:type="pct"/>
                  <w:vMerge/>
                  <w:tcBorders>
                    <w:tl2br w:val="nil"/>
                    <w:tr2bl w:val="nil"/>
                  </w:tcBorders>
                  <w:noWrap w:val="0"/>
                  <w:vAlign w:val="center"/>
                </w:tcPr>
                <w:p w14:paraId="29F4A454">
                  <w:pPr>
                    <w:pStyle w:val="a3"/>
                    <w:spacing w:line="240" w:lineRule="auto"/>
                    <w:rPr>
                      <w:rFonts w:ascii="Times New Roman" w:eastAsia="宋体" w:hAnsi="Times New Roman" w:cs="Times New Roman" w:hint="default"/>
                      <w:b/>
                      <w:bCs/>
                      <w:color w:val="auto"/>
                      <w:sz w:val="21"/>
                      <w:szCs w:val="21"/>
                    </w:rPr>
                  </w:pPr>
                </w:p>
              </w:tc>
              <w:tc>
                <w:tcPr>
                  <w:tcW w:w="240" w:type="pct"/>
                  <w:vMerge/>
                  <w:tcBorders>
                    <w:tl2br w:val="nil"/>
                    <w:tr2bl w:val="nil"/>
                  </w:tcBorders>
                  <w:noWrap w:val="0"/>
                  <w:vAlign w:val="center"/>
                </w:tcPr>
                <w:p w14:paraId="0A3AF9C1">
                  <w:pPr>
                    <w:pStyle w:val="a3"/>
                    <w:spacing w:line="240" w:lineRule="auto"/>
                    <w:rPr>
                      <w:rFonts w:ascii="Times New Roman" w:eastAsia="宋体" w:hAnsi="Times New Roman" w:cs="Times New Roman" w:hint="default"/>
                      <w:b/>
                      <w:bCs/>
                      <w:color w:val="auto"/>
                      <w:sz w:val="21"/>
                      <w:szCs w:val="21"/>
                    </w:rPr>
                  </w:pPr>
                </w:p>
              </w:tc>
              <w:tc>
                <w:tcPr>
                  <w:tcW w:w="231" w:type="pct"/>
                  <w:vMerge/>
                  <w:tcBorders>
                    <w:tl2br w:val="nil"/>
                    <w:tr2bl w:val="nil"/>
                  </w:tcBorders>
                  <w:noWrap w:val="0"/>
                  <w:vAlign w:val="center"/>
                </w:tcPr>
                <w:p w14:paraId="64E33B48">
                  <w:pPr>
                    <w:pStyle w:val="a3"/>
                    <w:spacing w:line="240" w:lineRule="auto"/>
                    <w:rPr>
                      <w:rFonts w:ascii="Times New Roman" w:eastAsia="宋体" w:hAnsi="Times New Roman" w:cs="Times New Roman" w:hint="default"/>
                      <w:b/>
                      <w:bCs/>
                      <w:color w:val="auto"/>
                      <w:sz w:val="21"/>
                      <w:szCs w:val="21"/>
                    </w:rPr>
                  </w:pPr>
                </w:p>
              </w:tc>
              <w:tc>
                <w:tcPr>
                  <w:tcW w:w="332" w:type="pct"/>
                  <w:vMerge/>
                  <w:tcBorders>
                    <w:tl2br w:val="nil"/>
                    <w:tr2bl w:val="nil"/>
                  </w:tcBorders>
                  <w:noWrap w:val="0"/>
                  <w:vAlign w:val="center"/>
                </w:tcPr>
                <w:p w14:paraId="12B9ABA9">
                  <w:pPr>
                    <w:pStyle w:val="a3"/>
                    <w:spacing w:line="240" w:lineRule="auto"/>
                    <w:rPr>
                      <w:rFonts w:ascii="Times New Roman" w:eastAsia="宋体" w:hAnsi="Times New Roman" w:cs="Times New Roman" w:hint="default"/>
                      <w:b/>
                      <w:bCs/>
                      <w:color w:val="auto"/>
                      <w:sz w:val="21"/>
                      <w:szCs w:val="21"/>
                    </w:rPr>
                  </w:pPr>
                </w:p>
              </w:tc>
              <w:tc>
                <w:tcPr>
                  <w:tcW w:w="270" w:type="pct"/>
                  <w:vMerge/>
                  <w:tcBorders>
                    <w:tl2br w:val="nil"/>
                    <w:tr2bl w:val="nil"/>
                  </w:tcBorders>
                  <w:noWrap w:val="0"/>
                  <w:vAlign w:val="center"/>
                </w:tcPr>
                <w:p w14:paraId="7708098E">
                  <w:pPr>
                    <w:pStyle w:val="a3"/>
                    <w:spacing w:line="240" w:lineRule="auto"/>
                    <w:rPr>
                      <w:rFonts w:ascii="Times New Roman" w:eastAsia="宋体" w:hAnsi="Times New Roman" w:cs="Times New Roman" w:hint="default"/>
                      <w:b/>
                      <w:bCs/>
                      <w:color w:val="auto"/>
                      <w:sz w:val="21"/>
                      <w:szCs w:val="21"/>
                    </w:rPr>
                  </w:pPr>
                </w:p>
              </w:tc>
              <w:tc>
                <w:tcPr>
                  <w:tcW w:w="332" w:type="pct"/>
                  <w:vMerge/>
                  <w:tcBorders>
                    <w:tl2br w:val="nil"/>
                    <w:tr2bl w:val="nil"/>
                  </w:tcBorders>
                  <w:noWrap w:val="0"/>
                  <w:vAlign w:val="center"/>
                </w:tcPr>
                <w:p w14:paraId="20ACE35D">
                  <w:pPr>
                    <w:pStyle w:val="a3"/>
                    <w:spacing w:line="240" w:lineRule="auto"/>
                    <w:rPr>
                      <w:rFonts w:ascii="Times New Roman" w:eastAsia="宋体" w:hAnsi="Times New Roman" w:cs="Times New Roman" w:hint="default"/>
                      <w:b/>
                      <w:bCs/>
                      <w:color w:val="auto"/>
                      <w:sz w:val="21"/>
                      <w:szCs w:val="21"/>
                    </w:rPr>
                  </w:pPr>
                </w:p>
              </w:tc>
              <w:tc>
                <w:tcPr>
                  <w:tcW w:w="432" w:type="pct"/>
                  <w:vMerge/>
                  <w:tcBorders>
                    <w:tl2br w:val="nil"/>
                    <w:tr2bl w:val="nil"/>
                  </w:tcBorders>
                  <w:noWrap w:val="0"/>
                  <w:vAlign w:val="center"/>
                </w:tcPr>
                <w:p w14:paraId="32D07F30">
                  <w:pPr>
                    <w:pStyle w:val="a3"/>
                    <w:spacing w:line="240" w:lineRule="auto"/>
                    <w:rPr>
                      <w:rFonts w:ascii="Times New Roman" w:eastAsia="宋体" w:hAnsi="Times New Roman" w:cs="Times New Roman" w:hint="default"/>
                      <w:b/>
                      <w:bCs/>
                      <w:color w:val="auto"/>
                      <w:sz w:val="21"/>
                      <w:szCs w:val="21"/>
                    </w:rPr>
                  </w:pPr>
                </w:p>
              </w:tc>
              <w:tc>
                <w:tcPr>
                  <w:tcW w:w="455" w:type="pct"/>
                  <w:tcBorders>
                    <w:tl2br w:val="nil"/>
                    <w:tr2bl w:val="nil"/>
                  </w:tcBorders>
                  <w:noWrap w:val="0"/>
                  <w:vAlign w:val="center"/>
                </w:tcPr>
                <w:p w14:paraId="7A8F0A72">
                  <w:pPr>
                    <w:pStyle w:val="a3"/>
                    <w:spacing w:line="240" w:lineRule="auto"/>
                    <w:rPr>
                      <w:rFonts w:ascii="Times New Roman" w:eastAsia="宋体" w:hAnsi="Times New Roman" w:cs="Times New Roman" w:hint="default"/>
                      <w:b/>
                      <w:bCs/>
                      <w:color w:val="auto"/>
                      <w:sz w:val="21"/>
                      <w:szCs w:val="21"/>
                    </w:rPr>
                  </w:pPr>
                  <w:r>
                    <w:rPr>
                      <w:rFonts w:ascii="Times New Roman" w:eastAsia="宋体" w:hAnsi="Times New Roman" w:cs="Times New Roman" w:hint="default"/>
                      <w:color w:val="auto"/>
                      <w:sz w:val="21"/>
                      <w:szCs w:val="21"/>
                    </w:rPr>
                    <w:t>环境风险防控</w:t>
                  </w:r>
                </w:p>
              </w:tc>
              <w:tc>
                <w:tcPr>
                  <w:tcW w:w="951" w:type="pct"/>
                  <w:vMerge/>
                  <w:tcBorders>
                    <w:tl2br w:val="nil"/>
                    <w:tr2bl w:val="nil"/>
                  </w:tcBorders>
                  <w:noWrap w:val="0"/>
                  <w:vAlign w:val="center"/>
                </w:tcPr>
                <w:p w14:paraId="5135281D">
                  <w:pPr>
                    <w:pStyle w:val="a3"/>
                    <w:spacing w:line="240" w:lineRule="auto"/>
                    <w:rPr>
                      <w:rFonts w:ascii="Times New Roman" w:eastAsia="宋体" w:hAnsi="Times New Roman" w:cs="Times New Roman" w:hint="default"/>
                      <w:b/>
                      <w:bCs/>
                      <w:color w:val="auto"/>
                      <w:sz w:val="21"/>
                      <w:szCs w:val="21"/>
                    </w:rPr>
                  </w:pPr>
                </w:p>
              </w:tc>
              <w:tc>
                <w:tcPr>
                  <w:tcW w:w="1202" w:type="pct"/>
                  <w:vMerge/>
                  <w:tcBorders>
                    <w:tl2br w:val="nil"/>
                    <w:tr2bl w:val="nil"/>
                  </w:tcBorders>
                  <w:noWrap w:val="0"/>
                  <w:vAlign w:val="center"/>
                </w:tcPr>
                <w:p w14:paraId="708934CD">
                  <w:pPr>
                    <w:pStyle w:val="a3"/>
                    <w:spacing w:line="240" w:lineRule="auto"/>
                    <w:rPr>
                      <w:rFonts w:ascii="Times New Roman" w:eastAsia="宋体" w:hAnsi="Times New Roman" w:cs="Times New Roman" w:hint="default"/>
                      <w:b/>
                      <w:bCs/>
                      <w:color w:val="auto"/>
                      <w:sz w:val="21"/>
                      <w:szCs w:val="21"/>
                    </w:rPr>
                  </w:pPr>
                </w:p>
              </w:tc>
              <w:tc>
                <w:tcPr>
                  <w:tcW w:w="302" w:type="pct"/>
                  <w:vMerge/>
                  <w:tcBorders>
                    <w:tl2br w:val="nil"/>
                    <w:tr2bl w:val="nil"/>
                  </w:tcBorders>
                  <w:noWrap w:val="0"/>
                  <w:vAlign w:val="center"/>
                </w:tcPr>
                <w:p w14:paraId="733C9AD6">
                  <w:pPr>
                    <w:pStyle w:val="a3"/>
                    <w:spacing w:line="240" w:lineRule="auto"/>
                    <w:rPr>
                      <w:rFonts w:ascii="Times New Roman" w:eastAsia="宋体" w:hAnsi="Times New Roman" w:cs="Times New Roman" w:hint="default"/>
                      <w:b/>
                      <w:bCs/>
                      <w:color w:val="auto"/>
                      <w:sz w:val="21"/>
                      <w:szCs w:val="21"/>
                    </w:rPr>
                  </w:pPr>
                </w:p>
              </w:tc>
            </w:tr>
            <w:tr w14:paraId="37127930">
              <w:tblPrEx>
                <w:tblW w:w="4995" w:type="pct"/>
                <w:jc w:val="center"/>
                <w:tblLayout w:type="fixed"/>
                <w:tblCellMar>
                  <w:top w:w="0" w:type="dxa"/>
                  <w:left w:w="108" w:type="dxa"/>
                  <w:bottom w:w="0" w:type="dxa"/>
                  <w:right w:w="108" w:type="dxa"/>
                </w:tblCellMar>
              </w:tblPrEx>
              <w:trPr>
                <w:trHeight w:val="766"/>
                <w:jc w:val="center"/>
              </w:trPr>
              <w:tc>
                <w:tcPr>
                  <w:tcW w:w="248" w:type="pct"/>
                  <w:vMerge/>
                  <w:tcBorders>
                    <w:tl2br w:val="nil"/>
                    <w:tr2bl w:val="nil"/>
                  </w:tcBorders>
                  <w:noWrap w:val="0"/>
                  <w:vAlign w:val="center"/>
                </w:tcPr>
                <w:p w14:paraId="4CBF4D6A">
                  <w:pPr>
                    <w:pStyle w:val="a3"/>
                    <w:spacing w:line="240" w:lineRule="auto"/>
                    <w:rPr>
                      <w:rFonts w:ascii="Times New Roman" w:eastAsia="宋体" w:hAnsi="Times New Roman" w:cs="Times New Roman" w:hint="default"/>
                      <w:b/>
                      <w:bCs/>
                      <w:color w:val="auto"/>
                      <w:sz w:val="21"/>
                      <w:szCs w:val="21"/>
                    </w:rPr>
                  </w:pPr>
                </w:p>
              </w:tc>
              <w:tc>
                <w:tcPr>
                  <w:tcW w:w="240" w:type="pct"/>
                  <w:vMerge/>
                  <w:tcBorders>
                    <w:tl2br w:val="nil"/>
                    <w:tr2bl w:val="nil"/>
                  </w:tcBorders>
                  <w:noWrap w:val="0"/>
                  <w:vAlign w:val="center"/>
                </w:tcPr>
                <w:p w14:paraId="7B649E27">
                  <w:pPr>
                    <w:pStyle w:val="a3"/>
                    <w:spacing w:line="240" w:lineRule="auto"/>
                    <w:rPr>
                      <w:rFonts w:ascii="Times New Roman" w:eastAsia="宋体" w:hAnsi="Times New Roman" w:cs="Times New Roman" w:hint="default"/>
                      <w:b/>
                      <w:bCs/>
                      <w:color w:val="auto"/>
                      <w:sz w:val="21"/>
                      <w:szCs w:val="21"/>
                    </w:rPr>
                  </w:pPr>
                </w:p>
              </w:tc>
              <w:tc>
                <w:tcPr>
                  <w:tcW w:w="231" w:type="pct"/>
                  <w:vMerge/>
                  <w:tcBorders>
                    <w:tl2br w:val="nil"/>
                    <w:tr2bl w:val="nil"/>
                  </w:tcBorders>
                  <w:noWrap w:val="0"/>
                  <w:vAlign w:val="center"/>
                </w:tcPr>
                <w:p w14:paraId="529A1C4E">
                  <w:pPr>
                    <w:pStyle w:val="a3"/>
                    <w:spacing w:line="240" w:lineRule="auto"/>
                    <w:rPr>
                      <w:rFonts w:ascii="Times New Roman" w:eastAsia="宋体" w:hAnsi="Times New Roman" w:cs="Times New Roman" w:hint="default"/>
                      <w:b/>
                      <w:bCs/>
                      <w:color w:val="auto"/>
                      <w:sz w:val="21"/>
                      <w:szCs w:val="21"/>
                    </w:rPr>
                  </w:pPr>
                </w:p>
              </w:tc>
              <w:tc>
                <w:tcPr>
                  <w:tcW w:w="332" w:type="pct"/>
                  <w:vMerge/>
                  <w:tcBorders>
                    <w:tl2br w:val="nil"/>
                    <w:tr2bl w:val="nil"/>
                  </w:tcBorders>
                  <w:noWrap w:val="0"/>
                  <w:vAlign w:val="center"/>
                </w:tcPr>
                <w:p w14:paraId="1233FFDD">
                  <w:pPr>
                    <w:pStyle w:val="a3"/>
                    <w:spacing w:line="240" w:lineRule="auto"/>
                    <w:rPr>
                      <w:rFonts w:ascii="Times New Roman" w:eastAsia="宋体" w:hAnsi="Times New Roman" w:cs="Times New Roman" w:hint="default"/>
                      <w:b/>
                      <w:bCs/>
                      <w:color w:val="auto"/>
                      <w:sz w:val="21"/>
                      <w:szCs w:val="21"/>
                    </w:rPr>
                  </w:pPr>
                </w:p>
              </w:tc>
              <w:tc>
                <w:tcPr>
                  <w:tcW w:w="270" w:type="pct"/>
                  <w:vMerge/>
                  <w:tcBorders>
                    <w:tl2br w:val="nil"/>
                    <w:tr2bl w:val="nil"/>
                  </w:tcBorders>
                  <w:noWrap w:val="0"/>
                  <w:vAlign w:val="center"/>
                </w:tcPr>
                <w:p w14:paraId="1A653526">
                  <w:pPr>
                    <w:pStyle w:val="a3"/>
                    <w:spacing w:line="240" w:lineRule="auto"/>
                    <w:rPr>
                      <w:rFonts w:ascii="Times New Roman" w:eastAsia="宋体" w:hAnsi="Times New Roman" w:cs="Times New Roman" w:hint="default"/>
                      <w:b/>
                      <w:bCs/>
                      <w:color w:val="auto"/>
                      <w:sz w:val="21"/>
                      <w:szCs w:val="21"/>
                    </w:rPr>
                  </w:pPr>
                </w:p>
              </w:tc>
              <w:tc>
                <w:tcPr>
                  <w:tcW w:w="332" w:type="pct"/>
                  <w:vMerge/>
                  <w:tcBorders>
                    <w:tl2br w:val="nil"/>
                    <w:tr2bl w:val="nil"/>
                  </w:tcBorders>
                  <w:noWrap w:val="0"/>
                  <w:vAlign w:val="center"/>
                </w:tcPr>
                <w:p w14:paraId="1184C700">
                  <w:pPr>
                    <w:pStyle w:val="a3"/>
                    <w:spacing w:line="240" w:lineRule="auto"/>
                    <w:rPr>
                      <w:rFonts w:ascii="Times New Roman" w:eastAsia="宋体" w:hAnsi="Times New Roman" w:cs="Times New Roman" w:hint="default"/>
                      <w:b/>
                      <w:bCs/>
                      <w:color w:val="auto"/>
                      <w:sz w:val="21"/>
                      <w:szCs w:val="21"/>
                    </w:rPr>
                  </w:pPr>
                </w:p>
              </w:tc>
              <w:tc>
                <w:tcPr>
                  <w:tcW w:w="432" w:type="pct"/>
                  <w:vMerge/>
                  <w:tcBorders>
                    <w:tl2br w:val="nil"/>
                    <w:tr2bl w:val="nil"/>
                  </w:tcBorders>
                  <w:noWrap w:val="0"/>
                  <w:vAlign w:val="center"/>
                </w:tcPr>
                <w:p w14:paraId="36D66EE7">
                  <w:pPr>
                    <w:pStyle w:val="a3"/>
                    <w:spacing w:line="240" w:lineRule="auto"/>
                    <w:rPr>
                      <w:rFonts w:ascii="Times New Roman" w:eastAsia="宋体" w:hAnsi="Times New Roman" w:cs="Times New Roman" w:hint="default"/>
                      <w:b/>
                      <w:bCs/>
                      <w:color w:val="auto"/>
                      <w:sz w:val="21"/>
                      <w:szCs w:val="21"/>
                    </w:rPr>
                  </w:pPr>
                </w:p>
              </w:tc>
              <w:tc>
                <w:tcPr>
                  <w:tcW w:w="455" w:type="pct"/>
                  <w:tcBorders>
                    <w:tl2br w:val="nil"/>
                    <w:tr2bl w:val="nil"/>
                  </w:tcBorders>
                  <w:noWrap w:val="0"/>
                  <w:vAlign w:val="center"/>
                </w:tcPr>
                <w:p w14:paraId="596FBF98">
                  <w:pPr>
                    <w:pStyle w:val="a3"/>
                    <w:spacing w:line="240" w:lineRule="auto"/>
                    <w:rPr>
                      <w:rFonts w:ascii="Times New Roman" w:eastAsia="宋体" w:hAnsi="Times New Roman" w:cs="Times New Roman" w:hint="default"/>
                      <w:b/>
                      <w:bCs/>
                      <w:color w:val="auto"/>
                      <w:sz w:val="21"/>
                      <w:szCs w:val="21"/>
                    </w:rPr>
                  </w:pPr>
                  <w:r>
                    <w:rPr>
                      <w:rFonts w:ascii="Times New Roman" w:eastAsia="宋体" w:hAnsi="Times New Roman" w:cs="Times New Roman" w:hint="default"/>
                      <w:color w:val="auto"/>
                      <w:sz w:val="21"/>
                      <w:szCs w:val="21"/>
                    </w:rPr>
                    <w:t>资源利用效率</w:t>
                  </w:r>
                </w:p>
              </w:tc>
              <w:tc>
                <w:tcPr>
                  <w:tcW w:w="951" w:type="pct"/>
                  <w:vMerge/>
                  <w:tcBorders>
                    <w:tl2br w:val="nil"/>
                    <w:tr2bl w:val="nil"/>
                  </w:tcBorders>
                  <w:noWrap w:val="0"/>
                  <w:vAlign w:val="center"/>
                </w:tcPr>
                <w:p w14:paraId="3765B399">
                  <w:pPr>
                    <w:pStyle w:val="a3"/>
                    <w:spacing w:line="240" w:lineRule="auto"/>
                    <w:rPr>
                      <w:rFonts w:ascii="Times New Roman" w:eastAsia="宋体" w:hAnsi="Times New Roman" w:cs="Times New Roman" w:hint="default"/>
                      <w:b/>
                      <w:bCs/>
                      <w:color w:val="auto"/>
                      <w:sz w:val="21"/>
                      <w:szCs w:val="21"/>
                    </w:rPr>
                  </w:pPr>
                </w:p>
              </w:tc>
              <w:tc>
                <w:tcPr>
                  <w:tcW w:w="1202" w:type="pct"/>
                  <w:vMerge/>
                  <w:tcBorders>
                    <w:tl2br w:val="nil"/>
                    <w:tr2bl w:val="nil"/>
                  </w:tcBorders>
                  <w:noWrap w:val="0"/>
                  <w:vAlign w:val="center"/>
                </w:tcPr>
                <w:p w14:paraId="0100AB5B">
                  <w:pPr>
                    <w:pStyle w:val="a3"/>
                    <w:spacing w:line="240" w:lineRule="auto"/>
                    <w:rPr>
                      <w:rFonts w:ascii="Times New Roman" w:eastAsia="宋体" w:hAnsi="Times New Roman" w:cs="Times New Roman" w:hint="default"/>
                      <w:b/>
                      <w:bCs/>
                      <w:color w:val="auto"/>
                      <w:sz w:val="21"/>
                      <w:szCs w:val="21"/>
                    </w:rPr>
                  </w:pPr>
                </w:p>
              </w:tc>
              <w:tc>
                <w:tcPr>
                  <w:tcW w:w="302" w:type="pct"/>
                  <w:vMerge/>
                  <w:tcBorders>
                    <w:tl2br w:val="nil"/>
                    <w:tr2bl w:val="nil"/>
                  </w:tcBorders>
                  <w:noWrap w:val="0"/>
                  <w:vAlign w:val="center"/>
                </w:tcPr>
                <w:p w14:paraId="5A00EA7A">
                  <w:pPr>
                    <w:pStyle w:val="a3"/>
                    <w:spacing w:line="240" w:lineRule="auto"/>
                    <w:rPr>
                      <w:rFonts w:ascii="Times New Roman" w:eastAsia="宋体" w:hAnsi="Times New Roman" w:cs="Times New Roman" w:hint="default"/>
                      <w:b/>
                      <w:bCs/>
                      <w:color w:val="auto"/>
                      <w:sz w:val="21"/>
                      <w:szCs w:val="21"/>
                    </w:rPr>
                  </w:pPr>
                </w:p>
              </w:tc>
            </w:tr>
            <w:tr w14:paraId="3DFC4C4D">
              <w:tblPrEx>
                <w:tblW w:w="4995" w:type="pct"/>
                <w:jc w:val="center"/>
                <w:tblLayout w:type="fixed"/>
                <w:tblCellMar>
                  <w:top w:w="0" w:type="dxa"/>
                  <w:left w:w="108" w:type="dxa"/>
                  <w:bottom w:w="0" w:type="dxa"/>
                  <w:right w:w="108" w:type="dxa"/>
                </w:tblCellMar>
              </w:tblPrEx>
              <w:trPr>
                <w:trHeight w:val="761"/>
                <w:jc w:val="center"/>
              </w:trPr>
              <w:tc>
                <w:tcPr>
                  <w:tcW w:w="248" w:type="pct"/>
                  <w:vMerge w:val="restart"/>
                  <w:tcBorders>
                    <w:tl2br w:val="nil"/>
                    <w:tr2bl w:val="nil"/>
                  </w:tcBorders>
                  <w:noWrap w:val="0"/>
                  <w:vAlign w:val="center"/>
                </w:tcPr>
                <w:p w14:paraId="035E567F">
                  <w:pPr>
                    <w:pStyle w:val="a3"/>
                    <w:spacing w:line="240" w:lineRule="auto"/>
                    <w:rPr>
                      <w:rFonts w:ascii="Times New Roman" w:eastAsia="宋体" w:hAnsi="Times New Roman" w:cs="Times New Roman" w:hint="default"/>
                      <w:color w:val="auto"/>
                      <w:sz w:val="21"/>
                      <w:szCs w:val="21"/>
                      <w:lang w:eastAsia="zh-CN"/>
                    </w:rPr>
                  </w:pPr>
                  <w:r>
                    <w:rPr>
                      <w:rFonts w:ascii="Times New Roman" w:eastAsia="宋体" w:hAnsi="Times New Roman" w:cs="Times New Roman" w:hint="default"/>
                      <w:color w:val="auto"/>
                      <w:sz w:val="21"/>
                      <w:szCs w:val="21"/>
                    </w:rPr>
                    <w:t>ZH1308281000</w:t>
                  </w:r>
                  <w:r>
                    <w:rPr>
                      <w:rFonts w:ascii="Times New Roman" w:eastAsia="宋体" w:hAnsi="Times New Roman" w:cs="Times New Roman" w:hint="default"/>
                      <w:b w:val="0"/>
                      <w:bCs w:val="0"/>
                      <w:color w:val="auto"/>
                      <w:sz w:val="21"/>
                      <w:szCs w:val="21"/>
                      <w:lang w:val="en-US" w:eastAsia="zh-CN"/>
                    </w:rPr>
                    <w:t>9</w:t>
                  </w:r>
                </w:p>
              </w:tc>
              <w:tc>
                <w:tcPr>
                  <w:tcW w:w="240" w:type="pct"/>
                  <w:vMerge w:val="restart"/>
                  <w:tcBorders>
                    <w:tl2br w:val="nil"/>
                    <w:tr2bl w:val="nil"/>
                  </w:tcBorders>
                  <w:noWrap w:val="0"/>
                  <w:vAlign w:val="center"/>
                </w:tcPr>
                <w:p w14:paraId="07483D32">
                  <w:pPr>
                    <w:pStyle w:val="a3"/>
                    <w:spacing w:line="240" w:lineRule="auto"/>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河北省</w:t>
                  </w:r>
                </w:p>
              </w:tc>
              <w:tc>
                <w:tcPr>
                  <w:tcW w:w="231" w:type="pct"/>
                  <w:vMerge w:val="restart"/>
                  <w:tcBorders>
                    <w:tl2br w:val="nil"/>
                    <w:tr2bl w:val="nil"/>
                  </w:tcBorders>
                  <w:noWrap w:val="0"/>
                  <w:vAlign w:val="center"/>
                </w:tcPr>
                <w:p w14:paraId="1F42B05F">
                  <w:pPr>
                    <w:pStyle w:val="a3"/>
                    <w:spacing w:line="240" w:lineRule="auto"/>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承德市</w:t>
                  </w:r>
                </w:p>
              </w:tc>
              <w:tc>
                <w:tcPr>
                  <w:tcW w:w="332" w:type="pct"/>
                  <w:vMerge w:val="restart"/>
                  <w:tcBorders>
                    <w:tl2br w:val="nil"/>
                    <w:tr2bl w:val="nil"/>
                  </w:tcBorders>
                  <w:noWrap w:val="0"/>
                  <w:vAlign w:val="center"/>
                </w:tcPr>
                <w:p w14:paraId="782483F2">
                  <w:pPr>
                    <w:pStyle w:val="a3"/>
                    <w:spacing w:line="240" w:lineRule="auto"/>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围场满族蒙古族自治县</w:t>
                  </w:r>
                </w:p>
              </w:tc>
              <w:tc>
                <w:tcPr>
                  <w:tcW w:w="270" w:type="pct"/>
                  <w:vMerge w:val="restart"/>
                  <w:tcBorders>
                    <w:tl2br w:val="nil"/>
                    <w:tr2bl w:val="nil"/>
                  </w:tcBorders>
                  <w:noWrap w:val="0"/>
                  <w:vAlign w:val="center"/>
                </w:tcPr>
                <w:p w14:paraId="096B880B">
                  <w:pPr>
                    <w:pStyle w:val="a3"/>
                    <w:spacing w:line="240" w:lineRule="auto"/>
                    <w:rPr>
                      <w:rFonts w:ascii="Times New Roman" w:eastAsia="宋体" w:hAnsi="Times New Roman" w:cs="Times New Roman" w:hint="default"/>
                      <w:color w:val="auto"/>
                      <w:sz w:val="21"/>
                      <w:szCs w:val="21"/>
                    </w:rPr>
                  </w:pPr>
                  <w:r>
                    <w:rPr>
                      <w:rFonts w:ascii="Times New Roman" w:eastAsia="宋体" w:hAnsi="Times New Roman" w:cs="Times New Roman" w:hint="default"/>
                      <w:b w:val="0"/>
                      <w:bCs w:val="0"/>
                      <w:color w:val="auto"/>
                      <w:sz w:val="21"/>
                      <w:szCs w:val="21"/>
                      <w:lang w:eastAsia="zh-CN"/>
                    </w:rPr>
                    <w:t>半截塔镇</w:t>
                  </w:r>
                </w:p>
              </w:tc>
              <w:tc>
                <w:tcPr>
                  <w:tcW w:w="332" w:type="pct"/>
                  <w:vMerge w:val="restart"/>
                  <w:tcBorders>
                    <w:tl2br w:val="nil"/>
                    <w:tr2bl w:val="nil"/>
                  </w:tcBorders>
                  <w:noWrap w:val="0"/>
                  <w:vAlign w:val="center"/>
                </w:tcPr>
                <w:p w14:paraId="07D294BD">
                  <w:pPr>
                    <w:pStyle w:val="a3"/>
                    <w:spacing w:line="240" w:lineRule="auto"/>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优先保护单元</w:t>
                  </w:r>
                </w:p>
              </w:tc>
              <w:tc>
                <w:tcPr>
                  <w:tcW w:w="432" w:type="pct"/>
                  <w:vMerge w:val="restart"/>
                  <w:tcBorders>
                    <w:tl2br w:val="nil"/>
                    <w:tr2bl w:val="nil"/>
                  </w:tcBorders>
                  <w:noWrap w:val="0"/>
                  <w:vAlign w:val="center"/>
                </w:tcPr>
                <w:p w14:paraId="758BF033">
                  <w:pPr>
                    <w:widowControl/>
                    <w:jc w:val="left"/>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2"/>
                      <w:szCs w:val="22"/>
                    </w:rPr>
                    <w:t>一般生态空间</w:t>
                  </w:r>
                </w:p>
              </w:tc>
              <w:tc>
                <w:tcPr>
                  <w:tcW w:w="455" w:type="pct"/>
                  <w:tcBorders>
                    <w:tl2br w:val="nil"/>
                    <w:tr2bl w:val="nil"/>
                  </w:tcBorders>
                  <w:noWrap w:val="0"/>
                  <w:vAlign w:val="center"/>
                </w:tcPr>
                <w:p w14:paraId="3638917E">
                  <w:pPr>
                    <w:pStyle w:val="a3"/>
                    <w:spacing w:line="240" w:lineRule="auto"/>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空间布局约束</w:t>
                  </w:r>
                </w:p>
              </w:tc>
              <w:tc>
                <w:tcPr>
                  <w:tcW w:w="951" w:type="pct"/>
                  <w:vMerge w:val="restart"/>
                  <w:tcBorders>
                    <w:tl2br w:val="nil"/>
                    <w:tr2bl w:val="nil"/>
                  </w:tcBorders>
                  <w:noWrap w:val="0"/>
                  <w:vAlign w:val="center"/>
                </w:tcPr>
                <w:p w14:paraId="34E64C72">
                  <w:pPr>
                    <w:pStyle w:val="a3"/>
                    <w:spacing w:line="240" w:lineRule="auto"/>
                    <w:jc w:val="both"/>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2"/>
                      <w:szCs w:val="22"/>
                    </w:rPr>
                    <w:t>执行承德市总体准入清单中一般生态空间准入要求</w:t>
                  </w:r>
                </w:p>
              </w:tc>
              <w:tc>
                <w:tcPr>
                  <w:tcW w:w="1202" w:type="pct"/>
                  <w:vMerge w:val="restart"/>
                  <w:tcBorders>
                    <w:tl2br w:val="nil"/>
                    <w:tr2bl w:val="nil"/>
                  </w:tcBorders>
                  <w:noWrap w:val="0"/>
                  <w:vAlign w:val="center"/>
                </w:tcPr>
                <w:p w14:paraId="5C1B6670">
                  <w:pPr>
                    <w:pStyle w:val="a3"/>
                    <w:spacing w:line="240" w:lineRule="auto"/>
                    <w:jc w:val="both"/>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本项目为</w:t>
                  </w:r>
                  <w:r>
                    <w:rPr>
                      <w:rFonts w:ascii="Times New Roman" w:eastAsia="宋体" w:hAnsi="Times New Roman" w:cs="Times New Roman" w:hint="default"/>
                      <w:color w:val="auto"/>
                      <w:sz w:val="21"/>
                      <w:szCs w:val="21"/>
                      <w:lang w:val="en-US" w:eastAsia="zh-CN"/>
                    </w:rPr>
                    <w:t>储能项目</w:t>
                  </w:r>
                  <w:r>
                    <w:rPr>
                      <w:rFonts w:ascii="Times New Roman" w:eastAsia="宋体" w:hAnsi="Times New Roman" w:cs="Times New Roman" w:hint="default"/>
                      <w:color w:val="auto"/>
                      <w:sz w:val="21"/>
                      <w:szCs w:val="21"/>
                    </w:rPr>
                    <w:t>，符合承德市总体准入清单中一般生态空间准入</w:t>
                  </w:r>
                  <w:r>
                    <w:rPr>
                      <w:rFonts w:ascii="Times New Roman" w:eastAsia="宋体" w:hAnsi="Times New Roman" w:cs="Times New Roman" w:hint="default"/>
                      <w:color w:val="auto"/>
                      <w:sz w:val="21"/>
                      <w:szCs w:val="21"/>
                      <w:lang w:eastAsia="zh-CN"/>
                    </w:rPr>
                    <w:t>要求</w:t>
                  </w:r>
                </w:p>
              </w:tc>
              <w:tc>
                <w:tcPr>
                  <w:tcW w:w="302" w:type="pct"/>
                  <w:vMerge w:val="restart"/>
                  <w:tcBorders>
                    <w:tl2br w:val="nil"/>
                    <w:tr2bl w:val="nil"/>
                  </w:tcBorders>
                  <w:noWrap w:val="0"/>
                  <w:vAlign w:val="center"/>
                </w:tcPr>
                <w:p w14:paraId="2C078424">
                  <w:pPr>
                    <w:pStyle w:val="a3"/>
                    <w:spacing w:line="240" w:lineRule="auto"/>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符合</w:t>
                  </w:r>
                </w:p>
              </w:tc>
            </w:tr>
            <w:tr w14:paraId="6A457005">
              <w:tblPrEx>
                <w:tblW w:w="4995" w:type="pct"/>
                <w:jc w:val="center"/>
                <w:tblLayout w:type="fixed"/>
                <w:tblCellMar>
                  <w:top w:w="0" w:type="dxa"/>
                  <w:left w:w="108" w:type="dxa"/>
                  <w:bottom w:w="0" w:type="dxa"/>
                  <w:right w:w="108" w:type="dxa"/>
                </w:tblCellMar>
              </w:tblPrEx>
              <w:trPr>
                <w:trHeight w:val="761"/>
                <w:jc w:val="center"/>
              </w:trPr>
              <w:tc>
                <w:tcPr>
                  <w:tcW w:w="248" w:type="pct"/>
                  <w:vMerge/>
                  <w:tcBorders>
                    <w:tl2br w:val="nil"/>
                    <w:tr2bl w:val="nil"/>
                  </w:tcBorders>
                  <w:noWrap w:val="0"/>
                  <w:vAlign w:val="center"/>
                </w:tcPr>
                <w:p w14:paraId="0B676E00">
                  <w:pPr>
                    <w:pStyle w:val="a3"/>
                    <w:spacing w:line="240" w:lineRule="auto"/>
                    <w:rPr>
                      <w:rFonts w:ascii="Times New Roman" w:eastAsia="宋体" w:hAnsi="Times New Roman" w:cs="Times New Roman" w:hint="default"/>
                      <w:color w:val="auto"/>
                      <w:sz w:val="21"/>
                      <w:szCs w:val="21"/>
                    </w:rPr>
                  </w:pPr>
                </w:p>
              </w:tc>
              <w:tc>
                <w:tcPr>
                  <w:tcW w:w="240" w:type="pct"/>
                  <w:vMerge/>
                  <w:tcBorders>
                    <w:tl2br w:val="nil"/>
                    <w:tr2bl w:val="nil"/>
                  </w:tcBorders>
                  <w:noWrap w:val="0"/>
                  <w:vAlign w:val="center"/>
                </w:tcPr>
                <w:p w14:paraId="5F2AC961">
                  <w:pPr>
                    <w:pStyle w:val="a3"/>
                    <w:spacing w:line="240" w:lineRule="auto"/>
                    <w:rPr>
                      <w:rFonts w:ascii="Times New Roman" w:eastAsia="宋体" w:hAnsi="Times New Roman" w:cs="Times New Roman" w:hint="default"/>
                      <w:color w:val="auto"/>
                      <w:sz w:val="21"/>
                      <w:szCs w:val="21"/>
                    </w:rPr>
                  </w:pPr>
                </w:p>
              </w:tc>
              <w:tc>
                <w:tcPr>
                  <w:tcW w:w="231" w:type="pct"/>
                  <w:vMerge/>
                  <w:tcBorders>
                    <w:tl2br w:val="nil"/>
                    <w:tr2bl w:val="nil"/>
                  </w:tcBorders>
                  <w:noWrap w:val="0"/>
                  <w:vAlign w:val="center"/>
                </w:tcPr>
                <w:p w14:paraId="40881036">
                  <w:pPr>
                    <w:pStyle w:val="a3"/>
                    <w:spacing w:line="240" w:lineRule="auto"/>
                    <w:rPr>
                      <w:rFonts w:ascii="Times New Roman" w:eastAsia="宋体" w:hAnsi="Times New Roman" w:cs="Times New Roman" w:hint="default"/>
                      <w:color w:val="auto"/>
                      <w:sz w:val="21"/>
                      <w:szCs w:val="21"/>
                    </w:rPr>
                  </w:pPr>
                </w:p>
              </w:tc>
              <w:tc>
                <w:tcPr>
                  <w:tcW w:w="332" w:type="pct"/>
                  <w:vMerge/>
                  <w:tcBorders>
                    <w:tl2br w:val="nil"/>
                    <w:tr2bl w:val="nil"/>
                  </w:tcBorders>
                  <w:noWrap w:val="0"/>
                  <w:vAlign w:val="center"/>
                </w:tcPr>
                <w:p w14:paraId="5D9EFB8F">
                  <w:pPr>
                    <w:pStyle w:val="a3"/>
                    <w:spacing w:line="240" w:lineRule="auto"/>
                    <w:rPr>
                      <w:rFonts w:ascii="Times New Roman" w:eastAsia="宋体" w:hAnsi="Times New Roman" w:cs="Times New Roman" w:hint="default"/>
                      <w:color w:val="auto"/>
                      <w:sz w:val="21"/>
                      <w:szCs w:val="21"/>
                    </w:rPr>
                  </w:pPr>
                </w:p>
              </w:tc>
              <w:tc>
                <w:tcPr>
                  <w:tcW w:w="270" w:type="pct"/>
                  <w:vMerge/>
                  <w:tcBorders>
                    <w:tl2br w:val="nil"/>
                    <w:tr2bl w:val="nil"/>
                  </w:tcBorders>
                  <w:noWrap w:val="0"/>
                  <w:vAlign w:val="center"/>
                </w:tcPr>
                <w:p w14:paraId="310A8BBF">
                  <w:pPr>
                    <w:pStyle w:val="a3"/>
                    <w:spacing w:line="240" w:lineRule="auto"/>
                    <w:rPr>
                      <w:rFonts w:ascii="Times New Roman" w:eastAsia="宋体" w:hAnsi="Times New Roman" w:cs="Times New Roman" w:hint="default"/>
                      <w:color w:val="auto"/>
                      <w:sz w:val="21"/>
                      <w:szCs w:val="21"/>
                    </w:rPr>
                  </w:pPr>
                </w:p>
              </w:tc>
              <w:tc>
                <w:tcPr>
                  <w:tcW w:w="332" w:type="pct"/>
                  <w:vMerge/>
                  <w:tcBorders>
                    <w:tl2br w:val="nil"/>
                    <w:tr2bl w:val="nil"/>
                  </w:tcBorders>
                  <w:noWrap w:val="0"/>
                  <w:vAlign w:val="center"/>
                </w:tcPr>
                <w:p w14:paraId="736C3560">
                  <w:pPr>
                    <w:pStyle w:val="a3"/>
                    <w:spacing w:line="240" w:lineRule="auto"/>
                    <w:rPr>
                      <w:rFonts w:ascii="Times New Roman" w:eastAsia="宋体" w:hAnsi="Times New Roman" w:cs="Times New Roman" w:hint="default"/>
                      <w:color w:val="auto"/>
                      <w:sz w:val="21"/>
                      <w:szCs w:val="21"/>
                    </w:rPr>
                  </w:pPr>
                </w:p>
              </w:tc>
              <w:tc>
                <w:tcPr>
                  <w:tcW w:w="432" w:type="pct"/>
                  <w:vMerge/>
                  <w:tcBorders>
                    <w:tl2br w:val="nil"/>
                    <w:tr2bl w:val="nil"/>
                  </w:tcBorders>
                  <w:noWrap w:val="0"/>
                  <w:vAlign w:val="center"/>
                </w:tcPr>
                <w:p w14:paraId="738E152B">
                  <w:pPr>
                    <w:pStyle w:val="a3"/>
                    <w:spacing w:line="240" w:lineRule="auto"/>
                    <w:rPr>
                      <w:rFonts w:ascii="Times New Roman" w:eastAsia="宋体" w:hAnsi="Times New Roman" w:cs="Times New Roman" w:hint="default"/>
                      <w:color w:val="auto"/>
                      <w:sz w:val="21"/>
                      <w:szCs w:val="21"/>
                    </w:rPr>
                  </w:pPr>
                </w:p>
              </w:tc>
              <w:tc>
                <w:tcPr>
                  <w:tcW w:w="455" w:type="pct"/>
                  <w:tcBorders>
                    <w:tl2br w:val="nil"/>
                    <w:tr2bl w:val="nil"/>
                  </w:tcBorders>
                  <w:noWrap w:val="0"/>
                  <w:vAlign w:val="center"/>
                </w:tcPr>
                <w:p w14:paraId="1B16DA73">
                  <w:pPr>
                    <w:pStyle w:val="a3"/>
                    <w:spacing w:line="240" w:lineRule="auto"/>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污染物排放管控</w:t>
                  </w:r>
                </w:p>
              </w:tc>
              <w:tc>
                <w:tcPr>
                  <w:tcW w:w="951" w:type="pct"/>
                  <w:vMerge/>
                  <w:tcBorders>
                    <w:tl2br w:val="nil"/>
                    <w:tr2bl w:val="nil"/>
                  </w:tcBorders>
                  <w:noWrap w:val="0"/>
                  <w:vAlign w:val="center"/>
                </w:tcPr>
                <w:p w14:paraId="384374E4">
                  <w:pPr>
                    <w:pStyle w:val="a3"/>
                    <w:spacing w:line="240" w:lineRule="auto"/>
                    <w:jc w:val="left"/>
                    <w:rPr>
                      <w:rFonts w:ascii="Times New Roman" w:eastAsia="宋体" w:hAnsi="Times New Roman" w:cs="Times New Roman" w:hint="default"/>
                      <w:color w:val="auto"/>
                      <w:sz w:val="21"/>
                      <w:szCs w:val="21"/>
                    </w:rPr>
                  </w:pPr>
                </w:p>
              </w:tc>
              <w:tc>
                <w:tcPr>
                  <w:tcW w:w="1202" w:type="pct"/>
                  <w:vMerge/>
                  <w:tcBorders>
                    <w:tl2br w:val="nil"/>
                    <w:tr2bl w:val="nil"/>
                  </w:tcBorders>
                  <w:noWrap w:val="0"/>
                  <w:vAlign w:val="center"/>
                </w:tcPr>
                <w:p w14:paraId="1A4C82D7">
                  <w:pPr>
                    <w:pStyle w:val="a3"/>
                    <w:spacing w:line="240" w:lineRule="auto"/>
                    <w:jc w:val="both"/>
                    <w:rPr>
                      <w:rFonts w:ascii="Times New Roman" w:eastAsia="宋体" w:hAnsi="Times New Roman" w:cs="Times New Roman" w:hint="default"/>
                      <w:color w:val="auto"/>
                      <w:sz w:val="21"/>
                      <w:szCs w:val="21"/>
                    </w:rPr>
                  </w:pPr>
                </w:p>
              </w:tc>
              <w:tc>
                <w:tcPr>
                  <w:tcW w:w="302" w:type="pct"/>
                  <w:vMerge/>
                  <w:tcBorders>
                    <w:tl2br w:val="nil"/>
                    <w:tr2bl w:val="nil"/>
                  </w:tcBorders>
                  <w:noWrap w:val="0"/>
                  <w:vAlign w:val="center"/>
                </w:tcPr>
                <w:p w14:paraId="3DB8110C">
                  <w:pPr>
                    <w:pStyle w:val="a3"/>
                    <w:spacing w:line="240" w:lineRule="auto"/>
                    <w:rPr>
                      <w:rFonts w:ascii="Times New Roman" w:eastAsia="宋体" w:hAnsi="Times New Roman" w:cs="Times New Roman" w:hint="default"/>
                      <w:color w:val="auto"/>
                      <w:sz w:val="21"/>
                      <w:szCs w:val="21"/>
                    </w:rPr>
                  </w:pPr>
                </w:p>
              </w:tc>
            </w:tr>
            <w:tr w14:paraId="59DAEFCB">
              <w:tblPrEx>
                <w:tblW w:w="4995" w:type="pct"/>
                <w:jc w:val="center"/>
                <w:tblLayout w:type="fixed"/>
                <w:tblCellMar>
                  <w:top w:w="0" w:type="dxa"/>
                  <w:left w:w="108" w:type="dxa"/>
                  <w:bottom w:w="0" w:type="dxa"/>
                  <w:right w:w="108" w:type="dxa"/>
                </w:tblCellMar>
              </w:tblPrEx>
              <w:trPr>
                <w:trHeight w:val="761"/>
                <w:jc w:val="center"/>
              </w:trPr>
              <w:tc>
                <w:tcPr>
                  <w:tcW w:w="248" w:type="pct"/>
                  <w:vMerge/>
                  <w:tcBorders>
                    <w:tl2br w:val="nil"/>
                    <w:tr2bl w:val="nil"/>
                  </w:tcBorders>
                  <w:noWrap w:val="0"/>
                  <w:vAlign w:val="center"/>
                </w:tcPr>
                <w:p w14:paraId="3259CCFC">
                  <w:pPr>
                    <w:pStyle w:val="a3"/>
                    <w:spacing w:line="240" w:lineRule="auto"/>
                    <w:rPr>
                      <w:rFonts w:ascii="Times New Roman" w:eastAsia="宋体" w:hAnsi="Times New Roman" w:cs="Times New Roman" w:hint="default"/>
                      <w:color w:val="auto"/>
                      <w:sz w:val="21"/>
                      <w:szCs w:val="21"/>
                    </w:rPr>
                  </w:pPr>
                </w:p>
              </w:tc>
              <w:tc>
                <w:tcPr>
                  <w:tcW w:w="240" w:type="pct"/>
                  <w:vMerge/>
                  <w:tcBorders>
                    <w:tl2br w:val="nil"/>
                    <w:tr2bl w:val="nil"/>
                  </w:tcBorders>
                  <w:noWrap w:val="0"/>
                  <w:vAlign w:val="center"/>
                </w:tcPr>
                <w:p w14:paraId="594212AD">
                  <w:pPr>
                    <w:pStyle w:val="a3"/>
                    <w:spacing w:line="240" w:lineRule="auto"/>
                    <w:rPr>
                      <w:rFonts w:ascii="Times New Roman" w:eastAsia="宋体" w:hAnsi="Times New Roman" w:cs="Times New Roman" w:hint="default"/>
                      <w:color w:val="auto"/>
                      <w:sz w:val="21"/>
                      <w:szCs w:val="21"/>
                    </w:rPr>
                  </w:pPr>
                </w:p>
              </w:tc>
              <w:tc>
                <w:tcPr>
                  <w:tcW w:w="231" w:type="pct"/>
                  <w:vMerge/>
                  <w:tcBorders>
                    <w:tl2br w:val="nil"/>
                    <w:tr2bl w:val="nil"/>
                  </w:tcBorders>
                  <w:noWrap w:val="0"/>
                  <w:vAlign w:val="center"/>
                </w:tcPr>
                <w:p w14:paraId="569AC5C7">
                  <w:pPr>
                    <w:pStyle w:val="a3"/>
                    <w:spacing w:line="240" w:lineRule="auto"/>
                    <w:rPr>
                      <w:rFonts w:ascii="Times New Roman" w:eastAsia="宋体" w:hAnsi="Times New Roman" w:cs="Times New Roman" w:hint="default"/>
                      <w:color w:val="auto"/>
                      <w:sz w:val="21"/>
                      <w:szCs w:val="21"/>
                    </w:rPr>
                  </w:pPr>
                </w:p>
              </w:tc>
              <w:tc>
                <w:tcPr>
                  <w:tcW w:w="332" w:type="pct"/>
                  <w:vMerge/>
                  <w:tcBorders>
                    <w:tl2br w:val="nil"/>
                    <w:tr2bl w:val="nil"/>
                  </w:tcBorders>
                  <w:noWrap w:val="0"/>
                  <w:vAlign w:val="center"/>
                </w:tcPr>
                <w:p w14:paraId="636AD46A">
                  <w:pPr>
                    <w:pStyle w:val="a3"/>
                    <w:spacing w:line="240" w:lineRule="auto"/>
                    <w:rPr>
                      <w:rFonts w:ascii="Times New Roman" w:eastAsia="宋体" w:hAnsi="Times New Roman" w:cs="Times New Roman" w:hint="default"/>
                      <w:color w:val="auto"/>
                      <w:sz w:val="21"/>
                      <w:szCs w:val="21"/>
                    </w:rPr>
                  </w:pPr>
                </w:p>
              </w:tc>
              <w:tc>
                <w:tcPr>
                  <w:tcW w:w="270" w:type="pct"/>
                  <w:vMerge/>
                  <w:tcBorders>
                    <w:tl2br w:val="nil"/>
                    <w:tr2bl w:val="nil"/>
                  </w:tcBorders>
                  <w:noWrap w:val="0"/>
                  <w:vAlign w:val="center"/>
                </w:tcPr>
                <w:p w14:paraId="699515E2">
                  <w:pPr>
                    <w:pStyle w:val="a3"/>
                    <w:spacing w:line="240" w:lineRule="auto"/>
                    <w:rPr>
                      <w:rFonts w:ascii="Times New Roman" w:eastAsia="宋体" w:hAnsi="Times New Roman" w:cs="Times New Roman" w:hint="default"/>
                      <w:color w:val="auto"/>
                      <w:sz w:val="21"/>
                      <w:szCs w:val="21"/>
                    </w:rPr>
                  </w:pPr>
                </w:p>
              </w:tc>
              <w:tc>
                <w:tcPr>
                  <w:tcW w:w="332" w:type="pct"/>
                  <w:vMerge/>
                  <w:tcBorders>
                    <w:tl2br w:val="nil"/>
                    <w:tr2bl w:val="nil"/>
                  </w:tcBorders>
                  <w:noWrap w:val="0"/>
                  <w:vAlign w:val="center"/>
                </w:tcPr>
                <w:p w14:paraId="70255C61">
                  <w:pPr>
                    <w:pStyle w:val="a3"/>
                    <w:spacing w:line="240" w:lineRule="auto"/>
                    <w:rPr>
                      <w:rFonts w:ascii="Times New Roman" w:eastAsia="宋体" w:hAnsi="Times New Roman" w:cs="Times New Roman" w:hint="default"/>
                      <w:color w:val="auto"/>
                      <w:sz w:val="21"/>
                      <w:szCs w:val="21"/>
                    </w:rPr>
                  </w:pPr>
                </w:p>
              </w:tc>
              <w:tc>
                <w:tcPr>
                  <w:tcW w:w="432" w:type="pct"/>
                  <w:vMerge/>
                  <w:tcBorders>
                    <w:tl2br w:val="nil"/>
                    <w:tr2bl w:val="nil"/>
                  </w:tcBorders>
                  <w:noWrap w:val="0"/>
                  <w:vAlign w:val="center"/>
                </w:tcPr>
                <w:p w14:paraId="22B4A2CB">
                  <w:pPr>
                    <w:pStyle w:val="a3"/>
                    <w:spacing w:line="240" w:lineRule="auto"/>
                    <w:rPr>
                      <w:rFonts w:ascii="Times New Roman" w:eastAsia="宋体" w:hAnsi="Times New Roman" w:cs="Times New Roman" w:hint="default"/>
                      <w:color w:val="auto"/>
                      <w:sz w:val="21"/>
                      <w:szCs w:val="21"/>
                    </w:rPr>
                  </w:pPr>
                </w:p>
              </w:tc>
              <w:tc>
                <w:tcPr>
                  <w:tcW w:w="455" w:type="pct"/>
                  <w:tcBorders>
                    <w:tl2br w:val="nil"/>
                    <w:tr2bl w:val="nil"/>
                  </w:tcBorders>
                  <w:noWrap w:val="0"/>
                  <w:vAlign w:val="center"/>
                </w:tcPr>
                <w:p w14:paraId="624F9FD7">
                  <w:pPr>
                    <w:pStyle w:val="a3"/>
                    <w:spacing w:line="240" w:lineRule="auto"/>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环境风险防控</w:t>
                  </w:r>
                </w:p>
              </w:tc>
              <w:tc>
                <w:tcPr>
                  <w:tcW w:w="951" w:type="pct"/>
                  <w:vMerge/>
                  <w:tcBorders>
                    <w:tl2br w:val="nil"/>
                    <w:tr2bl w:val="nil"/>
                  </w:tcBorders>
                  <w:noWrap w:val="0"/>
                  <w:vAlign w:val="center"/>
                </w:tcPr>
                <w:p w14:paraId="30F0DDA3">
                  <w:pPr>
                    <w:pStyle w:val="a3"/>
                    <w:spacing w:line="240" w:lineRule="auto"/>
                    <w:jc w:val="left"/>
                    <w:rPr>
                      <w:rFonts w:ascii="Times New Roman" w:eastAsia="宋体" w:hAnsi="Times New Roman" w:cs="Times New Roman" w:hint="default"/>
                      <w:color w:val="auto"/>
                      <w:sz w:val="21"/>
                      <w:szCs w:val="21"/>
                    </w:rPr>
                  </w:pPr>
                </w:p>
              </w:tc>
              <w:tc>
                <w:tcPr>
                  <w:tcW w:w="1202" w:type="pct"/>
                  <w:vMerge/>
                  <w:tcBorders>
                    <w:tl2br w:val="nil"/>
                    <w:tr2bl w:val="nil"/>
                  </w:tcBorders>
                  <w:noWrap w:val="0"/>
                  <w:vAlign w:val="center"/>
                </w:tcPr>
                <w:p w14:paraId="70BEF897">
                  <w:pPr>
                    <w:pStyle w:val="a3"/>
                    <w:spacing w:line="240" w:lineRule="auto"/>
                    <w:rPr>
                      <w:rFonts w:ascii="Times New Roman" w:eastAsia="宋体" w:hAnsi="Times New Roman" w:cs="Times New Roman" w:hint="default"/>
                      <w:color w:val="auto"/>
                      <w:sz w:val="21"/>
                      <w:szCs w:val="21"/>
                    </w:rPr>
                  </w:pPr>
                </w:p>
              </w:tc>
              <w:tc>
                <w:tcPr>
                  <w:tcW w:w="302" w:type="pct"/>
                  <w:vMerge/>
                  <w:tcBorders>
                    <w:tl2br w:val="nil"/>
                    <w:tr2bl w:val="nil"/>
                  </w:tcBorders>
                  <w:noWrap w:val="0"/>
                  <w:vAlign w:val="center"/>
                </w:tcPr>
                <w:p w14:paraId="70471E1F">
                  <w:pPr>
                    <w:pStyle w:val="a3"/>
                    <w:spacing w:line="240" w:lineRule="auto"/>
                    <w:rPr>
                      <w:rFonts w:ascii="Times New Roman" w:eastAsia="宋体" w:hAnsi="Times New Roman" w:cs="Times New Roman" w:hint="default"/>
                      <w:color w:val="auto"/>
                      <w:sz w:val="21"/>
                      <w:szCs w:val="21"/>
                    </w:rPr>
                  </w:pPr>
                </w:p>
              </w:tc>
            </w:tr>
            <w:tr w14:paraId="5DBB9596">
              <w:tblPrEx>
                <w:tblW w:w="4995" w:type="pct"/>
                <w:jc w:val="center"/>
                <w:tblLayout w:type="fixed"/>
                <w:tblCellMar>
                  <w:top w:w="0" w:type="dxa"/>
                  <w:left w:w="108" w:type="dxa"/>
                  <w:bottom w:w="0" w:type="dxa"/>
                  <w:right w:w="108" w:type="dxa"/>
                </w:tblCellMar>
              </w:tblPrEx>
              <w:trPr>
                <w:trHeight w:val="761"/>
                <w:jc w:val="center"/>
              </w:trPr>
              <w:tc>
                <w:tcPr>
                  <w:tcW w:w="248" w:type="pct"/>
                  <w:vMerge/>
                  <w:tcBorders>
                    <w:tl2br w:val="nil"/>
                    <w:tr2bl w:val="nil"/>
                  </w:tcBorders>
                  <w:noWrap w:val="0"/>
                  <w:vAlign w:val="center"/>
                </w:tcPr>
                <w:p w14:paraId="65EB5F2B">
                  <w:pPr>
                    <w:pStyle w:val="a3"/>
                    <w:spacing w:line="240" w:lineRule="auto"/>
                    <w:rPr>
                      <w:rFonts w:ascii="Times New Roman" w:eastAsia="宋体" w:hAnsi="Times New Roman" w:cs="Times New Roman" w:hint="default"/>
                      <w:color w:val="auto"/>
                      <w:sz w:val="21"/>
                      <w:szCs w:val="21"/>
                    </w:rPr>
                  </w:pPr>
                </w:p>
              </w:tc>
              <w:tc>
                <w:tcPr>
                  <w:tcW w:w="240" w:type="pct"/>
                  <w:vMerge/>
                  <w:tcBorders>
                    <w:tl2br w:val="nil"/>
                    <w:tr2bl w:val="nil"/>
                  </w:tcBorders>
                  <w:noWrap w:val="0"/>
                  <w:vAlign w:val="center"/>
                </w:tcPr>
                <w:p w14:paraId="25F18DC6">
                  <w:pPr>
                    <w:pStyle w:val="a3"/>
                    <w:spacing w:line="240" w:lineRule="auto"/>
                    <w:rPr>
                      <w:rFonts w:ascii="Times New Roman" w:eastAsia="宋体" w:hAnsi="Times New Roman" w:cs="Times New Roman" w:hint="default"/>
                      <w:color w:val="auto"/>
                      <w:sz w:val="21"/>
                      <w:szCs w:val="21"/>
                    </w:rPr>
                  </w:pPr>
                </w:p>
              </w:tc>
              <w:tc>
                <w:tcPr>
                  <w:tcW w:w="231" w:type="pct"/>
                  <w:vMerge/>
                  <w:tcBorders>
                    <w:tl2br w:val="nil"/>
                    <w:tr2bl w:val="nil"/>
                  </w:tcBorders>
                  <w:noWrap w:val="0"/>
                  <w:vAlign w:val="center"/>
                </w:tcPr>
                <w:p w14:paraId="7654C3CD">
                  <w:pPr>
                    <w:pStyle w:val="a3"/>
                    <w:spacing w:line="240" w:lineRule="auto"/>
                    <w:rPr>
                      <w:rFonts w:ascii="Times New Roman" w:eastAsia="宋体" w:hAnsi="Times New Roman" w:cs="Times New Roman" w:hint="default"/>
                      <w:color w:val="auto"/>
                      <w:sz w:val="21"/>
                      <w:szCs w:val="21"/>
                    </w:rPr>
                  </w:pPr>
                </w:p>
              </w:tc>
              <w:tc>
                <w:tcPr>
                  <w:tcW w:w="332" w:type="pct"/>
                  <w:vMerge/>
                  <w:tcBorders>
                    <w:tl2br w:val="nil"/>
                    <w:tr2bl w:val="nil"/>
                  </w:tcBorders>
                  <w:noWrap w:val="0"/>
                  <w:vAlign w:val="center"/>
                </w:tcPr>
                <w:p w14:paraId="1D72FD76">
                  <w:pPr>
                    <w:pStyle w:val="a3"/>
                    <w:spacing w:line="240" w:lineRule="auto"/>
                    <w:rPr>
                      <w:rFonts w:ascii="Times New Roman" w:eastAsia="宋体" w:hAnsi="Times New Roman" w:cs="Times New Roman" w:hint="default"/>
                      <w:color w:val="auto"/>
                      <w:sz w:val="21"/>
                      <w:szCs w:val="21"/>
                    </w:rPr>
                  </w:pPr>
                </w:p>
              </w:tc>
              <w:tc>
                <w:tcPr>
                  <w:tcW w:w="270" w:type="pct"/>
                  <w:vMerge/>
                  <w:tcBorders>
                    <w:tl2br w:val="nil"/>
                    <w:tr2bl w:val="nil"/>
                  </w:tcBorders>
                  <w:noWrap w:val="0"/>
                  <w:vAlign w:val="center"/>
                </w:tcPr>
                <w:p w14:paraId="0B75627C">
                  <w:pPr>
                    <w:pStyle w:val="a3"/>
                    <w:spacing w:line="240" w:lineRule="auto"/>
                    <w:rPr>
                      <w:rFonts w:ascii="Times New Roman" w:eastAsia="宋体" w:hAnsi="Times New Roman" w:cs="Times New Roman" w:hint="default"/>
                      <w:color w:val="auto"/>
                      <w:sz w:val="21"/>
                      <w:szCs w:val="21"/>
                    </w:rPr>
                  </w:pPr>
                </w:p>
              </w:tc>
              <w:tc>
                <w:tcPr>
                  <w:tcW w:w="332" w:type="pct"/>
                  <w:vMerge/>
                  <w:tcBorders>
                    <w:tl2br w:val="nil"/>
                    <w:tr2bl w:val="nil"/>
                  </w:tcBorders>
                  <w:noWrap w:val="0"/>
                  <w:vAlign w:val="center"/>
                </w:tcPr>
                <w:p w14:paraId="59DA7089">
                  <w:pPr>
                    <w:pStyle w:val="a3"/>
                    <w:spacing w:line="240" w:lineRule="auto"/>
                    <w:rPr>
                      <w:rFonts w:ascii="Times New Roman" w:eastAsia="宋体" w:hAnsi="Times New Roman" w:cs="Times New Roman" w:hint="default"/>
                      <w:color w:val="auto"/>
                      <w:sz w:val="21"/>
                      <w:szCs w:val="21"/>
                    </w:rPr>
                  </w:pPr>
                </w:p>
              </w:tc>
              <w:tc>
                <w:tcPr>
                  <w:tcW w:w="432" w:type="pct"/>
                  <w:vMerge/>
                  <w:tcBorders>
                    <w:tl2br w:val="nil"/>
                    <w:tr2bl w:val="nil"/>
                  </w:tcBorders>
                  <w:noWrap w:val="0"/>
                  <w:vAlign w:val="center"/>
                </w:tcPr>
                <w:p w14:paraId="43B4C16A">
                  <w:pPr>
                    <w:pStyle w:val="a3"/>
                    <w:spacing w:line="240" w:lineRule="auto"/>
                    <w:rPr>
                      <w:rFonts w:ascii="Times New Roman" w:eastAsia="宋体" w:hAnsi="Times New Roman" w:cs="Times New Roman" w:hint="default"/>
                      <w:color w:val="auto"/>
                      <w:sz w:val="21"/>
                      <w:szCs w:val="21"/>
                    </w:rPr>
                  </w:pPr>
                </w:p>
              </w:tc>
              <w:tc>
                <w:tcPr>
                  <w:tcW w:w="455" w:type="pct"/>
                  <w:tcBorders>
                    <w:tl2br w:val="nil"/>
                    <w:tr2bl w:val="nil"/>
                  </w:tcBorders>
                  <w:noWrap w:val="0"/>
                  <w:vAlign w:val="center"/>
                </w:tcPr>
                <w:p w14:paraId="3784CC98">
                  <w:pPr>
                    <w:pStyle w:val="a3"/>
                    <w:spacing w:line="240" w:lineRule="auto"/>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资源利用效率</w:t>
                  </w:r>
                </w:p>
              </w:tc>
              <w:tc>
                <w:tcPr>
                  <w:tcW w:w="951" w:type="pct"/>
                  <w:vMerge/>
                  <w:tcBorders>
                    <w:tl2br w:val="nil"/>
                    <w:tr2bl w:val="nil"/>
                  </w:tcBorders>
                  <w:noWrap w:val="0"/>
                  <w:vAlign w:val="center"/>
                </w:tcPr>
                <w:p w14:paraId="151448FB">
                  <w:pPr>
                    <w:pStyle w:val="a3"/>
                    <w:spacing w:line="240" w:lineRule="auto"/>
                    <w:jc w:val="left"/>
                    <w:rPr>
                      <w:rFonts w:ascii="Times New Roman" w:eastAsia="宋体" w:hAnsi="Times New Roman" w:cs="Times New Roman" w:hint="default"/>
                      <w:color w:val="auto"/>
                      <w:sz w:val="21"/>
                      <w:szCs w:val="21"/>
                    </w:rPr>
                  </w:pPr>
                </w:p>
              </w:tc>
              <w:tc>
                <w:tcPr>
                  <w:tcW w:w="1202" w:type="pct"/>
                  <w:vMerge/>
                  <w:tcBorders>
                    <w:tl2br w:val="nil"/>
                    <w:tr2bl w:val="nil"/>
                  </w:tcBorders>
                  <w:noWrap w:val="0"/>
                  <w:vAlign w:val="center"/>
                </w:tcPr>
                <w:p w14:paraId="5B27738C">
                  <w:pPr>
                    <w:pStyle w:val="a3"/>
                    <w:spacing w:line="240" w:lineRule="auto"/>
                    <w:rPr>
                      <w:rFonts w:ascii="Times New Roman" w:eastAsia="宋体" w:hAnsi="Times New Roman" w:cs="Times New Roman" w:hint="default"/>
                      <w:color w:val="auto"/>
                      <w:sz w:val="21"/>
                      <w:szCs w:val="21"/>
                    </w:rPr>
                  </w:pPr>
                </w:p>
              </w:tc>
              <w:tc>
                <w:tcPr>
                  <w:tcW w:w="302" w:type="pct"/>
                  <w:vMerge/>
                  <w:tcBorders>
                    <w:tl2br w:val="nil"/>
                    <w:tr2bl w:val="nil"/>
                  </w:tcBorders>
                  <w:noWrap w:val="0"/>
                  <w:vAlign w:val="center"/>
                </w:tcPr>
                <w:p w14:paraId="0D343587">
                  <w:pPr>
                    <w:pStyle w:val="a3"/>
                    <w:spacing w:line="240" w:lineRule="auto"/>
                    <w:rPr>
                      <w:rFonts w:ascii="Times New Roman" w:eastAsia="宋体" w:hAnsi="Times New Roman" w:cs="Times New Roman" w:hint="default"/>
                      <w:color w:val="auto"/>
                      <w:sz w:val="21"/>
                      <w:szCs w:val="21"/>
                    </w:rPr>
                  </w:pPr>
                </w:p>
              </w:tc>
            </w:tr>
          </w:tbl>
          <w:p w14:paraId="0288032A">
            <w:pPr>
              <w:pStyle w:val="NormalWeb"/>
              <w:adjustRightInd w:val="0"/>
              <w:snapToGrid w:val="0"/>
              <w:spacing w:before="0" w:beforeAutospacing="0" w:after="0" w:afterAutospacing="0"/>
              <w:jc w:val="center"/>
              <w:rPr>
                <w:rFonts w:ascii="Times New Roman" w:hAnsi="Times New Roman" w:hint="default"/>
                <w:b/>
                <w:color w:val="auto"/>
                <w:kern w:val="2"/>
                <w:szCs w:val="24"/>
                <w:highlight w:val="none"/>
                <w:lang w:val="en-US" w:eastAsia="zh-CN" w:bidi="ar"/>
              </w:rPr>
            </w:pPr>
            <w:r>
              <w:rPr>
                <w:rFonts w:ascii="Times New Roman" w:hAnsi="Times New Roman" w:hint="default"/>
                <w:b/>
                <w:color w:val="auto"/>
                <w:kern w:val="2"/>
                <w:szCs w:val="24"/>
                <w:highlight w:val="none"/>
                <w:lang w:val="en-US" w:eastAsia="zh-CN" w:bidi="ar"/>
              </w:rPr>
              <w:t>表</w:t>
            </w:r>
            <w:r>
              <w:rPr>
                <w:rFonts w:ascii="Times New Roman" w:hAnsi="Times New Roman" w:hint="eastAsia"/>
                <w:b/>
                <w:color w:val="auto"/>
                <w:kern w:val="2"/>
                <w:szCs w:val="24"/>
                <w:highlight w:val="none"/>
                <w:lang w:val="en-US" w:eastAsia="zh-CN" w:bidi="ar"/>
              </w:rPr>
              <w:t>1-2承德市总体</w:t>
            </w:r>
            <w:r>
              <w:rPr>
                <w:rFonts w:ascii="Times New Roman" w:hAnsi="Times New Roman" w:hint="default"/>
                <w:b/>
                <w:color w:val="auto"/>
                <w:kern w:val="2"/>
                <w:szCs w:val="24"/>
                <w:highlight w:val="none"/>
                <w:lang w:val="en-US" w:eastAsia="zh-CN" w:bidi="ar"/>
              </w:rPr>
              <w:t>准入清单一览表</w:t>
            </w:r>
          </w:p>
          <w:tbl>
            <w:tblPr>
              <w:tblStyle w:val="TableNormal"/>
              <w:tblW w:w="4999" w:type="pct"/>
              <w:tblInd w:w="0" w:type="dxa"/>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ayout w:type="fixed"/>
              <w:tblCellMar>
                <w:top w:w="0" w:type="dxa"/>
                <w:left w:w="0" w:type="dxa"/>
                <w:bottom w:w="0" w:type="dxa"/>
                <w:right w:w="0" w:type="dxa"/>
              </w:tblCellMar>
            </w:tblPr>
            <w:tblGrid>
              <w:gridCol w:w="726"/>
              <w:gridCol w:w="317"/>
              <w:gridCol w:w="3694"/>
              <w:gridCol w:w="2328"/>
            </w:tblGrid>
            <w:tr w14:paraId="580644A8">
              <w:tblPrEx>
                <w:tblW w:w="4999" w:type="pct"/>
                <w:tblInd w:w="0" w:type="dxa"/>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ayout w:type="fixed"/>
                <w:tblCellMar>
                  <w:top w:w="0" w:type="dxa"/>
                  <w:left w:w="0" w:type="dxa"/>
                  <w:bottom w:w="0" w:type="dxa"/>
                  <w:right w:w="0" w:type="dxa"/>
                </w:tblCellMar>
              </w:tblPrEx>
              <w:trPr>
                <w:trHeight w:val="615"/>
              </w:trPr>
              <w:tc>
                <w:tcPr>
                  <w:tcW w:w="514" w:type="pct"/>
                  <w:tcBorders>
                    <w:top w:val="single" w:sz="8" w:space="0" w:color="auto"/>
                    <w:left w:val="single" w:sz="0" w:space="0" w:color="auto"/>
                  </w:tcBorders>
                  <w:noWrap/>
                  <w:vAlign w:val="center"/>
                </w:tcPr>
                <w:p w14:paraId="2F073A3A">
                  <w:pPr>
                    <w:pStyle w:val="a3"/>
                    <w:spacing w:line="240" w:lineRule="auto"/>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环境要素类别</w:t>
                  </w:r>
                </w:p>
              </w:tc>
              <w:tc>
                <w:tcPr>
                  <w:tcW w:w="224" w:type="pct"/>
                  <w:tcBorders>
                    <w:top w:val="single" w:sz="8" w:space="0" w:color="auto"/>
                  </w:tcBorders>
                  <w:noWrap/>
                  <w:vAlign w:val="center"/>
                </w:tcPr>
                <w:p w14:paraId="052217EE">
                  <w:pPr>
                    <w:pStyle w:val="a3"/>
                    <w:spacing w:line="240" w:lineRule="auto"/>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eastAsia"/>
                      <w:color w:val="auto"/>
                      <w:sz w:val="21"/>
                      <w:szCs w:val="21"/>
                      <w:lang w:val="en-US" w:eastAsia="zh-CN"/>
                    </w:rPr>
                    <w:t>属性</w:t>
                  </w:r>
                </w:p>
              </w:tc>
              <w:tc>
                <w:tcPr>
                  <w:tcW w:w="2613" w:type="pct"/>
                  <w:tcBorders>
                    <w:top w:val="single" w:sz="8" w:space="0" w:color="auto"/>
                  </w:tcBorders>
                  <w:noWrap/>
                  <w:vAlign w:val="center"/>
                </w:tcPr>
                <w:p w14:paraId="65720C0E">
                  <w:pPr>
                    <w:pStyle w:val="a3"/>
                    <w:spacing w:line="240" w:lineRule="auto"/>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管控措施</w:t>
                  </w:r>
                </w:p>
              </w:tc>
              <w:tc>
                <w:tcPr>
                  <w:tcW w:w="1647" w:type="pct"/>
                  <w:tcBorders>
                    <w:top w:val="single" w:sz="8" w:space="0" w:color="auto"/>
                    <w:right w:val="single" w:sz="8" w:space="0" w:color="auto"/>
                  </w:tcBorders>
                  <w:noWrap/>
                  <w:vAlign w:val="center"/>
                </w:tcPr>
                <w:p w14:paraId="7DA357EC">
                  <w:pPr>
                    <w:pStyle w:val="a3"/>
                    <w:spacing w:line="240" w:lineRule="auto"/>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本项目符合性</w:t>
                  </w:r>
                </w:p>
              </w:tc>
            </w:tr>
            <w:tr w14:paraId="01460D1D">
              <w:tblPrEx>
                <w:tblW w:w="4999" w:type="pct"/>
                <w:tblInd w:w="0" w:type="dxa"/>
                <w:tblLayout w:type="fixed"/>
                <w:tblCellMar>
                  <w:top w:w="0" w:type="dxa"/>
                  <w:left w:w="0" w:type="dxa"/>
                  <w:bottom w:w="0" w:type="dxa"/>
                  <w:right w:w="0" w:type="dxa"/>
                </w:tblCellMar>
              </w:tblPrEx>
              <w:trPr>
                <w:trHeight w:val="2136"/>
              </w:trPr>
              <w:tc>
                <w:tcPr>
                  <w:tcW w:w="514" w:type="pct"/>
                  <w:tcBorders>
                    <w:left w:val="single" w:sz="4" w:space="0" w:color="auto"/>
                    <w:bottom w:val="single" w:sz="8" w:space="0" w:color="auto"/>
                  </w:tcBorders>
                  <w:noWrap/>
                  <w:vAlign w:val="center"/>
                </w:tcPr>
                <w:p w14:paraId="797CEE6F">
                  <w:pPr>
                    <w:pStyle w:val="a3"/>
                    <w:spacing w:line="240" w:lineRule="auto"/>
                    <w:rPr>
                      <w:rFonts w:ascii="Times New Roman" w:eastAsia="宋体" w:hAnsi="Times New Roman" w:cs="Times New Roman" w:hint="default"/>
                      <w:color w:val="auto"/>
                      <w:sz w:val="21"/>
                      <w:szCs w:val="21"/>
                      <w:lang w:val="zh-CN" w:eastAsia="zh-CN"/>
                    </w:rPr>
                  </w:pPr>
                  <w:r>
                    <w:rPr>
                      <w:rFonts w:ascii="Times New Roman" w:eastAsia="宋体" w:hAnsi="Times New Roman" w:cs="Times New Roman" w:hint="eastAsia"/>
                      <w:color w:val="auto"/>
                      <w:sz w:val="21"/>
                      <w:szCs w:val="21"/>
                    </w:rPr>
                    <w:t>一般生态空间</w:t>
                  </w:r>
                </w:p>
              </w:tc>
              <w:tc>
                <w:tcPr>
                  <w:tcW w:w="224" w:type="pct"/>
                  <w:tcBorders>
                    <w:bottom w:val="single" w:sz="8" w:space="0" w:color="auto"/>
                  </w:tcBorders>
                  <w:noWrap/>
                  <w:vAlign w:val="center"/>
                </w:tcPr>
                <w:p w14:paraId="073F2DC9">
                  <w:pPr>
                    <w:pStyle w:val="a3"/>
                    <w:spacing w:line="240" w:lineRule="auto"/>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eastAsia"/>
                      <w:color w:val="auto"/>
                      <w:sz w:val="21"/>
                      <w:szCs w:val="21"/>
                      <w:lang w:val="en-US" w:eastAsia="zh-CN"/>
                    </w:rPr>
                    <w:t>防风固沙</w:t>
                  </w:r>
                </w:p>
              </w:tc>
              <w:tc>
                <w:tcPr>
                  <w:tcW w:w="2613" w:type="pct"/>
                  <w:tcBorders>
                    <w:bottom w:val="single" w:sz="8" w:space="0" w:color="auto"/>
                  </w:tcBorders>
                  <w:noWrap/>
                  <w:vAlign w:val="center"/>
                </w:tcPr>
                <w:p w14:paraId="18B6E5E6">
                  <w:pPr>
                    <w:pStyle w:val="a3"/>
                    <w:spacing w:line="240" w:lineRule="auto"/>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default"/>
                      <w:color w:val="auto"/>
                      <w:sz w:val="21"/>
                      <w:szCs w:val="21"/>
                      <w:lang w:val="en-US" w:eastAsia="zh-CN"/>
                    </w:rPr>
                    <w:t>应对主要沙尘源区、沙尘暴频发区实行封禁管理</w:t>
                  </w:r>
                  <w:r>
                    <w:rPr>
                      <w:rFonts w:ascii="Times New Roman" w:eastAsia="宋体" w:hAnsi="Times New Roman" w:cs="Times New Roman" w:hint="eastAsia"/>
                      <w:color w:val="auto"/>
                      <w:sz w:val="21"/>
                      <w:szCs w:val="21"/>
                      <w:lang w:val="en-US" w:eastAsia="zh-CN"/>
                    </w:rPr>
                    <w:t>；</w:t>
                  </w:r>
                </w:p>
                <w:p w14:paraId="77A96CC7">
                  <w:pPr>
                    <w:pStyle w:val="a3"/>
                    <w:spacing w:line="240" w:lineRule="auto"/>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严格控制放牧和草原生物资源的利用，加强植被恢复和保护；</w:t>
                  </w:r>
                </w:p>
                <w:p w14:paraId="31A606D8">
                  <w:pPr>
                    <w:pStyle w:val="a3"/>
                    <w:spacing w:line="240" w:lineRule="auto"/>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严格控制过度放牧、樵采、开荒，合理利用水资源，保障生态用水，提高区域生态系统防沙固沙的能力；</w:t>
                  </w:r>
                </w:p>
                <w:p w14:paraId="6F4E7692">
                  <w:pPr>
                    <w:pStyle w:val="a3"/>
                    <w:spacing w:line="240" w:lineRule="auto"/>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开展荒漠植被和沙化土地封禁保护，加强退化林带修复，禁止滥开垦、滥放牧和滥樵采，构建乔灌草相结合的防护林体系；</w:t>
                  </w:r>
                </w:p>
                <w:p w14:paraId="195008C1">
                  <w:pPr>
                    <w:pStyle w:val="a3"/>
                    <w:spacing w:line="240" w:lineRule="auto"/>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对防风固沙林只能进行抚育和更新性质的采伐；</w:t>
                  </w:r>
                </w:p>
                <w:p w14:paraId="08AF0F08">
                  <w:pPr>
                    <w:pStyle w:val="a3"/>
                    <w:spacing w:line="240" w:lineRule="auto"/>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转变畜牧业生产方式，实行禁牧休牧，推行舍饲圈养，以草定畜，严格控制载畜量；</w:t>
                  </w:r>
                </w:p>
                <w:p w14:paraId="55ECB90E">
                  <w:pPr>
                    <w:pStyle w:val="a3"/>
                    <w:spacing w:line="240" w:lineRule="auto"/>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加大退耕还林力度，恢复草原植被；</w:t>
                  </w:r>
                </w:p>
                <w:p w14:paraId="5DEB8800">
                  <w:pPr>
                    <w:pStyle w:val="a3"/>
                    <w:spacing w:line="240" w:lineRule="auto"/>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加强对内陆河流的规划和管理，保护沙区湿地。</w:t>
                  </w:r>
                </w:p>
              </w:tc>
              <w:tc>
                <w:tcPr>
                  <w:tcW w:w="1647" w:type="pct"/>
                  <w:tcBorders>
                    <w:bottom w:val="single" w:sz="8" w:space="0" w:color="auto"/>
                    <w:right w:val="single" w:sz="8" w:space="0" w:color="auto"/>
                  </w:tcBorders>
                  <w:noWrap/>
                  <w:vAlign w:val="center"/>
                </w:tcPr>
                <w:p w14:paraId="7CB6BB0E">
                  <w:pPr>
                    <w:pStyle w:val="a3"/>
                    <w:spacing w:line="240" w:lineRule="auto"/>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eastAsia"/>
                      <w:color w:val="auto"/>
                      <w:sz w:val="21"/>
                      <w:szCs w:val="21"/>
                      <w:lang w:val="en-US" w:eastAsia="zh-CN"/>
                    </w:rPr>
                    <w:t>1、根据本项目与沙区矢量图位置关系，本项目位于沙化区</w:t>
                  </w:r>
                  <w:r>
                    <w:rPr>
                      <w:rFonts w:ascii="Times New Roman" w:eastAsia="宋体" w:hAnsi="Times New Roman" w:cs="Times New Roman" w:hint="default"/>
                      <w:color w:val="auto"/>
                      <w:sz w:val="21"/>
                      <w:szCs w:val="21"/>
                      <w:lang w:val="en-US" w:eastAsia="zh-CN"/>
                    </w:rPr>
                    <w:t>。</w:t>
                  </w:r>
                </w:p>
                <w:p w14:paraId="5298CEAD">
                  <w:pPr>
                    <w:pStyle w:val="a3"/>
                    <w:spacing w:line="240" w:lineRule="auto"/>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2、</w:t>
                  </w:r>
                  <w:r>
                    <w:rPr>
                      <w:rFonts w:ascii="Times New Roman" w:eastAsia="宋体" w:hAnsi="Times New Roman" w:cs="Times New Roman" w:hint="default"/>
                      <w:color w:val="auto"/>
                      <w:sz w:val="21"/>
                      <w:szCs w:val="21"/>
                      <w:lang w:val="en-US" w:eastAsia="zh-CN"/>
                    </w:rPr>
                    <w:t>本项目</w:t>
                  </w:r>
                  <w:r>
                    <w:rPr>
                      <w:rFonts w:ascii="Times New Roman" w:eastAsia="宋体" w:hAnsi="Times New Roman" w:cs="Times New Roman" w:hint="eastAsia"/>
                      <w:color w:val="auto"/>
                      <w:sz w:val="21"/>
                      <w:szCs w:val="21"/>
                      <w:lang w:val="en-US" w:eastAsia="zh-CN"/>
                    </w:rPr>
                    <w:t>为储能站项目，不涉及</w:t>
                  </w:r>
                  <w:r>
                    <w:rPr>
                      <w:rFonts w:ascii="Times New Roman" w:eastAsia="宋体" w:hAnsi="Times New Roman" w:cs="Times New Roman" w:hint="default"/>
                      <w:color w:val="auto"/>
                      <w:sz w:val="21"/>
                      <w:szCs w:val="21"/>
                      <w:lang w:val="en-US" w:eastAsia="zh-CN"/>
                    </w:rPr>
                    <w:t>放牧</w:t>
                  </w:r>
                  <w:r>
                    <w:rPr>
                      <w:rFonts w:ascii="Times New Roman" w:eastAsia="宋体" w:hAnsi="Times New Roman" w:cs="Times New Roman" w:hint="eastAsia"/>
                      <w:color w:val="auto"/>
                      <w:sz w:val="21"/>
                      <w:szCs w:val="21"/>
                      <w:lang w:val="en-US" w:eastAsia="zh-CN"/>
                    </w:rPr>
                    <w:t>和</w:t>
                  </w:r>
                  <w:r>
                    <w:rPr>
                      <w:rFonts w:ascii="Times New Roman" w:eastAsia="宋体" w:hAnsi="Times New Roman" w:cs="Times New Roman" w:hint="default"/>
                      <w:color w:val="auto"/>
                      <w:sz w:val="21"/>
                      <w:szCs w:val="21"/>
                      <w:lang w:val="en-US" w:eastAsia="zh-CN"/>
                    </w:rPr>
                    <w:t>草原生物资源的利用</w:t>
                  </w:r>
                  <w:r>
                    <w:rPr>
                      <w:rFonts w:ascii="Times New Roman" w:eastAsia="宋体" w:hAnsi="Times New Roman" w:cs="Times New Roman" w:hint="eastAsia"/>
                      <w:color w:val="auto"/>
                      <w:sz w:val="21"/>
                      <w:szCs w:val="21"/>
                      <w:lang w:val="en-US" w:eastAsia="zh-CN"/>
                    </w:rPr>
                    <w:t>。</w:t>
                  </w:r>
                </w:p>
                <w:p w14:paraId="5BD36904">
                  <w:pPr>
                    <w:pStyle w:val="a3"/>
                    <w:spacing w:line="240" w:lineRule="auto"/>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eastAsia"/>
                      <w:color w:val="auto"/>
                      <w:sz w:val="21"/>
                      <w:szCs w:val="21"/>
                      <w:lang w:val="en-US" w:eastAsia="zh-CN"/>
                    </w:rPr>
                    <w:t>3、不涉及</w:t>
                  </w:r>
                  <w:r>
                    <w:rPr>
                      <w:rFonts w:ascii="Times New Roman" w:eastAsia="宋体" w:hAnsi="Times New Roman" w:cs="Times New Roman" w:hint="default"/>
                      <w:color w:val="auto"/>
                      <w:sz w:val="21"/>
                      <w:szCs w:val="21"/>
                      <w:lang w:val="en-US" w:eastAsia="zh-CN"/>
                    </w:rPr>
                    <w:t>放牧、樵采、开荒</w:t>
                  </w:r>
                  <w:r>
                    <w:rPr>
                      <w:rFonts w:ascii="Times New Roman" w:eastAsia="宋体" w:hAnsi="Times New Roman" w:cs="Times New Roman" w:hint="eastAsia"/>
                      <w:color w:val="auto"/>
                      <w:sz w:val="21"/>
                      <w:szCs w:val="21"/>
                      <w:lang w:val="en-US" w:eastAsia="zh-CN"/>
                    </w:rPr>
                    <w:t>。</w:t>
                  </w:r>
                </w:p>
                <w:p w14:paraId="0BB91919">
                  <w:pPr>
                    <w:pStyle w:val="a3"/>
                    <w:spacing w:line="240" w:lineRule="auto"/>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4、不涉及</w:t>
                  </w:r>
                  <w:r>
                    <w:rPr>
                      <w:rFonts w:ascii="Times New Roman" w:eastAsia="宋体" w:hAnsi="Times New Roman" w:cs="Times New Roman" w:hint="default"/>
                      <w:color w:val="auto"/>
                      <w:sz w:val="21"/>
                      <w:szCs w:val="21"/>
                      <w:lang w:val="en-US" w:eastAsia="zh-CN"/>
                    </w:rPr>
                    <w:t>荒漠植被和沙化土地封禁保护</w:t>
                  </w:r>
                  <w:r>
                    <w:rPr>
                      <w:rFonts w:ascii="Times New Roman" w:eastAsia="宋体" w:hAnsi="Times New Roman" w:cs="Times New Roman" w:hint="eastAsia"/>
                      <w:color w:val="auto"/>
                      <w:sz w:val="21"/>
                      <w:szCs w:val="21"/>
                      <w:lang w:val="en-US" w:eastAsia="zh-CN"/>
                    </w:rPr>
                    <w:t>。</w:t>
                  </w:r>
                </w:p>
                <w:p w14:paraId="2F07C7E2">
                  <w:pPr>
                    <w:pStyle w:val="a3"/>
                    <w:spacing w:line="240" w:lineRule="auto"/>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eastAsia"/>
                      <w:color w:val="auto"/>
                      <w:sz w:val="21"/>
                      <w:szCs w:val="21"/>
                      <w:lang w:val="en-US" w:eastAsia="zh-CN"/>
                    </w:rPr>
                    <w:t>5、不涉及</w:t>
                  </w:r>
                  <w:r>
                    <w:rPr>
                      <w:rFonts w:ascii="Times New Roman" w:eastAsia="宋体" w:hAnsi="Times New Roman" w:cs="Times New Roman" w:hint="default"/>
                      <w:color w:val="auto"/>
                      <w:sz w:val="21"/>
                      <w:szCs w:val="21"/>
                      <w:lang w:val="en-US" w:eastAsia="zh-CN"/>
                    </w:rPr>
                    <w:t>防风固沙林</w:t>
                  </w:r>
                  <w:r>
                    <w:rPr>
                      <w:rFonts w:ascii="Times New Roman" w:eastAsia="宋体" w:hAnsi="Times New Roman" w:cs="Times New Roman" w:hint="eastAsia"/>
                      <w:color w:val="auto"/>
                      <w:sz w:val="21"/>
                      <w:szCs w:val="21"/>
                      <w:lang w:val="en-US" w:eastAsia="zh-CN"/>
                    </w:rPr>
                    <w:t>.</w:t>
                  </w:r>
                </w:p>
                <w:p w14:paraId="534AEE46">
                  <w:pPr>
                    <w:pStyle w:val="a3"/>
                    <w:spacing w:line="240" w:lineRule="auto"/>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eastAsia"/>
                      <w:color w:val="auto"/>
                      <w:sz w:val="21"/>
                      <w:szCs w:val="21"/>
                      <w:lang w:val="en-US" w:eastAsia="zh-CN"/>
                    </w:rPr>
                    <w:t>6、不涉及</w:t>
                  </w:r>
                  <w:r>
                    <w:rPr>
                      <w:rFonts w:ascii="Times New Roman" w:eastAsia="宋体" w:hAnsi="Times New Roman" w:cs="Times New Roman" w:hint="default"/>
                      <w:color w:val="auto"/>
                      <w:sz w:val="21"/>
                      <w:szCs w:val="21"/>
                      <w:lang w:val="en-US" w:eastAsia="zh-CN"/>
                    </w:rPr>
                    <w:t>畜牧业</w:t>
                  </w:r>
                  <w:r>
                    <w:rPr>
                      <w:rFonts w:ascii="Times New Roman" w:eastAsia="宋体" w:hAnsi="Times New Roman" w:cs="Times New Roman" w:hint="eastAsia"/>
                      <w:color w:val="auto"/>
                      <w:sz w:val="21"/>
                      <w:szCs w:val="21"/>
                      <w:lang w:val="en-US" w:eastAsia="zh-CN"/>
                    </w:rPr>
                    <w:t>。</w:t>
                  </w:r>
                </w:p>
                <w:p w14:paraId="5DC2D17F">
                  <w:pPr>
                    <w:pStyle w:val="a3"/>
                    <w:spacing w:line="240" w:lineRule="auto"/>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7</w:t>
                  </w:r>
                  <w:r>
                    <w:rPr>
                      <w:rFonts w:ascii="Times New Roman" w:eastAsia="宋体" w:hAnsi="Times New Roman" w:cs="Times New Roman" w:hint="default"/>
                      <w:color w:val="auto"/>
                      <w:sz w:val="21"/>
                      <w:szCs w:val="21"/>
                      <w:lang w:val="en-US" w:eastAsia="zh-CN"/>
                    </w:rPr>
                    <w:t>、不涉及退耕还林</w:t>
                  </w:r>
                  <w:r>
                    <w:rPr>
                      <w:rFonts w:ascii="Times New Roman" w:eastAsia="宋体" w:hAnsi="Times New Roman" w:cs="Times New Roman" w:hint="eastAsia"/>
                      <w:color w:val="auto"/>
                      <w:sz w:val="21"/>
                      <w:szCs w:val="21"/>
                      <w:lang w:val="en-US" w:eastAsia="zh-CN"/>
                    </w:rPr>
                    <w:t>，占用的草地通过厂区绿化恢复。</w:t>
                  </w:r>
                </w:p>
                <w:p w14:paraId="32DA16E6">
                  <w:pPr>
                    <w:pStyle w:val="a3"/>
                    <w:spacing w:line="240" w:lineRule="auto"/>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eastAsia"/>
                      <w:color w:val="auto"/>
                      <w:sz w:val="21"/>
                      <w:szCs w:val="21"/>
                      <w:lang w:val="en-US" w:eastAsia="zh-CN"/>
                    </w:rPr>
                    <w:t>8、不涉及</w:t>
                  </w:r>
                  <w:r>
                    <w:rPr>
                      <w:rFonts w:ascii="Times New Roman" w:eastAsia="宋体" w:hAnsi="Times New Roman" w:cs="Times New Roman" w:hint="default"/>
                      <w:color w:val="auto"/>
                      <w:sz w:val="21"/>
                      <w:szCs w:val="21"/>
                      <w:lang w:val="en-US" w:eastAsia="zh-CN"/>
                    </w:rPr>
                    <w:t>内陆河流</w:t>
                  </w:r>
                </w:p>
              </w:tc>
            </w:tr>
          </w:tbl>
          <w:p w14:paraId="7F77C010">
            <w:pPr>
              <w:spacing w:line="440" w:lineRule="exact"/>
              <w:ind w:firstLine="480" w:firstLineChars="200"/>
              <w:jc w:val="center"/>
              <w:rPr>
                <w:rFonts w:ascii="Times New Roman" w:eastAsia="宋体" w:hAnsi="Times New Roman" w:cs="Times New Roman" w:hint="default"/>
                <w:b/>
                <w:bCs/>
                <w:color w:val="auto"/>
                <w:sz w:val="24"/>
                <w:lang w:val="en-US" w:eastAsia="zh-CN"/>
              </w:rPr>
            </w:pP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081"/>
            </w:tblGrid>
            <w:tr w14:paraId="0D796CC9">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c>
                <w:tcPr>
                  <w:tcW w:w="7081" w:type="dxa"/>
                </w:tcPr>
                <w:p w14:paraId="156B0A4B">
                  <w:pPr>
                    <w:spacing w:line="440" w:lineRule="exact"/>
                    <w:jc w:val="center"/>
                    <w:rPr>
                      <w:rFonts w:ascii="Times New Roman" w:eastAsia="宋体" w:hAnsi="Times New Roman" w:cs="Times New Roman" w:hint="default"/>
                      <w:color w:val="auto"/>
                      <w:vertAlign w:val="baseline"/>
                    </w:rPr>
                  </w:pPr>
                  <w:r>
                    <w:rPr>
                      <w:rFonts w:ascii="Times New Roman" w:eastAsia="宋体" w:hAnsi="Times New Roman" w:cs="Times New Roman" w:hint="default"/>
                      <w:b/>
                      <w:bCs/>
                      <w:color w:val="auto"/>
                      <w:sz w:val="24"/>
                    </w:rPr>
                    <w:t>图 1</w:t>
                  </w:r>
                  <w:r>
                    <w:rPr>
                      <w:rFonts w:ascii="Times New Roman" w:eastAsia="宋体" w:hAnsi="Times New Roman" w:cs="Times New Roman" w:hint="default"/>
                      <w:b/>
                      <w:bCs/>
                      <w:color w:val="auto"/>
                      <w:sz w:val="24"/>
                      <w:lang w:val="en-US" w:eastAsia="zh-CN"/>
                    </w:rPr>
                    <w:t>-1本项目在</w:t>
                  </w:r>
                  <w:r>
                    <w:rPr>
                      <w:rFonts w:ascii="Times New Roman" w:eastAsia="宋体" w:hAnsi="Times New Roman" w:cs="Times New Roman" w:hint="default"/>
                      <w:b/>
                      <w:bCs/>
                      <w:color w:val="auto"/>
                      <w:sz w:val="24"/>
                    </w:rPr>
                    <w:t>承德市管控单元分布图</w:t>
                  </w:r>
                  <w:r>
                    <w:rPr>
                      <w:rFonts w:ascii="Times New Roman" w:eastAsia="宋体" w:hAnsi="Times New Roman" w:cs="Times New Roman" w:hint="default"/>
                      <w:b/>
                      <w:bCs/>
                      <w:color w:val="auto"/>
                      <w:sz w:val="24"/>
                      <w:lang w:val="en-US" w:eastAsia="zh-CN"/>
                    </w:rPr>
                    <w:t>位置</w:t>
                  </w:r>
                  <w:r>
                    <w:rPr>
                      <w:rFonts w:ascii="Times New Roman" w:eastAsia="宋体" w:hAnsi="Times New Roman" w:cs="Times New Roman" w:hint="default"/>
                      <w:color w:val="auto"/>
                    </w:rPr>
                    <w:drawing>
                      <wp:anchor distT="0" distB="0" distL="114300" distR="114300" simplePos="0" relativeHeight="251665408" behindDoc="1" locked="0" layoutInCell="1" allowOverlap="1">
                        <wp:simplePos x="0" y="0"/>
                        <wp:positionH relativeFrom="column">
                          <wp:posOffset>-55880</wp:posOffset>
                        </wp:positionH>
                        <wp:positionV relativeFrom="page">
                          <wp:posOffset>129540</wp:posOffset>
                        </wp:positionV>
                        <wp:extent cx="4493260" cy="3309620"/>
                        <wp:effectExtent l="0" t="0" r="2540" b="12700"/>
                        <wp:wrapTight wrapText="bothSides">
                          <wp:wrapPolygon>
                            <wp:start x="0" y="0"/>
                            <wp:lineTo x="0" y="21484"/>
                            <wp:lineTo x="21539" y="21484"/>
                            <wp:lineTo x="21539" y="0"/>
                            <wp:lineTo x="0" y="0"/>
                          </wp:wrapPolygon>
                        </wp:wrapTight>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15909" name="图片 3"/>
                                <pic:cNvPicPr>
                                  <a:picLocks noChangeAspect="1"/>
                                </pic:cNvPicPr>
                              </pic:nvPicPr>
                              <pic:blipFill>
                                <a:blip xmlns:r="http://schemas.openxmlformats.org/officeDocument/2006/relationships" r:embed="rId7"/>
                                <a:stretch>
                                  <a:fillRect/>
                                </a:stretch>
                              </pic:blipFill>
                              <pic:spPr>
                                <a:xfrm>
                                  <a:off x="0" y="0"/>
                                  <a:ext cx="4493260" cy="3309620"/>
                                </a:xfrm>
                                <a:prstGeom prst="rect">
                                  <a:avLst/>
                                </a:prstGeom>
                                <a:noFill/>
                                <a:ln>
                                  <a:noFill/>
                                </a:ln>
                              </pic:spPr>
                            </pic:pic>
                          </a:graphicData>
                        </a:graphic>
                      </wp:anchor>
                    </w:drawing>
                  </w:r>
                </w:p>
              </w:tc>
            </w:tr>
          </w:tbl>
          <w:p w14:paraId="35C9284C">
            <w:pPr>
              <w:spacing w:line="440" w:lineRule="exact"/>
              <w:ind w:firstLine="480" w:firstLineChars="200"/>
              <w:rPr>
                <w:rFonts w:ascii="Times New Roman" w:eastAsia="宋体" w:hAnsi="Times New Roman" w:cs="Times New Roman" w:hint="default"/>
                <w:color w:val="auto"/>
                <w:sz w:val="24"/>
              </w:rPr>
            </w:pPr>
            <w:r>
              <w:rPr>
                <w:rFonts w:ascii="Times New Roman" w:eastAsia="宋体" w:hAnsi="Times New Roman" w:cs="Times New Roman" w:hint="default"/>
                <w:color w:val="auto"/>
              </w:rPr>
              <w:drawing>
                <wp:anchor distT="0" distB="0" distL="114300" distR="114300" simplePos="0" relativeHeight="251664384" behindDoc="1" locked="0" layoutInCell="1" allowOverlap="1">
                  <wp:simplePos x="0" y="0"/>
                  <wp:positionH relativeFrom="column">
                    <wp:posOffset>15875</wp:posOffset>
                  </wp:positionH>
                  <wp:positionV relativeFrom="page">
                    <wp:posOffset>129540</wp:posOffset>
                  </wp:positionV>
                  <wp:extent cx="4493260" cy="3309620"/>
                  <wp:effectExtent l="0" t="0" r="2540" b="12700"/>
                  <wp:wrapTight wrapText="bothSides">
                    <wp:wrapPolygon>
                      <wp:start x="0" y="0"/>
                      <wp:lineTo x="0" y="21484"/>
                      <wp:lineTo x="21539" y="21484"/>
                      <wp:lineTo x="21539" y="0"/>
                      <wp:lineTo x="0" y="0"/>
                    </wp:wrapPolygon>
                  </wp:wrapTight>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14355" name="图片 3"/>
                          <pic:cNvPicPr>
                            <a:picLocks noChangeAspect="1"/>
                          </pic:cNvPicPr>
                        </pic:nvPicPr>
                        <pic:blipFill>
                          <a:blip xmlns:r="http://schemas.openxmlformats.org/officeDocument/2006/relationships" r:embed="rId7"/>
                          <a:stretch>
                            <a:fillRect/>
                          </a:stretch>
                        </pic:blipFill>
                        <pic:spPr>
                          <a:xfrm>
                            <a:off x="0" y="0"/>
                            <a:ext cx="4493260" cy="3309620"/>
                          </a:xfrm>
                          <a:prstGeom prst="rect">
                            <a:avLst/>
                          </a:prstGeom>
                          <a:noFill/>
                          <a:ln>
                            <a:noFill/>
                          </a:ln>
                        </pic:spPr>
                      </pic:pic>
                    </a:graphicData>
                  </a:graphic>
                </wp:anchor>
              </w:drawing>
            </w:r>
            <w:r>
              <w:rPr>
                <w:rFonts w:ascii="Times New Roman" w:eastAsia="宋体" w:hAnsi="Times New Roman" w:cs="Times New Roman" w:hint="default"/>
                <w:color w:val="auto"/>
                <w:sz w:val="24"/>
              </w:rPr>
              <w:t>根据上表分析，</w:t>
            </w:r>
            <w:r>
              <w:rPr>
                <w:rFonts w:ascii="Times New Roman" w:eastAsia="宋体" w:hAnsi="Times New Roman" w:cs="Times New Roman" w:hint="default"/>
                <w:color w:val="auto"/>
                <w:sz w:val="24"/>
                <w:lang w:val="en-US" w:eastAsia="zh-CN"/>
              </w:rPr>
              <w:t>本项目</w:t>
            </w:r>
            <w:r>
              <w:rPr>
                <w:rFonts w:ascii="Times New Roman" w:eastAsia="宋体" w:hAnsi="Times New Roman" w:cs="Times New Roman" w:hint="default"/>
                <w:color w:val="auto"/>
                <w:sz w:val="24"/>
              </w:rPr>
              <w:t>不占压生态红线，符合《承德市“三线一单”生态环境准入清单》要求。</w:t>
            </w:r>
          </w:p>
          <w:p w14:paraId="1E83A833">
            <w:pPr>
              <w:pStyle w:val="lh-1--"/>
              <w:numPr>
                <w:ilvl w:val="0"/>
                <w:numId w:val="0"/>
              </w:numPr>
              <w:ind w:leftChars="0"/>
              <w:rPr>
                <w:rFonts w:ascii="Times New Roman" w:eastAsia="宋体" w:hAnsi="Times New Roman" w:cs="Times New Roman" w:hint="default"/>
                <w:color w:val="auto"/>
                <w:lang w:val="en-US" w:eastAsia="zh-CN"/>
              </w:rPr>
            </w:pPr>
            <w:r>
              <w:rPr>
                <w:rFonts w:eastAsia="宋体" w:cs="Times New Roman" w:hint="eastAsia"/>
                <w:b/>
                <w:bCs w:val="0"/>
                <w:color w:val="auto"/>
                <w:highlight w:val="none"/>
                <w:lang w:val="en-US" w:eastAsia="zh-CN"/>
              </w:rPr>
              <w:t>4</w:t>
            </w:r>
            <w:r>
              <w:rPr>
                <w:rFonts w:ascii="Times New Roman" w:eastAsia="宋体" w:hAnsi="Times New Roman" w:cs="Times New Roman" w:hint="default"/>
                <w:b/>
                <w:bCs w:val="0"/>
                <w:color w:val="auto"/>
                <w:highlight w:val="none"/>
              </w:rPr>
              <w:t>、用地符合性分析</w:t>
            </w:r>
          </w:p>
          <w:p w14:paraId="513216A7">
            <w:pPr>
              <w:pStyle w:val="lh-2---"/>
              <w:numPr>
                <w:ilvl w:val="1"/>
                <w:numId w:val="0"/>
              </w:numPr>
              <w:ind w:firstLine="480" w:leftChars="0" w:firstLineChars="200"/>
              <w:rPr>
                <w:rFonts w:ascii="Times New Roman" w:eastAsia="宋体" w:hAnsi="Times New Roman" w:cs="Times New Roman" w:hint="default"/>
                <w:bCs w:val="0"/>
                <w:color w:val="auto"/>
                <w:kern w:val="2"/>
                <w:sz w:val="24"/>
                <w:szCs w:val="24"/>
                <w:highlight w:val="none"/>
                <w:lang w:val="en-US" w:eastAsia="zh-CN" w:bidi="ar-SA"/>
              </w:rPr>
            </w:pPr>
            <w:r>
              <w:rPr>
                <w:rFonts w:ascii="Times New Roman" w:eastAsia="宋体" w:hAnsi="Times New Roman" w:cs="Times New Roman" w:hint="default"/>
                <w:bCs w:val="0"/>
                <w:color w:val="auto"/>
                <w:kern w:val="2"/>
                <w:sz w:val="24"/>
                <w:szCs w:val="24"/>
                <w:highlight w:val="none"/>
                <w:lang w:val="en-US" w:eastAsia="zh-CN" w:bidi="ar-SA"/>
              </w:rPr>
              <w:t>本项目建设地点承德市围场满族蒙古族自治县半截塔村西，已取得围场满族蒙古族自治县自然资源和规划局出具的《关于天启鸿源围场共享储能电站项目选址符合规划的说明》详见附件，项目的用地性质为公用设施用地（供电用地）符合国土空间总体规划要求，项目选址合理。</w:t>
            </w:r>
          </w:p>
          <w:p w14:paraId="397DEF47">
            <w:pPr>
              <w:autoSpaceDE w:val="0"/>
              <w:autoSpaceDN w:val="0"/>
              <w:adjustRightInd w:val="0"/>
              <w:snapToGrid w:val="0"/>
              <w:spacing w:line="440" w:lineRule="exact"/>
              <w:rPr>
                <w:rFonts w:ascii="Times New Roman" w:eastAsia="宋体" w:hAnsi="Times New Roman" w:cs="Times New Roman" w:hint="default"/>
                <w:b/>
                <w:bCs/>
                <w:color w:val="auto"/>
                <w:kern w:val="0"/>
                <w:sz w:val="24"/>
              </w:rPr>
            </w:pPr>
            <w:r>
              <w:rPr>
                <w:rFonts w:ascii="Times New Roman" w:eastAsia="宋体" w:hAnsi="Times New Roman" w:cs="Times New Roman" w:hint="eastAsia"/>
                <w:b/>
                <w:bCs/>
                <w:color w:val="auto"/>
                <w:kern w:val="0"/>
                <w:sz w:val="24"/>
                <w:lang w:val="en-US" w:eastAsia="zh-CN"/>
              </w:rPr>
              <w:t>5</w:t>
            </w:r>
            <w:r>
              <w:rPr>
                <w:rFonts w:ascii="Times New Roman" w:eastAsia="宋体" w:hAnsi="Times New Roman" w:cs="Times New Roman" w:hint="default"/>
                <w:b/>
                <w:bCs/>
                <w:color w:val="auto"/>
                <w:kern w:val="0"/>
                <w:sz w:val="24"/>
              </w:rPr>
              <w:t>、《河北省生态环境保护“十四五”规划》符合性分析</w:t>
            </w:r>
          </w:p>
          <w:p w14:paraId="3335A85E">
            <w:pPr>
              <w:pStyle w:val="lh--"/>
              <w:ind w:left="0" w:firstLine="480" w:leftChars="0" w:firstLineChars="200"/>
              <w:rPr>
                <w:rFonts w:ascii="Times New Roman" w:eastAsia="宋体" w:hAnsi="Times New Roman" w:cs="Times New Roman" w:hint="default"/>
                <w:color w:val="auto"/>
                <w:kern w:val="0"/>
                <w:sz w:val="24"/>
              </w:rPr>
            </w:pPr>
            <w:r>
              <w:rPr>
                <w:rFonts w:ascii="Times New Roman" w:eastAsia="宋体" w:hAnsi="Times New Roman" w:cs="Times New Roman" w:hint="default"/>
                <w:color w:val="auto"/>
                <w:kern w:val="0"/>
                <w:sz w:val="24"/>
              </w:rPr>
              <w:t>根据《河北省生态环境保护“十四五”规划》“控制化石能源消费总量，推动非化石能源成为能源消费增量的主体。大力发展风能、太阳能等可再生能源发电，有序推动抽水蓄能电站规划建设，加快承德百万千瓦风电基地二期、光伏发电应用基地和分布式光伏项目建设，推进丰宁、滦平等抽水蓄能电站建设，积极推动可再生能源制氢，完善产供储销配套设施，拓展氢能应用领域。”</w:t>
            </w:r>
          </w:p>
          <w:p w14:paraId="400DA775">
            <w:pPr>
              <w:pStyle w:val="lh--"/>
              <w:ind w:left="0" w:firstLine="480" w:leftChars="0" w:firstLineChars="200"/>
              <w:rPr>
                <w:rFonts w:ascii="Times New Roman" w:eastAsia="宋体" w:hAnsi="Times New Roman" w:cs="Times New Roman" w:hint="default"/>
                <w:color w:val="auto"/>
                <w:kern w:val="0"/>
                <w:sz w:val="24"/>
              </w:rPr>
            </w:pPr>
            <w:r>
              <w:rPr>
                <w:rFonts w:ascii="Times New Roman" w:eastAsia="宋体" w:hAnsi="Times New Roman" w:cs="Times New Roman" w:hint="default"/>
                <w:color w:val="auto"/>
                <w:kern w:val="0"/>
                <w:sz w:val="24"/>
              </w:rPr>
              <w:t>本项目为</w:t>
            </w:r>
            <w:r>
              <w:rPr>
                <w:rFonts w:ascii="Times New Roman" w:eastAsia="宋体" w:hAnsi="Times New Roman" w:cs="Times New Roman" w:hint="default"/>
                <w:color w:val="auto"/>
                <w:kern w:val="0"/>
                <w:sz w:val="24"/>
                <w:lang w:val="en-US" w:eastAsia="zh-CN"/>
              </w:rPr>
              <w:t>储能</w:t>
            </w:r>
            <w:r>
              <w:rPr>
                <w:rFonts w:ascii="Times New Roman" w:eastAsia="宋体" w:hAnsi="Times New Roman" w:cs="Times New Roman" w:hint="eastAsia"/>
                <w:color w:val="auto"/>
                <w:kern w:val="0"/>
                <w:sz w:val="24"/>
                <w:lang w:val="en-US" w:eastAsia="zh-CN"/>
              </w:rPr>
              <w:t>站</w:t>
            </w:r>
            <w:r>
              <w:rPr>
                <w:rFonts w:ascii="Times New Roman" w:eastAsia="宋体" w:hAnsi="Times New Roman" w:cs="Times New Roman" w:hint="default"/>
                <w:color w:val="auto"/>
                <w:kern w:val="0"/>
                <w:sz w:val="24"/>
              </w:rPr>
              <w:t>项目符合《河北省生态环境保护“十四五”规划》要求。</w:t>
            </w:r>
          </w:p>
          <w:p w14:paraId="1DF5668C">
            <w:pPr>
              <w:spacing w:line="360" w:lineRule="auto"/>
              <w:rPr>
                <w:rFonts w:ascii="Times New Roman" w:eastAsia="宋体" w:hAnsi="Times New Roman" w:cs="Times New Roman" w:hint="default"/>
                <w:b/>
                <w:color w:val="auto"/>
                <w:sz w:val="24"/>
              </w:rPr>
            </w:pPr>
            <w:r>
              <w:rPr>
                <w:rFonts w:cs="Times New Roman" w:hint="eastAsia"/>
                <w:b/>
                <w:bCs/>
                <w:color w:val="auto"/>
                <w:kern w:val="0"/>
                <w:sz w:val="24"/>
                <w:lang w:val="en-US" w:eastAsia="zh-CN"/>
              </w:rPr>
              <w:t>6</w:t>
            </w:r>
            <w:r>
              <w:rPr>
                <w:rFonts w:ascii="Times New Roman" w:eastAsia="宋体" w:hAnsi="Times New Roman" w:cs="Times New Roman" w:hint="default"/>
                <w:b/>
                <w:bCs/>
                <w:color w:val="auto"/>
                <w:kern w:val="0"/>
                <w:sz w:val="24"/>
                <w:lang w:val="en-US" w:eastAsia="zh-CN"/>
              </w:rPr>
              <w:t>、</w:t>
            </w:r>
            <w:r>
              <w:rPr>
                <w:rFonts w:ascii="Times New Roman" w:eastAsia="宋体" w:hAnsi="Times New Roman" w:cs="Times New Roman" w:hint="default"/>
                <w:b/>
                <w:color w:val="auto"/>
                <w:sz w:val="24"/>
              </w:rPr>
              <w:t>项目与《河北省生态环境厅办公室关于进一步做好沙区建设项目环境影响评价工作的通知》符合性分析</w:t>
            </w:r>
          </w:p>
          <w:p w14:paraId="1E8CB89A">
            <w:pPr>
              <w:spacing w:line="360" w:lineRule="auto"/>
              <w:ind w:firstLine="480" w:firstLineChars="200"/>
              <w:rPr>
                <w:rFonts w:ascii="Times New Roman" w:eastAsia="宋体" w:hAnsi="Times New Roman" w:cs="Times New Roman" w:hint="default"/>
                <w:color w:val="auto"/>
                <w:sz w:val="24"/>
              </w:rPr>
            </w:pPr>
            <w:r>
              <w:rPr>
                <w:rFonts w:ascii="Times New Roman" w:eastAsia="宋体" w:hAnsi="Times New Roman" w:cs="Times New Roman" w:hint="default"/>
                <w:color w:val="auto"/>
                <w:sz w:val="24"/>
              </w:rPr>
              <w:t>根据《中华人民共和国防沙治沙法》：“第二十一条在沙化土地范围内从事开发建设活动的，必须事先就该项目可能对当地及相关地区生态产生的影响进行环境影响评价，依法提交环境影响报告；环境影响报告应当包括有关防沙治沙的内容。”河北省生态环境厅于2023年9月27日发布了《河北省生态环境厅办公室“关于进一步做好沙区建设项目环境影响评价工作的通知”》(冀环办字函【2023】326号），该文件要求：“严格审查沙区建设项目环评中有关防沙治沙内容，全面落实沙区生态环境保护工作。”</w:t>
            </w:r>
          </w:p>
          <w:p w14:paraId="387BE30E">
            <w:pPr>
              <w:spacing w:line="360" w:lineRule="auto"/>
              <w:ind w:firstLine="480" w:firstLineChars="200"/>
              <w:rPr>
                <w:rFonts w:ascii="Times New Roman" w:eastAsia="宋体" w:hAnsi="Times New Roman" w:cs="Times New Roman" w:hint="default"/>
                <w:color w:val="auto"/>
                <w:sz w:val="24"/>
              </w:rPr>
            </w:pPr>
            <w:r>
              <w:rPr>
                <w:rFonts w:ascii="Times New Roman" w:eastAsia="宋体" w:hAnsi="Times New Roman" w:cs="Times New Roman" w:hint="default"/>
                <w:color w:val="auto"/>
                <w:sz w:val="24"/>
              </w:rPr>
              <w:t>本项目</w:t>
            </w:r>
            <w:r>
              <w:rPr>
                <w:rFonts w:ascii="Times New Roman" w:eastAsia="宋体" w:hAnsi="Times New Roman" w:cs="Times New Roman" w:hint="default"/>
                <w:color w:val="auto"/>
                <w:sz w:val="24"/>
                <w:lang w:val="en-US" w:eastAsia="zh-CN"/>
              </w:rPr>
              <w:t>对照</w:t>
            </w:r>
            <w:r>
              <w:rPr>
                <w:rFonts w:ascii="Times New Roman" w:eastAsia="宋体" w:hAnsi="Times New Roman" w:cs="Times New Roman" w:hint="default"/>
                <w:color w:val="auto"/>
                <w:sz w:val="24"/>
              </w:rPr>
              <w:t>沙化土地矢量文件，</w:t>
            </w:r>
            <w:r>
              <w:rPr>
                <w:rFonts w:cs="Times New Roman" w:hint="eastAsia"/>
                <w:color w:val="auto"/>
                <w:sz w:val="24"/>
                <w:lang w:val="en-US" w:eastAsia="zh-CN"/>
              </w:rPr>
              <w:t>本项目位于</w:t>
            </w:r>
            <w:r>
              <w:rPr>
                <w:rFonts w:ascii="Times New Roman" w:eastAsia="宋体" w:hAnsi="Times New Roman" w:cs="Times New Roman" w:hint="default"/>
                <w:color w:val="auto"/>
                <w:sz w:val="24"/>
              </w:rPr>
              <w:t>沙化区。根据《中华人民共和国防沙治沙法》：“第二条第三款本法所称土地沙化，是指主要因人类不合理活动所导致的天然沙漠扩张和沙质土壤上植被及覆盖物被破坏，形成流沙及沙土裸露的过程。”“第六条使用土地的单位和个人，有防止该土地沙化的义务。使用已经沙化的土地的单位和个人，有治理该沙化土地的义务。”</w:t>
            </w:r>
          </w:p>
          <w:p w14:paraId="3CC8D7DC">
            <w:pPr>
              <w:spacing w:line="360" w:lineRule="auto"/>
              <w:ind w:firstLine="480" w:firstLineChars="200"/>
              <w:rPr>
                <w:rFonts w:ascii="Times New Roman" w:eastAsia="宋体" w:hAnsi="Times New Roman" w:cs="Times New Roman" w:hint="eastAsia"/>
                <w:color w:val="auto"/>
                <w:sz w:val="24"/>
                <w:lang w:eastAsia="zh-CN"/>
              </w:rPr>
            </w:pPr>
            <w:r>
              <w:rPr>
                <w:rFonts w:ascii="宋体" w:eastAsia="宋体" w:hAnsi="宋体" w:cs="宋体"/>
                <w:color w:val="auto"/>
                <w:sz w:val="24"/>
                <w:szCs w:val="24"/>
              </w:rPr>
              <w:t>本项目在施工期间严格按设计要求进行施工。基础开挖及场地平整将开挖土石就近作为场地平整土石、土石方指定堆放地，不得随意堆放；在施工结束后应清除废弃物，平整土地，降低风蚀的影响。为了提高</w:t>
            </w:r>
            <w:r>
              <w:rPr>
                <w:rFonts w:ascii="宋体" w:eastAsia="宋体" w:hAnsi="宋体" w:cs="宋体" w:hint="eastAsia"/>
                <w:color w:val="auto"/>
                <w:sz w:val="24"/>
                <w:szCs w:val="24"/>
                <w:lang w:val="en-US" w:eastAsia="zh-CN"/>
              </w:rPr>
              <w:t>站内</w:t>
            </w:r>
            <w:r>
              <w:rPr>
                <w:rFonts w:ascii="宋体" w:eastAsia="宋体" w:hAnsi="宋体" w:cs="宋体"/>
                <w:color w:val="auto"/>
                <w:sz w:val="24"/>
                <w:szCs w:val="24"/>
              </w:rPr>
              <w:t>植被的覆盖率，选择灌、草相结合，且抗旱能力强的植被进行人工封沙种草。建设单位要重视防沙固沙工作，有效利用周围的环境条件，如在风沙区域设置草方格、增设沙障、固定沙丘，避免沙丘随大风肆意扩散，减少沙土的扩散范围。本项目建成后，</w:t>
            </w:r>
            <w:r>
              <w:rPr>
                <w:rFonts w:ascii="宋体" w:eastAsia="宋体" w:hAnsi="宋体" w:cs="宋体" w:hint="eastAsia"/>
                <w:color w:val="auto"/>
                <w:sz w:val="24"/>
                <w:szCs w:val="24"/>
                <w:lang w:val="en-US" w:eastAsia="zh-CN"/>
              </w:rPr>
              <w:t>恢复</w:t>
            </w:r>
            <w:r>
              <w:rPr>
                <w:rFonts w:ascii="宋体" w:eastAsia="宋体" w:hAnsi="宋体" w:cs="宋体"/>
                <w:color w:val="auto"/>
                <w:sz w:val="24"/>
                <w:szCs w:val="24"/>
              </w:rPr>
              <w:t>植被有利于改善沙区脆弱的生态环境，</w:t>
            </w:r>
            <w:r>
              <w:rPr>
                <w:rFonts w:ascii="宋体" w:eastAsia="宋体" w:hAnsi="宋体" w:cs="宋体" w:hint="eastAsia"/>
                <w:color w:val="auto"/>
                <w:sz w:val="24"/>
                <w:szCs w:val="24"/>
                <w:lang w:val="en-US" w:eastAsia="zh-CN"/>
              </w:rPr>
              <w:t>储能站</w:t>
            </w:r>
            <w:r>
              <w:rPr>
                <w:rFonts w:ascii="宋体" w:eastAsia="宋体" w:hAnsi="宋体" w:cs="宋体"/>
                <w:color w:val="auto"/>
                <w:sz w:val="24"/>
                <w:szCs w:val="24"/>
              </w:rPr>
              <w:t>的建设，一定程度上起到阻风固沙的作用</w:t>
            </w:r>
            <w:r>
              <w:rPr>
                <w:rFonts w:ascii="宋体" w:eastAsia="宋体" w:hAnsi="宋体" w:cs="宋体" w:hint="eastAsia"/>
                <w:color w:val="auto"/>
                <w:sz w:val="24"/>
                <w:szCs w:val="24"/>
                <w:lang w:eastAsia="zh-CN"/>
              </w:rPr>
              <w:t>。</w:t>
            </w:r>
          </w:p>
          <w:p w14:paraId="313C1F6A">
            <w:pPr>
              <w:spacing w:line="440" w:lineRule="exact"/>
              <w:ind w:firstLine="480" w:firstLineChars="200"/>
              <w:jc w:val="center"/>
              <w:rPr>
                <w:rFonts w:ascii="Times New Roman" w:eastAsia="宋体" w:hAnsi="Times New Roman" w:cs="Times New Roman" w:hint="default"/>
                <w:b/>
                <w:bCs/>
                <w:color w:val="auto"/>
                <w:sz w:val="24"/>
              </w:rPr>
            </w:pPr>
            <w:r>
              <w:rPr>
                <w:rFonts w:ascii="Times New Roman" w:eastAsia="宋体" w:hAnsi="Times New Roman" w:cs="Times New Roman" w:hint="default"/>
                <w:b/>
                <w:bCs/>
                <w:color w:val="auto"/>
                <w:sz w:val="24"/>
              </w:rPr>
              <w:drawing>
                <wp:anchor distT="0" distB="0" distL="114300" distR="114300" simplePos="0" relativeHeight="251663360" behindDoc="1" locked="0" layoutInCell="1" allowOverlap="1">
                  <wp:simplePos x="0" y="0"/>
                  <wp:positionH relativeFrom="column">
                    <wp:posOffset>266700</wp:posOffset>
                  </wp:positionH>
                  <wp:positionV relativeFrom="paragraph">
                    <wp:posOffset>91440</wp:posOffset>
                  </wp:positionV>
                  <wp:extent cx="4495800" cy="2976245"/>
                  <wp:effectExtent l="0" t="0" r="0" b="10795"/>
                  <wp:wrapTight wrapText="bothSides">
                    <wp:wrapPolygon>
                      <wp:start x="0" y="0"/>
                      <wp:lineTo x="0" y="21457"/>
                      <wp:lineTo x="21527" y="21457"/>
                      <wp:lineTo x="21527" y="0"/>
                      <wp:lineTo x="0" y="0"/>
                    </wp:wrapPolygon>
                  </wp:wrapTight>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4727" name="图片 4"/>
                          <pic:cNvPicPr>
                            <a:picLocks noChangeAspect="1"/>
                          </pic:cNvPicPr>
                        </pic:nvPicPr>
                        <pic:blipFill>
                          <a:blip xmlns:r="http://schemas.openxmlformats.org/officeDocument/2006/relationships" r:embed="rId8"/>
                          <a:stretch>
                            <a:fillRect/>
                          </a:stretch>
                        </pic:blipFill>
                        <pic:spPr>
                          <a:xfrm>
                            <a:off x="0" y="0"/>
                            <a:ext cx="4495800" cy="2976245"/>
                          </a:xfrm>
                          <a:prstGeom prst="rect">
                            <a:avLst/>
                          </a:prstGeom>
                          <a:noFill/>
                          <a:ln>
                            <a:noFill/>
                          </a:ln>
                        </pic:spPr>
                      </pic:pic>
                    </a:graphicData>
                  </a:graphic>
                </wp:anchor>
              </w:drawing>
            </w:r>
            <w:r>
              <w:rPr>
                <w:rFonts w:ascii="Times New Roman" w:eastAsia="宋体" w:hAnsi="Times New Roman" w:cs="Times New Roman" w:hint="default"/>
                <w:b/>
                <w:bCs/>
                <w:color w:val="auto"/>
                <w:sz w:val="24"/>
              </w:rPr>
              <w:t>图1-</w:t>
            </w:r>
            <w:r>
              <w:rPr>
                <w:rFonts w:ascii="Times New Roman" w:eastAsia="宋体" w:hAnsi="Times New Roman" w:cs="Times New Roman" w:hint="default"/>
                <w:b/>
                <w:bCs/>
                <w:color w:val="auto"/>
                <w:sz w:val="24"/>
                <w:lang w:val="en-US" w:eastAsia="zh-CN"/>
              </w:rPr>
              <w:t>2</w:t>
            </w:r>
            <w:r>
              <w:rPr>
                <w:rFonts w:ascii="Times New Roman" w:eastAsia="宋体" w:hAnsi="Times New Roman" w:cs="Times New Roman" w:hint="default"/>
                <w:b/>
                <w:bCs/>
                <w:color w:val="auto"/>
                <w:sz w:val="24"/>
              </w:rPr>
              <w:t xml:space="preserve">  项目与沙区位置关系图</w:t>
            </w:r>
          </w:p>
          <w:p w14:paraId="265C53E2">
            <w:pPr>
              <w:autoSpaceDE w:val="0"/>
              <w:autoSpaceDN w:val="0"/>
              <w:adjustRightInd w:val="0"/>
              <w:snapToGrid w:val="0"/>
              <w:spacing w:line="440" w:lineRule="exact"/>
              <w:rPr>
                <w:rFonts w:ascii="Times New Roman" w:eastAsia="宋体" w:hAnsi="Times New Roman" w:cs="Times New Roman" w:hint="default"/>
                <w:b/>
                <w:bCs/>
                <w:color w:val="auto"/>
                <w:kern w:val="0"/>
                <w:sz w:val="24"/>
                <w:lang w:val="en-US" w:eastAsia="zh-CN"/>
              </w:rPr>
            </w:pPr>
            <w:r>
              <w:rPr>
                <w:rFonts w:cs="Times New Roman" w:hint="eastAsia"/>
                <w:b/>
                <w:bCs/>
                <w:color w:val="auto"/>
                <w:kern w:val="0"/>
                <w:sz w:val="24"/>
                <w:lang w:val="en-US" w:eastAsia="zh-CN"/>
              </w:rPr>
              <w:t>7</w:t>
            </w:r>
            <w:r>
              <w:rPr>
                <w:rFonts w:ascii="Times New Roman" w:eastAsia="宋体" w:hAnsi="Times New Roman" w:cs="Times New Roman" w:hint="default"/>
                <w:b/>
                <w:bCs/>
                <w:color w:val="auto"/>
                <w:kern w:val="0"/>
                <w:sz w:val="24"/>
                <w:lang w:val="en-US" w:eastAsia="zh-CN"/>
              </w:rPr>
              <w:t xml:space="preserve"> 、本项目与《输变电建设项目环境保护技术要求》（HJ1113-2020）符合性分析</w:t>
            </w:r>
          </w:p>
          <w:p w14:paraId="4FC39C35">
            <w:pPr>
              <w:spacing w:line="440" w:lineRule="exact"/>
              <w:ind w:firstLine="480" w:firstLineChars="200"/>
              <w:rPr>
                <w:rFonts w:ascii="Times New Roman" w:eastAsia="宋体" w:hAnsi="Times New Roman" w:cs="Times New Roman" w:hint="default"/>
                <w:color w:val="auto"/>
                <w:sz w:val="24"/>
                <w:lang w:val="en-US" w:eastAsia="zh-CN"/>
              </w:rPr>
            </w:pPr>
            <w:r>
              <w:rPr>
                <w:rFonts w:ascii="Times New Roman" w:eastAsia="宋体" w:hAnsi="Times New Roman" w:cs="Times New Roman" w:hint="default"/>
                <w:color w:val="auto"/>
                <w:sz w:val="24"/>
                <w:lang w:val="en-US" w:eastAsia="zh-CN"/>
              </w:rPr>
              <w:t>输变电建设项目选址选线应符合生态保护红线管控要求，避让自然保护区、饮用水水源保护区等环境敏感区。确实因自然条件等因素限制无法避让自然保护区实验区、饮用水水源二级保护区等环境敏感区的输电线路，应在满足相关法律法规及管理要求的前提下对线路方案进行唯一性论证，并采取无害化方式通过；变电工程在选址时应按终期规模综合考虑进出线走廊规划，避免进出线进入自然保护区、饮用水水源保护区等环境敏感区；户外变电工程及规划架空进出线选址选线时，应关注以居住、医疗卫生、文化教育、科研、行政办公等为主要功能的区域，采取综合措施，减少电磁和声环境影响；同一走廊内的多回输电线路，宜采取同塔多回架设、并行架设等形式，减少新开辟走廊，优化线路走廊间距，降低环境影响；原则上避免在0类声环境功能区建设变电工程；变电工程选址时，应综合考虑减少土地占用、植被砍伐和弃土弃渣等，以减少对生态环境的不利影响；输电线路宜避让集中林区，以减少林木砍伐，保护生态环境；进入自然保护区的输电线路，应按照HJ19的要求开展生态现状调查，避让保护对象的集中分布区。</w:t>
            </w:r>
          </w:p>
          <w:p w14:paraId="7B1B605C">
            <w:pPr>
              <w:spacing w:line="440" w:lineRule="exact"/>
              <w:ind w:firstLine="480" w:firstLineChars="200"/>
              <w:rPr>
                <w:rFonts w:ascii="Times New Roman" w:eastAsia="宋体" w:hAnsi="Times New Roman" w:cs="Times New Roman" w:hint="default"/>
                <w:color w:val="auto"/>
                <w:sz w:val="24"/>
                <w:lang w:val="en-US" w:eastAsia="zh-CN"/>
              </w:rPr>
            </w:pPr>
            <w:r>
              <w:rPr>
                <w:rFonts w:ascii="Times New Roman" w:eastAsia="宋体" w:hAnsi="Times New Roman" w:cs="Times New Roman" w:hint="default"/>
                <w:color w:val="auto"/>
                <w:sz w:val="24"/>
                <w:lang w:val="en-US" w:eastAsia="zh-CN"/>
              </w:rPr>
              <w:t>本项目为电力供应行业中储能站</w:t>
            </w:r>
            <w:r>
              <w:rPr>
                <w:rFonts w:cs="Times New Roman" w:hint="eastAsia"/>
                <w:color w:val="auto"/>
                <w:sz w:val="24"/>
                <w:lang w:val="en-US" w:eastAsia="zh-CN"/>
              </w:rPr>
              <w:t>变电站</w:t>
            </w:r>
            <w:r>
              <w:rPr>
                <w:rFonts w:ascii="Times New Roman" w:eastAsia="宋体" w:hAnsi="Times New Roman" w:cs="Times New Roman" w:hint="default"/>
                <w:color w:val="auto"/>
                <w:sz w:val="24"/>
                <w:lang w:val="en-US" w:eastAsia="zh-CN"/>
              </w:rPr>
              <w:t>，不涉及输电线路建设，本项目储能站选址不涉及生态保护红线，同时</w:t>
            </w:r>
            <w:r>
              <w:rPr>
                <w:rFonts w:ascii="Times New Roman" w:eastAsia="宋体" w:hAnsi="Times New Roman" w:cs="Times New Roman" w:hint="default"/>
                <w:bCs w:val="0"/>
                <w:color w:val="auto"/>
                <w:kern w:val="2"/>
                <w:sz w:val="24"/>
                <w:szCs w:val="24"/>
                <w:highlight w:val="none"/>
                <w:lang w:val="en-US" w:eastAsia="zh-CN" w:bidi="ar-SA"/>
              </w:rPr>
              <w:t>项目的用地性质为公用设施用地（供电用地）符合国土空间总体规划要求</w:t>
            </w:r>
            <w:r>
              <w:rPr>
                <w:rFonts w:ascii="Times New Roman" w:eastAsia="宋体" w:hAnsi="Times New Roman" w:cs="Times New Roman" w:hint="default"/>
                <w:color w:val="auto"/>
                <w:sz w:val="24"/>
                <w:lang w:val="en-US" w:eastAsia="zh-CN"/>
              </w:rPr>
              <w:t>，本项目建设符合《输变电建设项目环境保护技术要求》中选址选线要求。</w:t>
            </w:r>
          </w:p>
          <w:p w14:paraId="3E0E7737">
            <w:pPr>
              <w:numPr>
                <w:ilvl w:val="0"/>
                <w:numId w:val="4"/>
              </w:numPr>
              <w:spacing w:line="440" w:lineRule="exact"/>
              <w:ind w:firstLine="480" w:firstLineChars="200"/>
              <w:rPr>
                <w:rFonts w:ascii="Times New Roman" w:eastAsia="宋体" w:hAnsi="Times New Roman" w:cs="Times New Roman" w:hint="default"/>
                <w:b/>
                <w:bCs/>
                <w:color w:val="auto"/>
                <w:kern w:val="0"/>
                <w:sz w:val="24"/>
                <w:lang w:val="en-US" w:eastAsia="zh-CN"/>
              </w:rPr>
            </w:pPr>
            <w:r>
              <w:rPr>
                <w:rFonts w:ascii="Times New Roman" w:eastAsia="宋体" w:hAnsi="Times New Roman" w:cs="Times New Roman" w:hint="eastAsia"/>
                <w:b/>
                <w:bCs/>
                <w:color w:val="auto"/>
                <w:kern w:val="0"/>
                <w:sz w:val="24"/>
                <w:lang w:val="en-US" w:eastAsia="zh-CN"/>
              </w:rPr>
              <w:t>本项目《电化学储能电站环境影响评价导则》（GB/T42318—2023）</w:t>
            </w:r>
            <w:r>
              <w:rPr>
                <w:rFonts w:ascii="Times New Roman" w:eastAsia="宋体" w:hAnsi="Times New Roman" w:cs="Times New Roman" w:hint="default"/>
                <w:b/>
                <w:bCs/>
                <w:color w:val="auto"/>
                <w:kern w:val="0"/>
                <w:sz w:val="24"/>
                <w:lang w:val="en-US" w:eastAsia="zh-CN"/>
              </w:rPr>
              <w:t>符合性分析</w:t>
            </w:r>
          </w:p>
          <w:p w14:paraId="67E14389">
            <w:pPr>
              <w:pStyle w:val="0715"/>
              <w:bidi w:val="0"/>
              <w:rPr>
                <w:rFonts w:hint="default"/>
                <w:color w:val="auto"/>
                <w:lang w:val="en-US" w:eastAsia="zh-CN"/>
              </w:rPr>
            </w:pPr>
            <w:r>
              <w:rPr>
                <w:rFonts w:hint="eastAsia"/>
                <w:color w:val="auto"/>
                <w:lang w:val="en-US" w:eastAsia="zh-CN"/>
              </w:rPr>
              <w:t>本项目参照《电化学储能电站环境影响评价导则》并结合本项目实际情况对施工期、运行期以及服务期满后大气、水环境、土壤、声环境、生态环境的影响进行预测分析和设置污染控制措施，符合导则要求</w:t>
            </w:r>
          </w:p>
        </w:tc>
      </w:tr>
    </w:tbl>
    <w:p w14:paraId="21F4919A">
      <w:pPr>
        <w:pStyle w:val="lh--"/>
        <w:ind w:left="0" w:firstLine="0" w:leftChars="0" w:firstLineChars="0"/>
        <w:rPr>
          <w:rFonts w:ascii="Times New Roman" w:eastAsia="宋体" w:hAnsi="Times New Roman" w:cs="Times New Roman" w:hint="default"/>
          <w:color w:val="auto"/>
          <w:highlight w:val="none"/>
        </w:rPr>
        <w:sectPr>
          <w:footerReference w:type="default" r:id="rId9"/>
          <w:pgSz w:w="11906" w:h="16838"/>
          <w:pgMar w:top="1701" w:right="1531" w:bottom="1701" w:left="1531" w:header="851" w:footer="1077" w:gutter="0"/>
          <w:pgBorders>
            <w:top w:val="none" w:sz="0" w:space="0" w:color="auto"/>
            <w:left w:val="none" w:sz="0" w:space="0" w:color="auto"/>
            <w:bottom w:val="none" w:sz="0" w:space="0" w:color="auto"/>
            <w:right w:val="none" w:sz="0" w:space="0" w:color="auto"/>
          </w:pgBorders>
          <w:pgNumType w:fmt="decimal" w:start="1"/>
          <w:cols w:num="1" w:space="720"/>
          <w:docGrid w:type="lines" w:linePitch="312" w:charSpace="0"/>
        </w:sectPr>
      </w:pPr>
    </w:p>
    <w:p w14:paraId="7CD67B7E">
      <w:pPr>
        <w:pStyle w:val="NormalWeb"/>
        <w:spacing w:before="0" w:beforeAutospacing="0" w:after="0" w:afterAutospacing="0" w:line="480" w:lineRule="auto"/>
        <w:jc w:val="center"/>
        <w:outlineLvl w:val="0"/>
        <w:rPr>
          <w:rFonts w:ascii="Times New Roman" w:eastAsia="宋体" w:hAnsi="Times New Roman" w:cs="Times New Roman" w:hint="default"/>
          <w:snapToGrid w:val="0"/>
          <w:color w:val="auto"/>
          <w:sz w:val="30"/>
          <w:szCs w:val="30"/>
          <w:highlight w:val="none"/>
        </w:rPr>
      </w:pPr>
      <w:r>
        <w:rPr>
          <w:rFonts w:ascii="Times New Roman" w:eastAsia="宋体" w:hAnsi="Times New Roman" w:cs="Times New Roman" w:hint="default"/>
          <w:snapToGrid w:val="0"/>
          <w:color w:val="auto"/>
          <w:sz w:val="30"/>
          <w:szCs w:val="30"/>
          <w:highlight w:val="none"/>
        </w:rPr>
        <w:t>二、建设项目工程分析</w:t>
      </w:r>
    </w:p>
    <w:tbl>
      <w:tblPr>
        <w:tblStyle w:val="TableNormal"/>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28" w:type="dxa"/>
          <w:bottom w:w="0" w:type="dxa"/>
          <w:right w:w="28" w:type="dxa"/>
        </w:tblCellMar>
      </w:tblPr>
      <w:tblGrid>
        <w:gridCol w:w="766"/>
        <w:gridCol w:w="8134"/>
      </w:tblGrid>
      <w:tr w14:paraId="1A855522">
        <w:tblPrEx>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28" w:type="dxa"/>
            <w:bottom w:w="0" w:type="dxa"/>
            <w:right w:w="28" w:type="dxa"/>
          </w:tblCellMar>
        </w:tblPrEx>
        <w:trPr>
          <w:trHeight w:val="12648"/>
          <w:jc w:val="center"/>
        </w:trPr>
        <w:tc>
          <w:tcPr>
            <w:tcW w:w="766" w:type="dxa"/>
            <w:vAlign w:val="center"/>
          </w:tcPr>
          <w:p w14:paraId="702BD51D">
            <w:pPr>
              <w:pStyle w:val="NormalWeb"/>
              <w:adjustRightInd w:val="0"/>
              <w:snapToGrid w:val="0"/>
              <w:spacing w:before="0" w:beforeAutospacing="0" w:after="0" w:afterAutospacing="0"/>
              <w:jc w:val="center"/>
              <w:rPr>
                <w:rFonts w:ascii="Times New Roman" w:eastAsia="宋体" w:hAnsi="Times New Roman" w:cs="Times New Roman" w:hint="default"/>
                <w:color w:val="auto"/>
                <w:sz w:val="21"/>
                <w:szCs w:val="21"/>
                <w:highlight w:val="none"/>
              </w:rPr>
            </w:pPr>
            <w:r>
              <w:rPr>
                <w:rFonts w:ascii="Times New Roman" w:eastAsia="宋体" w:hAnsi="Times New Roman" w:cs="Times New Roman" w:hint="default"/>
                <w:color w:val="auto"/>
                <w:szCs w:val="21"/>
                <w:highlight w:val="none"/>
              </w:rPr>
              <w:t>建设内容</w:t>
            </w:r>
          </w:p>
        </w:tc>
        <w:tc>
          <w:tcPr>
            <w:tcW w:w="8134" w:type="dxa"/>
          </w:tcPr>
          <w:p w14:paraId="6A481E19">
            <w:pPr>
              <w:keepNext w:val="0"/>
              <w:keepLines w:val="0"/>
              <w:pageBreakBefore w:val="0"/>
              <w:widowControl w:val="0"/>
              <w:kinsoku/>
              <w:wordWrap/>
              <w:overflowPunct/>
              <w:topLinePunct w:val="0"/>
              <w:bidi w:val="0"/>
              <w:snapToGrid w:val="0"/>
              <w:spacing w:line="360" w:lineRule="auto"/>
              <w:ind w:firstLine="480" w:firstLineChars="200"/>
              <w:textAlignment w:val="auto"/>
              <w:rPr>
                <w:rFonts w:ascii="Times New Roman" w:eastAsia="宋体" w:hAnsi="Times New Roman" w:cs="Times New Roman" w:hint="default"/>
                <w:b/>
                <w:bCs/>
                <w:color w:val="auto"/>
                <w:sz w:val="24"/>
                <w:szCs w:val="32"/>
                <w:vertAlign w:val="baseline"/>
                <w:lang w:val="en-US" w:eastAsia="zh-CN"/>
              </w:rPr>
            </w:pPr>
            <w:r>
              <w:rPr>
                <w:rFonts w:ascii="Times New Roman" w:eastAsia="宋体" w:hAnsi="Times New Roman" w:cs="Times New Roman" w:hint="default"/>
                <w:b/>
                <w:bCs/>
                <w:color w:val="auto"/>
                <w:sz w:val="24"/>
                <w:szCs w:val="32"/>
                <w:vertAlign w:val="baseline"/>
                <w:lang w:val="en-US" w:eastAsia="zh-CN"/>
              </w:rPr>
              <w:t>1、项目背景</w:t>
            </w:r>
          </w:p>
          <w:p w14:paraId="784FD894">
            <w:pPr>
              <w:keepNext w:val="0"/>
              <w:keepLines w:val="0"/>
              <w:pageBreakBefore w:val="0"/>
              <w:widowControl w:val="0"/>
              <w:kinsoku/>
              <w:wordWrap/>
              <w:overflowPunct/>
              <w:topLinePunct w:val="0"/>
              <w:bidi w:val="0"/>
              <w:snapToGrid w:val="0"/>
              <w:spacing w:line="360" w:lineRule="auto"/>
              <w:ind w:firstLine="480" w:firstLineChars="200"/>
              <w:textAlignment w:val="auto"/>
              <w:rPr>
                <w:rFonts w:ascii="Times New Roman" w:eastAsia="宋体" w:hAnsi="Times New Roman" w:cs="Times New Roman" w:hint="default"/>
                <w:color w:val="auto"/>
                <w:sz w:val="24"/>
                <w:szCs w:val="32"/>
                <w:vertAlign w:val="baseline"/>
                <w:lang w:val="en-US" w:eastAsia="zh-CN"/>
              </w:rPr>
            </w:pPr>
            <w:r>
              <w:rPr>
                <w:rFonts w:ascii="Times New Roman" w:eastAsia="宋体" w:hAnsi="Times New Roman" w:cs="Times New Roman" w:hint="default"/>
                <w:color w:val="auto"/>
                <w:sz w:val="24"/>
                <w:szCs w:val="32"/>
                <w:vertAlign w:val="baseline"/>
                <w:lang w:val="en-US" w:eastAsia="zh-CN"/>
              </w:rPr>
              <w:t>国家发改委和国家能源局联合发布《关于加快推动新型储能发展的指导意见》，首次明确储能装机量的量化目标：到2025年，新型储能装机规模达3000万千瓦以上，并实现新型储能从商业化初期向规模化发展转变。到2030年，实现新型储能全面市场化发展。</w:t>
            </w:r>
          </w:p>
          <w:p w14:paraId="2A55C706">
            <w:pPr>
              <w:keepNext w:val="0"/>
              <w:keepLines w:val="0"/>
              <w:pageBreakBefore w:val="0"/>
              <w:widowControl w:val="0"/>
              <w:kinsoku/>
              <w:wordWrap/>
              <w:overflowPunct/>
              <w:topLinePunct w:val="0"/>
              <w:bidi w:val="0"/>
              <w:snapToGrid w:val="0"/>
              <w:spacing w:line="360" w:lineRule="auto"/>
              <w:ind w:firstLine="480" w:firstLineChars="200"/>
              <w:textAlignment w:val="auto"/>
              <w:rPr>
                <w:rFonts w:ascii="Times New Roman" w:eastAsia="宋体" w:hAnsi="Times New Roman" w:cs="Times New Roman" w:hint="default"/>
                <w:color w:val="auto"/>
                <w:sz w:val="24"/>
                <w:szCs w:val="32"/>
                <w:vertAlign w:val="baseline"/>
                <w:lang w:val="en-US" w:eastAsia="zh-CN"/>
              </w:rPr>
            </w:pPr>
            <w:r>
              <w:rPr>
                <w:rFonts w:ascii="Times New Roman" w:eastAsia="宋体" w:hAnsi="Times New Roman" w:cs="Times New Roman" w:hint="default"/>
                <w:color w:val="auto"/>
                <w:sz w:val="24"/>
                <w:szCs w:val="32"/>
                <w:vertAlign w:val="baseline"/>
                <w:lang w:val="en-US" w:eastAsia="zh-CN"/>
              </w:rPr>
              <w:t>根据《河北省“十四五”现代能源体系规划》，河北省将大力实施可再生能源“倍增计划”，到2025年可再生能源发电装机规模将突破1亿千瓦，装机占比达到60%左右，在大力发展煤电灵活性改造、燃气调峰电厂、抽水蓄能电站的基础上，全省布局建设新型储能规模400万千瓦以上，实现新型储能从商业化初期向规模化发展转变，具备规模化商业化应用条件。</w:t>
            </w:r>
          </w:p>
          <w:p w14:paraId="0B00B0C1">
            <w:pPr>
              <w:keepNext w:val="0"/>
              <w:keepLines w:val="0"/>
              <w:pageBreakBefore w:val="0"/>
              <w:widowControl w:val="0"/>
              <w:kinsoku/>
              <w:wordWrap/>
              <w:overflowPunct/>
              <w:topLinePunct w:val="0"/>
              <w:bidi w:val="0"/>
              <w:snapToGrid w:val="0"/>
              <w:spacing w:line="360" w:lineRule="auto"/>
              <w:ind w:firstLine="480" w:firstLineChars="200"/>
              <w:textAlignment w:val="auto"/>
              <w:rPr>
                <w:rFonts w:ascii="Times New Roman" w:eastAsia="宋体" w:hAnsi="Times New Roman" w:cs="Times New Roman" w:hint="default"/>
                <w:color w:val="auto"/>
                <w:sz w:val="24"/>
                <w:szCs w:val="32"/>
                <w:vertAlign w:val="baseline"/>
                <w:lang w:val="en-US" w:eastAsia="zh-CN"/>
              </w:rPr>
            </w:pPr>
            <w:r>
              <w:rPr>
                <w:rFonts w:ascii="Times New Roman" w:eastAsia="宋体" w:hAnsi="Times New Roman" w:cs="Times New Roman" w:hint="default"/>
                <w:color w:val="auto"/>
                <w:sz w:val="24"/>
                <w:szCs w:val="32"/>
                <w:vertAlign w:val="baseline"/>
                <w:lang w:val="en-US" w:eastAsia="zh-CN"/>
              </w:rPr>
              <w:t>在储能设施建设方面，将遵循技术可行、经济合理、安全可靠的原则，对抽水蓄能、电化学储能、空气压缩等进行统筹规划布局，加快配套建设，促进源网荷储协调发展。鼓励发电企业、电网企业、电力用户、电储能企业等投资建设储能设施，鼓励采用发电侧储能、电网侧、区域联合共享、第三方独立储能等多种投资方式建设储能电站。鼓励优先在新能源富集、电网送出断面受限地区，建设电网区域性共享储能设施，创造共享储能电站盈利模式。</w:t>
            </w:r>
          </w:p>
          <w:p w14:paraId="4DAF366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2021年围场县共获批各类新能源项目21个，总装机390万kW。根据配建储能比例要求，共需配置610MW/1730MWh的储能装置。其中，保障性项目170万kW，按15%配置2小时储能，总规模为255MW/510MWh；市场化项目170万kW，按照15%配置4小时储能，配置规模255MW/1020MWh；多能互补项目50万kW，按照20%配置2小时储能，配置100MW/200MWh储能装置。</w:t>
            </w:r>
          </w:p>
          <w:p w14:paraId="22BC683B">
            <w:pPr>
              <w:keepNext w:val="0"/>
              <w:keepLines w:val="0"/>
              <w:pageBreakBefore w:val="0"/>
              <w:widowControl w:val="0"/>
              <w:kinsoku/>
              <w:wordWrap/>
              <w:overflowPunct/>
              <w:topLinePunct w:val="0"/>
              <w:bidi w:val="0"/>
              <w:snapToGrid w:val="0"/>
              <w:spacing w:line="360" w:lineRule="auto"/>
              <w:ind w:firstLine="480" w:firstLineChars="200"/>
              <w:textAlignment w:val="auto"/>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依据围场县研究决定，配置储能任务按照共享储能电站和随项目配置储能电站两种形式建设。其中参与本项目</w:t>
            </w:r>
            <w:r>
              <w:rPr>
                <w:rFonts w:cs="Times New Roman" w:hint="eastAsia"/>
                <w:color w:val="auto"/>
                <w:sz w:val="24"/>
                <w:szCs w:val="24"/>
                <w:highlight w:val="none"/>
                <w:lang w:val="en-US" w:eastAsia="zh-CN"/>
              </w:rPr>
              <w:t>为</w:t>
            </w:r>
            <w:r>
              <w:rPr>
                <w:rFonts w:ascii="Times New Roman" w:eastAsia="宋体" w:hAnsi="Times New Roman" w:cs="Times New Roman" w:hint="default"/>
                <w:color w:val="auto"/>
                <w:sz w:val="24"/>
                <w:szCs w:val="24"/>
                <w:highlight w:val="none"/>
                <w:lang w:val="en-US" w:eastAsia="zh-CN"/>
              </w:rPr>
              <w:t>共享储能形式</w:t>
            </w:r>
            <w:r>
              <w:rPr>
                <w:rFonts w:cs="Times New Roman" w:hint="eastAsia"/>
                <w:color w:val="auto"/>
                <w:sz w:val="24"/>
                <w:szCs w:val="24"/>
                <w:highlight w:val="none"/>
                <w:lang w:val="en-US" w:eastAsia="zh-CN"/>
              </w:rPr>
              <w:t>，储能电力来源自</w:t>
            </w:r>
            <w:r>
              <w:rPr>
                <w:rFonts w:ascii="Times New Roman" w:eastAsia="宋体" w:hAnsi="Times New Roman" w:cs="Times New Roman" w:hint="default"/>
                <w:color w:val="auto"/>
                <w:sz w:val="24"/>
                <w:szCs w:val="24"/>
                <w:highlight w:val="none"/>
                <w:lang w:val="en-US" w:eastAsia="zh-CN"/>
              </w:rPr>
              <w:t>1</w:t>
            </w:r>
            <w:r>
              <w:rPr>
                <w:rFonts w:cs="Times New Roman" w:hint="eastAsia"/>
                <w:color w:val="auto"/>
                <w:sz w:val="24"/>
                <w:szCs w:val="24"/>
                <w:highlight w:val="none"/>
                <w:lang w:val="en-US" w:eastAsia="zh-CN"/>
              </w:rPr>
              <w:t>4</w:t>
            </w:r>
            <w:r>
              <w:rPr>
                <w:rFonts w:ascii="Times New Roman" w:eastAsia="宋体" w:hAnsi="Times New Roman" w:cs="Times New Roman" w:hint="default"/>
                <w:color w:val="auto"/>
                <w:sz w:val="24"/>
                <w:szCs w:val="24"/>
                <w:highlight w:val="none"/>
                <w:lang w:val="en-US" w:eastAsia="zh-CN"/>
              </w:rPr>
              <w:t>个</w:t>
            </w:r>
            <w:r>
              <w:rPr>
                <w:rFonts w:cs="Times New Roman" w:hint="eastAsia"/>
                <w:color w:val="auto"/>
                <w:sz w:val="24"/>
                <w:szCs w:val="24"/>
                <w:highlight w:val="none"/>
                <w:lang w:val="en-US" w:eastAsia="zh-CN"/>
              </w:rPr>
              <w:t>新能源</w:t>
            </w:r>
            <w:r>
              <w:rPr>
                <w:rFonts w:ascii="Times New Roman" w:eastAsia="宋体" w:hAnsi="Times New Roman" w:cs="Times New Roman" w:hint="default"/>
                <w:color w:val="auto"/>
                <w:sz w:val="24"/>
                <w:szCs w:val="24"/>
                <w:highlight w:val="none"/>
                <w:lang w:val="en-US" w:eastAsia="zh-CN"/>
              </w:rPr>
              <w:t>项目，配置储能总计容量为</w:t>
            </w:r>
            <w:r>
              <w:rPr>
                <w:rFonts w:cs="Times New Roman" w:hint="eastAsia"/>
                <w:color w:val="auto"/>
                <w:sz w:val="24"/>
                <w:szCs w:val="24"/>
                <w:highlight w:val="none"/>
                <w:lang w:val="en-US" w:eastAsia="zh-CN"/>
              </w:rPr>
              <w:t>355</w:t>
            </w:r>
            <w:r>
              <w:rPr>
                <w:rFonts w:ascii="Times New Roman" w:eastAsia="宋体" w:hAnsi="Times New Roman" w:cs="Times New Roman" w:hint="default"/>
                <w:color w:val="auto"/>
                <w:sz w:val="24"/>
                <w:szCs w:val="24"/>
                <w:highlight w:val="none"/>
                <w:lang w:val="en-US" w:eastAsia="zh-CN"/>
              </w:rPr>
              <w:t>MW/</w:t>
            </w:r>
            <w:r>
              <w:rPr>
                <w:rFonts w:cs="Times New Roman" w:hint="eastAsia"/>
                <w:color w:val="auto"/>
                <w:sz w:val="24"/>
                <w:szCs w:val="24"/>
                <w:highlight w:val="none"/>
                <w:lang w:val="en-US" w:eastAsia="zh-CN"/>
              </w:rPr>
              <w:t>92</w:t>
            </w:r>
            <w:r>
              <w:rPr>
                <w:rFonts w:ascii="Times New Roman" w:eastAsia="宋体" w:hAnsi="Times New Roman" w:cs="Times New Roman" w:hint="default"/>
                <w:color w:val="auto"/>
                <w:sz w:val="24"/>
                <w:szCs w:val="24"/>
                <w:highlight w:val="none"/>
                <w:lang w:val="en-US" w:eastAsia="zh-CN"/>
              </w:rPr>
              <w:t>0MWh。</w:t>
            </w:r>
            <w:r>
              <w:rPr>
                <w:rFonts w:cs="Times New Roman" w:hint="eastAsia"/>
                <w:color w:val="auto"/>
                <w:sz w:val="24"/>
                <w:szCs w:val="24"/>
                <w:highlight w:val="none"/>
                <w:lang w:val="en-US" w:eastAsia="zh-CN"/>
              </w:rPr>
              <w:t>存储电力按照《华北区域电力并网运行管理实施细则》规定通过系统</w:t>
            </w:r>
            <w:r>
              <w:rPr>
                <w:rFonts w:ascii="Times New Roman" w:eastAsia="宋体" w:hAnsi="Times New Roman" w:cs="Times New Roman" w:hint="default"/>
                <w:color w:val="auto"/>
                <w:sz w:val="24"/>
                <w:szCs w:val="32"/>
                <w:vertAlign w:val="baseline"/>
                <w:lang w:val="en-US" w:eastAsia="zh-CN"/>
              </w:rPr>
              <w:t>牌楼变</w:t>
            </w:r>
            <w:r>
              <w:rPr>
                <w:rFonts w:ascii="Times New Roman" w:eastAsia="宋体" w:hAnsi="Times New Roman" w:cs="Times New Roman" w:hint="eastAsia"/>
                <w:color w:val="auto"/>
                <w:sz w:val="24"/>
                <w:szCs w:val="32"/>
                <w:vertAlign w:val="baseline"/>
                <w:lang w:val="en-US" w:eastAsia="zh-CN"/>
              </w:rPr>
              <w:t>电站先行并网，参与华北电网辅助服务市场。</w:t>
            </w:r>
          </w:p>
          <w:p w14:paraId="6076064A">
            <w:pPr>
              <w:pStyle w:val="NormalIndent"/>
              <w:ind w:left="0" w:firstLine="0" w:leftChars="0" w:firstLineChars="0"/>
              <w:jc w:val="center"/>
              <w:rPr>
                <w:rFonts w:ascii="Times New Roman" w:eastAsia="宋体" w:hAnsi="Times New Roman" w:cs="Times New Roman" w:hint="default"/>
                <w:b/>
                <w:bCs/>
                <w:color w:val="auto"/>
                <w:spacing w:val="0"/>
                <w:w w:val="100"/>
                <w:position w:val="0"/>
                <w:sz w:val="24"/>
                <w:szCs w:val="24"/>
                <w:highlight w:val="none"/>
                <w:lang w:val="en-US" w:eastAsia="zh-CN"/>
              </w:rPr>
            </w:pPr>
            <w:r>
              <w:rPr>
                <w:rFonts w:ascii="Times New Roman" w:eastAsia="宋体" w:hAnsi="Times New Roman" w:cs="Times New Roman" w:hint="default"/>
                <w:b/>
                <w:bCs/>
                <w:color w:val="auto"/>
                <w:sz w:val="24"/>
                <w:szCs w:val="24"/>
                <w:highlight w:val="none"/>
              </w:rPr>
              <w:t>表2-</w:t>
            </w:r>
            <w:r>
              <w:rPr>
                <w:rFonts w:ascii="Times New Roman" w:eastAsia="宋体" w:hAnsi="Times New Roman" w:cs="Times New Roman" w:hint="default"/>
                <w:b/>
                <w:bCs/>
                <w:color w:val="auto"/>
                <w:sz w:val="24"/>
                <w:szCs w:val="24"/>
                <w:highlight w:val="none"/>
              </w:rPr>
              <w:fldChar w:fldCharType="begin"/>
            </w:r>
            <w:r>
              <w:rPr>
                <w:rFonts w:ascii="Times New Roman" w:eastAsia="宋体" w:hAnsi="Times New Roman" w:cs="Times New Roman" w:hint="default"/>
                <w:b/>
                <w:bCs/>
                <w:color w:val="auto"/>
                <w:sz w:val="24"/>
                <w:szCs w:val="24"/>
                <w:highlight w:val="none"/>
              </w:rPr>
              <w:instrText xml:space="preserve"> SEQ 表2- \* ARABIC </w:instrText>
            </w:r>
            <w:r>
              <w:rPr>
                <w:rFonts w:ascii="Times New Roman" w:eastAsia="宋体" w:hAnsi="Times New Roman" w:cs="Times New Roman" w:hint="default"/>
                <w:b/>
                <w:bCs/>
                <w:color w:val="auto"/>
                <w:sz w:val="24"/>
                <w:szCs w:val="24"/>
                <w:highlight w:val="none"/>
              </w:rPr>
              <w:fldChar w:fldCharType="separate"/>
            </w:r>
            <w:r>
              <w:rPr>
                <w:rFonts w:ascii="Times New Roman" w:eastAsia="宋体" w:hAnsi="Times New Roman" w:cs="Times New Roman" w:hint="default"/>
                <w:b/>
                <w:bCs/>
                <w:color w:val="auto"/>
                <w:sz w:val="24"/>
                <w:szCs w:val="24"/>
                <w:highlight w:val="none"/>
              </w:rPr>
              <w:t>1</w:t>
            </w:r>
            <w:r>
              <w:rPr>
                <w:rFonts w:ascii="Times New Roman" w:eastAsia="宋体" w:hAnsi="Times New Roman" w:cs="Times New Roman" w:hint="default"/>
                <w:b/>
                <w:bCs/>
                <w:color w:val="auto"/>
                <w:sz w:val="24"/>
                <w:szCs w:val="24"/>
                <w:highlight w:val="none"/>
              </w:rPr>
              <w:fldChar w:fldCharType="end"/>
            </w:r>
            <w:r>
              <w:rPr>
                <w:rFonts w:ascii="Times New Roman" w:eastAsia="宋体" w:hAnsi="Times New Roman" w:cs="Times New Roman" w:hint="default"/>
                <w:b/>
                <w:bCs/>
                <w:color w:val="auto"/>
                <w:sz w:val="24"/>
                <w:szCs w:val="24"/>
                <w:highlight w:val="none"/>
                <w:lang w:eastAsia="zh-CN"/>
              </w:rPr>
              <w:t xml:space="preserve">  </w:t>
            </w:r>
            <w:r>
              <w:rPr>
                <w:rFonts w:ascii="Times New Roman" w:eastAsia="宋体" w:hAnsi="Times New Roman" w:cs="Times New Roman" w:hint="eastAsia"/>
                <w:b/>
                <w:bCs/>
                <w:color w:val="auto"/>
                <w:spacing w:val="0"/>
                <w:w w:val="100"/>
                <w:position w:val="0"/>
                <w:sz w:val="24"/>
                <w:szCs w:val="24"/>
                <w:highlight w:val="none"/>
                <w:lang w:val="en-US" w:eastAsia="zh-CN"/>
              </w:rPr>
              <w:t>涉及的14个新能源项目目录</w:t>
            </w:r>
          </w:p>
          <w:tbl>
            <w:tblPr>
              <w:tblStyle w:val="TableNormal"/>
              <w:tblpPr w:leftFromText="180" w:rightFromText="180" w:vertAnchor="text" w:tblpXSpec="center" w:tblpY="1"/>
              <w:tblOverlap w:val="never"/>
              <w:tblW w:w="495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108" w:type="dxa"/>
                <w:bottom w:w="0" w:type="dxa"/>
                <w:right w:w="108" w:type="dxa"/>
              </w:tblCellMar>
            </w:tblPr>
            <w:tblGrid>
              <w:gridCol w:w="661"/>
              <w:gridCol w:w="2499"/>
              <w:gridCol w:w="3066"/>
              <w:gridCol w:w="754"/>
              <w:gridCol w:w="1017"/>
            </w:tblGrid>
            <w:tr w14:paraId="0078FB55">
              <w:tblPrEx>
                <w:tblW w:w="495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108" w:type="dxa"/>
                  <w:bottom w:w="0" w:type="dxa"/>
                  <w:right w:w="108" w:type="dxa"/>
                </w:tblCellMar>
              </w:tblPrEx>
              <w:trPr>
                <w:trHeight w:val="1015"/>
              </w:trPr>
              <w:tc>
                <w:tcPr>
                  <w:tcW w:w="47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8EF9BE">
                  <w:pPr>
                    <w:keepNext w:val="0"/>
                    <w:keepLines w:val="0"/>
                    <w:widowControl/>
                    <w:suppressLineNumbers w:val="0"/>
                    <w:jc w:val="left"/>
                    <w:textAlignment w:val="center"/>
                    <w:rPr>
                      <w:rFonts w:ascii="Times New Roman" w:eastAsia="宋体" w:hAnsi="Times New Roman" w:cs="Times New Roman" w:hint="default"/>
                      <w:i w:val="0"/>
                      <w:iCs w:val="0"/>
                      <w:color w:val="auto"/>
                      <w:sz w:val="21"/>
                      <w:szCs w:val="21"/>
                      <w:u w:val="none"/>
                    </w:rPr>
                  </w:pPr>
                  <w:r>
                    <w:rPr>
                      <w:rStyle w:val="font31"/>
                      <w:rFonts w:ascii="Times New Roman" w:eastAsia="宋体" w:hAnsi="Times New Roman" w:cs="Times New Roman" w:hint="default"/>
                      <w:color w:val="auto"/>
                      <w:sz w:val="21"/>
                      <w:szCs w:val="21"/>
                      <w:lang w:val="en-US" w:eastAsia="zh-CN" w:bidi="ar"/>
                    </w:rPr>
                    <w:t>序号</w:t>
                  </w:r>
                </w:p>
              </w:tc>
              <w:tc>
                <w:tcPr>
                  <w:tcW w:w="162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482E2BA">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Style w:val="font31"/>
                      <w:rFonts w:ascii="Times New Roman" w:eastAsia="宋体" w:hAnsi="Times New Roman" w:cs="Times New Roman" w:hint="default"/>
                      <w:color w:val="auto"/>
                      <w:sz w:val="21"/>
                      <w:szCs w:val="21"/>
                      <w:lang w:val="en-US" w:eastAsia="zh-CN" w:bidi="ar"/>
                    </w:rPr>
                    <w:t>项目名称</w:t>
                  </w:r>
                </w:p>
              </w:tc>
              <w:tc>
                <w:tcPr>
                  <w:tcW w:w="197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9957B5D">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Style w:val="font31"/>
                      <w:rFonts w:ascii="Times New Roman" w:eastAsia="宋体" w:hAnsi="Times New Roman" w:cs="Times New Roman" w:hint="default"/>
                      <w:color w:val="auto"/>
                      <w:sz w:val="21"/>
                      <w:szCs w:val="21"/>
                      <w:lang w:val="en-US" w:eastAsia="zh-CN" w:bidi="ar"/>
                    </w:rPr>
                    <w:t>企业名称</w:t>
                  </w:r>
                </w:p>
              </w:tc>
              <w:tc>
                <w:tcPr>
                  <w:tcW w:w="53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4B94B21">
                  <w:pPr>
                    <w:keepNext w:val="0"/>
                    <w:keepLines w:val="0"/>
                    <w:widowControl/>
                    <w:suppressLineNumbers w:val="0"/>
                    <w:jc w:val="left"/>
                    <w:textAlignment w:val="center"/>
                    <w:rPr>
                      <w:rFonts w:ascii="Times New Roman" w:eastAsia="宋体" w:hAnsi="Times New Roman" w:cs="Times New Roman" w:hint="default"/>
                      <w:i w:val="0"/>
                      <w:iCs w:val="0"/>
                      <w:color w:val="auto"/>
                      <w:sz w:val="21"/>
                      <w:szCs w:val="21"/>
                      <w:u w:val="none"/>
                    </w:rPr>
                  </w:pPr>
                  <w:r>
                    <w:rPr>
                      <w:rStyle w:val="font31"/>
                      <w:rFonts w:ascii="Times New Roman" w:eastAsia="宋体" w:hAnsi="Times New Roman" w:cs="Times New Roman" w:hint="default"/>
                      <w:color w:val="auto"/>
                      <w:sz w:val="21"/>
                      <w:szCs w:val="21"/>
                      <w:lang w:val="en-US" w:eastAsia="zh-CN" w:bidi="ar"/>
                    </w:rPr>
                    <w:t>功率</w:t>
                  </w:r>
                  <w:r>
                    <w:rPr>
                      <w:rFonts w:ascii="Times New Roman" w:eastAsia="宋体" w:hAnsi="Times New Roman" w:cs="Times New Roman" w:hint="default"/>
                      <w:color w:val="auto"/>
                      <w:sz w:val="24"/>
                      <w:szCs w:val="24"/>
                      <w:highlight w:val="none"/>
                      <w:lang w:val="en-US" w:eastAsia="zh-CN"/>
                    </w:rPr>
                    <w:t>MW</w:t>
                  </w:r>
                </w:p>
              </w:tc>
              <w:tc>
                <w:tcPr>
                  <w:tcW w:w="40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221E2F">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Style w:val="font31"/>
                      <w:rFonts w:ascii="Times New Roman" w:eastAsia="宋体" w:hAnsi="Times New Roman" w:cs="Times New Roman" w:hint="default"/>
                      <w:color w:val="auto"/>
                      <w:sz w:val="21"/>
                      <w:szCs w:val="21"/>
                      <w:lang w:val="en-US" w:eastAsia="zh-CN" w:bidi="ar"/>
                    </w:rPr>
                    <w:t>电量</w:t>
                  </w:r>
                  <w:r>
                    <w:rPr>
                      <w:rFonts w:ascii="Times New Roman" w:eastAsia="宋体" w:hAnsi="Times New Roman" w:cs="Times New Roman" w:hint="default"/>
                      <w:color w:val="auto"/>
                      <w:sz w:val="24"/>
                      <w:szCs w:val="24"/>
                      <w:highlight w:val="none"/>
                      <w:lang w:val="en-US" w:eastAsia="zh-CN"/>
                    </w:rPr>
                    <w:t>MWh。</w:t>
                  </w:r>
                </w:p>
              </w:tc>
            </w:tr>
            <w:tr w14:paraId="7DEBBE88">
              <w:tblPrEx>
                <w:tblW w:w="4950" w:type="pct"/>
                <w:tblInd w:w="0" w:type="dxa"/>
                <w:shd w:val="clear" w:color="auto" w:fill="auto"/>
                <w:tblCellMar>
                  <w:top w:w="0" w:type="dxa"/>
                  <w:left w:w="108" w:type="dxa"/>
                  <w:bottom w:w="0" w:type="dxa"/>
                  <w:right w:w="108" w:type="dxa"/>
                </w:tblCellMar>
              </w:tblPrEx>
              <w:trPr>
                <w:trHeight w:val="312"/>
              </w:trPr>
              <w:tc>
                <w:tcPr>
                  <w:tcW w:w="47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E8DB11">
                  <w:pPr>
                    <w:jc w:val="left"/>
                    <w:rPr>
                      <w:rFonts w:ascii="Times New Roman" w:eastAsia="宋体" w:hAnsi="Times New Roman" w:cs="Times New Roman" w:hint="default"/>
                      <w:i w:val="0"/>
                      <w:iCs w:val="0"/>
                      <w:color w:val="auto"/>
                      <w:sz w:val="21"/>
                      <w:szCs w:val="21"/>
                      <w:u w:val="none"/>
                    </w:rPr>
                  </w:pPr>
                </w:p>
              </w:tc>
              <w:tc>
                <w:tcPr>
                  <w:tcW w:w="162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B85189">
                  <w:pPr>
                    <w:jc w:val="center"/>
                    <w:rPr>
                      <w:rFonts w:ascii="Times New Roman" w:eastAsia="宋体" w:hAnsi="Times New Roman" w:cs="Times New Roman" w:hint="default"/>
                      <w:i w:val="0"/>
                      <w:iCs w:val="0"/>
                      <w:color w:val="auto"/>
                      <w:sz w:val="21"/>
                      <w:szCs w:val="21"/>
                      <w:u w:val="none"/>
                    </w:rPr>
                  </w:pPr>
                </w:p>
              </w:tc>
              <w:tc>
                <w:tcPr>
                  <w:tcW w:w="19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C7AA31">
                  <w:pPr>
                    <w:jc w:val="center"/>
                    <w:rPr>
                      <w:rFonts w:ascii="Times New Roman" w:eastAsia="宋体" w:hAnsi="Times New Roman" w:cs="Times New Roman" w:hint="default"/>
                      <w:i w:val="0"/>
                      <w:iCs w:val="0"/>
                      <w:color w:val="auto"/>
                      <w:sz w:val="21"/>
                      <w:szCs w:val="21"/>
                      <w:u w:val="none"/>
                    </w:rPr>
                  </w:pPr>
                </w:p>
              </w:tc>
              <w:tc>
                <w:tcPr>
                  <w:tcW w:w="53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068C3D">
                  <w:pPr>
                    <w:jc w:val="left"/>
                    <w:rPr>
                      <w:rFonts w:ascii="Times New Roman" w:eastAsia="宋体" w:hAnsi="Times New Roman" w:cs="Times New Roman" w:hint="default"/>
                      <w:i w:val="0"/>
                      <w:iCs w:val="0"/>
                      <w:color w:val="auto"/>
                      <w:sz w:val="21"/>
                      <w:szCs w:val="21"/>
                      <w:u w:val="none"/>
                    </w:rPr>
                  </w:pPr>
                </w:p>
              </w:tc>
              <w:tc>
                <w:tcPr>
                  <w:tcW w:w="4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FF1CA0">
                  <w:pPr>
                    <w:jc w:val="center"/>
                    <w:rPr>
                      <w:rFonts w:ascii="Times New Roman" w:eastAsia="宋体" w:hAnsi="Times New Roman" w:cs="Times New Roman" w:hint="default"/>
                      <w:i w:val="0"/>
                      <w:iCs w:val="0"/>
                      <w:color w:val="auto"/>
                      <w:sz w:val="21"/>
                      <w:szCs w:val="21"/>
                      <w:u w:val="none"/>
                    </w:rPr>
                  </w:pPr>
                </w:p>
              </w:tc>
            </w:tr>
            <w:tr w14:paraId="4CDB7571">
              <w:tblPrEx>
                <w:tblW w:w="4950" w:type="pct"/>
                <w:tblInd w:w="0" w:type="dxa"/>
                <w:shd w:val="clear" w:color="auto" w:fill="auto"/>
                <w:tblCellMar>
                  <w:top w:w="0" w:type="dxa"/>
                  <w:left w:w="108" w:type="dxa"/>
                  <w:bottom w:w="0" w:type="dxa"/>
                  <w:right w:w="108" w:type="dxa"/>
                </w:tblCellMar>
              </w:tblPrEx>
              <w:trPr>
                <w:trHeight w:val="770"/>
              </w:trPr>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0EBD60">
                  <w:pPr>
                    <w:keepNext w:val="0"/>
                    <w:keepLines w:val="0"/>
                    <w:widowControl/>
                    <w:suppressLineNumbers w:val="0"/>
                    <w:jc w:val="center"/>
                    <w:textAlignment w:val="center"/>
                    <w:rPr>
                      <w:rFonts w:ascii="Times New Roman" w:eastAsia="宋体" w:hAnsi="Times New Roman" w:cs="Times New Roman" w:hint="default"/>
                      <w:i w:val="0"/>
                      <w:iCs w:val="0"/>
                      <w:color w:val="auto"/>
                      <w:kern w:val="0"/>
                      <w:sz w:val="21"/>
                      <w:szCs w:val="21"/>
                      <w:u w:val="none"/>
                      <w:lang w:val="en-US" w:eastAsia="zh-CN" w:bidi="ar"/>
                    </w:rPr>
                  </w:pPr>
                  <w:r>
                    <w:rPr>
                      <w:rFonts w:ascii="Times New Roman" w:eastAsia="宋体" w:hAnsi="Times New Roman" w:cs="Times New Roman" w:hint="default"/>
                      <w:i w:val="0"/>
                      <w:iCs w:val="0"/>
                      <w:color w:val="auto"/>
                      <w:kern w:val="0"/>
                      <w:sz w:val="21"/>
                      <w:szCs w:val="21"/>
                      <w:u w:val="none"/>
                      <w:lang w:val="en-US" w:eastAsia="zh-CN" w:bidi="ar"/>
                    </w:rPr>
                    <w:t>1</w:t>
                  </w:r>
                </w:p>
              </w:tc>
              <w:tc>
                <w:tcPr>
                  <w:tcW w:w="16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731F5E">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Style w:val="font31"/>
                      <w:rFonts w:ascii="Times New Roman" w:eastAsia="宋体" w:hAnsi="Times New Roman" w:cs="Times New Roman" w:hint="default"/>
                      <w:color w:val="auto"/>
                      <w:sz w:val="21"/>
                      <w:szCs w:val="21"/>
                      <w:lang w:val="en-US" w:eastAsia="zh-CN" w:bidi="ar"/>
                    </w:rPr>
                    <w:t>承德燕能宝石山风电场项目</w:t>
                  </w:r>
                </w:p>
              </w:tc>
              <w:tc>
                <w:tcPr>
                  <w:tcW w:w="19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B176C8">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Style w:val="font31"/>
                      <w:rFonts w:ascii="Times New Roman" w:eastAsia="宋体" w:hAnsi="Times New Roman" w:cs="Times New Roman" w:hint="default"/>
                      <w:color w:val="auto"/>
                      <w:sz w:val="21"/>
                      <w:szCs w:val="21"/>
                      <w:lang w:val="en-US" w:eastAsia="zh-CN" w:bidi="ar"/>
                    </w:rPr>
                    <w:t>承德燕能新能源科技有限公司</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8062A4">
                  <w:pPr>
                    <w:keepNext w:val="0"/>
                    <w:keepLines w:val="0"/>
                    <w:widowControl/>
                    <w:suppressLineNumbers w:val="0"/>
                    <w:jc w:val="center"/>
                    <w:textAlignment w:val="center"/>
                    <w:rPr>
                      <w:rFonts w:ascii="Times New Roman" w:eastAsia="宋体" w:hAnsi="Times New Roman" w:cs="Times New Roman" w:hint="default"/>
                      <w:i w:val="0"/>
                      <w:iCs w:val="0"/>
                      <w:color w:val="auto"/>
                      <w:kern w:val="0"/>
                      <w:sz w:val="21"/>
                      <w:szCs w:val="21"/>
                      <w:u w:val="none"/>
                      <w:lang w:val="en-US" w:eastAsia="zh-CN" w:bidi="ar"/>
                    </w:rPr>
                  </w:pPr>
                  <w:r>
                    <w:rPr>
                      <w:rFonts w:ascii="Times New Roman" w:eastAsia="宋体" w:hAnsi="Times New Roman" w:cs="Times New Roman" w:hint="default"/>
                      <w:i w:val="0"/>
                      <w:iCs w:val="0"/>
                      <w:color w:val="auto"/>
                      <w:kern w:val="0"/>
                      <w:sz w:val="21"/>
                      <w:szCs w:val="21"/>
                      <w:u w:val="none"/>
                      <w:lang w:val="en-US" w:eastAsia="zh-CN" w:bidi="ar"/>
                    </w:rPr>
                    <w:t>15</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511CCA">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Fonts w:ascii="Times New Roman" w:eastAsia="宋体" w:hAnsi="Times New Roman" w:cs="Times New Roman" w:hint="default"/>
                      <w:i w:val="0"/>
                      <w:iCs w:val="0"/>
                      <w:color w:val="auto"/>
                      <w:kern w:val="0"/>
                      <w:sz w:val="21"/>
                      <w:szCs w:val="21"/>
                      <w:u w:val="none"/>
                      <w:lang w:val="en-US" w:eastAsia="zh-CN" w:bidi="ar"/>
                    </w:rPr>
                    <w:t>60</w:t>
                  </w:r>
                </w:p>
              </w:tc>
            </w:tr>
            <w:tr w14:paraId="50D686F8">
              <w:tblPrEx>
                <w:tblW w:w="4950" w:type="pct"/>
                <w:tblInd w:w="0" w:type="dxa"/>
                <w:shd w:val="clear" w:color="auto" w:fill="auto"/>
                <w:tblCellMar>
                  <w:top w:w="0" w:type="dxa"/>
                  <w:left w:w="108" w:type="dxa"/>
                  <w:bottom w:w="0" w:type="dxa"/>
                  <w:right w:w="108" w:type="dxa"/>
                </w:tblCellMar>
              </w:tblPrEx>
              <w:trPr>
                <w:trHeight w:val="1070"/>
              </w:trPr>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EE1715">
                  <w:pPr>
                    <w:keepNext w:val="0"/>
                    <w:keepLines w:val="0"/>
                    <w:widowControl/>
                    <w:suppressLineNumbers w:val="0"/>
                    <w:jc w:val="center"/>
                    <w:textAlignment w:val="center"/>
                    <w:rPr>
                      <w:rFonts w:ascii="Times New Roman" w:eastAsia="宋体" w:hAnsi="Times New Roman" w:cs="Times New Roman" w:hint="default"/>
                      <w:i w:val="0"/>
                      <w:iCs w:val="0"/>
                      <w:color w:val="auto"/>
                      <w:kern w:val="0"/>
                      <w:sz w:val="21"/>
                      <w:szCs w:val="21"/>
                      <w:u w:val="none"/>
                      <w:lang w:val="en-US" w:eastAsia="zh-CN" w:bidi="ar"/>
                    </w:rPr>
                  </w:pPr>
                  <w:r>
                    <w:rPr>
                      <w:rFonts w:ascii="Times New Roman" w:eastAsia="宋体" w:hAnsi="Times New Roman" w:cs="Times New Roman" w:hint="default"/>
                      <w:i w:val="0"/>
                      <w:iCs w:val="0"/>
                      <w:color w:val="auto"/>
                      <w:kern w:val="0"/>
                      <w:sz w:val="21"/>
                      <w:szCs w:val="21"/>
                      <w:u w:val="none"/>
                      <w:lang w:val="en-US" w:eastAsia="zh-CN" w:bidi="ar"/>
                    </w:rPr>
                    <w:t>2</w:t>
                  </w:r>
                </w:p>
              </w:tc>
              <w:tc>
                <w:tcPr>
                  <w:tcW w:w="16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59411A">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Style w:val="font31"/>
                      <w:rFonts w:ascii="Times New Roman" w:eastAsia="宋体" w:hAnsi="Times New Roman" w:cs="Times New Roman" w:hint="default"/>
                      <w:color w:val="auto"/>
                      <w:sz w:val="21"/>
                      <w:szCs w:val="21"/>
                      <w:lang w:val="en-US" w:eastAsia="zh-CN" w:bidi="ar"/>
                    </w:rPr>
                    <w:t>航天鸿源围场300MW风储氢一体化项目</w:t>
                  </w:r>
                </w:p>
              </w:tc>
              <w:tc>
                <w:tcPr>
                  <w:tcW w:w="19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E150E9">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Style w:val="font31"/>
                      <w:rFonts w:ascii="Times New Roman" w:eastAsia="宋体" w:hAnsi="Times New Roman" w:cs="Times New Roman" w:hint="default"/>
                      <w:color w:val="auto"/>
                      <w:sz w:val="21"/>
                      <w:szCs w:val="21"/>
                      <w:lang w:val="en-US" w:eastAsia="zh-CN" w:bidi="ar"/>
                    </w:rPr>
                    <w:t>航启承德风力发电有限公司</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B6FCAC">
                  <w:pPr>
                    <w:keepNext w:val="0"/>
                    <w:keepLines w:val="0"/>
                    <w:widowControl/>
                    <w:suppressLineNumbers w:val="0"/>
                    <w:jc w:val="center"/>
                    <w:textAlignment w:val="center"/>
                    <w:rPr>
                      <w:rFonts w:ascii="Times New Roman" w:eastAsia="宋体" w:hAnsi="Times New Roman" w:cs="Times New Roman" w:hint="default"/>
                      <w:i w:val="0"/>
                      <w:iCs w:val="0"/>
                      <w:color w:val="auto"/>
                      <w:kern w:val="0"/>
                      <w:sz w:val="21"/>
                      <w:szCs w:val="21"/>
                      <w:u w:val="none"/>
                      <w:lang w:val="en-US" w:eastAsia="zh-CN" w:bidi="ar"/>
                    </w:rPr>
                  </w:pPr>
                  <w:r>
                    <w:rPr>
                      <w:rFonts w:ascii="Times New Roman" w:eastAsia="宋体" w:hAnsi="Times New Roman" w:cs="Times New Roman" w:hint="default"/>
                      <w:i w:val="0"/>
                      <w:iCs w:val="0"/>
                      <w:color w:val="auto"/>
                      <w:kern w:val="0"/>
                      <w:sz w:val="21"/>
                      <w:szCs w:val="21"/>
                      <w:u w:val="none"/>
                      <w:lang w:val="en-US" w:eastAsia="zh-CN" w:bidi="ar"/>
                    </w:rPr>
                    <w:t>45</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09CB8">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Fonts w:ascii="Times New Roman" w:eastAsia="宋体" w:hAnsi="Times New Roman" w:cs="Times New Roman" w:hint="default"/>
                      <w:i w:val="0"/>
                      <w:iCs w:val="0"/>
                      <w:color w:val="auto"/>
                      <w:kern w:val="0"/>
                      <w:sz w:val="21"/>
                      <w:szCs w:val="21"/>
                      <w:u w:val="none"/>
                      <w:lang w:val="en-US" w:eastAsia="zh-CN" w:bidi="ar"/>
                    </w:rPr>
                    <w:t>90</w:t>
                  </w:r>
                </w:p>
              </w:tc>
            </w:tr>
            <w:tr w14:paraId="3DFD5EF0">
              <w:tblPrEx>
                <w:tblW w:w="4950" w:type="pct"/>
                <w:tblInd w:w="0" w:type="dxa"/>
                <w:shd w:val="clear" w:color="auto" w:fill="auto"/>
                <w:tblCellMar>
                  <w:top w:w="0" w:type="dxa"/>
                  <w:left w:w="108" w:type="dxa"/>
                  <w:bottom w:w="0" w:type="dxa"/>
                  <w:right w:w="108" w:type="dxa"/>
                </w:tblCellMar>
              </w:tblPrEx>
              <w:trPr>
                <w:trHeight w:val="730"/>
              </w:trPr>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3BCC5">
                  <w:pPr>
                    <w:keepNext w:val="0"/>
                    <w:keepLines w:val="0"/>
                    <w:widowControl/>
                    <w:suppressLineNumbers w:val="0"/>
                    <w:jc w:val="center"/>
                    <w:textAlignment w:val="center"/>
                    <w:rPr>
                      <w:rFonts w:ascii="Times New Roman" w:eastAsia="宋体" w:hAnsi="Times New Roman" w:cs="Times New Roman" w:hint="default"/>
                      <w:i w:val="0"/>
                      <w:iCs w:val="0"/>
                      <w:color w:val="auto"/>
                      <w:kern w:val="0"/>
                      <w:sz w:val="21"/>
                      <w:szCs w:val="21"/>
                      <w:u w:val="none"/>
                      <w:lang w:val="en-US" w:eastAsia="zh-CN" w:bidi="ar"/>
                    </w:rPr>
                  </w:pPr>
                  <w:r>
                    <w:rPr>
                      <w:rFonts w:ascii="Times New Roman" w:eastAsia="宋体" w:hAnsi="Times New Roman" w:cs="Times New Roman" w:hint="default"/>
                      <w:i w:val="0"/>
                      <w:iCs w:val="0"/>
                      <w:color w:val="auto"/>
                      <w:kern w:val="0"/>
                      <w:sz w:val="21"/>
                      <w:szCs w:val="21"/>
                      <w:u w:val="none"/>
                      <w:lang w:val="en-US" w:eastAsia="zh-CN" w:bidi="ar"/>
                    </w:rPr>
                    <w:t>3</w:t>
                  </w:r>
                </w:p>
              </w:tc>
              <w:tc>
                <w:tcPr>
                  <w:tcW w:w="16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48BE49">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Style w:val="font31"/>
                      <w:rFonts w:ascii="Times New Roman" w:eastAsia="宋体" w:hAnsi="Times New Roman" w:cs="Times New Roman" w:hint="default"/>
                      <w:color w:val="auto"/>
                      <w:sz w:val="21"/>
                      <w:szCs w:val="21"/>
                      <w:lang w:val="en-US" w:eastAsia="zh-CN" w:bidi="ar"/>
                    </w:rPr>
                    <w:t>围场200MW光伏储能示范项目</w:t>
                  </w:r>
                </w:p>
              </w:tc>
              <w:tc>
                <w:tcPr>
                  <w:tcW w:w="19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54189">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Style w:val="font31"/>
                      <w:rFonts w:ascii="Times New Roman" w:eastAsia="宋体" w:hAnsi="Times New Roman" w:cs="Times New Roman" w:hint="default"/>
                      <w:color w:val="auto"/>
                      <w:sz w:val="21"/>
                      <w:szCs w:val="21"/>
                      <w:lang w:val="en-US" w:eastAsia="zh-CN" w:bidi="ar"/>
                    </w:rPr>
                    <w:t>新天绿色能源围场有限公司</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5CE6D">
                  <w:pPr>
                    <w:keepNext w:val="0"/>
                    <w:keepLines w:val="0"/>
                    <w:widowControl/>
                    <w:suppressLineNumbers w:val="0"/>
                    <w:jc w:val="center"/>
                    <w:textAlignment w:val="center"/>
                    <w:rPr>
                      <w:rFonts w:ascii="Times New Roman" w:eastAsia="宋体" w:hAnsi="Times New Roman" w:cs="Times New Roman" w:hint="default"/>
                      <w:i w:val="0"/>
                      <w:iCs w:val="0"/>
                      <w:color w:val="auto"/>
                      <w:kern w:val="0"/>
                      <w:sz w:val="21"/>
                      <w:szCs w:val="21"/>
                      <w:u w:val="none"/>
                      <w:lang w:val="en-US" w:eastAsia="zh-CN" w:bidi="ar"/>
                    </w:rPr>
                  </w:pPr>
                  <w:r>
                    <w:rPr>
                      <w:rFonts w:cs="Times New Roman" w:hint="eastAsia"/>
                      <w:i w:val="0"/>
                      <w:iCs w:val="0"/>
                      <w:color w:val="auto"/>
                      <w:kern w:val="0"/>
                      <w:sz w:val="21"/>
                      <w:szCs w:val="21"/>
                      <w:u w:val="none"/>
                      <w:lang w:val="en-US" w:eastAsia="zh-CN" w:bidi="ar"/>
                    </w:rPr>
                    <w:t>15</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C98F0D">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lang w:val="en-US"/>
                    </w:rPr>
                  </w:pPr>
                  <w:r>
                    <w:rPr>
                      <w:rFonts w:cs="Times New Roman" w:hint="eastAsia"/>
                      <w:i w:val="0"/>
                      <w:iCs w:val="0"/>
                      <w:color w:val="auto"/>
                      <w:kern w:val="0"/>
                      <w:sz w:val="21"/>
                      <w:szCs w:val="21"/>
                      <w:u w:val="none"/>
                      <w:lang w:val="en-US" w:eastAsia="zh-CN" w:bidi="ar"/>
                    </w:rPr>
                    <w:t>60</w:t>
                  </w:r>
                </w:p>
              </w:tc>
            </w:tr>
            <w:tr w14:paraId="7C136FF7">
              <w:tblPrEx>
                <w:tblW w:w="4950" w:type="pct"/>
                <w:tblInd w:w="0" w:type="dxa"/>
                <w:shd w:val="clear" w:color="auto" w:fill="auto"/>
                <w:tblCellMar>
                  <w:top w:w="0" w:type="dxa"/>
                  <w:left w:w="108" w:type="dxa"/>
                  <w:bottom w:w="0" w:type="dxa"/>
                  <w:right w:w="108" w:type="dxa"/>
                </w:tblCellMar>
              </w:tblPrEx>
              <w:trPr>
                <w:trHeight w:val="990"/>
              </w:trPr>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E8EEC5">
                  <w:pPr>
                    <w:keepNext w:val="0"/>
                    <w:keepLines w:val="0"/>
                    <w:widowControl/>
                    <w:suppressLineNumbers w:val="0"/>
                    <w:jc w:val="center"/>
                    <w:textAlignment w:val="center"/>
                    <w:rPr>
                      <w:rFonts w:ascii="Times New Roman" w:eastAsia="宋体" w:hAnsi="Times New Roman" w:cs="Times New Roman" w:hint="default"/>
                      <w:i w:val="0"/>
                      <w:iCs w:val="0"/>
                      <w:color w:val="auto"/>
                      <w:kern w:val="0"/>
                      <w:sz w:val="21"/>
                      <w:szCs w:val="21"/>
                      <w:u w:val="none"/>
                      <w:lang w:val="en-US" w:eastAsia="zh-CN" w:bidi="ar"/>
                    </w:rPr>
                  </w:pPr>
                  <w:r>
                    <w:rPr>
                      <w:rFonts w:ascii="Times New Roman" w:eastAsia="宋体" w:hAnsi="Times New Roman" w:cs="Times New Roman" w:hint="default"/>
                      <w:i w:val="0"/>
                      <w:iCs w:val="0"/>
                      <w:color w:val="auto"/>
                      <w:kern w:val="0"/>
                      <w:sz w:val="21"/>
                      <w:szCs w:val="21"/>
                      <w:u w:val="none"/>
                      <w:lang w:val="en-US" w:eastAsia="zh-CN" w:bidi="ar"/>
                    </w:rPr>
                    <w:t>4</w:t>
                  </w:r>
                </w:p>
              </w:tc>
              <w:tc>
                <w:tcPr>
                  <w:tcW w:w="16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E81F35">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Style w:val="font31"/>
                      <w:rFonts w:ascii="Times New Roman" w:eastAsia="宋体" w:hAnsi="Times New Roman" w:cs="Times New Roman" w:hint="default"/>
                      <w:color w:val="auto"/>
                      <w:sz w:val="21"/>
                      <w:szCs w:val="21"/>
                      <w:lang w:val="en-US" w:eastAsia="zh-CN" w:bidi="ar"/>
                    </w:rPr>
                    <w:t>河北省围场县新能源综合投资项目</w:t>
                  </w:r>
                </w:p>
              </w:tc>
              <w:tc>
                <w:tcPr>
                  <w:tcW w:w="19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6E4F58">
                  <w:pPr>
                    <w:keepNext w:val="0"/>
                    <w:keepLines w:val="0"/>
                    <w:widowControl/>
                    <w:suppressLineNumbers w:val="0"/>
                    <w:jc w:val="center"/>
                    <w:textAlignment w:val="center"/>
                    <w:rPr>
                      <w:rStyle w:val="font31"/>
                      <w:rFonts w:ascii="Times New Roman" w:eastAsia="宋体" w:hAnsi="Times New Roman" w:cs="Times New Roman" w:hint="default"/>
                      <w:color w:val="auto"/>
                      <w:sz w:val="21"/>
                      <w:szCs w:val="21"/>
                      <w:lang w:val="en-US" w:eastAsia="zh-CN" w:bidi="ar"/>
                    </w:rPr>
                  </w:pPr>
                  <w:r>
                    <w:rPr>
                      <w:rStyle w:val="font31"/>
                      <w:rFonts w:ascii="Times New Roman" w:eastAsia="宋体" w:hAnsi="Times New Roman" w:cs="Times New Roman" w:hint="default"/>
                      <w:color w:val="auto"/>
                      <w:sz w:val="21"/>
                      <w:szCs w:val="21"/>
                      <w:lang w:val="en-US" w:eastAsia="zh-CN" w:bidi="ar"/>
                    </w:rPr>
                    <w:t>围场满族蒙古族自治县翰润风</w:t>
                  </w:r>
                </w:p>
                <w:p w14:paraId="7613D6F5">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Style w:val="font31"/>
                      <w:rFonts w:ascii="Times New Roman" w:eastAsia="宋体" w:hAnsi="Times New Roman" w:cs="Times New Roman" w:hint="default"/>
                      <w:color w:val="auto"/>
                      <w:sz w:val="21"/>
                      <w:szCs w:val="21"/>
                      <w:lang w:val="en-US" w:eastAsia="zh-CN" w:bidi="ar"/>
                    </w:rPr>
                    <w:t>力发电有限公司</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379E31">
                  <w:pPr>
                    <w:keepNext w:val="0"/>
                    <w:keepLines w:val="0"/>
                    <w:widowControl/>
                    <w:suppressLineNumbers w:val="0"/>
                    <w:jc w:val="center"/>
                    <w:textAlignment w:val="center"/>
                    <w:rPr>
                      <w:rFonts w:ascii="Times New Roman" w:eastAsia="宋体" w:hAnsi="Times New Roman" w:cs="Times New Roman" w:hint="default"/>
                      <w:i w:val="0"/>
                      <w:iCs w:val="0"/>
                      <w:color w:val="auto"/>
                      <w:kern w:val="0"/>
                      <w:sz w:val="21"/>
                      <w:szCs w:val="21"/>
                      <w:u w:val="none"/>
                      <w:lang w:val="en-US" w:eastAsia="zh-CN" w:bidi="ar"/>
                    </w:rPr>
                  </w:pPr>
                  <w:r>
                    <w:rPr>
                      <w:rFonts w:ascii="Times New Roman" w:eastAsia="宋体" w:hAnsi="Times New Roman" w:cs="Times New Roman" w:hint="default"/>
                      <w:i w:val="0"/>
                      <w:iCs w:val="0"/>
                      <w:color w:val="auto"/>
                      <w:kern w:val="0"/>
                      <w:sz w:val="21"/>
                      <w:szCs w:val="21"/>
                      <w:u w:val="none"/>
                      <w:lang w:val="en-US" w:eastAsia="zh-CN" w:bidi="ar"/>
                    </w:rPr>
                    <w:t>15</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66827">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Fonts w:ascii="Times New Roman" w:eastAsia="宋体" w:hAnsi="Times New Roman" w:cs="Times New Roman" w:hint="default"/>
                      <w:i w:val="0"/>
                      <w:iCs w:val="0"/>
                      <w:color w:val="auto"/>
                      <w:kern w:val="0"/>
                      <w:sz w:val="21"/>
                      <w:szCs w:val="21"/>
                      <w:u w:val="none"/>
                      <w:lang w:val="en-US" w:eastAsia="zh-CN" w:bidi="ar"/>
                    </w:rPr>
                    <w:t>60</w:t>
                  </w:r>
                </w:p>
              </w:tc>
            </w:tr>
            <w:tr w14:paraId="0E60C975">
              <w:tblPrEx>
                <w:tblW w:w="4950" w:type="pct"/>
                <w:tblInd w:w="0" w:type="dxa"/>
                <w:shd w:val="clear" w:color="auto" w:fill="auto"/>
                <w:tblCellMar>
                  <w:top w:w="0" w:type="dxa"/>
                  <w:left w:w="108" w:type="dxa"/>
                  <w:bottom w:w="0" w:type="dxa"/>
                  <w:right w:w="108" w:type="dxa"/>
                </w:tblCellMar>
              </w:tblPrEx>
              <w:trPr>
                <w:trHeight w:val="1100"/>
              </w:trPr>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F7D831">
                  <w:pPr>
                    <w:keepNext w:val="0"/>
                    <w:keepLines w:val="0"/>
                    <w:widowControl/>
                    <w:suppressLineNumbers w:val="0"/>
                    <w:jc w:val="center"/>
                    <w:textAlignment w:val="center"/>
                    <w:rPr>
                      <w:rFonts w:ascii="Times New Roman" w:eastAsia="宋体" w:hAnsi="Times New Roman" w:cs="Times New Roman" w:hint="default"/>
                      <w:i w:val="0"/>
                      <w:iCs w:val="0"/>
                      <w:color w:val="auto"/>
                      <w:kern w:val="0"/>
                      <w:sz w:val="21"/>
                      <w:szCs w:val="21"/>
                      <w:u w:val="none"/>
                      <w:lang w:val="en-US" w:eastAsia="zh-CN" w:bidi="ar"/>
                    </w:rPr>
                  </w:pPr>
                  <w:r>
                    <w:rPr>
                      <w:rFonts w:ascii="Times New Roman" w:eastAsia="宋体" w:hAnsi="Times New Roman" w:cs="Times New Roman" w:hint="default"/>
                      <w:i w:val="0"/>
                      <w:iCs w:val="0"/>
                      <w:color w:val="auto"/>
                      <w:kern w:val="0"/>
                      <w:sz w:val="21"/>
                      <w:szCs w:val="21"/>
                      <w:u w:val="none"/>
                      <w:lang w:val="en-US" w:eastAsia="zh-CN" w:bidi="ar"/>
                    </w:rPr>
                    <w:t>5</w:t>
                  </w:r>
                </w:p>
              </w:tc>
              <w:tc>
                <w:tcPr>
                  <w:tcW w:w="16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45376C">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Style w:val="font31"/>
                      <w:rFonts w:ascii="Times New Roman" w:eastAsia="宋体" w:hAnsi="Times New Roman" w:cs="Times New Roman" w:hint="default"/>
                      <w:color w:val="auto"/>
                      <w:sz w:val="21"/>
                      <w:szCs w:val="21"/>
                      <w:lang w:val="en-US" w:eastAsia="zh-CN" w:bidi="ar"/>
                    </w:rPr>
                    <w:t>围场县200MW风电储新能源项目</w:t>
                  </w:r>
                </w:p>
              </w:tc>
              <w:tc>
                <w:tcPr>
                  <w:tcW w:w="19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565BA0">
                  <w:pPr>
                    <w:keepNext w:val="0"/>
                    <w:keepLines w:val="0"/>
                    <w:widowControl/>
                    <w:suppressLineNumbers w:val="0"/>
                    <w:jc w:val="center"/>
                    <w:textAlignment w:val="center"/>
                    <w:rPr>
                      <w:rStyle w:val="font31"/>
                      <w:rFonts w:ascii="Times New Roman" w:eastAsia="宋体" w:hAnsi="Times New Roman" w:cs="Times New Roman" w:hint="default"/>
                      <w:color w:val="auto"/>
                      <w:sz w:val="21"/>
                      <w:szCs w:val="21"/>
                      <w:lang w:val="en-US" w:eastAsia="zh-CN" w:bidi="ar"/>
                    </w:rPr>
                  </w:pPr>
                  <w:r>
                    <w:rPr>
                      <w:rStyle w:val="font31"/>
                      <w:rFonts w:ascii="Times New Roman" w:eastAsia="宋体" w:hAnsi="Times New Roman" w:cs="Times New Roman" w:hint="default"/>
                      <w:color w:val="auto"/>
                      <w:sz w:val="21"/>
                      <w:szCs w:val="21"/>
                      <w:lang w:val="en-US" w:eastAsia="zh-CN" w:bidi="ar"/>
                    </w:rPr>
                    <w:t>围场满族蒙古族自治县百世能</w:t>
                  </w:r>
                </w:p>
                <w:p w14:paraId="693616A1">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Style w:val="font31"/>
                      <w:rFonts w:ascii="Times New Roman" w:eastAsia="宋体" w:hAnsi="Times New Roman" w:cs="Times New Roman" w:hint="default"/>
                      <w:color w:val="auto"/>
                      <w:sz w:val="21"/>
                      <w:szCs w:val="21"/>
                      <w:lang w:val="en-US" w:eastAsia="zh-CN" w:bidi="ar"/>
                    </w:rPr>
                    <w:t>光伏发电有限公司</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E30321">
                  <w:pPr>
                    <w:keepNext w:val="0"/>
                    <w:keepLines w:val="0"/>
                    <w:widowControl/>
                    <w:suppressLineNumbers w:val="0"/>
                    <w:jc w:val="center"/>
                    <w:textAlignment w:val="center"/>
                    <w:rPr>
                      <w:rFonts w:ascii="Times New Roman" w:eastAsia="宋体" w:hAnsi="Times New Roman" w:cs="Times New Roman" w:hint="default"/>
                      <w:i w:val="0"/>
                      <w:iCs w:val="0"/>
                      <w:color w:val="auto"/>
                      <w:kern w:val="0"/>
                      <w:sz w:val="21"/>
                      <w:szCs w:val="21"/>
                      <w:u w:val="none"/>
                      <w:lang w:val="en-US" w:eastAsia="zh-CN" w:bidi="ar"/>
                    </w:rPr>
                  </w:pPr>
                  <w:r>
                    <w:rPr>
                      <w:rFonts w:ascii="Times New Roman" w:eastAsia="宋体" w:hAnsi="Times New Roman" w:cs="Times New Roman" w:hint="default"/>
                      <w:i w:val="0"/>
                      <w:iCs w:val="0"/>
                      <w:color w:val="auto"/>
                      <w:kern w:val="0"/>
                      <w:sz w:val="21"/>
                      <w:szCs w:val="21"/>
                      <w:u w:val="none"/>
                      <w:lang w:val="en-US" w:eastAsia="zh-CN" w:bidi="ar"/>
                    </w:rPr>
                    <w:t>30</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6967B9">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Fonts w:ascii="Times New Roman" w:eastAsia="宋体" w:hAnsi="Times New Roman" w:cs="Times New Roman" w:hint="default"/>
                      <w:i w:val="0"/>
                      <w:iCs w:val="0"/>
                      <w:color w:val="auto"/>
                      <w:kern w:val="0"/>
                      <w:sz w:val="21"/>
                      <w:szCs w:val="21"/>
                      <w:u w:val="none"/>
                      <w:lang w:val="en-US" w:eastAsia="zh-CN" w:bidi="ar"/>
                    </w:rPr>
                    <w:t>120</w:t>
                  </w:r>
                </w:p>
              </w:tc>
            </w:tr>
            <w:tr w14:paraId="3B0A55DC">
              <w:tblPrEx>
                <w:tblW w:w="4950" w:type="pct"/>
                <w:tblInd w:w="0" w:type="dxa"/>
                <w:shd w:val="clear" w:color="auto" w:fill="auto"/>
                <w:tblCellMar>
                  <w:top w:w="0" w:type="dxa"/>
                  <w:left w:w="108" w:type="dxa"/>
                  <w:bottom w:w="0" w:type="dxa"/>
                  <w:right w:w="108" w:type="dxa"/>
                </w:tblCellMar>
              </w:tblPrEx>
              <w:trPr>
                <w:trHeight w:val="990"/>
              </w:trPr>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7B44D6">
                  <w:pPr>
                    <w:keepNext w:val="0"/>
                    <w:keepLines w:val="0"/>
                    <w:widowControl/>
                    <w:suppressLineNumbers w:val="0"/>
                    <w:jc w:val="center"/>
                    <w:textAlignment w:val="center"/>
                    <w:rPr>
                      <w:rFonts w:ascii="Times New Roman" w:eastAsia="宋体" w:hAnsi="Times New Roman" w:cs="Times New Roman" w:hint="default"/>
                      <w:i w:val="0"/>
                      <w:iCs w:val="0"/>
                      <w:color w:val="auto"/>
                      <w:kern w:val="0"/>
                      <w:sz w:val="21"/>
                      <w:szCs w:val="21"/>
                      <w:u w:val="none"/>
                      <w:lang w:val="en-US" w:eastAsia="zh-CN" w:bidi="ar"/>
                    </w:rPr>
                  </w:pPr>
                  <w:r>
                    <w:rPr>
                      <w:rFonts w:ascii="Times New Roman" w:eastAsia="宋体" w:hAnsi="Times New Roman" w:cs="Times New Roman" w:hint="default"/>
                      <w:i w:val="0"/>
                      <w:iCs w:val="0"/>
                      <w:color w:val="auto"/>
                      <w:kern w:val="0"/>
                      <w:sz w:val="21"/>
                      <w:szCs w:val="21"/>
                      <w:u w:val="none"/>
                      <w:lang w:val="en-US" w:eastAsia="zh-CN" w:bidi="ar"/>
                    </w:rPr>
                    <w:t>6</w:t>
                  </w:r>
                </w:p>
              </w:tc>
              <w:tc>
                <w:tcPr>
                  <w:tcW w:w="16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493D97">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Style w:val="font31"/>
                      <w:rFonts w:ascii="Times New Roman" w:eastAsia="宋体" w:hAnsi="Times New Roman" w:cs="Times New Roman" w:hint="default"/>
                      <w:color w:val="auto"/>
                      <w:sz w:val="21"/>
                      <w:szCs w:val="21"/>
                      <w:lang w:val="en-US" w:eastAsia="zh-CN" w:bidi="ar"/>
                    </w:rPr>
                    <w:t>华润围场朝阳200MW风电项目</w:t>
                  </w:r>
                </w:p>
              </w:tc>
              <w:tc>
                <w:tcPr>
                  <w:tcW w:w="19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D7A4DF">
                  <w:pPr>
                    <w:keepNext w:val="0"/>
                    <w:keepLines w:val="0"/>
                    <w:widowControl/>
                    <w:suppressLineNumbers w:val="0"/>
                    <w:jc w:val="center"/>
                    <w:textAlignment w:val="center"/>
                    <w:rPr>
                      <w:rStyle w:val="font31"/>
                      <w:rFonts w:ascii="Times New Roman" w:eastAsia="宋体" w:hAnsi="Times New Roman" w:cs="Times New Roman" w:hint="default"/>
                      <w:i w:val="0"/>
                      <w:iCs w:val="0"/>
                      <w:color w:val="auto"/>
                      <w:sz w:val="21"/>
                      <w:szCs w:val="21"/>
                      <w:lang w:val="en-US" w:eastAsia="zh-CN" w:bidi="ar"/>
                    </w:rPr>
                  </w:pPr>
                  <w:r>
                    <w:rPr>
                      <w:rStyle w:val="font31"/>
                      <w:rFonts w:ascii="Times New Roman" w:eastAsia="宋体" w:hAnsi="Times New Roman" w:cs="Times New Roman" w:hint="default"/>
                      <w:i w:val="0"/>
                      <w:iCs w:val="0"/>
                      <w:color w:val="auto"/>
                      <w:sz w:val="21"/>
                      <w:szCs w:val="21"/>
                      <w:lang w:val="en-US" w:eastAsia="zh-CN" w:bidi="ar"/>
                    </w:rPr>
                    <w:t>华润新能源(木兰围场)风能有限公司</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AC6F9D">
                  <w:pPr>
                    <w:keepNext w:val="0"/>
                    <w:keepLines w:val="0"/>
                    <w:widowControl/>
                    <w:suppressLineNumbers w:val="0"/>
                    <w:jc w:val="center"/>
                    <w:textAlignment w:val="center"/>
                    <w:rPr>
                      <w:rFonts w:ascii="Times New Roman" w:eastAsia="宋体" w:hAnsi="Times New Roman" w:cs="Times New Roman" w:hint="default"/>
                      <w:i w:val="0"/>
                      <w:iCs w:val="0"/>
                      <w:color w:val="auto"/>
                      <w:kern w:val="0"/>
                      <w:sz w:val="21"/>
                      <w:szCs w:val="21"/>
                      <w:u w:val="none"/>
                      <w:lang w:val="en-US" w:eastAsia="zh-CN" w:bidi="ar"/>
                    </w:rPr>
                  </w:pPr>
                  <w:r>
                    <w:rPr>
                      <w:rFonts w:ascii="Times New Roman" w:eastAsia="宋体" w:hAnsi="Times New Roman" w:cs="Times New Roman" w:hint="default"/>
                      <w:i w:val="0"/>
                      <w:iCs w:val="0"/>
                      <w:color w:val="auto"/>
                      <w:kern w:val="0"/>
                      <w:sz w:val="21"/>
                      <w:szCs w:val="21"/>
                      <w:u w:val="none"/>
                      <w:lang w:val="en-US" w:eastAsia="zh-CN" w:bidi="ar"/>
                    </w:rPr>
                    <w:t>30</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A3B18">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Fonts w:ascii="Times New Roman" w:eastAsia="宋体" w:hAnsi="Times New Roman" w:cs="Times New Roman" w:hint="default"/>
                      <w:i w:val="0"/>
                      <w:iCs w:val="0"/>
                      <w:color w:val="auto"/>
                      <w:kern w:val="0"/>
                      <w:sz w:val="21"/>
                      <w:szCs w:val="21"/>
                      <w:u w:val="none"/>
                      <w:lang w:val="en-US" w:eastAsia="zh-CN" w:bidi="ar"/>
                    </w:rPr>
                    <w:t>60</w:t>
                  </w:r>
                </w:p>
              </w:tc>
            </w:tr>
            <w:tr w14:paraId="740EA08C">
              <w:tblPrEx>
                <w:tblW w:w="4950" w:type="pct"/>
                <w:tblInd w:w="0" w:type="dxa"/>
                <w:shd w:val="clear" w:color="auto" w:fill="auto"/>
                <w:tblCellMar>
                  <w:top w:w="0" w:type="dxa"/>
                  <w:left w:w="108" w:type="dxa"/>
                  <w:bottom w:w="0" w:type="dxa"/>
                  <w:right w:w="108" w:type="dxa"/>
                </w:tblCellMar>
              </w:tblPrEx>
              <w:trPr>
                <w:trHeight w:val="992"/>
              </w:trPr>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26870C">
                  <w:pPr>
                    <w:keepNext w:val="0"/>
                    <w:keepLines w:val="0"/>
                    <w:widowControl/>
                    <w:suppressLineNumbers w:val="0"/>
                    <w:jc w:val="center"/>
                    <w:textAlignment w:val="center"/>
                    <w:rPr>
                      <w:rFonts w:ascii="Times New Roman" w:eastAsia="宋体" w:hAnsi="Times New Roman" w:cs="Times New Roman" w:hint="default"/>
                      <w:i w:val="0"/>
                      <w:iCs w:val="0"/>
                      <w:color w:val="auto"/>
                      <w:kern w:val="0"/>
                      <w:sz w:val="21"/>
                      <w:szCs w:val="21"/>
                      <w:u w:val="none"/>
                      <w:lang w:val="en-US" w:eastAsia="zh-CN" w:bidi="ar"/>
                    </w:rPr>
                  </w:pPr>
                  <w:r>
                    <w:rPr>
                      <w:rFonts w:ascii="Times New Roman" w:eastAsia="宋体" w:hAnsi="Times New Roman" w:cs="Times New Roman" w:hint="default"/>
                      <w:i w:val="0"/>
                      <w:iCs w:val="0"/>
                      <w:color w:val="auto"/>
                      <w:kern w:val="0"/>
                      <w:sz w:val="21"/>
                      <w:szCs w:val="21"/>
                      <w:u w:val="none"/>
                      <w:lang w:val="en-US" w:eastAsia="zh-CN" w:bidi="ar"/>
                    </w:rPr>
                    <w:t>7</w:t>
                  </w:r>
                </w:p>
              </w:tc>
              <w:tc>
                <w:tcPr>
                  <w:tcW w:w="16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5F579F">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Style w:val="font31"/>
                      <w:rFonts w:ascii="Times New Roman" w:eastAsia="宋体" w:hAnsi="Times New Roman" w:cs="Times New Roman" w:hint="default"/>
                      <w:color w:val="auto"/>
                      <w:sz w:val="21"/>
                      <w:szCs w:val="21"/>
                      <w:lang w:val="en-US" w:eastAsia="zh-CN" w:bidi="ar"/>
                    </w:rPr>
                    <w:t>中国中车围场县100兆瓦风电场项目</w:t>
                  </w:r>
                </w:p>
              </w:tc>
              <w:tc>
                <w:tcPr>
                  <w:tcW w:w="19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F1BAA1">
                  <w:pPr>
                    <w:keepNext w:val="0"/>
                    <w:keepLines w:val="0"/>
                    <w:widowControl/>
                    <w:suppressLineNumbers w:val="0"/>
                    <w:jc w:val="center"/>
                    <w:textAlignment w:val="center"/>
                    <w:rPr>
                      <w:rStyle w:val="font31"/>
                      <w:rFonts w:ascii="Times New Roman" w:eastAsia="宋体" w:hAnsi="Times New Roman" w:cs="Times New Roman" w:hint="default"/>
                      <w:i w:val="0"/>
                      <w:iCs w:val="0"/>
                      <w:color w:val="auto"/>
                      <w:sz w:val="21"/>
                      <w:szCs w:val="21"/>
                      <w:lang w:val="en-US" w:eastAsia="zh-CN" w:bidi="ar"/>
                    </w:rPr>
                  </w:pPr>
                  <w:r>
                    <w:rPr>
                      <w:rStyle w:val="font31"/>
                      <w:rFonts w:ascii="Times New Roman" w:eastAsia="宋体" w:hAnsi="Times New Roman" w:cs="Times New Roman" w:hint="default"/>
                      <w:i w:val="0"/>
                      <w:iCs w:val="0"/>
                      <w:color w:val="auto"/>
                      <w:sz w:val="21"/>
                      <w:szCs w:val="21"/>
                      <w:lang w:val="en-US" w:eastAsia="zh-CN" w:bidi="ar"/>
                    </w:rPr>
                    <w:t>承德正善新能源科技有限公司</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67A5F6">
                  <w:pPr>
                    <w:keepNext w:val="0"/>
                    <w:keepLines w:val="0"/>
                    <w:widowControl/>
                    <w:suppressLineNumbers w:val="0"/>
                    <w:jc w:val="center"/>
                    <w:textAlignment w:val="center"/>
                    <w:rPr>
                      <w:rFonts w:ascii="Times New Roman" w:eastAsia="宋体" w:hAnsi="Times New Roman" w:cs="Times New Roman" w:hint="default"/>
                      <w:i w:val="0"/>
                      <w:iCs w:val="0"/>
                      <w:color w:val="auto"/>
                      <w:kern w:val="0"/>
                      <w:sz w:val="21"/>
                      <w:szCs w:val="21"/>
                      <w:u w:val="none"/>
                      <w:lang w:val="en-US" w:eastAsia="zh-CN" w:bidi="ar"/>
                    </w:rPr>
                  </w:pPr>
                  <w:r>
                    <w:rPr>
                      <w:rFonts w:ascii="Times New Roman" w:eastAsia="宋体" w:hAnsi="Times New Roman" w:cs="Times New Roman" w:hint="default"/>
                      <w:i w:val="0"/>
                      <w:iCs w:val="0"/>
                      <w:color w:val="auto"/>
                      <w:kern w:val="0"/>
                      <w:sz w:val="21"/>
                      <w:szCs w:val="21"/>
                      <w:u w:val="none"/>
                      <w:lang w:val="en-US" w:eastAsia="zh-CN" w:bidi="ar"/>
                    </w:rPr>
                    <w:t>15</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CEFD78">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Fonts w:ascii="Times New Roman" w:eastAsia="宋体" w:hAnsi="Times New Roman" w:cs="Times New Roman" w:hint="default"/>
                      <w:i w:val="0"/>
                      <w:iCs w:val="0"/>
                      <w:color w:val="auto"/>
                      <w:kern w:val="0"/>
                      <w:sz w:val="21"/>
                      <w:szCs w:val="21"/>
                      <w:u w:val="none"/>
                      <w:lang w:val="en-US" w:eastAsia="zh-CN" w:bidi="ar"/>
                    </w:rPr>
                    <w:t>30</w:t>
                  </w:r>
                </w:p>
              </w:tc>
            </w:tr>
            <w:tr w14:paraId="72093F91">
              <w:tblPrEx>
                <w:tblW w:w="4950" w:type="pct"/>
                <w:tblInd w:w="0" w:type="dxa"/>
                <w:shd w:val="clear" w:color="auto" w:fill="auto"/>
                <w:tblCellMar>
                  <w:top w:w="0" w:type="dxa"/>
                  <w:left w:w="108" w:type="dxa"/>
                  <w:bottom w:w="0" w:type="dxa"/>
                  <w:right w:w="108" w:type="dxa"/>
                </w:tblCellMar>
              </w:tblPrEx>
              <w:trPr>
                <w:trHeight w:val="780"/>
              </w:trPr>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75AAC5">
                  <w:pPr>
                    <w:keepNext w:val="0"/>
                    <w:keepLines w:val="0"/>
                    <w:widowControl/>
                    <w:suppressLineNumbers w:val="0"/>
                    <w:jc w:val="center"/>
                    <w:textAlignment w:val="center"/>
                    <w:rPr>
                      <w:rFonts w:ascii="Times New Roman" w:eastAsia="宋体" w:hAnsi="Times New Roman" w:cs="Times New Roman" w:hint="default"/>
                      <w:i w:val="0"/>
                      <w:iCs w:val="0"/>
                      <w:color w:val="auto"/>
                      <w:kern w:val="0"/>
                      <w:sz w:val="21"/>
                      <w:szCs w:val="21"/>
                      <w:u w:val="none"/>
                      <w:lang w:val="en-US" w:eastAsia="zh-CN" w:bidi="ar"/>
                    </w:rPr>
                  </w:pPr>
                  <w:r>
                    <w:rPr>
                      <w:rFonts w:ascii="Times New Roman" w:eastAsia="宋体" w:hAnsi="Times New Roman" w:cs="Times New Roman" w:hint="default"/>
                      <w:i w:val="0"/>
                      <w:iCs w:val="0"/>
                      <w:color w:val="auto"/>
                      <w:kern w:val="0"/>
                      <w:sz w:val="21"/>
                      <w:szCs w:val="21"/>
                      <w:u w:val="none"/>
                      <w:lang w:val="en-US" w:eastAsia="zh-CN" w:bidi="ar"/>
                    </w:rPr>
                    <w:t>8</w:t>
                  </w:r>
                </w:p>
              </w:tc>
              <w:tc>
                <w:tcPr>
                  <w:tcW w:w="16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0520A8">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Style w:val="font31"/>
                      <w:rFonts w:ascii="Times New Roman" w:eastAsia="宋体" w:hAnsi="Times New Roman" w:cs="Times New Roman" w:hint="default"/>
                      <w:color w:val="auto"/>
                      <w:sz w:val="21"/>
                      <w:szCs w:val="21"/>
                      <w:lang w:val="en-US" w:eastAsia="zh-CN" w:bidi="ar"/>
                    </w:rPr>
                    <w:t>围场塔城100MW风电场项目</w:t>
                  </w:r>
                </w:p>
              </w:tc>
              <w:tc>
                <w:tcPr>
                  <w:tcW w:w="19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244DB8">
                  <w:pPr>
                    <w:keepNext w:val="0"/>
                    <w:keepLines w:val="0"/>
                    <w:widowControl/>
                    <w:suppressLineNumbers w:val="0"/>
                    <w:jc w:val="center"/>
                    <w:textAlignment w:val="center"/>
                    <w:rPr>
                      <w:rStyle w:val="font31"/>
                      <w:rFonts w:ascii="Times New Roman" w:eastAsia="宋体" w:hAnsi="Times New Roman" w:cs="Times New Roman" w:hint="default"/>
                      <w:i w:val="0"/>
                      <w:iCs w:val="0"/>
                      <w:color w:val="auto"/>
                      <w:sz w:val="21"/>
                      <w:szCs w:val="21"/>
                      <w:lang w:val="en-US" w:eastAsia="zh-CN" w:bidi="ar"/>
                    </w:rPr>
                  </w:pPr>
                  <w:r>
                    <w:rPr>
                      <w:rStyle w:val="font31"/>
                      <w:rFonts w:ascii="Times New Roman" w:eastAsia="宋体" w:hAnsi="Times New Roman" w:cs="Times New Roman" w:hint="default"/>
                      <w:i w:val="0"/>
                      <w:iCs w:val="0"/>
                      <w:color w:val="auto"/>
                      <w:sz w:val="21"/>
                      <w:szCs w:val="21"/>
                      <w:lang w:val="en-US" w:eastAsia="zh-CN" w:bidi="ar"/>
                    </w:rPr>
                    <w:t>承德乾祥新能源科技有限公司</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0F26BE">
                  <w:pPr>
                    <w:keepNext w:val="0"/>
                    <w:keepLines w:val="0"/>
                    <w:widowControl/>
                    <w:suppressLineNumbers w:val="0"/>
                    <w:jc w:val="center"/>
                    <w:textAlignment w:val="center"/>
                    <w:rPr>
                      <w:rFonts w:ascii="Times New Roman" w:eastAsia="宋体" w:hAnsi="Times New Roman" w:cs="Times New Roman" w:hint="default"/>
                      <w:i w:val="0"/>
                      <w:iCs w:val="0"/>
                      <w:color w:val="auto"/>
                      <w:kern w:val="0"/>
                      <w:sz w:val="21"/>
                      <w:szCs w:val="21"/>
                      <w:u w:val="none"/>
                      <w:lang w:val="en-US" w:eastAsia="zh-CN" w:bidi="ar"/>
                    </w:rPr>
                  </w:pPr>
                  <w:r>
                    <w:rPr>
                      <w:rFonts w:ascii="Times New Roman" w:eastAsia="宋体" w:hAnsi="Times New Roman" w:cs="Times New Roman" w:hint="default"/>
                      <w:i w:val="0"/>
                      <w:iCs w:val="0"/>
                      <w:color w:val="auto"/>
                      <w:kern w:val="0"/>
                      <w:sz w:val="21"/>
                      <w:szCs w:val="21"/>
                      <w:u w:val="none"/>
                      <w:lang w:val="en-US" w:eastAsia="zh-CN" w:bidi="ar"/>
                    </w:rPr>
                    <w:t>15</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E5381B">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Fonts w:ascii="Times New Roman" w:eastAsia="宋体" w:hAnsi="Times New Roman" w:cs="Times New Roman" w:hint="default"/>
                      <w:i w:val="0"/>
                      <w:iCs w:val="0"/>
                      <w:color w:val="auto"/>
                      <w:kern w:val="0"/>
                      <w:sz w:val="21"/>
                      <w:szCs w:val="21"/>
                      <w:u w:val="none"/>
                      <w:lang w:val="en-US" w:eastAsia="zh-CN" w:bidi="ar"/>
                    </w:rPr>
                    <w:t>30</w:t>
                  </w:r>
                </w:p>
              </w:tc>
            </w:tr>
            <w:tr w14:paraId="70B218C3">
              <w:tblPrEx>
                <w:tblW w:w="4950" w:type="pct"/>
                <w:tblInd w:w="0" w:type="dxa"/>
                <w:shd w:val="clear" w:color="auto" w:fill="auto"/>
                <w:tblCellMar>
                  <w:top w:w="0" w:type="dxa"/>
                  <w:left w:w="108" w:type="dxa"/>
                  <w:bottom w:w="0" w:type="dxa"/>
                  <w:right w:w="108" w:type="dxa"/>
                </w:tblCellMar>
              </w:tblPrEx>
              <w:trPr>
                <w:trHeight w:val="1110"/>
              </w:trPr>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E4CA5F">
                  <w:pPr>
                    <w:keepNext w:val="0"/>
                    <w:keepLines w:val="0"/>
                    <w:widowControl/>
                    <w:suppressLineNumbers w:val="0"/>
                    <w:jc w:val="center"/>
                    <w:textAlignment w:val="center"/>
                    <w:rPr>
                      <w:rFonts w:ascii="Times New Roman" w:eastAsia="宋体" w:hAnsi="Times New Roman" w:cs="Times New Roman" w:hint="default"/>
                      <w:i w:val="0"/>
                      <w:iCs w:val="0"/>
                      <w:color w:val="auto"/>
                      <w:kern w:val="0"/>
                      <w:sz w:val="21"/>
                      <w:szCs w:val="21"/>
                      <w:u w:val="none"/>
                      <w:lang w:val="en-US" w:eastAsia="zh-CN" w:bidi="ar"/>
                    </w:rPr>
                  </w:pPr>
                  <w:r>
                    <w:rPr>
                      <w:rFonts w:ascii="Times New Roman" w:eastAsia="宋体" w:hAnsi="Times New Roman" w:cs="Times New Roman" w:hint="default"/>
                      <w:i w:val="0"/>
                      <w:iCs w:val="0"/>
                      <w:color w:val="auto"/>
                      <w:kern w:val="0"/>
                      <w:sz w:val="21"/>
                      <w:szCs w:val="21"/>
                      <w:u w:val="none"/>
                      <w:lang w:val="en-US" w:eastAsia="zh-CN" w:bidi="ar"/>
                    </w:rPr>
                    <w:t>9</w:t>
                  </w:r>
                </w:p>
              </w:tc>
              <w:tc>
                <w:tcPr>
                  <w:tcW w:w="16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78053">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Style w:val="font31"/>
                      <w:rFonts w:ascii="Times New Roman" w:eastAsia="宋体" w:hAnsi="Times New Roman" w:cs="Times New Roman" w:hint="default"/>
                      <w:color w:val="auto"/>
                      <w:sz w:val="21"/>
                      <w:szCs w:val="21"/>
                      <w:lang w:val="en-US" w:eastAsia="zh-CN" w:bidi="ar"/>
                    </w:rPr>
                    <w:t>国电承德围场100MW光伏储能一体化项巨</w:t>
                  </w:r>
                </w:p>
              </w:tc>
              <w:tc>
                <w:tcPr>
                  <w:tcW w:w="19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BE1EFF">
                  <w:pPr>
                    <w:keepNext w:val="0"/>
                    <w:keepLines w:val="0"/>
                    <w:widowControl/>
                    <w:suppressLineNumbers w:val="0"/>
                    <w:jc w:val="center"/>
                    <w:textAlignment w:val="center"/>
                    <w:rPr>
                      <w:rStyle w:val="font31"/>
                      <w:rFonts w:ascii="Times New Roman" w:eastAsia="宋体" w:hAnsi="Times New Roman" w:cs="Times New Roman" w:hint="default"/>
                      <w:i w:val="0"/>
                      <w:iCs w:val="0"/>
                      <w:color w:val="auto"/>
                      <w:sz w:val="21"/>
                      <w:szCs w:val="21"/>
                      <w:lang w:val="en-US" w:eastAsia="zh-CN" w:bidi="ar"/>
                    </w:rPr>
                  </w:pPr>
                  <w:r>
                    <w:rPr>
                      <w:rStyle w:val="font31"/>
                      <w:rFonts w:ascii="Times New Roman" w:eastAsia="宋体" w:hAnsi="Times New Roman" w:cs="Times New Roman" w:hint="default"/>
                      <w:i w:val="0"/>
                      <w:iCs w:val="0"/>
                      <w:color w:val="auto"/>
                      <w:sz w:val="21"/>
                      <w:szCs w:val="21"/>
                      <w:lang w:val="en-US" w:eastAsia="zh-CN" w:bidi="ar"/>
                    </w:rPr>
                    <w:t>国电申能围场满族蒙古族自治县新能源科技有限公司</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87B3BB">
                  <w:pPr>
                    <w:keepNext w:val="0"/>
                    <w:keepLines w:val="0"/>
                    <w:widowControl/>
                    <w:suppressLineNumbers w:val="0"/>
                    <w:jc w:val="center"/>
                    <w:textAlignment w:val="center"/>
                    <w:rPr>
                      <w:rFonts w:ascii="Times New Roman" w:eastAsia="宋体" w:hAnsi="Times New Roman" w:cs="Times New Roman" w:hint="default"/>
                      <w:i w:val="0"/>
                      <w:iCs w:val="0"/>
                      <w:color w:val="auto"/>
                      <w:kern w:val="0"/>
                      <w:sz w:val="21"/>
                      <w:szCs w:val="21"/>
                      <w:u w:val="none"/>
                      <w:lang w:val="en-US" w:eastAsia="zh-CN" w:bidi="ar"/>
                    </w:rPr>
                  </w:pPr>
                  <w:r>
                    <w:rPr>
                      <w:rFonts w:ascii="Times New Roman" w:eastAsia="宋体" w:hAnsi="Times New Roman" w:cs="Times New Roman" w:hint="default"/>
                      <w:i w:val="0"/>
                      <w:iCs w:val="0"/>
                      <w:color w:val="auto"/>
                      <w:kern w:val="0"/>
                      <w:sz w:val="21"/>
                      <w:szCs w:val="21"/>
                      <w:u w:val="none"/>
                      <w:lang w:val="en-US" w:eastAsia="zh-CN" w:bidi="ar"/>
                    </w:rPr>
                    <w:t>15</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7FC06">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Fonts w:ascii="Times New Roman" w:eastAsia="宋体" w:hAnsi="Times New Roman" w:cs="Times New Roman" w:hint="default"/>
                      <w:i w:val="0"/>
                      <w:iCs w:val="0"/>
                      <w:color w:val="auto"/>
                      <w:kern w:val="0"/>
                      <w:sz w:val="21"/>
                      <w:szCs w:val="21"/>
                      <w:u w:val="none"/>
                      <w:lang w:val="en-US" w:eastAsia="zh-CN" w:bidi="ar"/>
                    </w:rPr>
                    <w:t>30</w:t>
                  </w:r>
                </w:p>
              </w:tc>
            </w:tr>
            <w:tr w14:paraId="332651BD">
              <w:tblPrEx>
                <w:tblW w:w="4950" w:type="pct"/>
                <w:tblInd w:w="0" w:type="dxa"/>
                <w:shd w:val="clear" w:color="auto" w:fill="auto"/>
                <w:tblCellMar>
                  <w:top w:w="0" w:type="dxa"/>
                  <w:left w:w="108" w:type="dxa"/>
                  <w:bottom w:w="0" w:type="dxa"/>
                  <w:right w:w="108" w:type="dxa"/>
                </w:tblCellMar>
              </w:tblPrEx>
              <w:trPr>
                <w:trHeight w:val="990"/>
              </w:trPr>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B215AE">
                  <w:pPr>
                    <w:keepNext w:val="0"/>
                    <w:keepLines w:val="0"/>
                    <w:widowControl/>
                    <w:suppressLineNumbers w:val="0"/>
                    <w:jc w:val="center"/>
                    <w:textAlignment w:val="center"/>
                    <w:rPr>
                      <w:rFonts w:ascii="Times New Roman" w:eastAsia="宋体" w:hAnsi="Times New Roman" w:cs="Times New Roman" w:hint="default"/>
                      <w:i w:val="0"/>
                      <w:iCs w:val="0"/>
                      <w:color w:val="auto"/>
                      <w:kern w:val="0"/>
                      <w:sz w:val="21"/>
                      <w:szCs w:val="21"/>
                      <w:u w:val="none"/>
                      <w:lang w:val="en-US" w:eastAsia="zh-CN" w:bidi="ar"/>
                    </w:rPr>
                  </w:pPr>
                  <w:r>
                    <w:rPr>
                      <w:rFonts w:ascii="Times New Roman" w:eastAsia="宋体" w:hAnsi="Times New Roman" w:cs="Times New Roman" w:hint="default"/>
                      <w:i w:val="0"/>
                      <w:iCs w:val="0"/>
                      <w:color w:val="auto"/>
                      <w:kern w:val="0"/>
                      <w:sz w:val="21"/>
                      <w:szCs w:val="21"/>
                      <w:u w:val="none"/>
                      <w:lang w:val="en-US" w:eastAsia="zh-CN" w:bidi="ar"/>
                    </w:rPr>
                    <w:t>10</w:t>
                  </w:r>
                </w:p>
              </w:tc>
              <w:tc>
                <w:tcPr>
                  <w:tcW w:w="16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F9F12B">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Style w:val="font31"/>
                      <w:rFonts w:ascii="Times New Roman" w:eastAsia="宋体" w:hAnsi="Times New Roman" w:cs="Times New Roman" w:hint="default"/>
                      <w:color w:val="auto"/>
                      <w:sz w:val="21"/>
                      <w:szCs w:val="21"/>
                      <w:lang w:val="en-US" w:eastAsia="zh-CN" w:bidi="ar"/>
                    </w:rPr>
                    <w:t>围场北梁10万千瓦风储一体化发电项目</w:t>
                  </w:r>
                </w:p>
              </w:tc>
              <w:tc>
                <w:tcPr>
                  <w:tcW w:w="19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AD37AF">
                  <w:pPr>
                    <w:keepNext w:val="0"/>
                    <w:keepLines w:val="0"/>
                    <w:widowControl/>
                    <w:suppressLineNumbers w:val="0"/>
                    <w:jc w:val="center"/>
                    <w:textAlignment w:val="center"/>
                    <w:rPr>
                      <w:rStyle w:val="font31"/>
                      <w:rFonts w:ascii="Times New Roman" w:eastAsia="宋体" w:hAnsi="Times New Roman" w:cs="Times New Roman" w:hint="default"/>
                      <w:i w:val="0"/>
                      <w:iCs w:val="0"/>
                      <w:color w:val="auto"/>
                      <w:sz w:val="21"/>
                      <w:szCs w:val="21"/>
                      <w:lang w:val="en-US" w:eastAsia="zh-CN" w:bidi="ar"/>
                    </w:rPr>
                  </w:pPr>
                  <w:r>
                    <w:rPr>
                      <w:rStyle w:val="font31"/>
                      <w:rFonts w:ascii="Times New Roman" w:eastAsia="宋体" w:hAnsi="Times New Roman" w:cs="Times New Roman" w:hint="default"/>
                      <w:i w:val="0"/>
                      <w:iCs w:val="0"/>
                      <w:color w:val="auto"/>
                      <w:sz w:val="21"/>
                      <w:szCs w:val="21"/>
                      <w:lang w:val="en-US" w:eastAsia="zh-CN" w:bidi="ar"/>
                    </w:rPr>
                    <w:t>中能建投围场满族蒙古族自治县风力发电有限公司</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AD46B6">
                  <w:pPr>
                    <w:keepNext w:val="0"/>
                    <w:keepLines w:val="0"/>
                    <w:widowControl/>
                    <w:suppressLineNumbers w:val="0"/>
                    <w:jc w:val="center"/>
                    <w:textAlignment w:val="center"/>
                    <w:rPr>
                      <w:rFonts w:ascii="Times New Roman" w:eastAsia="宋体" w:hAnsi="Times New Roman" w:cs="Times New Roman" w:hint="default"/>
                      <w:i w:val="0"/>
                      <w:iCs w:val="0"/>
                      <w:color w:val="auto"/>
                      <w:kern w:val="0"/>
                      <w:sz w:val="21"/>
                      <w:szCs w:val="21"/>
                      <w:u w:val="none"/>
                      <w:lang w:val="en-US" w:eastAsia="zh-CN" w:bidi="ar"/>
                    </w:rPr>
                  </w:pPr>
                  <w:r>
                    <w:rPr>
                      <w:rFonts w:ascii="Times New Roman" w:eastAsia="宋体" w:hAnsi="Times New Roman" w:cs="Times New Roman" w:hint="default"/>
                      <w:i w:val="0"/>
                      <w:iCs w:val="0"/>
                      <w:color w:val="auto"/>
                      <w:kern w:val="0"/>
                      <w:sz w:val="21"/>
                      <w:szCs w:val="21"/>
                      <w:u w:val="none"/>
                      <w:lang w:val="en-US" w:eastAsia="zh-CN" w:bidi="ar"/>
                    </w:rPr>
                    <w:t>15</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E8D49B">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Fonts w:ascii="Times New Roman" w:eastAsia="宋体" w:hAnsi="Times New Roman" w:cs="Times New Roman" w:hint="default"/>
                      <w:i w:val="0"/>
                      <w:iCs w:val="0"/>
                      <w:color w:val="auto"/>
                      <w:kern w:val="0"/>
                      <w:sz w:val="21"/>
                      <w:szCs w:val="21"/>
                      <w:u w:val="none"/>
                      <w:lang w:val="en-US" w:eastAsia="zh-CN" w:bidi="ar"/>
                    </w:rPr>
                    <w:t>60</w:t>
                  </w:r>
                </w:p>
              </w:tc>
            </w:tr>
            <w:tr w14:paraId="6BCA4D96">
              <w:tblPrEx>
                <w:tblW w:w="4950" w:type="pct"/>
                <w:tblInd w:w="0" w:type="dxa"/>
                <w:shd w:val="clear" w:color="auto" w:fill="auto"/>
                <w:tblCellMar>
                  <w:top w:w="0" w:type="dxa"/>
                  <w:left w:w="108" w:type="dxa"/>
                  <w:bottom w:w="0" w:type="dxa"/>
                  <w:right w:w="108" w:type="dxa"/>
                </w:tblCellMar>
              </w:tblPrEx>
              <w:trPr>
                <w:trHeight w:val="1060"/>
              </w:trPr>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AD6FBC">
                  <w:pPr>
                    <w:keepNext w:val="0"/>
                    <w:keepLines w:val="0"/>
                    <w:widowControl/>
                    <w:suppressLineNumbers w:val="0"/>
                    <w:jc w:val="center"/>
                    <w:textAlignment w:val="center"/>
                    <w:rPr>
                      <w:rFonts w:ascii="Times New Roman" w:eastAsia="宋体" w:hAnsi="Times New Roman" w:cs="Times New Roman" w:hint="default"/>
                      <w:i w:val="0"/>
                      <w:iCs w:val="0"/>
                      <w:color w:val="auto"/>
                      <w:kern w:val="0"/>
                      <w:sz w:val="21"/>
                      <w:szCs w:val="21"/>
                      <w:u w:val="none"/>
                      <w:lang w:val="en-US" w:eastAsia="zh-CN" w:bidi="ar"/>
                    </w:rPr>
                  </w:pPr>
                  <w:r>
                    <w:rPr>
                      <w:rFonts w:ascii="Times New Roman" w:eastAsia="宋体" w:hAnsi="Times New Roman" w:cs="Times New Roman" w:hint="default"/>
                      <w:i w:val="0"/>
                      <w:iCs w:val="0"/>
                      <w:color w:val="auto"/>
                      <w:kern w:val="0"/>
                      <w:sz w:val="21"/>
                      <w:szCs w:val="21"/>
                      <w:u w:val="none"/>
                      <w:lang w:val="en-US" w:eastAsia="zh-CN" w:bidi="ar"/>
                    </w:rPr>
                    <w:t>11</w:t>
                  </w:r>
                </w:p>
              </w:tc>
              <w:tc>
                <w:tcPr>
                  <w:tcW w:w="16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A67F5D">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Style w:val="font31"/>
                      <w:rFonts w:ascii="Times New Roman" w:eastAsia="宋体" w:hAnsi="Times New Roman" w:cs="Times New Roman" w:hint="default"/>
                      <w:color w:val="auto"/>
                      <w:sz w:val="21"/>
                      <w:szCs w:val="21"/>
                      <w:lang w:val="en-US" w:eastAsia="zh-CN" w:bidi="ar"/>
                    </w:rPr>
                    <w:t>围场县清洁能源基地项目(一期三峡电能100MW风电项目)</w:t>
                  </w:r>
                </w:p>
              </w:tc>
              <w:tc>
                <w:tcPr>
                  <w:tcW w:w="19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F55BB4">
                  <w:pPr>
                    <w:keepNext w:val="0"/>
                    <w:keepLines w:val="0"/>
                    <w:widowControl/>
                    <w:suppressLineNumbers w:val="0"/>
                    <w:jc w:val="center"/>
                    <w:textAlignment w:val="center"/>
                    <w:rPr>
                      <w:rStyle w:val="font31"/>
                      <w:rFonts w:ascii="Times New Roman" w:eastAsia="宋体" w:hAnsi="Times New Roman" w:cs="Times New Roman" w:hint="default"/>
                      <w:i w:val="0"/>
                      <w:iCs w:val="0"/>
                      <w:color w:val="auto"/>
                      <w:sz w:val="21"/>
                      <w:szCs w:val="21"/>
                      <w:lang w:val="en-US" w:eastAsia="zh-CN" w:bidi="ar"/>
                    </w:rPr>
                  </w:pPr>
                  <w:r>
                    <w:rPr>
                      <w:rStyle w:val="font31"/>
                      <w:rFonts w:ascii="Times New Roman" w:eastAsia="宋体" w:hAnsi="Times New Roman" w:cs="Times New Roman" w:hint="default"/>
                      <w:i w:val="0"/>
                      <w:iCs w:val="0"/>
                      <w:color w:val="auto"/>
                      <w:sz w:val="21"/>
                      <w:szCs w:val="21"/>
                      <w:lang w:val="en-US" w:eastAsia="zh-CN" w:bidi="ar"/>
                    </w:rPr>
                    <w:t>承德长电新能源科技有限公司</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501CA">
                  <w:pPr>
                    <w:keepNext w:val="0"/>
                    <w:keepLines w:val="0"/>
                    <w:widowControl/>
                    <w:suppressLineNumbers w:val="0"/>
                    <w:jc w:val="center"/>
                    <w:textAlignment w:val="center"/>
                    <w:rPr>
                      <w:rFonts w:ascii="Times New Roman" w:eastAsia="宋体" w:hAnsi="Times New Roman" w:cs="Times New Roman" w:hint="default"/>
                      <w:i w:val="0"/>
                      <w:iCs w:val="0"/>
                      <w:color w:val="auto"/>
                      <w:kern w:val="0"/>
                      <w:sz w:val="21"/>
                      <w:szCs w:val="21"/>
                      <w:u w:val="none"/>
                      <w:lang w:val="en-US" w:eastAsia="zh-CN" w:bidi="ar"/>
                    </w:rPr>
                  </w:pPr>
                  <w:r>
                    <w:rPr>
                      <w:rFonts w:ascii="Times New Roman" w:eastAsia="宋体" w:hAnsi="Times New Roman" w:cs="Times New Roman" w:hint="default"/>
                      <w:i w:val="0"/>
                      <w:iCs w:val="0"/>
                      <w:color w:val="auto"/>
                      <w:kern w:val="0"/>
                      <w:sz w:val="21"/>
                      <w:szCs w:val="21"/>
                      <w:u w:val="none"/>
                      <w:lang w:val="en-US" w:eastAsia="zh-CN" w:bidi="ar"/>
                    </w:rPr>
                    <w:t>15</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9CC618">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Fonts w:ascii="Times New Roman" w:eastAsia="宋体" w:hAnsi="Times New Roman" w:cs="Times New Roman" w:hint="default"/>
                      <w:i w:val="0"/>
                      <w:iCs w:val="0"/>
                      <w:color w:val="auto"/>
                      <w:kern w:val="0"/>
                      <w:sz w:val="21"/>
                      <w:szCs w:val="21"/>
                      <w:u w:val="none"/>
                      <w:lang w:val="en-US" w:eastAsia="zh-CN" w:bidi="ar"/>
                    </w:rPr>
                    <w:t>60</w:t>
                  </w:r>
                </w:p>
              </w:tc>
            </w:tr>
            <w:tr w14:paraId="224706C5">
              <w:tblPrEx>
                <w:tblW w:w="4950" w:type="pct"/>
                <w:tblInd w:w="0" w:type="dxa"/>
                <w:shd w:val="clear" w:color="auto" w:fill="auto"/>
                <w:tblCellMar>
                  <w:top w:w="0" w:type="dxa"/>
                  <w:left w:w="108" w:type="dxa"/>
                  <w:bottom w:w="0" w:type="dxa"/>
                  <w:right w:w="108" w:type="dxa"/>
                </w:tblCellMar>
              </w:tblPrEx>
              <w:trPr>
                <w:trHeight w:val="1010"/>
              </w:trPr>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0F2C59">
                  <w:pPr>
                    <w:keepNext w:val="0"/>
                    <w:keepLines w:val="0"/>
                    <w:widowControl/>
                    <w:suppressLineNumbers w:val="0"/>
                    <w:jc w:val="center"/>
                    <w:textAlignment w:val="center"/>
                    <w:rPr>
                      <w:rFonts w:ascii="Times New Roman" w:eastAsia="宋体" w:hAnsi="Times New Roman" w:cs="Times New Roman" w:hint="default"/>
                      <w:i w:val="0"/>
                      <w:iCs w:val="0"/>
                      <w:color w:val="auto"/>
                      <w:kern w:val="0"/>
                      <w:sz w:val="21"/>
                      <w:szCs w:val="21"/>
                      <w:u w:val="none"/>
                      <w:lang w:val="en-US" w:eastAsia="zh-CN" w:bidi="ar"/>
                    </w:rPr>
                  </w:pPr>
                  <w:r>
                    <w:rPr>
                      <w:rFonts w:ascii="Times New Roman" w:eastAsia="宋体" w:hAnsi="Times New Roman" w:cs="Times New Roman" w:hint="default"/>
                      <w:i w:val="0"/>
                      <w:iCs w:val="0"/>
                      <w:color w:val="auto"/>
                      <w:kern w:val="0"/>
                      <w:sz w:val="21"/>
                      <w:szCs w:val="21"/>
                      <w:u w:val="none"/>
                      <w:lang w:val="en-US" w:eastAsia="zh-CN" w:bidi="ar"/>
                    </w:rPr>
                    <w:t>12</w:t>
                  </w:r>
                </w:p>
              </w:tc>
              <w:tc>
                <w:tcPr>
                  <w:tcW w:w="16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BCE55">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Style w:val="font31"/>
                      <w:rFonts w:ascii="Times New Roman" w:eastAsia="宋体" w:hAnsi="Times New Roman" w:cs="Times New Roman" w:hint="default"/>
                      <w:color w:val="auto"/>
                      <w:sz w:val="21"/>
                      <w:szCs w:val="21"/>
                      <w:lang w:val="en-US" w:eastAsia="zh-CN" w:bidi="ar"/>
                    </w:rPr>
                    <w:t>河北交投围场德祐200MW光伏储能一体化项目</w:t>
                  </w:r>
                </w:p>
              </w:tc>
              <w:tc>
                <w:tcPr>
                  <w:tcW w:w="19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338E49">
                  <w:pPr>
                    <w:keepNext w:val="0"/>
                    <w:keepLines w:val="0"/>
                    <w:widowControl/>
                    <w:suppressLineNumbers w:val="0"/>
                    <w:jc w:val="center"/>
                    <w:textAlignment w:val="center"/>
                    <w:rPr>
                      <w:rStyle w:val="font31"/>
                      <w:rFonts w:ascii="Times New Roman" w:eastAsia="宋体" w:hAnsi="Times New Roman" w:cs="Times New Roman" w:hint="default"/>
                      <w:i w:val="0"/>
                      <w:iCs w:val="0"/>
                      <w:color w:val="auto"/>
                      <w:sz w:val="21"/>
                      <w:szCs w:val="21"/>
                      <w:lang w:val="en-US" w:eastAsia="zh-CN" w:bidi="ar"/>
                    </w:rPr>
                  </w:pPr>
                  <w:r>
                    <w:rPr>
                      <w:rStyle w:val="font31"/>
                      <w:rFonts w:ascii="Times New Roman" w:eastAsia="宋体" w:hAnsi="Times New Roman" w:cs="Times New Roman" w:hint="default"/>
                      <w:i w:val="0"/>
                      <w:iCs w:val="0"/>
                      <w:color w:val="auto"/>
                      <w:sz w:val="21"/>
                      <w:szCs w:val="21"/>
                      <w:lang w:val="en-US" w:eastAsia="zh-CN" w:bidi="ar"/>
                    </w:rPr>
                    <w:t>围场满族蒙古族自治县德佑新能源科技有限公司</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3CDC57">
                  <w:pPr>
                    <w:keepNext w:val="0"/>
                    <w:keepLines w:val="0"/>
                    <w:widowControl/>
                    <w:suppressLineNumbers w:val="0"/>
                    <w:jc w:val="center"/>
                    <w:textAlignment w:val="center"/>
                    <w:rPr>
                      <w:rFonts w:ascii="Times New Roman" w:eastAsia="宋体" w:hAnsi="Times New Roman" w:cs="Times New Roman" w:hint="default"/>
                      <w:i w:val="0"/>
                      <w:iCs w:val="0"/>
                      <w:color w:val="auto"/>
                      <w:kern w:val="0"/>
                      <w:sz w:val="21"/>
                      <w:szCs w:val="21"/>
                      <w:u w:val="none"/>
                      <w:lang w:val="en-US" w:eastAsia="zh-CN" w:bidi="ar"/>
                    </w:rPr>
                  </w:pPr>
                  <w:r>
                    <w:rPr>
                      <w:rFonts w:ascii="Times New Roman" w:eastAsia="宋体" w:hAnsi="Times New Roman" w:cs="Times New Roman" w:hint="default"/>
                      <w:i w:val="0"/>
                      <w:iCs w:val="0"/>
                      <w:color w:val="auto"/>
                      <w:kern w:val="0"/>
                      <w:sz w:val="21"/>
                      <w:szCs w:val="21"/>
                      <w:u w:val="none"/>
                      <w:lang w:val="en-US" w:eastAsia="zh-CN" w:bidi="ar"/>
                    </w:rPr>
                    <w:t>30</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BF71C5">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Fonts w:ascii="Times New Roman" w:eastAsia="宋体" w:hAnsi="Times New Roman" w:cs="Times New Roman" w:hint="default"/>
                      <w:i w:val="0"/>
                      <w:iCs w:val="0"/>
                      <w:color w:val="auto"/>
                      <w:kern w:val="0"/>
                      <w:sz w:val="21"/>
                      <w:szCs w:val="21"/>
                      <w:u w:val="none"/>
                      <w:lang w:val="en-US" w:eastAsia="zh-CN" w:bidi="ar"/>
                    </w:rPr>
                    <w:t>60</w:t>
                  </w:r>
                </w:p>
              </w:tc>
            </w:tr>
            <w:tr w14:paraId="29CF68D1">
              <w:tblPrEx>
                <w:tblW w:w="4950" w:type="pct"/>
                <w:tblInd w:w="0" w:type="dxa"/>
                <w:shd w:val="clear" w:color="auto" w:fill="auto"/>
                <w:tblCellMar>
                  <w:top w:w="0" w:type="dxa"/>
                  <w:left w:w="108" w:type="dxa"/>
                  <w:bottom w:w="0" w:type="dxa"/>
                  <w:right w:w="108" w:type="dxa"/>
                </w:tblCellMar>
              </w:tblPrEx>
              <w:trPr>
                <w:trHeight w:val="990"/>
              </w:trPr>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1D3382">
                  <w:pPr>
                    <w:keepNext w:val="0"/>
                    <w:keepLines w:val="0"/>
                    <w:widowControl/>
                    <w:suppressLineNumbers w:val="0"/>
                    <w:jc w:val="center"/>
                    <w:textAlignment w:val="center"/>
                    <w:rPr>
                      <w:rFonts w:ascii="Times New Roman" w:eastAsia="宋体" w:hAnsi="Times New Roman" w:cs="Times New Roman" w:hint="default"/>
                      <w:i w:val="0"/>
                      <w:iCs w:val="0"/>
                      <w:color w:val="auto"/>
                      <w:kern w:val="0"/>
                      <w:sz w:val="21"/>
                      <w:szCs w:val="21"/>
                      <w:u w:val="none"/>
                      <w:lang w:val="en-US" w:eastAsia="zh-CN" w:bidi="ar"/>
                    </w:rPr>
                  </w:pPr>
                  <w:r>
                    <w:rPr>
                      <w:rFonts w:ascii="Times New Roman" w:eastAsia="宋体" w:hAnsi="Times New Roman" w:cs="Times New Roman" w:hint="default"/>
                      <w:i w:val="0"/>
                      <w:iCs w:val="0"/>
                      <w:color w:val="auto"/>
                      <w:kern w:val="0"/>
                      <w:sz w:val="21"/>
                      <w:szCs w:val="21"/>
                      <w:u w:val="none"/>
                      <w:lang w:val="en-US" w:eastAsia="zh-CN" w:bidi="ar"/>
                    </w:rPr>
                    <w:t>13</w:t>
                  </w:r>
                </w:p>
              </w:tc>
              <w:tc>
                <w:tcPr>
                  <w:tcW w:w="16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245A9B">
                  <w:pPr>
                    <w:keepNext w:val="0"/>
                    <w:keepLines w:val="0"/>
                    <w:widowControl/>
                    <w:suppressLineNumbers w:val="0"/>
                    <w:jc w:val="center"/>
                    <w:textAlignment w:val="center"/>
                    <w:rPr>
                      <w:rStyle w:val="font31"/>
                      <w:rFonts w:ascii="Times New Roman" w:eastAsia="宋体" w:hAnsi="Times New Roman" w:cs="Times New Roman" w:hint="default"/>
                      <w:i w:val="0"/>
                      <w:iCs w:val="0"/>
                      <w:color w:val="auto"/>
                      <w:sz w:val="21"/>
                      <w:szCs w:val="21"/>
                      <w:lang w:val="en-US" w:eastAsia="zh-CN" w:bidi="ar"/>
                    </w:rPr>
                  </w:pPr>
                  <w:r>
                    <w:rPr>
                      <w:rStyle w:val="font31"/>
                      <w:rFonts w:ascii="Times New Roman" w:eastAsia="宋体" w:hAnsi="Times New Roman" w:cs="Times New Roman" w:hint="default"/>
                      <w:i w:val="0"/>
                      <w:iCs w:val="0"/>
                      <w:color w:val="auto"/>
                      <w:sz w:val="21"/>
                      <w:szCs w:val="21"/>
                      <w:lang w:val="en-US" w:eastAsia="zh-CN" w:bidi="ar"/>
                    </w:rPr>
                    <w:t>承德航天天启风光储氢一体化多能互补示范项目（光伏部分）</w:t>
                  </w:r>
                </w:p>
              </w:tc>
              <w:tc>
                <w:tcPr>
                  <w:tcW w:w="19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604720">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Style w:val="font31"/>
                      <w:rFonts w:ascii="Times New Roman" w:eastAsia="宋体" w:hAnsi="Times New Roman" w:cs="Times New Roman" w:hint="default"/>
                      <w:color w:val="auto"/>
                      <w:sz w:val="21"/>
                      <w:szCs w:val="21"/>
                      <w:lang w:val="en-US" w:eastAsia="zh-CN" w:bidi="ar"/>
                    </w:rPr>
                    <w:t>启源围场满族蒙古族自治县新能源科技有限公司</w:t>
                  </w:r>
                </w:p>
              </w:tc>
              <w:tc>
                <w:tcPr>
                  <w:tcW w:w="53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20F988">
                  <w:pPr>
                    <w:keepNext w:val="0"/>
                    <w:keepLines w:val="0"/>
                    <w:widowControl/>
                    <w:suppressLineNumbers w:val="0"/>
                    <w:jc w:val="center"/>
                    <w:textAlignment w:val="center"/>
                    <w:rPr>
                      <w:rFonts w:ascii="Times New Roman" w:eastAsia="宋体" w:hAnsi="Times New Roman" w:cs="Times New Roman" w:hint="default"/>
                      <w:i w:val="0"/>
                      <w:iCs w:val="0"/>
                      <w:color w:val="auto"/>
                      <w:kern w:val="0"/>
                      <w:sz w:val="21"/>
                      <w:szCs w:val="21"/>
                      <w:u w:val="none"/>
                      <w:lang w:val="en-US" w:eastAsia="zh-CN" w:bidi="ar"/>
                    </w:rPr>
                  </w:pPr>
                  <w:r>
                    <w:rPr>
                      <w:rFonts w:ascii="Times New Roman" w:eastAsia="宋体" w:hAnsi="Times New Roman" w:cs="Times New Roman" w:hint="default"/>
                      <w:i w:val="0"/>
                      <w:iCs w:val="0"/>
                      <w:color w:val="auto"/>
                      <w:kern w:val="0"/>
                      <w:sz w:val="21"/>
                      <w:szCs w:val="21"/>
                      <w:u w:val="none"/>
                      <w:lang w:val="en-US" w:eastAsia="zh-CN" w:bidi="ar"/>
                    </w:rPr>
                    <w:t>100</w:t>
                  </w:r>
                </w:p>
              </w:tc>
              <w:tc>
                <w:tcPr>
                  <w:tcW w:w="40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D503F9">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Fonts w:ascii="Times New Roman" w:eastAsia="宋体" w:hAnsi="Times New Roman" w:cs="Times New Roman" w:hint="default"/>
                      <w:i w:val="0"/>
                      <w:iCs w:val="0"/>
                      <w:color w:val="auto"/>
                      <w:kern w:val="0"/>
                      <w:sz w:val="21"/>
                      <w:szCs w:val="21"/>
                      <w:u w:val="none"/>
                      <w:lang w:val="en-US" w:eastAsia="zh-CN" w:bidi="ar"/>
                    </w:rPr>
                    <w:t>200</w:t>
                  </w:r>
                </w:p>
              </w:tc>
            </w:tr>
            <w:tr w14:paraId="248E53B7">
              <w:tblPrEx>
                <w:tblW w:w="4950" w:type="pct"/>
                <w:tblInd w:w="0" w:type="dxa"/>
                <w:shd w:val="clear" w:color="auto" w:fill="auto"/>
                <w:tblCellMar>
                  <w:top w:w="0" w:type="dxa"/>
                  <w:left w:w="108" w:type="dxa"/>
                  <w:bottom w:w="0" w:type="dxa"/>
                  <w:right w:w="108" w:type="dxa"/>
                </w:tblCellMar>
              </w:tblPrEx>
              <w:trPr>
                <w:trHeight w:val="1020"/>
              </w:trPr>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FE7839">
                  <w:pPr>
                    <w:keepNext w:val="0"/>
                    <w:keepLines w:val="0"/>
                    <w:widowControl/>
                    <w:suppressLineNumbers w:val="0"/>
                    <w:jc w:val="center"/>
                    <w:textAlignment w:val="center"/>
                    <w:rPr>
                      <w:rFonts w:ascii="Times New Roman" w:eastAsia="宋体" w:hAnsi="Times New Roman" w:cs="Times New Roman" w:hint="default"/>
                      <w:i w:val="0"/>
                      <w:iCs w:val="0"/>
                      <w:color w:val="auto"/>
                      <w:kern w:val="0"/>
                      <w:sz w:val="21"/>
                      <w:szCs w:val="21"/>
                      <w:u w:val="none"/>
                      <w:lang w:val="en-US" w:eastAsia="zh-CN" w:bidi="ar"/>
                    </w:rPr>
                  </w:pPr>
                  <w:r>
                    <w:rPr>
                      <w:rFonts w:ascii="Times New Roman" w:eastAsia="宋体" w:hAnsi="Times New Roman" w:cs="Times New Roman" w:hint="default"/>
                      <w:i w:val="0"/>
                      <w:iCs w:val="0"/>
                      <w:color w:val="auto"/>
                      <w:kern w:val="0"/>
                      <w:sz w:val="21"/>
                      <w:szCs w:val="21"/>
                      <w:u w:val="none"/>
                      <w:lang w:val="en-US" w:eastAsia="zh-CN" w:bidi="ar"/>
                    </w:rPr>
                    <w:t>14</w:t>
                  </w:r>
                </w:p>
              </w:tc>
              <w:tc>
                <w:tcPr>
                  <w:tcW w:w="16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2ADAB1">
                  <w:pPr>
                    <w:keepNext w:val="0"/>
                    <w:keepLines w:val="0"/>
                    <w:widowControl/>
                    <w:suppressLineNumbers w:val="0"/>
                    <w:jc w:val="center"/>
                    <w:textAlignment w:val="center"/>
                    <w:rPr>
                      <w:rStyle w:val="font31"/>
                      <w:rFonts w:ascii="Times New Roman" w:eastAsia="宋体" w:hAnsi="Times New Roman" w:cs="Times New Roman" w:hint="default"/>
                      <w:i w:val="0"/>
                      <w:iCs w:val="0"/>
                      <w:color w:val="auto"/>
                      <w:sz w:val="21"/>
                      <w:szCs w:val="21"/>
                      <w:lang w:val="en-US" w:eastAsia="zh-CN" w:bidi="ar"/>
                    </w:rPr>
                  </w:pPr>
                  <w:r>
                    <w:rPr>
                      <w:rStyle w:val="font31"/>
                      <w:rFonts w:ascii="Times New Roman" w:eastAsia="宋体" w:hAnsi="Times New Roman" w:cs="Times New Roman" w:hint="default"/>
                      <w:i w:val="0"/>
                      <w:iCs w:val="0"/>
                      <w:color w:val="auto"/>
                      <w:sz w:val="21"/>
                      <w:szCs w:val="21"/>
                      <w:lang w:val="en-US" w:eastAsia="zh-CN" w:bidi="ar"/>
                    </w:rPr>
                    <w:t>承德航天天启风光储氢一体化多能互补示范项目（风</w:t>
                  </w:r>
                  <w:r>
                    <w:rPr>
                      <w:rStyle w:val="font31"/>
                      <w:rFonts w:ascii="Times New Roman" w:eastAsia="宋体" w:hAnsi="Times New Roman" w:cs="Times New Roman" w:hint="eastAsia"/>
                      <w:i w:val="0"/>
                      <w:iCs w:val="0"/>
                      <w:color w:val="auto"/>
                      <w:sz w:val="21"/>
                      <w:szCs w:val="21"/>
                      <w:lang w:val="en-US" w:eastAsia="zh-CN" w:bidi="ar"/>
                    </w:rPr>
                    <w:t>电</w:t>
                  </w:r>
                  <w:r>
                    <w:rPr>
                      <w:rStyle w:val="font31"/>
                      <w:rFonts w:ascii="Times New Roman" w:eastAsia="宋体" w:hAnsi="Times New Roman" w:cs="Times New Roman" w:hint="default"/>
                      <w:i w:val="0"/>
                      <w:iCs w:val="0"/>
                      <w:color w:val="auto"/>
                      <w:sz w:val="21"/>
                      <w:szCs w:val="21"/>
                      <w:lang w:val="en-US" w:eastAsia="zh-CN" w:bidi="ar"/>
                    </w:rPr>
                    <w:t>部分）</w:t>
                  </w:r>
                </w:p>
              </w:tc>
              <w:tc>
                <w:tcPr>
                  <w:tcW w:w="19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BF91B">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Style w:val="font31"/>
                      <w:rFonts w:ascii="Times New Roman" w:eastAsia="宋体" w:hAnsi="Times New Roman" w:cs="Times New Roman" w:hint="default"/>
                      <w:color w:val="auto"/>
                      <w:sz w:val="21"/>
                      <w:szCs w:val="21"/>
                      <w:lang w:val="en-US" w:eastAsia="zh-CN" w:bidi="ar"/>
                    </w:rPr>
                    <w:t>启源围场满族蒙古族自治县新能源科技有限公司</w:t>
                  </w:r>
                </w:p>
              </w:tc>
              <w:tc>
                <w:tcPr>
                  <w:tcW w:w="53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C09209">
                  <w:pPr>
                    <w:keepNext w:val="0"/>
                    <w:keepLines w:val="0"/>
                    <w:widowControl/>
                    <w:suppressLineNumbers w:val="0"/>
                    <w:jc w:val="center"/>
                    <w:textAlignment w:val="center"/>
                    <w:rPr>
                      <w:rFonts w:ascii="Times New Roman" w:eastAsia="宋体" w:hAnsi="Times New Roman" w:cs="Times New Roman" w:hint="default"/>
                      <w:i w:val="0"/>
                      <w:iCs w:val="0"/>
                      <w:color w:val="auto"/>
                      <w:kern w:val="0"/>
                      <w:sz w:val="21"/>
                      <w:szCs w:val="21"/>
                      <w:u w:val="none"/>
                      <w:lang w:val="en-US" w:eastAsia="zh-CN" w:bidi="ar"/>
                    </w:rPr>
                  </w:pPr>
                </w:p>
              </w:tc>
              <w:tc>
                <w:tcPr>
                  <w:tcW w:w="4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BB2FD3">
                  <w:pPr>
                    <w:jc w:val="center"/>
                    <w:rPr>
                      <w:rFonts w:ascii="Times New Roman" w:eastAsia="宋体" w:hAnsi="Times New Roman" w:cs="Times New Roman" w:hint="default"/>
                      <w:i w:val="0"/>
                      <w:iCs w:val="0"/>
                      <w:color w:val="auto"/>
                      <w:sz w:val="21"/>
                      <w:szCs w:val="21"/>
                      <w:u w:val="none"/>
                    </w:rPr>
                  </w:pPr>
                </w:p>
              </w:tc>
            </w:tr>
            <w:tr w14:paraId="2F9B0FCB">
              <w:tblPrEx>
                <w:tblW w:w="4950" w:type="pct"/>
                <w:tblInd w:w="0" w:type="dxa"/>
                <w:shd w:val="clear" w:color="auto" w:fill="auto"/>
                <w:tblCellMar>
                  <w:top w:w="0" w:type="dxa"/>
                  <w:left w:w="108" w:type="dxa"/>
                  <w:bottom w:w="0" w:type="dxa"/>
                  <w:right w:w="108" w:type="dxa"/>
                </w:tblCellMar>
              </w:tblPrEx>
              <w:trPr>
                <w:trHeight w:val="795"/>
              </w:trPr>
              <w:tc>
                <w:tcPr>
                  <w:tcW w:w="40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CD86B98">
                  <w:pPr>
                    <w:keepNext w:val="0"/>
                    <w:keepLines w:val="0"/>
                    <w:widowControl/>
                    <w:suppressLineNumbers w:val="0"/>
                    <w:jc w:val="center"/>
                    <w:textAlignment w:val="center"/>
                    <w:rPr>
                      <w:rFonts w:ascii="Times New Roman" w:eastAsia="宋体" w:hAnsi="Times New Roman" w:cs="Times New Roman" w:hint="default"/>
                      <w:i w:val="0"/>
                      <w:iCs w:val="0"/>
                      <w:color w:val="auto"/>
                      <w:kern w:val="0"/>
                      <w:sz w:val="21"/>
                      <w:szCs w:val="21"/>
                      <w:u w:val="none"/>
                      <w:lang w:val="en-US" w:eastAsia="zh-CN" w:bidi="ar"/>
                    </w:rPr>
                  </w:pPr>
                  <w:r>
                    <w:rPr>
                      <w:rFonts w:ascii="Times New Roman" w:eastAsia="宋体" w:hAnsi="Times New Roman" w:cs="Times New Roman" w:hint="eastAsia"/>
                      <w:i w:val="0"/>
                      <w:iCs w:val="0"/>
                      <w:color w:val="auto"/>
                      <w:kern w:val="0"/>
                      <w:sz w:val="21"/>
                      <w:szCs w:val="21"/>
                      <w:u w:val="none"/>
                      <w:lang w:val="en-US" w:eastAsia="zh-CN" w:bidi="ar"/>
                    </w:rPr>
                    <w:t>合计</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4935C1">
                  <w:pPr>
                    <w:keepNext w:val="0"/>
                    <w:keepLines w:val="0"/>
                    <w:widowControl/>
                    <w:suppressLineNumbers w:val="0"/>
                    <w:jc w:val="center"/>
                    <w:textAlignment w:val="center"/>
                    <w:rPr>
                      <w:rFonts w:ascii="Times New Roman" w:eastAsia="宋体" w:hAnsi="Times New Roman" w:cs="Times New Roman" w:hint="default"/>
                      <w:i w:val="0"/>
                      <w:iCs w:val="0"/>
                      <w:color w:val="auto"/>
                      <w:kern w:val="0"/>
                      <w:sz w:val="21"/>
                      <w:szCs w:val="21"/>
                      <w:u w:val="none"/>
                      <w:lang w:val="en-US" w:eastAsia="zh-CN" w:bidi="ar"/>
                    </w:rPr>
                  </w:pPr>
                  <w:r>
                    <w:rPr>
                      <w:rFonts w:ascii="Times New Roman" w:eastAsia="宋体" w:hAnsi="Times New Roman" w:cs="Times New Roman" w:hint="default"/>
                      <w:i w:val="0"/>
                      <w:iCs w:val="0"/>
                      <w:color w:val="auto"/>
                      <w:kern w:val="0"/>
                      <w:sz w:val="21"/>
                      <w:szCs w:val="21"/>
                      <w:u w:val="none"/>
                      <w:lang w:val="en-US" w:eastAsia="zh-CN" w:bidi="ar"/>
                    </w:rPr>
                    <w:t>3</w:t>
                  </w:r>
                  <w:r>
                    <w:rPr>
                      <w:rFonts w:cs="Times New Roman" w:hint="eastAsia"/>
                      <w:i w:val="0"/>
                      <w:iCs w:val="0"/>
                      <w:color w:val="auto"/>
                      <w:kern w:val="0"/>
                      <w:sz w:val="21"/>
                      <w:szCs w:val="21"/>
                      <w:u w:val="none"/>
                      <w:lang w:val="en-US" w:eastAsia="zh-CN" w:bidi="ar"/>
                    </w:rPr>
                    <w:t>55</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D74571">
                  <w:pPr>
                    <w:keepNext w:val="0"/>
                    <w:keepLines w:val="0"/>
                    <w:widowControl/>
                    <w:suppressLineNumbers w:val="0"/>
                    <w:jc w:val="center"/>
                    <w:textAlignment w:val="center"/>
                    <w:rPr>
                      <w:rFonts w:ascii="Times New Roman" w:eastAsia="宋体" w:hAnsi="Times New Roman" w:cs="Times New Roman" w:hint="default"/>
                      <w:i w:val="0"/>
                      <w:iCs w:val="0"/>
                      <w:color w:val="auto"/>
                      <w:sz w:val="21"/>
                      <w:szCs w:val="21"/>
                      <w:u w:val="none"/>
                    </w:rPr>
                  </w:pPr>
                  <w:r>
                    <w:rPr>
                      <w:rFonts w:ascii="Times New Roman" w:eastAsia="宋体" w:hAnsi="Times New Roman" w:cs="Times New Roman" w:hint="default"/>
                      <w:i w:val="0"/>
                      <w:iCs w:val="0"/>
                      <w:color w:val="auto"/>
                      <w:kern w:val="0"/>
                      <w:sz w:val="21"/>
                      <w:szCs w:val="21"/>
                      <w:u w:val="none"/>
                      <w:lang w:val="en-US" w:eastAsia="zh-CN" w:bidi="ar"/>
                    </w:rPr>
                    <w:t>9</w:t>
                  </w:r>
                  <w:r>
                    <w:rPr>
                      <w:rFonts w:cs="Times New Roman" w:hint="eastAsia"/>
                      <w:i w:val="0"/>
                      <w:iCs w:val="0"/>
                      <w:color w:val="auto"/>
                      <w:kern w:val="0"/>
                      <w:sz w:val="21"/>
                      <w:szCs w:val="21"/>
                      <w:u w:val="none"/>
                      <w:lang w:val="en-US" w:eastAsia="zh-CN" w:bidi="ar"/>
                    </w:rPr>
                    <w:t>2</w:t>
                  </w:r>
                  <w:r>
                    <w:rPr>
                      <w:rFonts w:ascii="Times New Roman" w:eastAsia="宋体" w:hAnsi="Times New Roman" w:cs="Times New Roman" w:hint="default"/>
                      <w:i w:val="0"/>
                      <w:iCs w:val="0"/>
                      <w:color w:val="auto"/>
                      <w:kern w:val="0"/>
                      <w:sz w:val="21"/>
                      <w:szCs w:val="21"/>
                      <w:u w:val="none"/>
                      <w:lang w:val="en-US" w:eastAsia="zh-CN" w:bidi="ar"/>
                    </w:rPr>
                    <w:t>0</w:t>
                  </w:r>
                </w:p>
              </w:tc>
            </w:tr>
          </w:tbl>
          <w:p w14:paraId="1CEC249B">
            <w:pPr>
              <w:keepNext w:val="0"/>
              <w:keepLines w:val="0"/>
              <w:pageBreakBefore w:val="0"/>
              <w:widowControl w:val="0"/>
              <w:kinsoku/>
              <w:wordWrap/>
              <w:overflowPunct/>
              <w:topLinePunct w:val="0"/>
              <w:bidi w:val="0"/>
              <w:snapToGrid w:val="0"/>
              <w:spacing w:line="360" w:lineRule="auto"/>
              <w:ind w:firstLine="480" w:firstLineChars="200"/>
              <w:textAlignment w:val="auto"/>
              <w:rPr>
                <w:rFonts w:ascii="Times New Roman" w:eastAsia="宋体" w:hAnsi="Times New Roman" w:cs="Times New Roman" w:hint="default"/>
                <w:b/>
                <w:bCs/>
                <w:color w:val="auto"/>
                <w:sz w:val="24"/>
                <w:szCs w:val="32"/>
                <w:vertAlign w:val="baseline"/>
                <w:lang w:val="en-US" w:eastAsia="zh-CN"/>
              </w:rPr>
            </w:pPr>
            <w:r>
              <w:rPr>
                <w:rFonts w:ascii="Times New Roman" w:eastAsia="宋体" w:hAnsi="Times New Roman" w:cs="Times New Roman" w:hint="default"/>
                <w:b/>
                <w:bCs/>
                <w:color w:val="auto"/>
                <w:sz w:val="24"/>
                <w:szCs w:val="32"/>
                <w:vertAlign w:val="baseline"/>
                <w:lang w:val="en-US" w:eastAsia="zh-CN"/>
              </w:rPr>
              <w:t>2、本项目概况</w:t>
            </w:r>
          </w:p>
          <w:p w14:paraId="5813988B">
            <w:pPr>
              <w:keepNext w:val="0"/>
              <w:keepLines w:val="0"/>
              <w:pageBreakBefore w:val="0"/>
              <w:widowControl w:val="0"/>
              <w:kinsoku/>
              <w:wordWrap/>
              <w:overflowPunct/>
              <w:topLinePunct w:val="0"/>
              <w:bidi w:val="0"/>
              <w:snapToGrid w:val="0"/>
              <w:spacing w:line="360" w:lineRule="auto"/>
              <w:ind w:firstLine="480" w:firstLineChars="200"/>
              <w:textAlignment w:val="auto"/>
              <w:rPr>
                <w:rFonts w:ascii="Times New Roman" w:eastAsia="宋体" w:hAnsi="Times New Roman" w:cs="Times New Roman" w:hint="default"/>
                <w:color w:val="auto"/>
                <w:sz w:val="24"/>
                <w:szCs w:val="32"/>
                <w:vertAlign w:val="baseline"/>
                <w:lang w:val="en-US" w:eastAsia="zh-CN"/>
              </w:rPr>
            </w:pPr>
            <w:r>
              <w:rPr>
                <w:rFonts w:ascii="Times New Roman" w:eastAsia="宋体" w:hAnsi="Times New Roman" w:cs="Times New Roman" w:hint="default"/>
                <w:color w:val="auto"/>
                <w:sz w:val="24"/>
                <w:szCs w:val="32"/>
                <w:vertAlign w:val="baseline"/>
                <w:lang w:val="en-US" w:eastAsia="zh-CN"/>
              </w:rPr>
              <w:t>本项目是以独立储能，并承担区域联合共享任务的电网侧储能电站。202</w:t>
            </w:r>
            <w:r>
              <w:rPr>
                <w:rFonts w:cs="Times New Roman" w:hint="eastAsia"/>
                <w:color w:val="auto"/>
                <w:sz w:val="24"/>
                <w:szCs w:val="32"/>
                <w:vertAlign w:val="baseline"/>
                <w:lang w:val="en-US" w:eastAsia="zh-CN"/>
              </w:rPr>
              <w:t>4</w:t>
            </w:r>
            <w:r>
              <w:rPr>
                <w:rFonts w:ascii="Times New Roman" w:eastAsia="宋体" w:hAnsi="Times New Roman" w:cs="Times New Roman" w:hint="default"/>
                <w:color w:val="auto"/>
                <w:sz w:val="24"/>
                <w:szCs w:val="32"/>
                <w:vertAlign w:val="baseline"/>
                <w:lang w:val="en-US" w:eastAsia="zh-CN"/>
              </w:rPr>
              <w:t>年</w:t>
            </w:r>
            <w:r>
              <w:rPr>
                <w:rFonts w:cs="Times New Roman" w:hint="eastAsia"/>
                <w:color w:val="auto"/>
                <w:sz w:val="24"/>
                <w:szCs w:val="32"/>
                <w:vertAlign w:val="baseline"/>
                <w:lang w:val="en-US" w:eastAsia="zh-CN"/>
              </w:rPr>
              <w:t>7</w:t>
            </w:r>
            <w:r>
              <w:rPr>
                <w:rFonts w:ascii="Times New Roman" w:eastAsia="宋体" w:hAnsi="Times New Roman" w:cs="Times New Roman" w:hint="default"/>
                <w:color w:val="auto"/>
                <w:sz w:val="24"/>
                <w:szCs w:val="32"/>
                <w:vertAlign w:val="baseline"/>
                <w:lang w:val="en-US" w:eastAsia="zh-CN"/>
              </w:rPr>
              <w:t>月已取得备案，备案编号：围审批备字〔202</w:t>
            </w:r>
            <w:r>
              <w:rPr>
                <w:rFonts w:cs="Times New Roman" w:hint="eastAsia"/>
                <w:color w:val="auto"/>
                <w:sz w:val="24"/>
                <w:szCs w:val="32"/>
                <w:vertAlign w:val="baseline"/>
                <w:lang w:val="en-US" w:eastAsia="zh-CN"/>
              </w:rPr>
              <w:t>4</w:t>
            </w:r>
            <w:r>
              <w:rPr>
                <w:rFonts w:ascii="Times New Roman" w:eastAsia="宋体" w:hAnsi="Times New Roman" w:cs="Times New Roman" w:hint="default"/>
                <w:color w:val="auto"/>
                <w:sz w:val="24"/>
                <w:szCs w:val="32"/>
                <w:vertAlign w:val="baseline"/>
                <w:lang w:val="en-US" w:eastAsia="zh-CN"/>
              </w:rPr>
              <w:t>〕</w:t>
            </w:r>
            <w:r>
              <w:rPr>
                <w:rFonts w:cs="Times New Roman" w:hint="eastAsia"/>
                <w:color w:val="auto"/>
                <w:sz w:val="24"/>
                <w:szCs w:val="32"/>
                <w:vertAlign w:val="baseline"/>
                <w:lang w:val="en-US" w:eastAsia="zh-CN"/>
              </w:rPr>
              <w:t>24</w:t>
            </w:r>
            <w:r>
              <w:rPr>
                <w:rFonts w:ascii="Times New Roman" w:eastAsia="宋体" w:hAnsi="Times New Roman" w:cs="Times New Roman" w:hint="default"/>
                <w:color w:val="auto"/>
                <w:sz w:val="24"/>
                <w:szCs w:val="32"/>
                <w:vertAlign w:val="baseline"/>
                <w:lang w:val="en-US" w:eastAsia="zh-CN"/>
              </w:rPr>
              <w:t>号。</w:t>
            </w:r>
          </w:p>
          <w:p w14:paraId="217C5C50">
            <w:pPr>
              <w:keepNext w:val="0"/>
              <w:keepLines w:val="0"/>
              <w:pageBreakBefore w:val="0"/>
              <w:widowControl w:val="0"/>
              <w:kinsoku/>
              <w:wordWrap/>
              <w:overflowPunct/>
              <w:topLinePunct w:val="0"/>
              <w:bidi w:val="0"/>
              <w:snapToGrid w:val="0"/>
              <w:spacing w:line="360" w:lineRule="auto"/>
              <w:ind w:firstLine="480" w:firstLineChars="200"/>
              <w:textAlignment w:val="auto"/>
              <w:rPr>
                <w:rFonts w:ascii="Times New Roman" w:eastAsia="宋体" w:hAnsi="Times New Roman" w:cs="Times New Roman" w:hint="default"/>
                <w:color w:val="auto"/>
                <w:sz w:val="24"/>
                <w:szCs w:val="32"/>
                <w:vertAlign w:val="baseline"/>
                <w:lang w:val="en-US" w:eastAsia="zh-CN"/>
              </w:rPr>
            </w:pPr>
            <w:r>
              <w:rPr>
                <w:rFonts w:ascii="Times New Roman" w:eastAsia="宋体" w:hAnsi="Times New Roman" w:cs="Times New Roman" w:hint="default"/>
                <w:color w:val="auto"/>
                <w:sz w:val="24"/>
                <w:szCs w:val="32"/>
                <w:vertAlign w:val="baseline"/>
                <w:lang w:val="en-US" w:eastAsia="zh-CN"/>
              </w:rPr>
              <w:t>主要建设内容及规模：</w:t>
            </w:r>
            <w:r>
              <w:rPr>
                <w:rFonts w:cs="Times New Roman" w:hint="eastAsia"/>
                <w:color w:val="auto"/>
                <w:sz w:val="24"/>
                <w:szCs w:val="32"/>
                <w:vertAlign w:val="baseline"/>
                <w:lang w:val="en-US" w:eastAsia="zh-CN"/>
              </w:rPr>
              <w:t>本次</w:t>
            </w:r>
            <w:r>
              <w:rPr>
                <w:rFonts w:ascii="Times New Roman" w:eastAsia="宋体" w:hAnsi="Times New Roman" w:cs="Times New Roman" w:hint="default"/>
                <w:color w:val="auto"/>
                <w:sz w:val="24"/>
                <w:szCs w:val="32"/>
                <w:vertAlign w:val="baseline"/>
                <w:lang w:val="en-US" w:eastAsia="zh-CN"/>
              </w:rPr>
              <w:t>项目</w:t>
            </w:r>
            <w:r>
              <w:rPr>
                <w:rFonts w:cs="Times New Roman" w:hint="eastAsia"/>
                <w:color w:val="auto"/>
                <w:sz w:val="24"/>
                <w:szCs w:val="32"/>
                <w:vertAlign w:val="baseline"/>
                <w:lang w:val="en-US" w:eastAsia="zh-CN"/>
              </w:rPr>
              <w:t>实际</w:t>
            </w:r>
            <w:r>
              <w:rPr>
                <w:rFonts w:ascii="Times New Roman" w:eastAsia="宋体" w:hAnsi="Times New Roman" w:cs="Times New Roman" w:hint="default"/>
                <w:color w:val="auto"/>
                <w:sz w:val="24"/>
                <w:szCs w:val="32"/>
                <w:vertAlign w:val="baseline"/>
                <w:lang w:val="en-US" w:eastAsia="zh-CN"/>
              </w:rPr>
              <w:t>建设</w:t>
            </w:r>
            <w:r>
              <w:rPr>
                <w:rFonts w:cs="Times New Roman" w:hint="eastAsia"/>
                <w:color w:val="auto"/>
                <w:sz w:val="24"/>
                <w:szCs w:val="32"/>
                <w:vertAlign w:val="baseline"/>
                <w:lang w:val="en-US" w:eastAsia="zh-CN"/>
              </w:rPr>
              <w:t>355MW/920MWh</w:t>
            </w:r>
            <w:r>
              <w:rPr>
                <w:rFonts w:ascii="Times New Roman" w:eastAsia="宋体" w:hAnsi="Times New Roman" w:cs="Times New Roman" w:hint="default"/>
                <w:color w:val="auto"/>
                <w:sz w:val="24"/>
                <w:szCs w:val="32"/>
                <w:vertAlign w:val="baseline"/>
                <w:lang w:val="en-US" w:eastAsia="zh-CN"/>
              </w:rPr>
              <w:t>储能系统，新建1座220kV升压站其他配套设施。</w:t>
            </w:r>
          </w:p>
          <w:p w14:paraId="3CC85403">
            <w:pPr>
              <w:keepNext w:val="0"/>
              <w:keepLines w:val="0"/>
              <w:pageBreakBefore w:val="0"/>
              <w:widowControl w:val="0"/>
              <w:kinsoku/>
              <w:wordWrap/>
              <w:overflowPunct/>
              <w:topLinePunct w:val="0"/>
              <w:bidi w:val="0"/>
              <w:snapToGrid w:val="0"/>
              <w:spacing w:line="360" w:lineRule="auto"/>
              <w:ind w:firstLine="480" w:firstLineChars="200"/>
              <w:textAlignment w:val="auto"/>
              <w:rPr>
                <w:rFonts w:ascii="Times New Roman" w:eastAsia="宋体" w:hAnsi="Times New Roman" w:cs="Times New Roman" w:hint="default"/>
                <w:color w:val="auto"/>
                <w:sz w:val="24"/>
                <w:szCs w:val="32"/>
                <w:vertAlign w:val="baseline"/>
                <w:lang w:val="en-US" w:eastAsia="zh-CN"/>
              </w:rPr>
            </w:pPr>
            <w:r>
              <w:rPr>
                <w:rFonts w:ascii="Times New Roman" w:eastAsia="宋体" w:hAnsi="Times New Roman" w:cs="Times New Roman" w:hint="default"/>
                <w:color w:val="auto"/>
                <w:sz w:val="24"/>
                <w:szCs w:val="32"/>
                <w:vertAlign w:val="baseline"/>
                <w:lang w:val="en-US" w:eastAsia="zh-CN"/>
              </w:rPr>
              <w:t>拟建储能电站位于河北省承德市围场满族蒙古族自治县半截塔镇半截塔村，东侧邻</w:t>
            </w:r>
            <w:r>
              <w:rPr>
                <w:rFonts w:cs="Times New Roman" w:hint="eastAsia"/>
                <w:color w:val="auto"/>
                <w:sz w:val="24"/>
                <w:szCs w:val="32"/>
                <w:vertAlign w:val="baseline"/>
                <w:lang w:val="en-US" w:eastAsia="zh-CN"/>
              </w:rPr>
              <w:t>近</w:t>
            </w:r>
            <w:r>
              <w:rPr>
                <w:rFonts w:ascii="Times New Roman" w:eastAsia="宋体" w:hAnsi="Times New Roman" w:cs="Times New Roman" w:hint="default"/>
                <w:color w:val="auto"/>
                <w:sz w:val="24"/>
                <w:szCs w:val="32"/>
                <w:vertAlign w:val="baseline"/>
                <w:lang w:val="en-US" w:eastAsia="zh-CN"/>
              </w:rPr>
              <w:t>的牌楼500kV变电站。111国道从场址北侧1.0km经过，西侧邻</w:t>
            </w:r>
            <w:r>
              <w:rPr>
                <w:rFonts w:cs="Times New Roman" w:hint="eastAsia"/>
                <w:color w:val="auto"/>
                <w:sz w:val="24"/>
                <w:szCs w:val="32"/>
                <w:vertAlign w:val="baseline"/>
                <w:lang w:val="en-US" w:eastAsia="zh-CN"/>
              </w:rPr>
              <w:t>近</w:t>
            </w:r>
            <w:r>
              <w:rPr>
                <w:rFonts w:ascii="Times New Roman" w:eastAsia="宋体" w:hAnsi="Times New Roman" w:cs="Times New Roman" w:hint="default"/>
                <w:color w:val="auto"/>
                <w:sz w:val="24"/>
                <w:szCs w:val="32"/>
                <w:vertAlign w:val="baseline"/>
                <w:lang w:val="en-US" w:eastAsia="zh-CN"/>
              </w:rPr>
              <w:t>504县道，南侧为</w:t>
            </w:r>
            <w:r>
              <w:rPr>
                <w:rFonts w:cs="Times New Roman" w:hint="eastAsia"/>
                <w:color w:val="auto"/>
                <w:sz w:val="24"/>
                <w:szCs w:val="32"/>
                <w:vertAlign w:val="baseline"/>
                <w:lang w:val="en-US" w:eastAsia="zh-CN"/>
              </w:rPr>
              <w:t>道路</w:t>
            </w:r>
            <w:r>
              <w:rPr>
                <w:rFonts w:ascii="Times New Roman" w:eastAsia="宋体" w:hAnsi="Times New Roman" w:cs="Times New Roman" w:hint="default"/>
                <w:color w:val="auto"/>
                <w:sz w:val="24"/>
                <w:szCs w:val="32"/>
                <w:vertAlign w:val="baseline"/>
                <w:lang w:val="en-US" w:eastAsia="zh-CN"/>
              </w:rPr>
              <w:t>。</w:t>
            </w:r>
          </w:p>
          <w:p w14:paraId="2098BB3A">
            <w:pPr>
              <w:keepNext w:val="0"/>
              <w:keepLines w:val="0"/>
              <w:pageBreakBefore w:val="0"/>
              <w:widowControl w:val="0"/>
              <w:kinsoku/>
              <w:wordWrap/>
              <w:overflowPunct/>
              <w:topLinePunct w:val="0"/>
              <w:bidi w:val="0"/>
              <w:snapToGrid w:val="0"/>
              <w:spacing w:line="360" w:lineRule="auto"/>
              <w:ind w:firstLine="480" w:firstLineChars="200"/>
              <w:textAlignment w:val="auto"/>
              <w:rPr>
                <w:rFonts w:ascii="Times New Roman" w:eastAsia="宋体" w:hAnsi="Times New Roman" w:cs="Times New Roman" w:hint="default"/>
                <w:color w:val="auto"/>
                <w:sz w:val="24"/>
                <w:szCs w:val="32"/>
                <w:vertAlign w:val="baseline"/>
                <w:lang w:val="en-US" w:eastAsia="zh-CN"/>
              </w:rPr>
            </w:pPr>
            <w:r>
              <w:rPr>
                <w:rFonts w:cs="Times New Roman" w:hint="eastAsia"/>
                <w:color w:val="auto"/>
                <w:sz w:val="24"/>
                <w:szCs w:val="32"/>
                <w:vertAlign w:val="baseline"/>
                <w:lang w:val="en-US" w:eastAsia="zh-CN"/>
              </w:rPr>
              <w:t>本项目</w:t>
            </w:r>
            <w:r>
              <w:rPr>
                <w:rFonts w:ascii="Times New Roman" w:eastAsia="宋体" w:hAnsi="Times New Roman" w:cs="Times New Roman" w:hint="default"/>
                <w:color w:val="auto"/>
                <w:sz w:val="24"/>
                <w:szCs w:val="32"/>
                <w:vertAlign w:val="baseline"/>
                <w:lang w:val="en-US" w:eastAsia="zh-CN"/>
              </w:rPr>
              <w:t>建设规模为</w:t>
            </w:r>
            <w:r>
              <w:rPr>
                <w:rFonts w:cs="Times New Roman" w:hint="eastAsia"/>
                <w:color w:val="auto"/>
                <w:sz w:val="24"/>
                <w:szCs w:val="32"/>
                <w:vertAlign w:val="baseline"/>
                <w:lang w:val="en-US" w:eastAsia="zh-CN"/>
              </w:rPr>
              <w:t>355MW/920MWh</w:t>
            </w:r>
            <w:r>
              <w:rPr>
                <w:rFonts w:ascii="Times New Roman" w:eastAsia="宋体" w:hAnsi="Times New Roman" w:cs="Times New Roman" w:hint="default"/>
                <w:color w:val="auto"/>
                <w:sz w:val="24"/>
                <w:szCs w:val="32"/>
                <w:vertAlign w:val="baseline"/>
                <w:lang w:val="en-US" w:eastAsia="zh-CN"/>
              </w:rPr>
              <w:t>共享储能项目，拟以1回220kV线路送出至系统500kV牌楼变的220kV母线侧，主接线采用单母线接线方式，设计安装2台</w:t>
            </w:r>
            <w:r>
              <w:rPr>
                <w:rFonts w:cs="Times New Roman" w:hint="eastAsia"/>
                <w:color w:val="auto"/>
                <w:sz w:val="24"/>
                <w:szCs w:val="32"/>
                <w:vertAlign w:val="baseline"/>
                <w:lang w:val="en-US" w:eastAsia="zh-CN"/>
              </w:rPr>
              <w:t>180MVA</w:t>
            </w:r>
            <w:r>
              <w:rPr>
                <w:rFonts w:ascii="Times New Roman" w:eastAsia="宋体" w:hAnsi="Times New Roman" w:cs="Times New Roman" w:hint="default"/>
                <w:color w:val="auto"/>
                <w:sz w:val="24"/>
                <w:szCs w:val="32"/>
                <w:vertAlign w:val="baseline"/>
                <w:lang w:val="en-US" w:eastAsia="zh-CN"/>
              </w:rPr>
              <w:t>主变及其配套设备，最终接入方案以接入系统批复意见为准，输送线路另行履行环评手续，本次不进行评价。</w:t>
            </w:r>
          </w:p>
          <w:p w14:paraId="21B1CD37">
            <w:pPr>
              <w:keepNext w:val="0"/>
              <w:keepLines w:val="0"/>
              <w:pageBreakBefore w:val="0"/>
              <w:widowControl w:val="0"/>
              <w:kinsoku/>
              <w:wordWrap/>
              <w:overflowPunct/>
              <w:topLinePunct w:val="0"/>
              <w:bidi w:val="0"/>
              <w:snapToGrid w:val="0"/>
              <w:spacing w:line="360" w:lineRule="auto"/>
              <w:ind w:firstLine="480" w:firstLineChars="200"/>
              <w:textAlignment w:val="auto"/>
              <w:rPr>
                <w:rFonts w:ascii="Times New Roman" w:eastAsia="宋体" w:hAnsi="Times New Roman" w:cs="Times New Roman" w:hint="default"/>
                <w:b/>
                <w:bCs/>
                <w:color w:val="auto"/>
                <w:sz w:val="24"/>
                <w:szCs w:val="32"/>
                <w:vertAlign w:val="baseline"/>
                <w:lang w:val="en-US" w:eastAsia="zh-CN"/>
              </w:rPr>
            </w:pPr>
            <w:r>
              <w:rPr>
                <w:rFonts w:cs="Times New Roman" w:hint="eastAsia"/>
                <w:b/>
                <w:bCs/>
                <w:color w:val="auto"/>
                <w:sz w:val="24"/>
                <w:szCs w:val="32"/>
                <w:vertAlign w:val="baseline"/>
                <w:lang w:val="en-US" w:eastAsia="zh-CN"/>
              </w:rPr>
              <w:t>3</w:t>
            </w:r>
            <w:r>
              <w:rPr>
                <w:rFonts w:ascii="Times New Roman" w:eastAsia="宋体" w:hAnsi="Times New Roman" w:cs="Times New Roman" w:hint="default"/>
                <w:b/>
                <w:bCs/>
                <w:color w:val="auto"/>
                <w:sz w:val="24"/>
                <w:szCs w:val="32"/>
                <w:vertAlign w:val="baseline"/>
                <w:lang w:val="en-US" w:eastAsia="zh-CN"/>
              </w:rPr>
              <w:t>、</w:t>
            </w:r>
            <w:r>
              <w:rPr>
                <w:rFonts w:cs="Times New Roman" w:hint="eastAsia"/>
                <w:b/>
                <w:bCs/>
                <w:color w:val="auto"/>
                <w:sz w:val="24"/>
                <w:szCs w:val="32"/>
                <w:vertAlign w:val="baseline"/>
                <w:lang w:val="en-US" w:eastAsia="zh-CN"/>
              </w:rPr>
              <w:t>项目平面布局情况</w:t>
            </w:r>
          </w:p>
          <w:p w14:paraId="33113E63">
            <w:pPr>
              <w:keepNext w:val="0"/>
              <w:keepLines w:val="0"/>
              <w:pageBreakBefore w:val="0"/>
              <w:widowControl w:val="0"/>
              <w:kinsoku/>
              <w:wordWrap/>
              <w:overflowPunct/>
              <w:topLinePunct w:val="0"/>
              <w:bidi w:val="0"/>
              <w:snapToGrid w:val="0"/>
              <w:spacing w:line="360" w:lineRule="auto"/>
              <w:ind w:firstLine="480" w:firstLineChars="200"/>
              <w:textAlignment w:val="auto"/>
              <w:rPr>
                <w:rFonts w:eastAsia="宋体" w:cs="Times New Roman" w:hint="eastAsia"/>
                <w:color w:val="auto"/>
                <w:sz w:val="24"/>
                <w:szCs w:val="32"/>
                <w:vertAlign w:val="baseline"/>
                <w:lang w:val="en-US" w:eastAsia="zh-CN"/>
              </w:rPr>
            </w:pPr>
            <w:r>
              <w:rPr>
                <w:rFonts w:ascii="Times New Roman" w:eastAsia="宋体" w:hAnsi="Times New Roman" w:cs="Times New Roman" w:hint="default"/>
                <w:color w:val="auto"/>
                <w:sz w:val="24"/>
                <w:szCs w:val="32"/>
                <w:vertAlign w:val="baseline"/>
                <w:lang w:val="en-US" w:eastAsia="zh-CN"/>
              </w:rPr>
              <w:t>本工程</w:t>
            </w:r>
            <w:r>
              <w:rPr>
                <w:rFonts w:cs="Times New Roman" w:hint="eastAsia"/>
                <w:color w:val="auto"/>
                <w:sz w:val="24"/>
                <w:szCs w:val="32"/>
                <w:vertAlign w:val="baseline"/>
                <w:lang w:val="en-US" w:eastAsia="zh-CN"/>
              </w:rPr>
              <w:t>主要由</w:t>
            </w:r>
            <w:r>
              <w:rPr>
                <w:rFonts w:ascii="Times New Roman" w:eastAsia="宋体" w:hAnsi="Times New Roman" w:cs="Times New Roman" w:hint="default"/>
                <w:color w:val="auto"/>
                <w:sz w:val="24"/>
                <w:szCs w:val="32"/>
                <w:vertAlign w:val="baseline"/>
                <w:lang w:val="en-US" w:eastAsia="zh-CN"/>
              </w:rPr>
              <w:t>升压站区域和储能区域两部分组成，升压站布置在厂</w:t>
            </w:r>
            <w:r>
              <w:rPr>
                <w:rFonts w:cs="Times New Roman" w:hint="eastAsia"/>
                <w:color w:val="auto"/>
                <w:sz w:val="24"/>
                <w:szCs w:val="32"/>
                <w:vertAlign w:val="baseline"/>
                <w:lang w:val="en-US" w:eastAsia="zh-CN"/>
              </w:rPr>
              <w:t>北侧中间</w:t>
            </w:r>
            <w:r>
              <w:rPr>
                <w:rFonts w:ascii="Times New Roman" w:eastAsia="宋体" w:hAnsi="Times New Roman" w:cs="Times New Roman" w:hint="default"/>
                <w:color w:val="auto"/>
                <w:sz w:val="24"/>
                <w:szCs w:val="32"/>
                <w:vertAlign w:val="baseline"/>
                <w:lang w:val="en-US" w:eastAsia="zh-CN"/>
              </w:rPr>
              <w:t>位置</w:t>
            </w:r>
            <w:r>
              <w:rPr>
                <w:rFonts w:cs="Times New Roman" w:hint="eastAsia"/>
                <w:color w:val="auto"/>
                <w:sz w:val="24"/>
                <w:szCs w:val="32"/>
                <w:vertAlign w:val="baseline"/>
                <w:lang w:val="en-US" w:eastAsia="zh-CN"/>
              </w:rPr>
              <w:t>。</w:t>
            </w:r>
            <w:r>
              <w:rPr>
                <w:rFonts w:ascii="Times New Roman" w:eastAsia="宋体" w:hAnsi="Times New Roman" w:cs="Times New Roman" w:hint="default"/>
                <w:color w:val="auto"/>
                <w:sz w:val="24"/>
                <w:szCs w:val="32"/>
                <w:vertAlign w:val="baseline"/>
                <w:lang w:val="en-US" w:eastAsia="zh-CN"/>
              </w:rPr>
              <w:t>本工程配套建设</w:t>
            </w:r>
            <w:r>
              <w:rPr>
                <w:rFonts w:cs="Times New Roman" w:hint="eastAsia"/>
                <w:color w:val="auto"/>
                <w:sz w:val="24"/>
                <w:szCs w:val="32"/>
                <w:vertAlign w:val="baseline"/>
                <w:lang w:val="en-US" w:eastAsia="zh-CN"/>
              </w:rPr>
              <w:t>355MW/920MWh</w:t>
            </w:r>
            <w:r>
              <w:rPr>
                <w:rFonts w:ascii="Times New Roman" w:eastAsia="宋体" w:hAnsi="Times New Roman" w:cs="Times New Roman" w:hint="default"/>
                <w:color w:val="auto"/>
                <w:sz w:val="24"/>
                <w:szCs w:val="32"/>
                <w:vertAlign w:val="baseline"/>
                <w:lang w:val="en-US" w:eastAsia="zh-CN"/>
              </w:rPr>
              <w:t>储能系统</w:t>
            </w:r>
            <w:r>
              <w:rPr>
                <w:rFonts w:cs="Times New Roman" w:hint="eastAsia"/>
                <w:color w:val="auto"/>
                <w:sz w:val="24"/>
                <w:szCs w:val="32"/>
                <w:vertAlign w:val="baseline"/>
                <w:lang w:val="en-US" w:eastAsia="zh-CN"/>
              </w:rPr>
              <w:t>，储能站南侧305</w:t>
            </w:r>
            <w:r>
              <w:rPr>
                <w:rFonts w:ascii="Times New Roman" w:eastAsia="宋体" w:hAnsi="Times New Roman" w:cs="Times New Roman" w:hint="default"/>
                <w:color w:val="auto"/>
                <w:sz w:val="24"/>
                <w:szCs w:val="32"/>
                <w:vertAlign w:val="baseline"/>
                <w:lang w:val="en-US" w:eastAsia="zh-CN"/>
              </w:rPr>
              <w:t>MW/</w:t>
            </w:r>
            <w:r>
              <w:rPr>
                <w:rFonts w:cs="Times New Roman" w:hint="eastAsia"/>
                <w:color w:val="auto"/>
                <w:sz w:val="24"/>
                <w:szCs w:val="32"/>
                <w:vertAlign w:val="baseline"/>
                <w:lang w:val="en-US" w:eastAsia="zh-CN"/>
              </w:rPr>
              <w:t>72</w:t>
            </w:r>
            <w:r>
              <w:rPr>
                <w:rFonts w:ascii="Times New Roman" w:eastAsia="宋体" w:hAnsi="Times New Roman" w:cs="Times New Roman" w:hint="default"/>
                <w:color w:val="auto"/>
                <w:sz w:val="24"/>
                <w:szCs w:val="32"/>
                <w:vertAlign w:val="baseline"/>
                <w:lang w:val="en-US" w:eastAsia="zh-CN"/>
              </w:rPr>
              <w:t>0MWh磷酸铁锂</w:t>
            </w:r>
            <w:r>
              <w:rPr>
                <w:rFonts w:cs="Times New Roman" w:hint="eastAsia"/>
                <w:color w:val="auto"/>
                <w:sz w:val="24"/>
                <w:szCs w:val="32"/>
                <w:vertAlign w:val="baseline"/>
                <w:lang w:val="en-US" w:eastAsia="zh-CN"/>
              </w:rPr>
              <w:t>储能区，西北侧为5</w:t>
            </w:r>
            <w:r>
              <w:rPr>
                <w:rFonts w:ascii="Times New Roman" w:eastAsia="宋体" w:hAnsi="Times New Roman" w:cs="Times New Roman" w:hint="default"/>
                <w:color w:val="auto"/>
                <w:sz w:val="24"/>
                <w:szCs w:val="32"/>
                <w:vertAlign w:val="baseline"/>
                <w:lang w:val="en-US" w:eastAsia="zh-CN"/>
              </w:rPr>
              <w:t>0MW/</w:t>
            </w:r>
            <w:r>
              <w:rPr>
                <w:rFonts w:eastAsia="宋体" w:cs="Times New Roman" w:hint="eastAsia"/>
                <w:color w:val="auto"/>
                <w:sz w:val="24"/>
                <w:szCs w:val="32"/>
                <w:vertAlign w:val="baseline"/>
                <w:lang w:val="en-US" w:eastAsia="zh-CN"/>
              </w:rPr>
              <w:t>20</w:t>
            </w:r>
            <w:r>
              <w:rPr>
                <w:rFonts w:ascii="Times New Roman" w:eastAsia="宋体" w:hAnsi="Times New Roman" w:cs="Times New Roman" w:hint="default"/>
                <w:color w:val="auto"/>
                <w:sz w:val="24"/>
                <w:szCs w:val="32"/>
                <w:vertAlign w:val="baseline"/>
                <w:lang w:val="en-US" w:eastAsia="zh-CN"/>
              </w:rPr>
              <w:t>0MWh钒液流</w:t>
            </w:r>
            <w:r>
              <w:rPr>
                <w:rFonts w:eastAsia="宋体" w:cs="Times New Roman" w:hint="eastAsia"/>
                <w:color w:val="auto"/>
                <w:sz w:val="24"/>
                <w:szCs w:val="32"/>
                <w:vertAlign w:val="baseline"/>
                <w:lang w:val="en-US" w:eastAsia="zh-CN"/>
              </w:rPr>
              <w:t>储能区，北侧中间位置为升压站、东北侧为预留滤波设备及无功补偿设备区。</w:t>
            </w:r>
          </w:p>
          <w:p w14:paraId="31A8588C">
            <w:pPr>
              <w:keepNext w:val="0"/>
              <w:keepLines w:val="0"/>
              <w:pageBreakBefore w:val="0"/>
              <w:widowControl w:val="0"/>
              <w:kinsoku/>
              <w:wordWrap/>
              <w:overflowPunct/>
              <w:topLinePunct w:val="0"/>
              <w:bidi w:val="0"/>
              <w:snapToGrid w:val="0"/>
              <w:spacing w:line="360" w:lineRule="auto"/>
              <w:ind w:firstLine="480" w:firstLineChars="200"/>
              <w:textAlignment w:val="auto"/>
              <w:rPr>
                <w:rFonts w:ascii="Times New Roman" w:eastAsia="宋体" w:hAnsi="Times New Roman" w:cs="Times New Roman" w:hint="default"/>
                <w:color w:val="auto"/>
                <w:sz w:val="24"/>
                <w:szCs w:val="32"/>
                <w:vertAlign w:val="baseline"/>
                <w:lang w:val="en-US" w:eastAsia="zh-CN"/>
              </w:rPr>
            </w:pPr>
            <w:r>
              <w:rPr>
                <w:rFonts w:eastAsia="宋体" w:cs="Times New Roman" w:hint="eastAsia"/>
                <w:color w:val="auto"/>
                <w:sz w:val="24"/>
                <w:szCs w:val="32"/>
                <w:vertAlign w:val="baseline"/>
                <w:lang w:val="en-US" w:eastAsia="zh-CN"/>
              </w:rPr>
              <w:t>其中升压站区域</w:t>
            </w:r>
            <w:r>
              <w:rPr>
                <w:rFonts w:cs="Times New Roman" w:hint="eastAsia"/>
                <w:color w:val="auto"/>
                <w:sz w:val="24"/>
                <w:szCs w:val="32"/>
                <w:vertAlign w:val="baseline"/>
                <w:lang w:val="en-US" w:eastAsia="zh-CN"/>
              </w:rPr>
              <w:t>南侧</w:t>
            </w:r>
            <w:r>
              <w:rPr>
                <w:rFonts w:eastAsia="宋体" w:cs="Times New Roman" w:hint="eastAsia"/>
                <w:color w:val="auto"/>
                <w:sz w:val="24"/>
                <w:szCs w:val="32"/>
                <w:vertAlign w:val="baseline"/>
                <w:lang w:val="en-US" w:eastAsia="zh-CN"/>
              </w:rPr>
              <w:t>设有综合楼</w:t>
            </w:r>
            <w:r>
              <w:rPr>
                <w:rFonts w:ascii="Times New Roman" w:eastAsia="宋体" w:hAnsi="Times New Roman" w:cs="Times New Roman" w:hint="default"/>
                <w:color w:val="auto"/>
                <w:sz w:val="24"/>
                <w:szCs w:val="32"/>
                <w:vertAlign w:val="baseline"/>
                <w:lang w:val="en-US" w:eastAsia="zh-CN"/>
              </w:rPr>
              <w:t>1座</w:t>
            </w:r>
            <w:r>
              <w:rPr>
                <w:rFonts w:cs="Times New Roman" w:hint="eastAsia"/>
                <w:color w:val="auto"/>
                <w:sz w:val="24"/>
                <w:szCs w:val="32"/>
                <w:vertAlign w:val="baseline"/>
                <w:lang w:val="en-US" w:eastAsia="zh-CN"/>
              </w:rPr>
              <w:t>，消防</w:t>
            </w:r>
            <w:r>
              <w:rPr>
                <w:rFonts w:ascii="Times New Roman" w:eastAsia="宋体" w:hAnsi="Times New Roman" w:cs="Times New Roman" w:hint="default"/>
                <w:color w:val="auto"/>
                <w:sz w:val="24"/>
                <w:szCs w:val="32"/>
                <w:vertAlign w:val="baseline"/>
                <w:lang w:val="en-US" w:eastAsia="zh-CN"/>
              </w:rPr>
              <w:t>泵房、1座</w:t>
            </w:r>
            <w:r>
              <w:rPr>
                <w:rFonts w:cs="Times New Roman" w:hint="eastAsia"/>
                <w:color w:val="auto"/>
                <w:sz w:val="24"/>
                <w:szCs w:val="32"/>
                <w:vertAlign w:val="baseline"/>
                <w:lang w:val="en-US" w:eastAsia="zh-CN"/>
              </w:rPr>
              <w:t>污水处理设施、，北侧设有</w:t>
            </w:r>
            <w:r>
              <w:rPr>
                <w:rFonts w:ascii="Times New Roman" w:eastAsia="宋体" w:hAnsi="Times New Roman" w:cs="Times New Roman" w:hint="default"/>
                <w:color w:val="auto"/>
                <w:sz w:val="24"/>
                <w:szCs w:val="32"/>
                <w:vertAlign w:val="baseline"/>
                <w:lang w:val="en-US" w:eastAsia="zh-CN"/>
              </w:rPr>
              <w:t>2台</w:t>
            </w:r>
            <w:r>
              <w:rPr>
                <w:rFonts w:cs="Times New Roman" w:hint="eastAsia"/>
                <w:color w:val="auto"/>
                <w:sz w:val="24"/>
                <w:szCs w:val="32"/>
                <w:vertAlign w:val="baseline"/>
                <w:lang w:val="en-US" w:eastAsia="zh-CN"/>
              </w:rPr>
              <w:t>180MVA</w:t>
            </w:r>
            <w:r>
              <w:rPr>
                <w:rFonts w:ascii="Times New Roman" w:eastAsia="宋体" w:hAnsi="Times New Roman" w:cs="Times New Roman" w:hint="default"/>
                <w:color w:val="auto"/>
                <w:sz w:val="24"/>
                <w:szCs w:val="32"/>
                <w:vertAlign w:val="baseline"/>
                <w:lang w:val="en-US" w:eastAsia="zh-CN"/>
              </w:rPr>
              <w:t>主变、</w:t>
            </w:r>
            <w:r>
              <w:rPr>
                <w:rFonts w:cs="Times New Roman" w:hint="eastAsia"/>
                <w:color w:val="auto"/>
                <w:sz w:val="24"/>
                <w:szCs w:val="32"/>
                <w:vertAlign w:val="baseline"/>
                <w:lang w:val="en-US" w:eastAsia="zh-CN"/>
              </w:rPr>
              <w:t>危废库、</w:t>
            </w:r>
            <w:r>
              <w:rPr>
                <w:rFonts w:ascii="Times New Roman" w:eastAsia="宋体" w:hAnsi="Times New Roman" w:cs="Times New Roman" w:hint="default"/>
                <w:color w:val="auto"/>
                <w:sz w:val="24"/>
                <w:szCs w:val="32"/>
                <w:vertAlign w:val="baseline"/>
                <w:lang w:val="en-US" w:eastAsia="zh-CN"/>
              </w:rPr>
              <w:t>事故油池、</w:t>
            </w:r>
            <w:r>
              <w:rPr>
                <w:rFonts w:cs="Times New Roman" w:hint="eastAsia"/>
                <w:color w:val="auto"/>
                <w:sz w:val="24"/>
                <w:szCs w:val="32"/>
                <w:vertAlign w:val="baseline"/>
                <w:lang w:val="en-US" w:eastAsia="zh-CN"/>
              </w:rPr>
              <w:t>站用变压器</w:t>
            </w:r>
            <w:r>
              <w:rPr>
                <w:rFonts w:ascii="Times New Roman" w:eastAsia="宋体" w:hAnsi="Times New Roman" w:cs="Times New Roman" w:hint="default"/>
                <w:color w:val="auto"/>
                <w:sz w:val="24"/>
                <w:szCs w:val="32"/>
                <w:vertAlign w:val="baseline"/>
                <w:lang w:val="en-US" w:eastAsia="zh-CN"/>
              </w:rPr>
              <w:t>、</w:t>
            </w:r>
            <w:r>
              <w:rPr>
                <w:rFonts w:cs="Times New Roman" w:hint="eastAsia"/>
                <w:color w:val="auto"/>
                <w:sz w:val="24"/>
                <w:szCs w:val="32"/>
                <w:vertAlign w:val="baseline"/>
                <w:lang w:val="en-US" w:eastAsia="zh-CN"/>
              </w:rPr>
              <w:t>配电</w:t>
            </w:r>
            <w:r>
              <w:rPr>
                <w:rFonts w:ascii="Times New Roman" w:eastAsia="宋体" w:hAnsi="Times New Roman" w:cs="Times New Roman" w:hint="default"/>
                <w:color w:val="auto"/>
                <w:sz w:val="24"/>
                <w:szCs w:val="32"/>
                <w:vertAlign w:val="baseline"/>
                <w:lang w:val="en-US" w:eastAsia="zh-CN"/>
              </w:rPr>
              <w:t>楼</w:t>
            </w:r>
            <w:r>
              <w:rPr>
                <w:rFonts w:cs="Times New Roman" w:hint="eastAsia"/>
                <w:color w:val="auto"/>
                <w:sz w:val="24"/>
                <w:szCs w:val="32"/>
                <w:vertAlign w:val="baseline"/>
                <w:lang w:val="en-US" w:eastAsia="zh-CN"/>
              </w:rPr>
              <w:t>、雨淋阀间</w:t>
            </w:r>
            <w:r>
              <w:rPr>
                <w:rFonts w:ascii="Times New Roman" w:eastAsia="宋体" w:hAnsi="Times New Roman" w:cs="Times New Roman" w:hint="default"/>
                <w:color w:val="auto"/>
                <w:sz w:val="24"/>
                <w:szCs w:val="32"/>
                <w:vertAlign w:val="baseline"/>
                <w:lang w:val="en-US" w:eastAsia="zh-CN"/>
              </w:rPr>
              <w:t>。</w:t>
            </w:r>
          </w:p>
          <w:p w14:paraId="2B27B71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eastAsia="宋体" w:hAnsi="Times New Roman" w:cs="Times New Roman" w:hint="default"/>
                <w:b/>
                <w:bCs/>
                <w:color w:val="auto"/>
                <w:sz w:val="24"/>
                <w:szCs w:val="24"/>
                <w:highlight w:val="none"/>
              </w:rPr>
            </w:pPr>
            <w:r>
              <w:rPr>
                <w:rFonts w:ascii="Times New Roman" w:eastAsia="宋体" w:hAnsi="Times New Roman" w:cs="Times New Roman" w:hint="default"/>
                <w:color w:val="auto"/>
                <w:sz w:val="24"/>
                <w:highlight w:val="none"/>
                <w:lang w:val="en-US" w:eastAsia="zh-CN" w:bidi="ar"/>
              </w:rPr>
              <w:t>涉及的用地</w:t>
            </w:r>
            <w:r>
              <w:rPr>
                <w:rFonts w:ascii="Times New Roman" w:eastAsia="宋体" w:hAnsi="Times New Roman" w:cs="Times New Roman" w:hint="default"/>
                <w:color w:val="auto"/>
                <w:sz w:val="24"/>
                <w:highlight w:val="none"/>
                <w:lang w:bidi="ar"/>
              </w:rPr>
              <w:t>情况见表</w:t>
            </w:r>
            <w:r>
              <w:rPr>
                <w:rFonts w:ascii="Times New Roman" w:eastAsia="宋体" w:hAnsi="Times New Roman" w:cs="Times New Roman" w:hint="default"/>
                <w:color w:val="auto"/>
                <w:sz w:val="24"/>
                <w:highlight w:val="none"/>
                <w:lang w:val="en-US" w:eastAsia="zh-CN" w:bidi="ar"/>
              </w:rPr>
              <w:t>2-1。</w:t>
            </w:r>
          </w:p>
          <w:p w14:paraId="0CE5DEC6">
            <w:pPr>
              <w:pStyle w:val="NormalIndent"/>
              <w:ind w:left="0" w:firstLine="0" w:leftChars="0" w:firstLineChars="0"/>
              <w:jc w:val="center"/>
              <w:rPr>
                <w:rFonts w:ascii="Times New Roman" w:eastAsia="宋体" w:hAnsi="Times New Roman" w:cs="Times New Roman" w:hint="default"/>
                <w:b/>
                <w:bCs/>
                <w:color w:val="auto"/>
                <w:spacing w:val="0"/>
                <w:w w:val="100"/>
                <w:position w:val="0"/>
                <w:sz w:val="24"/>
                <w:szCs w:val="24"/>
                <w:highlight w:val="none"/>
                <w:lang w:val="en-US" w:eastAsia="zh-CN"/>
              </w:rPr>
            </w:pPr>
            <w:r>
              <w:rPr>
                <w:rFonts w:ascii="Times New Roman" w:eastAsia="宋体" w:hAnsi="Times New Roman" w:cs="Times New Roman" w:hint="default"/>
                <w:b/>
                <w:bCs/>
                <w:color w:val="auto"/>
                <w:sz w:val="24"/>
                <w:szCs w:val="24"/>
                <w:highlight w:val="none"/>
              </w:rPr>
              <w:t>表2-</w:t>
            </w:r>
            <w:r>
              <w:rPr>
                <w:rFonts w:ascii="Times New Roman" w:eastAsia="宋体" w:hAnsi="Times New Roman" w:cs="Times New Roman" w:hint="default"/>
                <w:b/>
                <w:bCs/>
                <w:color w:val="auto"/>
                <w:sz w:val="24"/>
                <w:szCs w:val="24"/>
                <w:highlight w:val="none"/>
              </w:rPr>
              <w:fldChar w:fldCharType="begin"/>
            </w:r>
            <w:r>
              <w:rPr>
                <w:rFonts w:ascii="Times New Roman" w:eastAsia="宋体" w:hAnsi="Times New Roman" w:cs="Times New Roman" w:hint="default"/>
                <w:b/>
                <w:bCs/>
                <w:color w:val="auto"/>
                <w:sz w:val="24"/>
                <w:szCs w:val="24"/>
                <w:highlight w:val="none"/>
              </w:rPr>
              <w:instrText xml:space="preserve"> SEQ 表2- \* ARABIC </w:instrText>
            </w:r>
            <w:r>
              <w:rPr>
                <w:rFonts w:ascii="Times New Roman" w:eastAsia="宋体" w:hAnsi="Times New Roman" w:cs="Times New Roman" w:hint="default"/>
                <w:b/>
                <w:bCs/>
                <w:color w:val="auto"/>
                <w:sz w:val="24"/>
                <w:szCs w:val="24"/>
                <w:highlight w:val="none"/>
              </w:rPr>
              <w:fldChar w:fldCharType="separate"/>
            </w:r>
            <w:r>
              <w:rPr>
                <w:rFonts w:ascii="Times New Roman" w:eastAsia="宋体" w:hAnsi="Times New Roman" w:cs="Times New Roman" w:hint="default"/>
                <w:b/>
                <w:bCs/>
                <w:color w:val="auto"/>
                <w:sz w:val="24"/>
                <w:szCs w:val="24"/>
                <w:highlight w:val="none"/>
              </w:rPr>
              <w:t>1</w:t>
            </w:r>
            <w:r>
              <w:rPr>
                <w:rFonts w:ascii="Times New Roman" w:eastAsia="宋体" w:hAnsi="Times New Roman" w:cs="Times New Roman" w:hint="default"/>
                <w:b/>
                <w:bCs/>
                <w:color w:val="auto"/>
                <w:sz w:val="24"/>
                <w:szCs w:val="24"/>
                <w:highlight w:val="none"/>
              </w:rPr>
              <w:fldChar w:fldCharType="end"/>
            </w:r>
            <w:r>
              <w:rPr>
                <w:rFonts w:ascii="Times New Roman" w:eastAsia="宋体" w:hAnsi="Times New Roman" w:cs="Times New Roman" w:hint="default"/>
                <w:b/>
                <w:bCs/>
                <w:color w:val="auto"/>
                <w:sz w:val="24"/>
                <w:szCs w:val="24"/>
                <w:highlight w:val="none"/>
                <w:lang w:eastAsia="zh-CN"/>
              </w:rPr>
              <w:t xml:space="preserve">  </w:t>
            </w:r>
            <w:r>
              <w:rPr>
                <w:rFonts w:ascii="Times New Roman" w:eastAsia="宋体" w:hAnsi="Times New Roman" w:cs="Times New Roman" w:hint="default"/>
                <w:b/>
                <w:bCs/>
                <w:color w:val="auto"/>
                <w:spacing w:val="0"/>
                <w:w w:val="100"/>
                <w:position w:val="0"/>
                <w:sz w:val="24"/>
                <w:szCs w:val="24"/>
                <w:highlight w:val="none"/>
                <w:lang w:val="en-US" w:eastAsia="zh-CN"/>
              </w:rPr>
              <w:t>项目占地情况一览表</w:t>
            </w:r>
          </w:p>
          <w:tbl>
            <w:tblPr>
              <w:tblStyle w:val="TableNormal0"/>
              <w:tblW w:w="4999"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729"/>
              <w:gridCol w:w="3061"/>
              <w:gridCol w:w="948"/>
              <w:gridCol w:w="2037"/>
              <w:gridCol w:w="1296"/>
            </w:tblGrid>
            <w:tr w14:paraId="33843565">
              <w:tblPrEx>
                <w:tblW w:w="4999"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348"/>
                <w:jc w:val="center"/>
              </w:trPr>
              <w:tc>
                <w:tcPr>
                  <w:tcW w:w="730" w:type="dxa"/>
                  <w:shd w:val="clear" w:color="auto" w:fill="DEEAF6"/>
                  <w:vAlign w:val="top"/>
                </w:tcPr>
                <w:p w14:paraId="735A4E87">
                  <w:pPr>
                    <w:spacing w:before="68" w:line="219" w:lineRule="auto"/>
                    <w:ind w:left="162"/>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3"/>
                      <w:sz w:val="21"/>
                      <w:szCs w:val="21"/>
                      <w14:textOutline w14:w="3831">
                        <w14:solidFill>
                          <w14:srgbClr w14:val="000000"/>
                        </w14:solidFill>
                        <w14:miter w14:lim="0"/>
                      </w14:textOutline>
                    </w:rPr>
                    <w:t>序号</w:t>
                  </w:r>
                </w:p>
              </w:tc>
              <w:tc>
                <w:tcPr>
                  <w:tcW w:w="3062" w:type="dxa"/>
                  <w:shd w:val="clear" w:color="auto" w:fill="DEEAF6"/>
                  <w:vAlign w:val="top"/>
                </w:tcPr>
                <w:p w14:paraId="218EBFFE">
                  <w:pPr>
                    <w:spacing w:before="67" w:line="218" w:lineRule="auto"/>
                    <w:ind w:left="1316"/>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4"/>
                      <w:sz w:val="21"/>
                      <w:szCs w:val="21"/>
                      <w14:textOutline w14:w="3831">
                        <w14:solidFill>
                          <w14:srgbClr w14:val="000000"/>
                        </w14:solidFill>
                        <w14:miter w14:lim="0"/>
                      </w14:textOutline>
                    </w:rPr>
                    <w:t>名称</w:t>
                  </w:r>
                </w:p>
              </w:tc>
              <w:tc>
                <w:tcPr>
                  <w:tcW w:w="948" w:type="dxa"/>
                  <w:shd w:val="clear" w:color="auto" w:fill="DEEAF6"/>
                  <w:vAlign w:val="top"/>
                </w:tcPr>
                <w:p w14:paraId="2132985C">
                  <w:pPr>
                    <w:spacing w:before="67" w:line="218" w:lineRule="auto"/>
                    <w:ind w:left="275"/>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4"/>
                      <w:sz w:val="21"/>
                      <w:szCs w:val="21"/>
                      <w14:textOutline w14:w="3831">
                        <w14:solidFill>
                          <w14:srgbClr w14:val="000000"/>
                        </w14:solidFill>
                        <w14:miter w14:lim="0"/>
                      </w14:textOutline>
                    </w:rPr>
                    <w:t>单位</w:t>
                  </w:r>
                </w:p>
              </w:tc>
              <w:tc>
                <w:tcPr>
                  <w:tcW w:w="2037" w:type="dxa"/>
                  <w:shd w:val="clear" w:color="auto" w:fill="DEEAF6"/>
                  <w:vAlign w:val="top"/>
                </w:tcPr>
                <w:p w14:paraId="7A4DCABF">
                  <w:pPr>
                    <w:spacing w:before="67" w:line="220" w:lineRule="auto"/>
                    <w:ind w:left="808"/>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3"/>
                      <w:sz w:val="21"/>
                      <w:szCs w:val="21"/>
                      <w14:textOutline w14:w="3831">
                        <w14:solidFill>
                          <w14:srgbClr w14:val="000000"/>
                        </w14:solidFill>
                        <w14:miter w14:lim="0"/>
                      </w14:textOutline>
                    </w:rPr>
                    <w:t>数量</w:t>
                  </w:r>
                </w:p>
              </w:tc>
              <w:tc>
                <w:tcPr>
                  <w:tcW w:w="1296" w:type="dxa"/>
                  <w:shd w:val="clear" w:color="auto" w:fill="DEEAF6"/>
                  <w:vAlign w:val="top"/>
                </w:tcPr>
                <w:p w14:paraId="4F2C9CAC">
                  <w:pPr>
                    <w:spacing w:before="68" w:line="221" w:lineRule="auto"/>
                    <w:ind w:left="442"/>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4"/>
                      <w:sz w:val="21"/>
                      <w:szCs w:val="21"/>
                      <w14:textOutline w14:w="3831">
                        <w14:solidFill>
                          <w14:srgbClr w14:val="000000"/>
                        </w14:solidFill>
                        <w14:miter w14:lim="0"/>
                      </w14:textOutline>
                    </w:rPr>
                    <w:t>备注</w:t>
                  </w:r>
                </w:p>
              </w:tc>
            </w:tr>
            <w:tr w14:paraId="1AB35872">
              <w:tblPrEx>
                <w:tblW w:w="4999" w:type="pct"/>
                <w:jc w:val="center"/>
                <w:tblCellMar>
                  <w:top w:w="0" w:type="dxa"/>
                  <w:left w:w="0" w:type="dxa"/>
                  <w:bottom w:w="0" w:type="dxa"/>
                  <w:right w:w="0" w:type="dxa"/>
                </w:tblCellMar>
              </w:tblPrEx>
              <w:trPr>
                <w:trHeight w:val="344"/>
                <w:jc w:val="center"/>
              </w:trPr>
              <w:tc>
                <w:tcPr>
                  <w:tcW w:w="730" w:type="dxa"/>
                  <w:vAlign w:val="top"/>
                </w:tcPr>
                <w:p w14:paraId="081D1CE3">
                  <w:pPr>
                    <w:pStyle w:val="TableText"/>
                    <w:spacing w:before="110" w:line="180" w:lineRule="auto"/>
                    <w:ind w:left="326"/>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1</w:t>
                  </w:r>
                </w:p>
              </w:tc>
              <w:tc>
                <w:tcPr>
                  <w:tcW w:w="3062" w:type="dxa"/>
                  <w:vAlign w:val="top"/>
                </w:tcPr>
                <w:p w14:paraId="3B6F26F6">
                  <w:pPr>
                    <w:spacing w:before="65" w:line="220" w:lineRule="auto"/>
                    <w:ind w:left="121"/>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2"/>
                      <w:sz w:val="21"/>
                      <w:szCs w:val="21"/>
                    </w:rPr>
                    <w:t>站址总用地面积</w:t>
                  </w:r>
                </w:p>
              </w:tc>
              <w:tc>
                <w:tcPr>
                  <w:tcW w:w="948" w:type="dxa"/>
                  <w:vAlign w:val="top"/>
                </w:tcPr>
                <w:p w14:paraId="1BA0CD45">
                  <w:pPr>
                    <w:spacing w:before="65" w:line="236" w:lineRule="auto"/>
                    <w:ind w:left="371"/>
                    <w:rPr>
                      <w:rFonts w:ascii="Times New Roman" w:eastAsia="宋体" w:hAnsi="Times New Roman" w:cs="Times New Roman" w:hint="default"/>
                      <w:color w:val="auto"/>
                      <w:sz w:val="21"/>
                      <w:szCs w:val="21"/>
                      <w:lang w:eastAsia="zh-CN"/>
                    </w:rPr>
                  </w:pPr>
                  <w:r>
                    <w:rPr>
                      <w:rFonts w:ascii="Times New Roman" w:eastAsia="宋体" w:hAnsi="Times New Roman" w:cs="Times New Roman" w:hint="default"/>
                      <w:color w:val="auto"/>
                      <w:spacing w:val="-6"/>
                      <w:sz w:val="21"/>
                      <w:szCs w:val="21"/>
                    </w:rPr>
                    <w:t>m</w:t>
                  </w:r>
                  <w:r>
                    <w:rPr>
                      <w:rFonts w:ascii="Times New Roman" w:eastAsia="宋体" w:hAnsi="Times New Roman" w:cs="Times New Roman" w:hint="default"/>
                      <w:color w:val="auto"/>
                      <w:spacing w:val="-6"/>
                      <w:sz w:val="21"/>
                      <w:szCs w:val="21"/>
                      <w:vertAlign w:val="superscript"/>
                      <w:lang w:val="en-US" w:eastAsia="zh-CN"/>
                    </w:rPr>
                    <w:t>2</w:t>
                  </w:r>
                </w:p>
              </w:tc>
              <w:tc>
                <w:tcPr>
                  <w:tcW w:w="2037" w:type="dxa"/>
                  <w:vAlign w:val="top"/>
                </w:tcPr>
                <w:p w14:paraId="2ADD7680">
                  <w:pPr>
                    <w:pStyle w:val="TableText"/>
                    <w:spacing w:before="109" w:line="181" w:lineRule="auto"/>
                    <w:ind w:left="752"/>
                    <w:rPr>
                      <w:rFonts w:ascii="Times New Roman" w:eastAsia="宋体" w:hAnsi="Times New Roman" w:cs="Times New Roman" w:hint="default"/>
                      <w:color w:val="auto"/>
                      <w:sz w:val="21"/>
                      <w:szCs w:val="21"/>
                      <w:lang w:val="en-US" w:eastAsia="zh-CN"/>
                    </w:rPr>
                  </w:pPr>
                  <w:r>
                    <w:rPr>
                      <w:rFonts w:ascii="Times New Roman" w:hAnsi="Times New Roman" w:cs="Times New Roman" w:hint="eastAsia"/>
                      <w:color w:val="auto"/>
                      <w:spacing w:val="-2"/>
                      <w:sz w:val="21"/>
                      <w:szCs w:val="21"/>
                      <w:lang w:val="en-US" w:eastAsia="zh-CN"/>
                    </w:rPr>
                    <w:t>98000</w:t>
                  </w:r>
                </w:p>
              </w:tc>
              <w:tc>
                <w:tcPr>
                  <w:tcW w:w="1296" w:type="dxa"/>
                  <w:vAlign w:val="top"/>
                </w:tcPr>
                <w:p w14:paraId="04B91B35">
                  <w:pPr>
                    <w:spacing w:before="65" w:line="220" w:lineRule="auto"/>
                    <w:ind w:left="124"/>
                    <w:jc w:val="center"/>
                    <w:rPr>
                      <w:rFonts w:ascii="Times New Roman" w:eastAsia="宋体" w:hAnsi="Times New Roman" w:cs="Times New Roman" w:hint="default"/>
                      <w:color w:val="auto"/>
                      <w:sz w:val="21"/>
                      <w:szCs w:val="21"/>
                      <w:lang w:val="en-US" w:eastAsia="zh-CN"/>
                    </w:rPr>
                  </w:pPr>
                  <w:r>
                    <w:rPr>
                      <w:rFonts w:cs="Times New Roman" w:hint="eastAsia"/>
                      <w:color w:val="auto"/>
                      <w:spacing w:val="-2"/>
                      <w:sz w:val="21"/>
                      <w:szCs w:val="21"/>
                      <w:lang w:val="en-US" w:eastAsia="zh-CN"/>
                    </w:rPr>
                    <w:t>征地面积</w:t>
                  </w:r>
                </w:p>
              </w:tc>
            </w:tr>
            <w:tr w14:paraId="63818B96">
              <w:tblPrEx>
                <w:tblW w:w="4999" w:type="pct"/>
                <w:jc w:val="center"/>
                <w:tblCellMar>
                  <w:top w:w="0" w:type="dxa"/>
                  <w:left w:w="0" w:type="dxa"/>
                  <w:bottom w:w="0" w:type="dxa"/>
                  <w:right w:w="0" w:type="dxa"/>
                </w:tblCellMar>
              </w:tblPrEx>
              <w:trPr>
                <w:trHeight w:val="349"/>
                <w:jc w:val="center"/>
              </w:trPr>
              <w:tc>
                <w:tcPr>
                  <w:tcW w:w="730" w:type="dxa"/>
                  <w:vAlign w:val="top"/>
                </w:tcPr>
                <w:p w14:paraId="18E1A1F0">
                  <w:pPr>
                    <w:pStyle w:val="TableText"/>
                    <w:spacing w:before="111" w:line="181" w:lineRule="auto"/>
                    <w:ind w:left="320"/>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2</w:t>
                  </w:r>
                </w:p>
              </w:tc>
              <w:tc>
                <w:tcPr>
                  <w:tcW w:w="3062" w:type="dxa"/>
                  <w:vAlign w:val="top"/>
                </w:tcPr>
                <w:p w14:paraId="1ACC9CC0">
                  <w:pPr>
                    <w:spacing w:before="66" w:line="218" w:lineRule="auto"/>
                    <w:ind w:left="119"/>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围墙内用地面积</w:t>
                  </w:r>
                </w:p>
              </w:tc>
              <w:tc>
                <w:tcPr>
                  <w:tcW w:w="948" w:type="dxa"/>
                  <w:vAlign w:val="top"/>
                </w:tcPr>
                <w:p w14:paraId="03664993">
                  <w:pPr>
                    <w:spacing w:before="67" w:line="239" w:lineRule="auto"/>
                    <w:ind w:left="371"/>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6"/>
                      <w:sz w:val="21"/>
                      <w:szCs w:val="21"/>
                    </w:rPr>
                    <w:t>m</w:t>
                  </w:r>
                  <w:r>
                    <w:rPr>
                      <w:rFonts w:ascii="Times New Roman" w:eastAsia="宋体" w:hAnsi="Times New Roman" w:cs="Times New Roman" w:hint="default"/>
                      <w:color w:val="auto"/>
                      <w:spacing w:val="-6"/>
                      <w:sz w:val="21"/>
                      <w:szCs w:val="21"/>
                      <w:vertAlign w:val="superscript"/>
                      <w:lang w:val="en-US" w:eastAsia="zh-CN"/>
                    </w:rPr>
                    <w:t>2</w:t>
                  </w:r>
                </w:p>
              </w:tc>
              <w:tc>
                <w:tcPr>
                  <w:tcW w:w="2037" w:type="dxa"/>
                  <w:vAlign w:val="top"/>
                </w:tcPr>
                <w:p w14:paraId="6C9636A0">
                  <w:pPr>
                    <w:pStyle w:val="TableText"/>
                    <w:spacing w:before="111" w:line="181" w:lineRule="auto"/>
                    <w:ind w:left="754"/>
                    <w:rPr>
                      <w:rFonts w:ascii="Times New Roman" w:eastAsia="宋体" w:hAnsi="Times New Roman" w:cs="Times New Roman" w:hint="default"/>
                      <w:color w:val="auto"/>
                      <w:sz w:val="21"/>
                      <w:szCs w:val="21"/>
                      <w:lang w:val="en-US" w:eastAsia="zh-CN"/>
                    </w:rPr>
                  </w:pPr>
                  <w:r>
                    <w:rPr>
                      <w:rFonts w:ascii="Times New Roman" w:hAnsi="Times New Roman" w:cs="Times New Roman" w:hint="eastAsia"/>
                      <w:color w:val="auto"/>
                      <w:spacing w:val="-2"/>
                      <w:sz w:val="21"/>
                      <w:szCs w:val="21"/>
                      <w:lang w:val="en-US" w:eastAsia="zh-CN"/>
                    </w:rPr>
                    <w:t>82943</w:t>
                  </w:r>
                </w:p>
              </w:tc>
              <w:tc>
                <w:tcPr>
                  <w:tcW w:w="1296" w:type="dxa"/>
                  <w:vAlign w:val="center"/>
                </w:tcPr>
                <w:p w14:paraId="4DBE9115">
                  <w:pPr>
                    <w:jc w:val="center"/>
                    <w:rPr>
                      <w:rFonts w:ascii="Times New Roman" w:eastAsia="宋体" w:hAnsi="Times New Roman" w:cs="Times New Roman" w:hint="default"/>
                      <w:color w:val="auto"/>
                      <w:sz w:val="21"/>
                      <w:lang w:val="en-US" w:eastAsia="zh-CN"/>
                    </w:rPr>
                  </w:pPr>
                  <w:r>
                    <w:rPr>
                      <w:rFonts w:ascii="Times New Roman" w:eastAsia="宋体" w:hAnsi="Times New Roman" w:cs="Times New Roman" w:hint="default"/>
                      <w:color w:val="auto"/>
                      <w:sz w:val="21"/>
                      <w:lang w:val="en-US" w:eastAsia="zh-CN"/>
                    </w:rPr>
                    <w:t>/</w:t>
                  </w:r>
                </w:p>
              </w:tc>
            </w:tr>
            <w:tr w14:paraId="6D7765F0">
              <w:tblPrEx>
                <w:tblW w:w="4999" w:type="pct"/>
                <w:jc w:val="center"/>
                <w:tblCellMar>
                  <w:top w:w="0" w:type="dxa"/>
                  <w:left w:w="0" w:type="dxa"/>
                  <w:bottom w:w="0" w:type="dxa"/>
                  <w:right w:w="0" w:type="dxa"/>
                </w:tblCellMar>
              </w:tblPrEx>
              <w:trPr>
                <w:trHeight w:val="345"/>
                <w:jc w:val="center"/>
              </w:trPr>
              <w:tc>
                <w:tcPr>
                  <w:tcW w:w="730" w:type="dxa"/>
                  <w:vAlign w:val="top"/>
                </w:tcPr>
                <w:p w14:paraId="33200D0D">
                  <w:pPr>
                    <w:pStyle w:val="TableText"/>
                    <w:spacing w:before="108" w:line="181" w:lineRule="auto"/>
                    <w:ind w:left="318"/>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3</w:t>
                  </w:r>
                </w:p>
              </w:tc>
              <w:tc>
                <w:tcPr>
                  <w:tcW w:w="3062" w:type="dxa"/>
                  <w:vAlign w:val="top"/>
                </w:tcPr>
                <w:p w14:paraId="33FCF088">
                  <w:pPr>
                    <w:spacing w:before="64" w:line="220" w:lineRule="auto"/>
                    <w:ind w:left="121"/>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2"/>
                      <w:sz w:val="21"/>
                      <w:szCs w:val="21"/>
                    </w:rPr>
                    <w:t>站区围墙长度</w:t>
                  </w:r>
                </w:p>
              </w:tc>
              <w:tc>
                <w:tcPr>
                  <w:tcW w:w="948" w:type="dxa"/>
                  <w:vAlign w:val="top"/>
                </w:tcPr>
                <w:p w14:paraId="38E0B341">
                  <w:pPr>
                    <w:pStyle w:val="TableText"/>
                    <w:spacing w:before="87" w:line="232" w:lineRule="auto"/>
                    <w:ind w:left="398"/>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m</w:t>
                  </w:r>
                </w:p>
              </w:tc>
              <w:tc>
                <w:tcPr>
                  <w:tcW w:w="2037" w:type="dxa"/>
                  <w:vAlign w:val="top"/>
                </w:tcPr>
                <w:p w14:paraId="390A5A2A">
                  <w:pPr>
                    <w:pStyle w:val="TableText"/>
                    <w:spacing w:before="108" w:line="181" w:lineRule="auto"/>
                    <w:ind w:left="815"/>
                    <w:rPr>
                      <w:rFonts w:ascii="Times New Roman" w:eastAsia="宋体" w:hAnsi="Times New Roman" w:cs="Times New Roman" w:hint="default"/>
                      <w:color w:val="auto"/>
                      <w:sz w:val="21"/>
                      <w:szCs w:val="21"/>
                      <w:lang w:val="en-US" w:eastAsia="zh-CN"/>
                    </w:rPr>
                  </w:pPr>
                  <w:r>
                    <w:rPr>
                      <w:rFonts w:ascii="Times New Roman" w:hAnsi="Times New Roman" w:cs="Times New Roman" w:hint="eastAsia"/>
                      <w:color w:val="auto"/>
                      <w:spacing w:val="-4"/>
                      <w:sz w:val="21"/>
                      <w:szCs w:val="21"/>
                      <w:lang w:val="en-US" w:eastAsia="zh-CN"/>
                    </w:rPr>
                    <w:t>1742</w:t>
                  </w:r>
                </w:p>
              </w:tc>
              <w:tc>
                <w:tcPr>
                  <w:tcW w:w="1296" w:type="dxa"/>
                  <w:vAlign w:val="center"/>
                </w:tcPr>
                <w:p w14:paraId="355E946B">
                  <w:pPr>
                    <w:jc w:val="center"/>
                    <w:rPr>
                      <w:rFonts w:ascii="Times New Roman" w:eastAsia="宋体" w:hAnsi="Times New Roman" w:cs="Times New Roman" w:hint="default"/>
                      <w:color w:val="auto"/>
                      <w:sz w:val="21"/>
                      <w:lang w:val="en-US" w:eastAsia="zh-CN"/>
                    </w:rPr>
                  </w:pPr>
                  <w:r>
                    <w:rPr>
                      <w:rFonts w:ascii="Times New Roman" w:eastAsia="宋体" w:hAnsi="Times New Roman" w:cs="Times New Roman" w:hint="default"/>
                      <w:color w:val="auto"/>
                      <w:sz w:val="21"/>
                      <w:lang w:val="en-US" w:eastAsia="zh-CN"/>
                    </w:rPr>
                    <w:t>/</w:t>
                  </w:r>
                </w:p>
              </w:tc>
            </w:tr>
            <w:tr w14:paraId="068F4642">
              <w:tblPrEx>
                <w:tblW w:w="4999" w:type="pct"/>
                <w:jc w:val="center"/>
                <w:tblCellMar>
                  <w:top w:w="0" w:type="dxa"/>
                  <w:left w:w="0" w:type="dxa"/>
                  <w:bottom w:w="0" w:type="dxa"/>
                  <w:right w:w="0" w:type="dxa"/>
                </w:tblCellMar>
              </w:tblPrEx>
              <w:trPr>
                <w:trHeight w:val="628"/>
                <w:jc w:val="center"/>
              </w:trPr>
              <w:tc>
                <w:tcPr>
                  <w:tcW w:w="730" w:type="dxa"/>
                  <w:vAlign w:val="top"/>
                </w:tcPr>
                <w:p w14:paraId="495CBFC2">
                  <w:pPr>
                    <w:pStyle w:val="TableText"/>
                    <w:spacing w:before="249" w:line="180" w:lineRule="auto"/>
                    <w:ind w:left="312"/>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4</w:t>
                  </w:r>
                </w:p>
              </w:tc>
              <w:tc>
                <w:tcPr>
                  <w:tcW w:w="3062" w:type="dxa"/>
                  <w:vAlign w:val="top"/>
                </w:tcPr>
                <w:p w14:paraId="0BAFFF86">
                  <w:pPr>
                    <w:spacing w:before="50" w:line="219" w:lineRule="auto"/>
                    <w:ind w:left="121"/>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2"/>
                      <w:sz w:val="21"/>
                      <w:szCs w:val="21"/>
                    </w:rPr>
                    <w:t>站内主电缆沟长度</w:t>
                  </w:r>
                  <w:r>
                    <w:rPr>
                      <w:rFonts w:ascii="Times New Roman" w:eastAsia="宋体" w:hAnsi="Times New Roman" w:cs="Times New Roman" w:hint="default"/>
                      <w:color w:val="auto"/>
                      <w:spacing w:val="-5"/>
                      <w:sz w:val="21"/>
                      <w:szCs w:val="21"/>
                    </w:rPr>
                    <w:t>（600mm×600mm</w:t>
                  </w:r>
                  <w:r>
                    <w:rPr>
                      <w:rFonts w:ascii="Times New Roman" w:eastAsia="宋体" w:hAnsi="Times New Roman" w:cs="Times New Roman" w:hint="default"/>
                      <w:color w:val="auto"/>
                      <w:spacing w:val="56"/>
                      <w:w w:val="101"/>
                      <w:sz w:val="21"/>
                      <w:szCs w:val="21"/>
                    </w:rPr>
                    <w:t xml:space="preserve"> </w:t>
                  </w:r>
                  <w:r>
                    <w:rPr>
                      <w:rFonts w:ascii="Times New Roman" w:eastAsia="宋体" w:hAnsi="Times New Roman" w:cs="Times New Roman" w:hint="default"/>
                      <w:color w:val="auto"/>
                      <w:spacing w:val="-5"/>
                      <w:sz w:val="21"/>
                      <w:szCs w:val="21"/>
                    </w:rPr>
                    <w:t>以上）</w:t>
                  </w:r>
                </w:p>
              </w:tc>
              <w:tc>
                <w:tcPr>
                  <w:tcW w:w="948" w:type="dxa"/>
                  <w:vAlign w:val="top"/>
                </w:tcPr>
                <w:p w14:paraId="20CDC15A">
                  <w:pPr>
                    <w:pStyle w:val="TableText"/>
                    <w:spacing w:before="227" w:line="266" w:lineRule="exact"/>
                    <w:ind w:left="398"/>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position w:val="3"/>
                      <w:sz w:val="21"/>
                      <w:szCs w:val="21"/>
                    </w:rPr>
                    <w:t>m</w:t>
                  </w:r>
                </w:p>
              </w:tc>
              <w:tc>
                <w:tcPr>
                  <w:tcW w:w="2037" w:type="dxa"/>
                  <w:vAlign w:val="top"/>
                </w:tcPr>
                <w:p w14:paraId="31154130">
                  <w:pPr>
                    <w:pStyle w:val="TableText"/>
                    <w:numPr>
                      <w:ilvl w:val="0"/>
                      <w:numId w:val="0"/>
                    </w:numPr>
                    <w:spacing w:before="247" w:line="181" w:lineRule="auto"/>
                    <w:ind w:leftChars="0"/>
                    <w:jc w:val="center"/>
                    <w:rPr>
                      <w:rFonts w:ascii="Times New Roman" w:eastAsia="宋体" w:hAnsi="Times New Roman" w:cs="Times New Roman" w:hint="default"/>
                      <w:color w:val="auto"/>
                      <w:sz w:val="21"/>
                      <w:szCs w:val="21"/>
                      <w:lang w:val="en-US" w:eastAsia="zh-CN"/>
                    </w:rPr>
                  </w:pPr>
                  <w:r>
                    <w:rPr>
                      <w:rFonts w:ascii="Times New Roman" w:hAnsi="Times New Roman" w:cs="Times New Roman" w:hint="eastAsia"/>
                      <w:color w:val="auto"/>
                      <w:spacing w:val="-3"/>
                      <w:sz w:val="21"/>
                      <w:szCs w:val="21"/>
                      <w:lang w:val="en-US" w:eastAsia="zh-CN"/>
                    </w:rPr>
                    <w:t>1145</w:t>
                  </w:r>
                </w:p>
              </w:tc>
              <w:tc>
                <w:tcPr>
                  <w:tcW w:w="1296" w:type="dxa"/>
                  <w:vAlign w:val="center"/>
                </w:tcPr>
                <w:p w14:paraId="46A4BA6E">
                  <w:pPr>
                    <w:jc w:val="center"/>
                    <w:rPr>
                      <w:rFonts w:ascii="Times New Roman" w:eastAsia="宋体" w:hAnsi="Times New Roman" w:cs="Times New Roman" w:hint="default"/>
                      <w:color w:val="auto"/>
                      <w:sz w:val="21"/>
                      <w:lang w:val="en-US" w:eastAsia="zh-CN"/>
                    </w:rPr>
                  </w:pPr>
                  <w:r>
                    <w:rPr>
                      <w:rFonts w:ascii="Times New Roman" w:eastAsia="宋体" w:hAnsi="Times New Roman" w:cs="Times New Roman" w:hint="default"/>
                      <w:color w:val="auto"/>
                      <w:sz w:val="21"/>
                      <w:lang w:val="en-US" w:eastAsia="zh-CN"/>
                    </w:rPr>
                    <w:t>/</w:t>
                  </w:r>
                </w:p>
              </w:tc>
            </w:tr>
            <w:tr w14:paraId="435DE009">
              <w:tblPrEx>
                <w:tblW w:w="4999" w:type="pct"/>
                <w:jc w:val="center"/>
                <w:tblCellMar>
                  <w:top w:w="0" w:type="dxa"/>
                  <w:left w:w="0" w:type="dxa"/>
                  <w:bottom w:w="0" w:type="dxa"/>
                  <w:right w:w="0" w:type="dxa"/>
                </w:tblCellMar>
              </w:tblPrEx>
              <w:trPr>
                <w:trHeight w:val="345"/>
                <w:jc w:val="center"/>
              </w:trPr>
              <w:tc>
                <w:tcPr>
                  <w:tcW w:w="730" w:type="dxa"/>
                  <w:vAlign w:val="top"/>
                </w:tcPr>
                <w:p w14:paraId="6B4487F5">
                  <w:pPr>
                    <w:pStyle w:val="TableText"/>
                    <w:spacing w:before="111" w:line="180" w:lineRule="auto"/>
                    <w:ind w:left="319"/>
                    <w:rPr>
                      <w:rFonts w:ascii="Times New Roman" w:eastAsia="宋体" w:hAnsi="Times New Roman" w:cs="Times New Roman" w:hint="default"/>
                      <w:color w:val="auto"/>
                      <w:sz w:val="21"/>
                      <w:szCs w:val="21"/>
                      <w:lang w:eastAsia="zh-CN"/>
                    </w:rPr>
                  </w:pPr>
                  <w:r>
                    <w:rPr>
                      <w:rFonts w:ascii="Times New Roman" w:eastAsia="宋体" w:hAnsi="Times New Roman" w:cs="Times New Roman" w:hint="default"/>
                      <w:color w:val="auto"/>
                      <w:sz w:val="21"/>
                      <w:szCs w:val="21"/>
                      <w:lang w:val="en-US" w:eastAsia="zh-CN"/>
                    </w:rPr>
                    <w:t>5</w:t>
                  </w:r>
                </w:p>
              </w:tc>
              <w:tc>
                <w:tcPr>
                  <w:tcW w:w="3062" w:type="dxa"/>
                  <w:vAlign w:val="top"/>
                </w:tcPr>
                <w:p w14:paraId="1E43ED0C">
                  <w:pPr>
                    <w:spacing w:before="66" w:line="219" w:lineRule="auto"/>
                    <w:ind w:left="121"/>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2"/>
                      <w:sz w:val="21"/>
                      <w:szCs w:val="21"/>
                    </w:rPr>
                    <w:t>站内道路面积</w:t>
                  </w:r>
                </w:p>
              </w:tc>
              <w:tc>
                <w:tcPr>
                  <w:tcW w:w="948" w:type="dxa"/>
                  <w:vAlign w:val="top"/>
                </w:tcPr>
                <w:p w14:paraId="7D11286F">
                  <w:pPr>
                    <w:spacing w:before="66" w:line="236" w:lineRule="auto"/>
                    <w:ind w:left="371"/>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6"/>
                      <w:sz w:val="21"/>
                      <w:szCs w:val="21"/>
                    </w:rPr>
                    <w:t>m</w:t>
                  </w:r>
                  <w:r>
                    <w:rPr>
                      <w:rFonts w:ascii="Times New Roman" w:eastAsia="宋体" w:hAnsi="Times New Roman" w:cs="Times New Roman" w:hint="default"/>
                      <w:color w:val="auto"/>
                      <w:spacing w:val="-6"/>
                      <w:sz w:val="21"/>
                      <w:szCs w:val="21"/>
                      <w:vertAlign w:val="superscript"/>
                      <w:lang w:val="en-US" w:eastAsia="zh-CN"/>
                    </w:rPr>
                    <w:t>2</w:t>
                  </w:r>
                </w:p>
              </w:tc>
              <w:tc>
                <w:tcPr>
                  <w:tcW w:w="2037" w:type="dxa"/>
                  <w:vAlign w:val="top"/>
                </w:tcPr>
                <w:p w14:paraId="6C2B4BBE">
                  <w:pPr>
                    <w:pStyle w:val="TableText"/>
                    <w:spacing w:before="110" w:line="181" w:lineRule="auto"/>
                    <w:ind w:left="756"/>
                    <w:rPr>
                      <w:rFonts w:ascii="Times New Roman" w:eastAsia="宋体" w:hAnsi="Times New Roman" w:cs="Times New Roman" w:hint="default"/>
                      <w:color w:val="auto"/>
                      <w:sz w:val="21"/>
                      <w:szCs w:val="21"/>
                      <w:lang w:val="en-US" w:eastAsia="zh-CN"/>
                    </w:rPr>
                  </w:pPr>
                  <w:r>
                    <w:rPr>
                      <w:rFonts w:ascii="Times New Roman" w:hAnsi="Times New Roman" w:cs="Times New Roman" w:hint="eastAsia"/>
                      <w:color w:val="auto"/>
                      <w:spacing w:val="-3"/>
                      <w:sz w:val="21"/>
                      <w:szCs w:val="21"/>
                      <w:lang w:val="en-US" w:eastAsia="zh-CN"/>
                    </w:rPr>
                    <w:t>33668.23</w:t>
                  </w:r>
                </w:p>
              </w:tc>
              <w:tc>
                <w:tcPr>
                  <w:tcW w:w="1296" w:type="dxa"/>
                  <w:vAlign w:val="center"/>
                </w:tcPr>
                <w:p w14:paraId="081879D8">
                  <w:pPr>
                    <w:jc w:val="center"/>
                    <w:rPr>
                      <w:rFonts w:ascii="Times New Roman" w:eastAsia="宋体" w:hAnsi="Times New Roman" w:cs="Times New Roman" w:hint="default"/>
                      <w:color w:val="auto"/>
                      <w:sz w:val="21"/>
                      <w:lang w:val="en-US" w:eastAsia="zh-CN"/>
                    </w:rPr>
                  </w:pPr>
                  <w:r>
                    <w:rPr>
                      <w:rFonts w:ascii="Times New Roman" w:eastAsia="宋体" w:hAnsi="Times New Roman" w:cs="Times New Roman" w:hint="default"/>
                      <w:color w:val="auto"/>
                      <w:sz w:val="21"/>
                      <w:lang w:val="en-US" w:eastAsia="zh-CN"/>
                    </w:rPr>
                    <w:t>/</w:t>
                  </w:r>
                </w:p>
              </w:tc>
            </w:tr>
            <w:tr w14:paraId="19504916">
              <w:tblPrEx>
                <w:tblW w:w="4999" w:type="pct"/>
                <w:jc w:val="center"/>
                <w:tblCellMar>
                  <w:top w:w="0" w:type="dxa"/>
                  <w:left w:w="0" w:type="dxa"/>
                  <w:bottom w:w="0" w:type="dxa"/>
                  <w:right w:w="0" w:type="dxa"/>
                </w:tblCellMar>
              </w:tblPrEx>
              <w:trPr>
                <w:trHeight w:val="345"/>
                <w:jc w:val="center"/>
              </w:trPr>
              <w:tc>
                <w:tcPr>
                  <w:tcW w:w="730" w:type="dxa"/>
                  <w:vAlign w:val="top"/>
                </w:tcPr>
                <w:p w14:paraId="66896B5E">
                  <w:pPr>
                    <w:pStyle w:val="TableText"/>
                    <w:spacing w:before="113" w:line="179" w:lineRule="auto"/>
                    <w:ind w:left="318"/>
                    <w:rPr>
                      <w:rFonts w:ascii="Times New Roman" w:eastAsia="宋体" w:hAnsi="Times New Roman" w:cs="Times New Roman" w:hint="default"/>
                      <w:color w:val="auto"/>
                      <w:sz w:val="21"/>
                      <w:szCs w:val="21"/>
                      <w:lang w:eastAsia="zh-CN"/>
                    </w:rPr>
                  </w:pPr>
                  <w:r>
                    <w:rPr>
                      <w:rFonts w:ascii="Times New Roman" w:eastAsia="宋体" w:hAnsi="Times New Roman" w:cs="Times New Roman" w:hint="default"/>
                      <w:color w:val="auto"/>
                      <w:sz w:val="21"/>
                      <w:szCs w:val="21"/>
                      <w:lang w:val="en-US" w:eastAsia="zh-CN"/>
                    </w:rPr>
                    <w:t>6</w:t>
                  </w:r>
                </w:p>
              </w:tc>
              <w:tc>
                <w:tcPr>
                  <w:tcW w:w="3062" w:type="dxa"/>
                  <w:vAlign w:val="top"/>
                </w:tcPr>
                <w:p w14:paraId="6CE6D50D">
                  <w:pPr>
                    <w:spacing w:before="66" w:line="219" w:lineRule="auto"/>
                    <w:ind w:left="121"/>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2"/>
                      <w:sz w:val="21"/>
                      <w:szCs w:val="21"/>
                    </w:rPr>
                    <w:t>站内绿化面积</w:t>
                  </w:r>
                </w:p>
              </w:tc>
              <w:tc>
                <w:tcPr>
                  <w:tcW w:w="948" w:type="dxa"/>
                  <w:vAlign w:val="top"/>
                </w:tcPr>
                <w:p w14:paraId="57A7BEE6">
                  <w:pPr>
                    <w:spacing w:before="66" w:line="236" w:lineRule="auto"/>
                    <w:ind w:left="371"/>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6"/>
                      <w:sz w:val="21"/>
                      <w:szCs w:val="21"/>
                    </w:rPr>
                    <w:t>m</w:t>
                  </w:r>
                  <w:r>
                    <w:rPr>
                      <w:rFonts w:ascii="Times New Roman" w:eastAsia="宋体" w:hAnsi="Times New Roman" w:cs="Times New Roman" w:hint="default"/>
                      <w:color w:val="auto"/>
                      <w:spacing w:val="-6"/>
                      <w:sz w:val="21"/>
                      <w:szCs w:val="21"/>
                      <w:vertAlign w:val="superscript"/>
                      <w:lang w:val="en-US" w:eastAsia="zh-CN"/>
                    </w:rPr>
                    <w:t>2</w:t>
                  </w:r>
                </w:p>
              </w:tc>
              <w:tc>
                <w:tcPr>
                  <w:tcW w:w="2037" w:type="dxa"/>
                  <w:vAlign w:val="top"/>
                </w:tcPr>
                <w:p w14:paraId="6D7B75D2">
                  <w:pPr>
                    <w:pStyle w:val="TableText"/>
                    <w:spacing w:before="111" w:line="180" w:lineRule="auto"/>
                    <w:ind w:left="762"/>
                    <w:rPr>
                      <w:rFonts w:ascii="Times New Roman" w:eastAsia="宋体" w:hAnsi="Times New Roman" w:cs="Times New Roman" w:hint="default"/>
                      <w:color w:val="auto"/>
                      <w:sz w:val="21"/>
                      <w:szCs w:val="21"/>
                      <w:lang w:val="en-US" w:eastAsia="zh-CN"/>
                    </w:rPr>
                  </w:pPr>
                  <w:r>
                    <w:rPr>
                      <w:rFonts w:ascii="Times New Roman" w:hAnsi="Times New Roman" w:cs="Times New Roman" w:hint="eastAsia"/>
                      <w:color w:val="auto"/>
                      <w:spacing w:val="-4"/>
                      <w:sz w:val="21"/>
                      <w:szCs w:val="21"/>
                      <w:lang w:val="en-US" w:eastAsia="zh-CN"/>
                    </w:rPr>
                    <w:t>272.71</w:t>
                  </w:r>
                </w:p>
              </w:tc>
              <w:tc>
                <w:tcPr>
                  <w:tcW w:w="1296" w:type="dxa"/>
                  <w:vAlign w:val="center"/>
                </w:tcPr>
                <w:p w14:paraId="194B51C6">
                  <w:pPr>
                    <w:jc w:val="center"/>
                    <w:rPr>
                      <w:rFonts w:ascii="Times New Roman" w:eastAsia="宋体" w:hAnsi="Times New Roman" w:cs="Times New Roman" w:hint="default"/>
                      <w:color w:val="auto"/>
                      <w:sz w:val="21"/>
                      <w:lang w:val="en-US" w:eastAsia="zh-CN"/>
                    </w:rPr>
                  </w:pPr>
                  <w:r>
                    <w:rPr>
                      <w:rFonts w:ascii="Times New Roman" w:eastAsia="宋体" w:hAnsi="Times New Roman" w:cs="Times New Roman" w:hint="default"/>
                      <w:color w:val="auto"/>
                      <w:sz w:val="21"/>
                      <w:lang w:val="en-US" w:eastAsia="zh-CN"/>
                    </w:rPr>
                    <w:t>/</w:t>
                  </w:r>
                </w:p>
              </w:tc>
            </w:tr>
          </w:tbl>
          <w:p w14:paraId="35373DE5">
            <w:pPr>
              <w:pStyle w:val="NormalIndent"/>
              <w:ind w:left="0" w:firstLine="0" w:leftChars="0" w:firstLineChars="0"/>
              <w:jc w:val="center"/>
              <w:rPr>
                <w:rFonts w:ascii="Times New Roman" w:eastAsia="宋体" w:hAnsi="Times New Roman" w:cs="Times New Roman" w:hint="default"/>
                <w:b/>
                <w:bCs/>
                <w:color w:val="auto"/>
                <w:spacing w:val="0"/>
                <w:w w:val="100"/>
                <w:position w:val="0"/>
                <w:sz w:val="24"/>
                <w:szCs w:val="24"/>
                <w:highlight w:val="none"/>
                <w:lang w:val="en-US" w:eastAsia="zh-CN"/>
              </w:rPr>
            </w:pPr>
            <w:r>
              <w:rPr>
                <w:rFonts w:ascii="Times New Roman" w:eastAsia="宋体" w:hAnsi="Times New Roman" w:cs="Times New Roman" w:hint="default"/>
                <w:b/>
                <w:bCs/>
                <w:color w:val="auto"/>
                <w:spacing w:val="0"/>
                <w:w w:val="100"/>
                <w:position w:val="0"/>
                <w:sz w:val="24"/>
                <w:szCs w:val="24"/>
                <w:highlight w:val="none"/>
                <w:lang w:val="en-US" w:eastAsia="zh-CN"/>
              </w:rPr>
              <w:t>表2-2 升压站建筑物一览表</w:t>
            </w:r>
          </w:p>
          <w:tbl>
            <w:tblPr>
              <w:tblStyle w:val="TableNormal0"/>
              <w:tblW w:w="499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843"/>
              <w:gridCol w:w="1438"/>
              <w:gridCol w:w="1299"/>
              <w:gridCol w:w="828"/>
              <w:gridCol w:w="2326"/>
              <w:gridCol w:w="1333"/>
            </w:tblGrid>
            <w:tr w14:paraId="494102C2">
              <w:tblPrEx>
                <w:tblW w:w="499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673"/>
              </w:trPr>
              <w:tc>
                <w:tcPr>
                  <w:tcW w:w="522" w:type="pct"/>
                  <w:vAlign w:val="top"/>
                </w:tcPr>
                <w:p w14:paraId="2B0C6E60">
                  <w:pPr>
                    <w:pStyle w:val="TableText"/>
                    <w:spacing w:before="175" w:line="221" w:lineRule="auto"/>
                    <w:ind w:left="199"/>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2"/>
                      <w:sz w:val="21"/>
                      <w:szCs w:val="21"/>
                    </w:rPr>
                    <w:t>编号</w:t>
                  </w:r>
                </w:p>
              </w:tc>
              <w:tc>
                <w:tcPr>
                  <w:tcW w:w="891" w:type="pct"/>
                  <w:vAlign w:val="top"/>
                </w:tcPr>
                <w:p w14:paraId="172C3267">
                  <w:pPr>
                    <w:pStyle w:val="TableText"/>
                    <w:spacing w:before="175" w:line="223" w:lineRule="auto"/>
                    <w:ind w:left="478"/>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3"/>
                      <w:sz w:val="21"/>
                      <w:szCs w:val="21"/>
                    </w:rPr>
                    <w:t>名称</w:t>
                  </w:r>
                </w:p>
              </w:tc>
              <w:tc>
                <w:tcPr>
                  <w:tcW w:w="805" w:type="pct"/>
                  <w:vAlign w:val="top"/>
                </w:tcPr>
                <w:p w14:paraId="36AFB8B7">
                  <w:pPr>
                    <w:pStyle w:val="TableText"/>
                    <w:spacing w:before="40" w:line="223" w:lineRule="auto"/>
                    <w:ind w:left="303" w:right="197" w:hanging="97"/>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3"/>
                      <w:sz w:val="21"/>
                      <w:szCs w:val="21"/>
                    </w:rPr>
                    <w:t>建筑面积（m</w:t>
                  </w:r>
                  <w:r>
                    <w:rPr>
                      <w:rFonts w:ascii="Times New Roman" w:eastAsia="宋体" w:hAnsi="Times New Roman" w:cs="Times New Roman" w:hint="default"/>
                      <w:color w:val="auto"/>
                      <w:spacing w:val="-3"/>
                      <w:position w:val="9"/>
                      <w:sz w:val="13"/>
                      <w:szCs w:val="13"/>
                    </w:rPr>
                    <w:t>2</w:t>
                  </w:r>
                  <w:r>
                    <w:rPr>
                      <w:rFonts w:ascii="Times New Roman" w:eastAsia="宋体" w:hAnsi="Times New Roman" w:cs="Times New Roman" w:hint="default"/>
                      <w:color w:val="auto"/>
                      <w:spacing w:val="-3"/>
                      <w:sz w:val="21"/>
                      <w:szCs w:val="21"/>
                    </w:rPr>
                    <w:t>）</w:t>
                  </w:r>
                </w:p>
              </w:tc>
              <w:tc>
                <w:tcPr>
                  <w:tcW w:w="513" w:type="pct"/>
                  <w:vAlign w:val="top"/>
                </w:tcPr>
                <w:p w14:paraId="60C1161F">
                  <w:pPr>
                    <w:pStyle w:val="TableText"/>
                    <w:spacing w:before="175" w:line="221" w:lineRule="auto"/>
                    <w:ind w:left="189"/>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2"/>
                      <w:sz w:val="21"/>
                      <w:szCs w:val="21"/>
                    </w:rPr>
                    <w:t>层数</w:t>
                  </w:r>
                </w:p>
              </w:tc>
              <w:tc>
                <w:tcPr>
                  <w:tcW w:w="1441" w:type="pct"/>
                  <w:vAlign w:val="top"/>
                </w:tcPr>
                <w:p w14:paraId="5CE2F5E9">
                  <w:pPr>
                    <w:pStyle w:val="TableText"/>
                    <w:spacing w:before="176" w:line="221" w:lineRule="auto"/>
                    <w:ind w:left="696"/>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3"/>
                      <w:sz w:val="21"/>
                      <w:szCs w:val="21"/>
                    </w:rPr>
                    <w:t>结构形式</w:t>
                  </w:r>
                </w:p>
              </w:tc>
              <w:tc>
                <w:tcPr>
                  <w:tcW w:w="826" w:type="pct"/>
                  <w:vAlign w:val="top"/>
                </w:tcPr>
                <w:p w14:paraId="0955528F">
                  <w:pPr>
                    <w:pStyle w:val="TableText"/>
                    <w:spacing w:before="176" w:line="234" w:lineRule="auto"/>
                    <w:ind w:left="140"/>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1"/>
                      <w:sz w:val="21"/>
                      <w:szCs w:val="21"/>
                    </w:rPr>
                    <w:t>层高（m）</w:t>
                  </w:r>
                </w:p>
              </w:tc>
            </w:tr>
            <w:tr w14:paraId="4FC8F3B7">
              <w:tblPrEx>
                <w:tblW w:w="4996" w:type="pct"/>
                <w:tblInd w:w="0" w:type="dxa"/>
                <w:tblCellMar>
                  <w:top w:w="0" w:type="dxa"/>
                  <w:left w:w="0" w:type="dxa"/>
                  <w:bottom w:w="0" w:type="dxa"/>
                  <w:right w:w="0" w:type="dxa"/>
                </w:tblCellMar>
              </w:tblPrEx>
              <w:trPr>
                <w:trHeight w:val="575"/>
              </w:trPr>
              <w:tc>
                <w:tcPr>
                  <w:tcW w:w="522" w:type="pct"/>
                  <w:vAlign w:val="top"/>
                </w:tcPr>
                <w:p w14:paraId="6398D4DD">
                  <w:pPr>
                    <w:spacing w:before="210" w:line="187" w:lineRule="auto"/>
                    <w:ind w:left="372"/>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1</w:t>
                  </w:r>
                </w:p>
              </w:tc>
              <w:tc>
                <w:tcPr>
                  <w:tcW w:w="891" w:type="pct"/>
                  <w:vAlign w:val="top"/>
                </w:tcPr>
                <w:p w14:paraId="4A555564">
                  <w:pPr>
                    <w:pStyle w:val="TableText"/>
                    <w:spacing w:before="178" w:line="221" w:lineRule="auto"/>
                    <w:jc w:val="center"/>
                    <w:rPr>
                      <w:rFonts w:ascii="Times New Roman" w:eastAsia="宋体" w:hAnsi="Times New Roman" w:cs="Times New Roman" w:hint="default"/>
                      <w:color w:val="auto"/>
                      <w:spacing w:val="-2"/>
                      <w:sz w:val="21"/>
                      <w:szCs w:val="21"/>
                    </w:rPr>
                  </w:pPr>
                  <w:r>
                    <w:rPr>
                      <w:rFonts w:ascii="Times New Roman" w:eastAsia="宋体" w:hAnsi="Times New Roman" w:cs="Times New Roman" w:hint="default"/>
                      <w:color w:val="auto"/>
                      <w:spacing w:val="-2"/>
                      <w:sz w:val="21"/>
                      <w:szCs w:val="21"/>
                    </w:rPr>
                    <w:t>综合楼</w:t>
                  </w:r>
                </w:p>
              </w:tc>
              <w:tc>
                <w:tcPr>
                  <w:tcW w:w="805" w:type="pct"/>
                  <w:vAlign w:val="top"/>
                </w:tcPr>
                <w:p w14:paraId="320E3AE3">
                  <w:pPr>
                    <w:spacing w:before="210" w:line="187" w:lineRule="auto"/>
                    <w:ind w:left="429"/>
                    <w:rPr>
                      <w:rFonts w:ascii="Times New Roman" w:eastAsia="宋体" w:hAnsi="Times New Roman" w:cs="Times New Roman" w:hint="default"/>
                      <w:color w:val="auto"/>
                      <w:sz w:val="21"/>
                      <w:szCs w:val="21"/>
                      <w:lang w:val="en-US" w:eastAsia="zh-CN"/>
                    </w:rPr>
                  </w:pPr>
                  <w:r>
                    <w:rPr>
                      <w:rFonts w:cs="Times New Roman" w:hint="eastAsia"/>
                      <w:color w:val="auto"/>
                      <w:spacing w:val="-5"/>
                      <w:sz w:val="21"/>
                      <w:szCs w:val="21"/>
                      <w:lang w:val="en-US" w:eastAsia="zh-CN"/>
                    </w:rPr>
                    <w:t>948.88</w:t>
                  </w:r>
                </w:p>
              </w:tc>
              <w:tc>
                <w:tcPr>
                  <w:tcW w:w="513" w:type="pct"/>
                  <w:vAlign w:val="top"/>
                </w:tcPr>
                <w:p w14:paraId="38EC5125">
                  <w:pPr>
                    <w:spacing w:before="210" w:line="187" w:lineRule="auto"/>
                    <w:ind w:left="344"/>
                    <w:rPr>
                      <w:rFonts w:ascii="Times New Roman" w:eastAsia="宋体" w:hAnsi="Times New Roman" w:cs="Times New Roman" w:hint="eastAsia"/>
                      <w:color w:val="auto"/>
                      <w:sz w:val="21"/>
                      <w:szCs w:val="21"/>
                      <w:lang w:eastAsia="zh-CN"/>
                    </w:rPr>
                  </w:pPr>
                  <w:r>
                    <w:rPr>
                      <w:rFonts w:cs="Times New Roman" w:hint="eastAsia"/>
                      <w:color w:val="auto"/>
                      <w:sz w:val="21"/>
                      <w:szCs w:val="21"/>
                      <w:lang w:val="en-US" w:eastAsia="zh-CN"/>
                    </w:rPr>
                    <w:t>2</w:t>
                  </w:r>
                </w:p>
              </w:tc>
              <w:tc>
                <w:tcPr>
                  <w:tcW w:w="1441" w:type="pct"/>
                  <w:vAlign w:val="top"/>
                </w:tcPr>
                <w:p w14:paraId="7E33DBD5">
                  <w:pPr>
                    <w:pStyle w:val="TableText"/>
                    <w:spacing w:before="178" w:line="221" w:lineRule="auto"/>
                    <w:ind w:left="163"/>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1"/>
                      <w:sz w:val="21"/>
                      <w:szCs w:val="21"/>
                    </w:rPr>
                    <w:t>钢筋混凝土框架结构</w:t>
                  </w:r>
                </w:p>
              </w:tc>
              <w:tc>
                <w:tcPr>
                  <w:tcW w:w="826" w:type="pct"/>
                  <w:vAlign w:val="top"/>
                </w:tcPr>
                <w:p w14:paraId="71740103">
                  <w:pPr>
                    <w:spacing w:before="206" w:line="191" w:lineRule="auto"/>
                    <w:jc w:val="center"/>
                    <w:rPr>
                      <w:rFonts w:ascii="Times New Roman" w:eastAsia="宋体" w:hAnsi="Times New Roman" w:cs="Times New Roman" w:hint="default"/>
                      <w:color w:val="auto"/>
                      <w:sz w:val="21"/>
                      <w:szCs w:val="21"/>
                      <w:lang w:val="en-US" w:eastAsia="zh-CN"/>
                    </w:rPr>
                  </w:pPr>
                  <w:r>
                    <w:rPr>
                      <w:rFonts w:cs="Times New Roman" w:hint="eastAsia"/>
                      <w:color w:val="auto"/>
                      <w:spacing w:val="-1"/>
                      <w:sz w:val="21"/>
                      <w:szCs w:val="21"/>
                      <w:lang w:val="en-US" w:eastAsia="zh-CN"/>
                    </w:rPr>
                    <w:t>9</w:t>
                  </w:r>
                </w:p>
              </w:tc>
            </w:tr>
            <w:tr w14:paraId="0669EF3F">
              <w:tblPrEx>
                <w:tblW w:w="4996" w:type="pct"/>
                <w:tblInd w:w="0" w:type="dxa"/>
                <w:tblCellMar>
                  <w:top w:w="0" w:type="dxa"/>
                  <w:left w:w="0" w:type="dxa"/>
                  <w:bottom w:w="0" w:type="dxa"/>
                  <w:right w:w="0" w:type="dxa"/>
                </w:tblCellMar>
              </w:tblPrEx>
              <w:trPr>
                <w:trHeight w:val="575"/>
              </w:trPr>
              <w:tc>
                <w:tcPr>
                  <w:tcW w:w="522" w:type="pct"/>
                  <w:vAlign w:val="top"/>
                </w:tcPr>
                <w:p w14:paraId="0EE8C2D0">
                  <w:pPr>
                    <w:spacing w:before="206" w:line="191" w:lineRule="auto"/>
                    <w:jc w:val="center"/>
                    <w:rPr>
                      <w:rFonts w:eastAsia="宋体" w:cs="Times New Roman" w:hint="default"/>
                      <w:color w:val="auto"/>
                      <w:spacing w:val="-1"/>
                      <w:sz w:val="21"/>
                      <w:szCs w:val="21"/>
                      <w:lang w:val="en-US" w:eastAsia="zh-CN"/>
                    </w:rPr>
                  </w:pPr>
                  <w:r>
                    <w:rPr>
                      <w:rFonts w:eastAsia="宋体" w:cs="Times New Roman" w:hint="default"/>
                      <w:color w:val="auto"/>
                      <w:spacing w:val="-1"/>
                      <w:sz w:val="21"/>
                      <w:szCs w:val="21"/>
                      <w:lang w:val="en-US" w:eastAsia="zh-CN"/>
                    </w:rPr>
                    <w:t>2</w:t>
                  </w:r>
                </w:p>
              </w:tc>
              <w:tc>
                <w:tcPr>
                  <w:tcW w:w="891" w:type="pct"/>
                  <w:vAlign w:val="top"/>
                </w:tcPr>
                <w:p w14:paraId="3E2AAD9A">
                  <w:pPr>
                    <w:spacing w:before="206" w:line="191" w:lineRule="auto"/>
                    <w:jc w:val="center"/>
                    <w:rPr>
                      <w:rFonts w:eastAsia="宋体" w:cs="Times New Roman" w:hint="default"/>
                      <w:color w:val="auto"/>
                      <w:spacing w:val="-1"/>
                      <w:sz w:val="21"/>
                      <w:szCs w:val="21"/>
                      <w:lang w:val="en-US" w:eastAsia="zh-CN"/>
                    </w:rPr>
                  </w:pPr>
                  <w:r>
                    <w:rPr>
                      <w:rFonts w:eastAsia="宋体" w:cs="Times New Roman" w:hint="default"/>
                      <w:color w:val="auto"/>
                      <w:spacing w:val="-1"/>
                      <w:sz w:val="21"/>
                      <w:szCs w:val="21"/>
                      <w:lang w:val="en-US" w:eastAsia="zh-CN"/>
                    </w:rPr>
                    <w:t>危废间</w:t>
                  </w:r>
                  <w:r>
                    <w:rPr>
                      <w:rFonts w:cs="Times New Roman" w:hint="eastAsia"/>
                      <w:color w:val="auto"/>
                      <w:spacing w:val="-1"/>
                      <w:sz w:val="21"/>
                      <w:szCs w:val="21"/>
                      <w:lang w:val="en-US" w:eastAsia="zh-CN"/>
                    </w:rPr>
                    <w:t>（固废间）</w:t>
                  </w:r>
                </w:p>
              </w:tc>
              <w:tc>
                <w:tcPr>
                  <w:tcW w:w="805" w:type="pct"/>
                  <w:vAlign w:val="top"/>
                </w:tcPr>
                <w:p w14:paraId="3A4EE770">
                  <w:pPr>
                    <w:spacing w:before="206" w:line="191" w:lineRule="auto"/>
                    <w:jc w:val="center"/>
                    <w:rPr>
                      <w:rFonts w:eastAsia="宋体" w:cs="Times New Roman" w:hint="default"/>
                      <w:color w:val="auto"/>
                      <w:spacing w:val="-1"/>
                      <w:sz w:val="21"/>
                      <w:szCs w:val="21"/>
                      <w:lang w:val="en-US" w:eastAsia="zh-CN"/>
                    </w:rPr>
                  </w:pPr>
                  <w:r>
                    <w:rPr>
                      <w:rFonts w:cs="Times New Roman" w:hint="eastAsia"/>
                      <w:color w:val="auto"/>
                      <w:spacing w:val="-1"/>
                      <w:sz w:val="21"/>
                      <w:szCs w:val="21"/>
                      <w:lang w:val="en-US" w:eastAsia="zh-CN"/>
                    </w:rPr>
                    <w:t>59.7</w:t>
                  </w:r>
                </w:p>
              </w:tc>
              <w:tc>
                <w:tcPr>
                  <w:tcW w:w="513" w:type="pct"/>
                  <w:vAlign w:val="top"/>
                </w:tcPr>
                <w:p w14:paraId="560C7E65">
                  <w:pPr>
                    <w:spacing w:before="206" w:line="191" w:lineRule="auto"/>
                    <w:jc w:val="center"/>
                    <w:rPr>
                      <w:rFonts w:eastAsia="宋体" w:cs="Times New Roman" w:hint="default"/>
                      <w:color w:val="auto"/>
                      <w:spacing w:val="-1"/>
                      <w:sz w:val="21"/>
                      <w:szCs w:val="21"/>
                      <w:lang w:val="en-US" w:eastAsia="zh-CN"/>
                    </w:rPr>
                  </w:pPr>
                  <w:r>
                    <w:rPr>
                      <w:rFonts w:eastAsia="宋体" w:cs="Times New Roman" w:hint="default"/>
                      <w:color w:val="auto"/>
                      <w:spacing w:val="-1"/>
                      <w:sz w:val="21"/>
                      <w:szCs w:val="21"/>
                      <w:lang w:val="en-US" w:eastAsia="zh-CN"/>
                    </w:rPr>
                    <w:t>1</w:t>
                  </w:r>
                </w:p>
              </w:tc>
              <w:tc>
                <w:tcPr>
                  <w:tcW w:w="1441" w:type="pct"/>
                  <w:vAlign w:val="top"/>
                </w:tcPr>
                <w:p w14:paraId="4CFF7AD4">
                  <w:pPr>
                    <w:spacing w:before="206" w:line="191" w:lineRule="auto"/>
                    <w:jc w:val="center"/>
                    <w:rPr>
                      <w:rFonts w:eastAsia="宋体" w:cs="Times New Roman" w:hint="default"/>
                      <w:color w:val="auto"/>
                      <w:spacing w:val="-1"/>
                      <w:sz w:val="21"/>
                      <w:szCs w:val="21"/>
                      <w:lang w:val="en-US" w:eastAsia="zh-CN"/>
                    </w:rPr>
                  </w:pPr>
                  <w:r>
                    <w:rPr>
                      <w:rFonts w:eastAsia="宋体" w:cs="Times New Roman" w:hint="default"/>
                      <w:color w:val="auto"/>
                      <w:spacing w:val="-1"/>
                      <w:sz w:val="21"/>
                      <w:szCs w:val="21"/>
                      <w:lang w:val="en-US" w:eastAsia="zh-CN"/>
                    </w:rPr>
                    <w:t>钢筋混凝土框架结构</w:t>
                  </w:r>
                </w:p>
              </w:tc>
              <w:tc>
                <w:tcPr>
                  <w:tcW w:w="826" w:type="pct"/>
                  <w:vAlign w:val="top"/>
                </w:tcPr>
                <w:p w14:paraId="52DFBCFA">
                  <w:pPr>
                    <w:spacing w:before="206" w:line="191" w:lineRule="auto"/>
                    <w:jc w:val="center"/>
                    <w:rPr>
                      <w:rFonts w:eastAsia="宋体" w:cs="Times New Roman" w:hint="default"/>
                      <w:color w:val="auto"/>
                      <w:spacing w:val="-1"/>
                      <w:sz w:val="21"/>
                      <w:szCs w:val="21"/>
                      <w:lang w:val="en-US" w:eastAsia="zh-CN"/>
                    </w:rPr>
                  </w:pPr>
                  <w:r>
                    <w:rPr>
                      <w:rFonts w:cs="Times New Roman" w:hint="eastAsia"/>
                      <w:color w:val="auto"/>
                      <w:spacing w:val="-1"/>
                      <w:sz w:val="21"/>
                      <w:szCs w:val="21"/>
                      <w:lang w:val="en-US" w:eastAsia="zh-CN"/>
                    </w:rPr>
                    <w:t>5.25</w:t>
                  </w:r>
                </w:p>
              </w:tc>
            </w:tr>
            <w:tr w14:paraId="47E8C13E">
              <w:tblPrEx>
                <w:tblW w:w="4996" w:type="pct"/>
                <w:tblInd w:w="0" w:type="dxa"/>
                <w:tblCellMar>
                  <w:top w:w="0" w:type="dxa"/>
                  <w:left w:w="0" w:type="dxa"/>
                  <w:bottom w:w="0" w:type="dxa"/>
                  <w:right w:w="0" w:type="dxa"/>
                </w:tblCellMar>
              </w:tblPrEx>
              <w:trPr>
                <w:trHeight w:val="90"/>
              </w:trPr>
              <w:tc>
                <w:tcPr>
                  <w:tcW w:w="522" w:type="pct"/>
                  <w:vAlign w:val="top"/>
                </w:tcPr>
                <w:p w14:paraId="6E986390">
                  <w:pPr>
                    <w:spacing w:before="206" w:line="191" w:lineRule="auto"/>
                    <w:jc w:val="center"/>
                    <w:rPr>
                      <w:rFonts w:eastAsia="宋体" w:cs="Times New Roman" w:hint="default"/>
                      <w:color w:val="auto"/>
                      <w:spacing w:val="-1"/>
                      <w:sz w:val="21"/>
                      <w:szCs w:val="21"/>
                      <w:lang w:val="en-US" w:eastAsia="zh-CN"/>
                    </w:rPr>
                  </w:pPr>
                  <w:r>
                    <w:rPr>
                      <w:rFonts w:cs="Times New Roman" w:hint="eastAsia"/>
                      <w:color w:val="auto"/>
                      <w:spacing w:val="-1"/>
                      <w:sz w:val="21"/>
                      <w:szCs w:val="21"/>
                      <w:lang w:val="en-US" w:eastAsia="zh-CN"/>
                    </w:rPr>
                    <w:t>3</w:t>
                  </w:r>
                </w:p>
              </w:tc>
              <w:tc>
                <w:tcPr>
                  <w:tcW w:w="891" w:type="pct"/>
                  <w:vAlign w:val="top"/>
                </w:tcPr>
                <w:p w14:paraId="2A410C8D">
                  <w:pPr>
                    <w:spacing w:before="206" w:line="191" w:lineRule="auto"/>
                    <w:jc w:val="center"/>
                    <w:rPr>
                      <w:rFonts w:eastAsia="宋体" w:cs="Times New Roman" w:hint="default"/>
                      <w:color w:val="auto"/>
                      <w:spacing w:val="-1"/>
                      <w:sz w:val="21"/>
                      <w:szCs w:val="21"/>
                      <w:lang w:val="en-US" w:eastAsia="zh-CN"/>
                    </w:rPr>
                  </w:pPr>
                  <w:r>
                    <w:rPr>
                      <w:rFonts w:cs="Times New Roman" w:hint="eastAsia"/>
                      <w:color w:val="auto"/>
                      <w:spacing w:val="-1"/>
                      <w:sz w:val="21"/>
                      <w:szCs w:val="21"/>
                      <w:lang w:val="en-US" w:eastAsia="zh-CN"/>
                    </w:rPr>
                    <w:t>雨淋阀间</w:t>
                  </w:r>
                </w:p>
              </w:tc>
              <w:tc>
                <w:tcPr>
                  <w:tcW w:w="805" w:type="pct"/>
                  <w:vAlign w:val="top"/>
                </w:tcPr>
                <w:p w14:paraId="4155F8A0">
                  <w:pPr>
                    <w:spacing w:before="206" w:line="191" w:lineRule="auto"/>
                    <w:jc w:val="center"/>
                    <w:rPr>
                      <w:rFonts w:cs="Times New Roman" w:hint="default"/>
                      <w:color w:val="auto"/>
                      <w:spacing w:val="-1"/>
                      <w:sz w:val="21"/>
                      <w:szCs w:val="21"/>
                      <w:lang w:val="en-US" w:eastAsia="zh-CN"/>
                    </w:rPr>
                  </w:pPr>
                  <w:r>
                    <w:rPr>
                      <w:rFonts w:cs="Times New Roman" w:hint="eastAsia"/>
                      <w:color w:val="auto"/>
                      <w:spacing w:val="-1"/>
                      <w:sz w:val="21"/>
                      <w:szCs w:val="21"/>
                      <w:lang w:val="en-US" w:eastAsia="zh-CN"/>
                    </w:rPr>
                    <w:t>40.43</w:t>
                  </w:r>
                </w:p>
              </w:tc>
              <w:tc>
                <w:tcPr>
                  <w:tcW w:w="513" w:type="pct"/>
                  <w:vAlign w:val="top"/>
                </w:tcPr>
                <w:p w14:paraId="4467BD4D">
                  <w:pPr>
                    <w:spacing w:before="206" w:line="191" w:lineRule="auto"/>
                    <w:jc w:val="center"/>
                    <w:rPr>
                      <w:rFonts w:eastAsia="宋体" w:cs="Times New Roman" w:hint="default"/>
                      <w:color w:val="auto"/>
                      <w:spacing w:val="-1"/>
                      <w:sz w:val="21"/>
                      <w:szCs w:val="21"/>
                      <w:lang w:val="en-US" w:eastAsia="zh-CN"/>
                    </w:rPr>
                  </w:pPr>
                  <w:r>
                    <w:rPr>
                      <w:rFonts w:cs="Times New Roman" w:hint="eastAsia"/>
                      <w:color w:val="auto"/>
                      <w:spacing w:val="-1"/>
                      <w:sz w:val="21"/>
                      <w:szCs w:val="21"/>
                      <w:lang w:val="en-US" w:eastAsia="zh-CN"/>
                    </w:rPr>
                    <w:t>1</w:t>
                  </w:r>
                </w:p>
              </w:tc>
              <w:tc>
                <w:tcPr>
                  <w:tcW w:w="1441" w:type="pct"/>
                  <w:vAlign w:val="top"/>
                </w:tcPr>
                <w:p w14:paraId="0CA97702">
                  <w:pPr>
                    <w:spacing w:before="206" w:line="191" w:lineRule="auto"/>
                    <w:jc w:val="center"/>
                    <w:rPr>
                      <w:rFonts w:eastAsia="宋体" w:cs="Times New Roman" w:hint="default"/>
                      <w:color w:val="auto"/>
                      <w:spacing w:val="-1"/>
                      <w:sz w:val="21"/>
                      <w:szCs w:val="21"/>
                      <w:lang w:val="en-US" w:eastAsia="zh-CN"/>
                    </w:rPr>
                  </w:pPr>
                  <w:r>
                    <w:rPr>
                      <w:rFonts w:eastAsia="宋体" w:cs="Times New Roman" w:hint="default"/>
                      <w:color w:val="auto"/>
                      <w:spacing w:val="-1"/>
                      <w:sz w:val="21"/>
                      <w:szCs w:val="21"/>
                      <w:lang w:val="en-US" w:eastAsia="zh-CN"/>
                    </w:rPr>
                    <w:t>钢筋混凝土框架结构</w:t>
                  </w:r>
                </w:p>
              </w:tc>
              <w:tc>
                <w:tcPr>
                  <w:tcW w:w="826" w:type="pct"/>
                  <w:vAlign w:val="top"/>
                </w:tcPr>
                <w:p w14:paraId="11F8981C">
                  <w:pPr>
                    <w:spacing w:before="206" w:line="191" w:lineRule="auto"/>
                    <w:jc w:val="center"/>
                    <w:rPr>
                      <w:rFonts w:eastAsia="宋体" w:cs="Times New Roman" w:hint="default"/>
                      <w:color w:val="auto"/>
                      <w:spacing w:val="-1"/>
                      <w:sz w:val="21"/>
                      <w:szCs w:val="21"/>
                      <w:lang w:val="en-US" w:eastAsia="zh-CN"/>
                    </w:rPr>
                  </w:pPr>
                  <w:r>
                    <w:rPr>
                      <w:rFonts w:cs="Times New Roman" w:hint="eastAsia"/>
                      <w:color w:val="auto"/>
                      <w:spacing w:val="-1"/>
                      <w:sz w:val="21"/>
                      <w:szCs w:val="21"/>
                      <w:lang w:val="en-US" w:eastAsia="zh-CN"/>
                    </w:rPr>
                    <w:t>5.25</w:t>
                  </w:r>
                </w:p>
              </w:tc>
            </w:tr>
            <w:tr w14:paraId="7BBACDC2">
              <w:tblPrEx>
                <w:tblW w:w="4996" w:type="pct"/>
                <w:tblInd w:w="0" w:type="dxa"/>
                <w:tblCellMar>
                  <w:top w:w="0" w:type="dxa"/>
                  <w:left w:w="0" w:type="dxa"/>
                  <w:bottom w:w="0" w:type="dxa"/>
                  <w:right w:w="0" w:type="dxa"/>
                </w:tblCellMar>
              </w:tblPrEx>
              <w:trPr>
                <w:trHeight w:val="575"/>
              </w:trPr>
              <w:tc>
                <w:tcPr>
                  <w:tcW w:w="522" w:type="pct"/>
                  <w:vAlign w:val="top"/>
                </w:tcPr>
                <w:p w14:paraId="01CAE3C5">
                  <w:pPr>
                    <w:spacing w:before="206" w:line="191" w:lineRule="auto"/>
                    <w:jc w:val="center"/>
                    <w:rPr>
                      <w:rFonts w:eastAsia="宋体" w:cs="Times New Roman" w:hint="default"/>
                      <w:color w:val="auto"/>
                      <w:spacing w:val="-1"/>
                      <w:sz w:val="21"/>
                      <w:szCs w:val="21"/>
                      <w:lang w:val="en-US" w:eastAsia="zh-CN"/>
                    </w:rPr>
                  </w:pPr>
                  <w:r>
                    <w:rPr>
                      <w:rFonts w:eastAsia="宋体" w:cs="Times New Roman" w:hint="default"/>
                      <w:color w:val="auto"/>
                      <w:spacing w:val="-1"/>
                      <w:sz w:val="21"/>
                      <w:szCs w:val="21"/>
                      <w:lang w:val="en-US" w:eastAsia="zh-CN"/>
                    </w:rPr>
                    <w:t>3</w:t>
                  </w:r>
                </w:p>
              </w:tc>
              <w:tc>
                <w:tcPr>
                  <w:tcW w:w="891" w:type="pct"/>
                  <w:vAlign w:val="top"/>
                </w:tcPr>
                <w:p w14:paraId="6DC02F7D">
                  <w:pPr>
                    <w:spacing w:before="206" w:line="191" w:lineRule="auto"/>
                    <w:jc w:val="center"/>
                    <w:rPr>
                      <w:rFonts w:eastAsia="宋体" w:cs="Times New Roman" w:hint="default"/>
                      <w:color w:val="auto"/>
                      <w:spacing w:val="-1"/>
                      <w:sz w:val="21"/>
                      <w:szCs w:val="21"/>
                      <w:lang w:val="en-US" w:eastAsia="zh-CN"/>
                    </w:rPr>
                  </w:pPr>
                  <w:r>
                    <w:rPr>
                      <w:rFonts w:cs="Times New Roman" w:hint="eastAsia"/>
                      <w:color w:val="auto"/>
                      <w:spacing w:val="-1"/>
                      <w:sz w:val="21"/>
                      <w:szCs w:val="21"/>
                      <w:lang w:val="en-US" w:eastAsia="zh-CN"/>
                    </w:rPr>
                    <w:t>电气</w:t>
                  </w:r>
                  <w:r>
                    <w:rPr>
                      <w:rFonts w:eastAsia="宋体" w:cs="Times New Roman" w:hint="default"/>
                      <w:color w:val="auto"/>
                      <w:spacing w:val="-1"/>
                      <w:sz w:val="21"/>
                      <w:szCs w:val="21"/>
                      <w:lang w:val="en-US" w:eastAsia="zh-CN"/>
                    </w:rPr>
                    <w:t>楼</w:t>
                  </w:r>
                </w:p>
              </w:tc>
              <w:tc>
                <w:tcPr>
                  <w:tcW w:w="805" w:type="pct"/>
                  <w:vAlign w:val="top"/>
                </w:tcPr>
                <w:p w14:paraId="516C69A1">
                  <w:pPr>
                    <w:spacing w:before="206" w:line="191" w:lineRule="auto"/>
                    <w:jc w:val="center"/>
                    <w:rPr>
                      <w:rFonts w:eastAsia="宋体" w:cs="Times New Roman" w:hint="default"/>
                      <w:color w:val="auto"/>
                      <w:spacing w:val="-1"/>
                      <w:sz w:val="21"/>
                      <w:szCs w:val="21"/>
                      <w:lang w:val="en-US" w:eastAsia="zh-CN"/>
                    </w:rPr>
                  </w:pPr>
                  <w:r>
                    <w:rPr>
                      <w:rFonts w:cs="Times New Roman" w:hint="eastAsia"/>
                      <w:color w:val="auto"/>
                      <w:spacing w:val="-1"/>
                      <w:sz w:val="21"/>
                      <w:szCs w:val="21"/>
                      <w:lang w:val="en-US" w:eastAsia="zh-CN"/>
                    </w:rPr>
                    <w:t>600</w:t>
                  </w:r>
                </w:p>
              </w:tc>
              <w:tc>
                <w:tcPr>
                  <w:tcW w:w="513" w:type="pct"/>
                  <w:vAlign w:val="top"/>
                </w:tcPr>
                <w:p w14:paraId="5284702F">
                  <w:pPr>
                    <w:spacing w:before="206" w:line="191" w:lineRule="auto"/>
                    <w:jc w:val="center"/>
                    <w:rPr>
                      <w:rFonts w:eastAsia="宋体" w:cs="Times New Roman" w:hint="default"/>
                      <w:color w:val="auto"/>
                      <w:spacing w:val="-1"/>
                      <w:sz w:val="21"/>
                      <w:szCs w:val="21"/>
                      <w:lang w:val="en-US" w:eastAsia="zh-CN"/>
                    </w:rPr>
                  </w:pPr>
                  <w:r>
                    <w:rPr>
                      <w:rFonts w:cs="Times New Roman" w:hint="eastAsia"/>
                      <w:color w:val="auto"/>
                      <w:spacing w:val="-1"/>
                      <w:sz w:val="21"/>
                      <w:szCs w:val="21"/>
                      <w:lang w:val="en-US" w:eastAsia="zh-CN"/>
                    </w:rPr>
                    <w:t>1</w:t>
                  </w:r>
                </w:p>
              </w:tc>
              <w:tc>
                <w:tcPr>
                  <w:tcW w:w="1441" w:type="pct"/>
                  <w:vAlign w:val="top"/>
                </w:tcPr>
                <w:p w14:paraId="7C52AD00">
                  <w:pPr>
                    <w:spacing w:before="206" w:line="191" w:lineRule="auto"/>
                    <w:jc w:val="center"/>
                    <w:rPr>
                      <w:rFonts w:eastAsia="宋体" w:cs="Times New Roman" w:hint="default"/>
                      <w:color w:val="auto"/>
                      <w:spacing w:val="-1"/>
                      <w:sz w:val="21"/>
                      <w:szCs w:val="21"/>
                      <w:lang w:val="en-US" w:eastAsia="zh-CN"/>
                    </w:rPr>
                  </w:pPr>
                  <w:r>
                    <w:rPr>
                      <w:rFonts w:eastAsia="宋体" w:cs="Times New Roman" w:hint="default"/>
                      <w:color w:val="auto"/>
                      <w:spacing w:val="-1"/>
                      <w:sz w:val="21"/>
                      <w:szCs w:val="21"/>
                      <w:lang w:val="en-US" w:eastAsia="zh-CN"/>
                    </w:rPr>
                    <w:t>钢筋混凝土框架结构</w:t>
                  </w:r>
                </w:p>
              </w:tc>
              <w:tc>
                <w:tcPr>
                  <w:tcW w:w="826" w:type="pct"/>
                  <w:vAlign w:val="top"/>
                </w:tcPr>
                <w:p w14:paraId="75A5EE84">
                  <w:pPr>
                    <w:spacing w:before="206" w:line="191" w:lineRule="auto"/>
                    <w:jc w:val="center"/>
                    <w:rPr>
                      <w:rFonts w:eastAsia="宋体" w:cs="Times New Roman" w:hint="default"/>
                      <w:color w:val="auto"/>
                      <w:spacing w:val="-1"/>
                      <w:sz w:val="21"/>
                      <w:szCs w:val="21"/>
                      <w:lang w:val="en-US" w:eastAsia="zh-CN"/>
                    </w:rPr>
                  </w:pPr>
                  <w:r>
                    <w:rPr>
                      <w:rFonts w:cs="Times New Roman" w:hint="eastAsia"/>
                      <w:color w:val="auto"/>
                      <w:spacing w:val="-1"/>
                      <w:sz w:val="21"/>
                      <w:szCs w:val="21"/>
                      <w:lang w:val="en-US" w:eastAsia="zh-CN"/>
                    </w:rPr>
                    <w:t>12</w:t>
                  </w:r>
                </w:p>
              </w:tc>
            </w:tr>
            <w:tr w14:paraId="5912D982">
              <w:tblPrEx>
                <w:tblW w:w="4996" w:type="pct"/>
                <w:tblInd w:w="0" w:type="dxa"/>
                <w:tblCellMar>
                  <w:top w:w="0" w:type="dxa"/>
                  <w:left w:w="0" w:type="dxa"/>
                  <w:bottom w:w="0" w:type="dxa"/>
                  <w:right w:w="0" w:type="dxa"/>
                </w:tblCellMar>
              </w:tblPrEx>
              <w:trPr>
                <w:trHeight w:val="577"/>
              </w:trPr>
              <w:tc>
                <w:tcPr>
                  <w:tcW w:w="522" w:type="pct"/>
                  <w:vAlign w:val="top"/>
                </w:tcPr>
                <w:p w14:paraId="34A47CC8">
                  <w:pPr>
                    <w:spacing w:before="206" w:line="191" w:lineRule="auto"/>
                    <w:jc w:val="center"/>
                    <w:rPr>
                      <w:rFonts w:eastAsia="宋体" w:cs="Times New Roman" w:hint="default"/>
                      <w:color w:val="auto"/>
                      <w:spacing w:val="-1"/>
                      <w:sz w:val="21"/>
                      <w:szCs w:val="21"/>
                      <w:lang w:val="en-US" w:eastAsia="zh-CN"/>
                    </w:rPr>
                  </w:pPr>
                  <w:r>
                    <w:rPr>
                      <w:rFonts w:eastAsia="宋体" w:cs="Times New Roman" w:hint="default"/>
                      <w:color w:val="auto"/>
                      <w:spacing w:val="-1"/>
                      <w:sz w:val="21"/>
                      <w:szCs w:val="21"/>
                      <w:lang w:val="en-US" w:eastAsia="zh-CN"/>
                    </w:rPr>
                    <w:t>4</w:t>
                  </w:r>
                </w:p>
              </w:tc>
              <w:tc>
                <w:tcPr>
                  <w:tcW w:w="891" w:type="pct"/>
                  <w:vAlign w:val="top"/>
                </w:tcPr>
                <w:p w14:paraId="6ED53C63">
                  <w:pPr>
                    <w:spacing w:before="206" w:line="191" w:lineRule="auto"/>
                    <w:jc w:val="center"/>
                    <w:rPr>
                      <w:rFonts w:eastAsia="宋体" w:cs="Times New Roman" w:hint="default"/>
                      <w:color w:val="auto"/>
                      <w:spacing w:val="-1"/>
                      <w:sz w:val="21"/>
                      <w:szCs w:val="21"/>
                      <w:lang w:val="en-US" w:eastAsia="zh-CN"/>
                    </w:rPr>
                  </w:pPr>
                  <w:r>
                    <w:rPr>
                      <w:rFonts w:cs="Times New Roman" w:hint="eastAsia"/>
                      <w:color w:val="auto"/>
                      <w:spacing w:val="-1"/>
                      <w:sz w:val="21"/>
                      <w:szCs w:val="21"/>
                      <w:lang w:val="en-US" w:eastAsia="zh-CN"/>
                    </w:rPr>
                    <w:t>消防</w:t>
                  </w:r>
                  <w:r>
                    <w:rPr>
                      <w:rFonts w:eastAsia="宋体" w:cs="Times New Roman" w:hint="default"/>
                      <w:color w:val="auto"/>
                      <w:spacing w:val="-1"/>
                      <w:sz w:val="21"/>
                      <w:szCs w:val="21"/>
                      <w:lang w:val="en-US" w:eastAsia="zh-CN"/>
                    </w:rPr>
                    <w:t>泵房</w:t>
                  </w:r>
                </w:p>
              </w:tc>
              <w:tc>
                <w:tcPr>
                  <w:tcW w:w="805" w:type="pct"/>
                  <w:vAlign w:val="top"/>
                </w:tcPr>
                <w:p w14:paraId="2CF433FB">
                  <w:pPr>
                    <w:spacing w:before="206" w:line="191" w:lineRule="auto"/>
                    <w:jc w:val="center"/>
                    <w:rPr>
                      <w:rFonts w:eastAsia="宋体" w:cs="Times New Roman" w:hint="default"/>
                      <w:color w:val="auto"/>
                      <w:spacing w:val="-1"/>
                      <w:sz w:val="21"/>
                      <w:szCs w:val="21"/>
                      <w:lang w:val="en-US" w:eastAsia="zh-CN"/>
                    </w:rPr>
                  </w:pPr>
                  <w:r>
                    <w:rPr>
                      <w:rFonts w:eastAsia="宋体" w:cs="Times New Roman" w:hint="default"/>
                      <w:color w:val="auto"/>
                      <w:spacing w:val="-1"/>
                      <w:sz w:val="21"/>
                      <w:szCs w:val="21"/>
                      <w:lang w:val="en-US" w:eastAsia="zh-CN"/>
                    </w:rPr>
                    <w:t>2</w:t>
                  </w:r>
                  <w:r>
                    <w:rPr>
                      <w:rFonts w:cs="Times New Roman" w:hint="eastAsia"/>
                      <w:color w:val="auto"/>
                      <w:spacing w:val="-1"/>
                      <w:sz w:val="21"/>
                      <w:szCs w:val="21"/>
                      <w:lang w:val="en-US" w:eastAsia="zh-CN"/>
                    </w:rPr>
                    <w:t>80</w:t>
                  </w:r>
                </w:p>
              </w:tc>
              <w:tc>
                <w:tcPr>
                  <w:tcW w:w="513" w:type="pct"/>
                  <w:vAlign w:val="top"/>
                </w:tcPr>
                <w:p w14:paraId="3BB75359">
                  <w:pPr>
                    <w:spacing w:before="206" w:line="191" w:lineRule="auto"/>
                    <w:jc w:val="center"/>
                    <w:rPr>
                      <w:rFonts w:eastAsia="宋体" w:cs="Times New Roman" w:hint="default"/>
                      <w:color w:val="auto"/>
                      <w:spacing w:val="-1"/>
                      <w:sz w:val="21"/>
                      <w:szCs w:val="21"/>
                      <w:lang w:val="en-US" w:eastAsia="zh-CN"/>
                    </w:rPr>
                  </w:pPr>
                  <w:r>
                    <w:rPr>
                      <w:rFonts w:cs="Times New Roman" w:hint="eastAsia"/>
                      <w:color w:val="auto"/>
                      <w:spacing w:val="-1"/>
                      <w:sz w:val="21"/>
                      <w:szCs w:val="21"/>
                      <w:lang w:val="en-US" w:eastAsia="zh-CN"/>
                    </w:rPr>
                    <w:t>地上1层，地下1层</w:t>
                  </w:r>
                </w:p>
              </w:tc>
              <w:tc>
                <w:tcPr>
                  <w:tcW w:w="1441" w:type="pct"/>
                  <w:vAlign w:val="top"/>
                </w:tcPr>
                <w:p w14:paraId="749646A0">
                  <w:pPr>
                    <w:spacing w:before="206" w:line="191" w:lineRule="auto"/>
                    <w:jc w:val="center"/>
                    <w:rPr>
                      <w:rFonts w:eastAsia="宋体" w:cs="Times New Roman" w:hint="default"/>
                      <w:color w:val="auto"/>
                      <w:spacing w:val="-1"/>
                      <w:sz w:val="21"/>
                      <w:szCs w:val="21"/>
                      <w:lang w:val="en-US" w:eastAsia="zh-CN"/>
                    </w:rPr>
                  </w:pPr>
                  <w:r>
                    <w:rPr>
                      <w:rFonts w:eastAsia="宋体" w:cs="Times New Roman" w:hint="default"/>
                      <w:color w:val="auto"/>
                      <w:spacing w:val="-1"/>
                      <w:sz w:val="21"/>
                      <w:szCs w:val="21"/>
                      <w:lang w:val="en-US" w:eastAsia="zh-CN"/>
                    </w:rPr>
                    <w:t>地下箱型，地上钢筋混 凝土框架结构</w:t>
                  </w:r>
                </w:p>
              </w:tc>
              <w:tc>
                <w:tcPr>
                  <w:tcW w:w="826" w:type="pct"/>
                  <w:vAlign w:val="top"/>
                </w:tcPr>
                <w:p w14:paraId="0A7BE896">
                  <w:pPr>
                    <w:spacing w:before="206" w:line="191" w:lineRule="auto"/>
                    <w:jc w:val="center"/>
                    <w:rPr>
                      <w:rFonts w:eastAsia="宋体" w:cs="Times New Roman" w:hint="default"/>
                      <w:color w:val="auto"/>
                      <w:spacing w:val="-1"/>
                      <w:sz w:val="21"/>
                      <w:szCs w:val="21"/>
                      <w:lang w:val="en-US" w:eastAsia="zh-CN"/>
                    </w:rPr>
                  </w:pPr>
                  <w:r>
                    <w:rPr>
                      <w:rFonts w:eastAsia="宋体" w:cs="Times New Roman" w:hint="eastAsia"/>
                      <w:color w:val="auto"/>
                      <w:spacing w:val="-1"/>
                      <w:sz w:val="21"/>
                      <w:szCs w:val="21"/>
                      <w:lang w:val="en-US" w:eastAsia="zh-CN"/>
                    </w:rPr>
                    <w:t>3.55</w:t>
                  </w:r>
                </w:p>
              </w:tc>
            </w:tr>
            <w:tr w14:paraId="3F552E9A">
              <w:tblPrEx>
                <w:tblW w:w="4996" w:type="pct"/>
                <w:tblInd w:w="0" w:type="dxa"/>
                <w:tblCellMar>
                  <w:top w:w="0" w:type="dxa"/>
                  <w:left w:w="0" w:type="dxa"/>
                  <w:bottom w:w="0" w:type="dxa"/>
                  <w:right w:w="0" w:type="dxa"/>
                </w:tblCellMar>
              </w:tblPrEx>
              <w:trPr>
                <w:trHeight w:val="577"/>
              </w:trPr>
              <w:tc>
                <w:tcPr>
                  <w:tcW w:w="522" w:type="pct"/>
                  <w:vAlign w:val="top"/>
                </w:tcPr>
                <w:p w14:paraId="531694B6">
                  <w:pPr>
                    <w:spacing w:before="206" w:line="191" w:lineRule="auto"/>
                    <w:jc w:val="center"/>
                    <w:rPr>
                      <w:rFonts w:eastAsia="宋体" w:cs="Times New Roman" w:hint="default"/>
                      <w:color w:val="auto"/>
                      <w:spacing w:val="-1"/>
                      <w:sz w:val="21"/>
                      <w:szCs w:val="21"/>
                      <w:lang w:val="en-US" w:eastAsia="zh-CN"/>
                    </w:rPr>
                  </w:pPr>
                  <w:r>
                    <w:rPr>
                      <w:rFonts w:cs="Times New Roman" w:hint="eastAsia"/>
                      <w:color w:val="auto"/>
                      <w:spacing w:val="-1"/>
                      <w:sz w:val="21"/>
                      <w:szCs w:val="21"/>
                      <w:lang w:val="en-US" w:eastAsia="zh-CN"/>
                    </w:rPr>
                    <w:t>5</w:t>
                  </w:r>
                </w:p>
              </w:tc>
              <w:tc>
                <w:tcPr>
                  <w:tcW w:w="891" w:type="pct"/>
                  <w:vAlign w:val="top"/>
                </w:tcPr>
                <w:p w14:paraId="055EF3A2">
                  <w:pPr>
                    <w:spacing w:before="206" w:line="191" w:lineRule="auto"/>
                    <w:jc w:val="center"/>
                    <w:rPr>
                      <w:rFonts w:cs="Times New Roman" w:hint="default"/>
                      <w:color w:val="auto"/>
                      <w:spacing w:val="-1"/>
                      <w:sz w:val="21"/>
                      <w:szCs w:val="21"/>
                      <w:lang w:val="en-US" w:eastAsia="zh-CN"/>
                    </w:rPr>
                  </w:pPr>
                  <w:r>
                    <w:rPr>
                      <w:rFonts w:cs="Times New Roman" w:hint="eastAsia"/>
                      <w:color w:val="auto"/>
                      <w:spacing w:val="-1"/>
                      <w:sz w:val="21"/>
                      <w:szCs w:val="21"/>
                      <w:lang w:val="en-US" w:eastAsia="zh-CN"/>
                    </w:rPr>
                    <w:t>门卫</w:t>
                  </w:r>
                </w:p>
              </w:tc>
              <w:tc>
                <w:tcPr>
                  <w:tcW w:w="805" w:type="pct"/>
                  <w:vAlign w:val="top"/>
                </w:tcPr>
                <w:p w14:paraId="6A04D20F">
                  <w:pPr>
                    <w:spacing w:before="206" w:line="191" w:lineRule="auto"/>
                    <w:jc w:val="center"/>
                    <w:rPr>
                      <w:rFonts w:eastAsia="宋体" w:cs="Times New Roman" w:hint="default"/>
                      <w:color w:val="auto"/>
                      <w:spacing w:val="-1"/>
                      <w:sz w:val="21"/>
                      <w:szCs w:val="21"/>
                      <w:lang w:val="en-US" w:eastAsia="zh-CN"/>
                    </w:rPr>
                  </w:pPr>
                  <w:r>
                    <w:rPr>
                      <w:rFonts w:cs="Times New Roman" w:hint="eastAsia"/>
                      <w:color w:val="auto"/>
                      <w:spacing w:val="-1"/>
                      <w:sz w:val="21"/>
                      <w:szCs w:val="21"/>
                      <w:lang w:val="en-US" w:eastAsia="zh-CN"/>
                    </w:rPr>
                    <w:t>276.28</w:t>
                  </w:r>
                </w:p>
              </w:tc>
              <w:tc>
                <w:tcPr>
                  <w:tcW w:w="513" w:type="pct"/>
                  <w:vAlign w:val="top"/>
                </w:tcPr>
                <w:p w14:paraId="2E07E5DF">
                  <w:pPr>
                    <w:spacing w:before="206" w:line="191" w:lineRule="auto"/>
                    <w:jc w:val="center"/>
                    <w:rPr>
                      <w:rFonts w:eastAsia="宋体" w:cs="Times New Roman" w:hint="default"/>
                      <w:color w:val="auto"/>
                      <w:spacing w:val="-1"/>
                      <w:sz w:val="21"/>
                      <w:szCs w:val="21"/>
                      <w:lang w:val="en-US" w:eastAsia="zh-CN"/>
                    </w:rPr>
                  </w:pPr>
                  <w:r>
                    <w:rPr>
                      <w:rFonts w:cs="Times New Roman" w:hint="eastAsia"/>
                      <w:color w:val="auto"/>
                      <w:spacing w:val="-1"/>
                      <w:sz w:val="21"/>
                      <w:szCs w:val="21"/>
                      <w:lang w:val="en-US" w:eastAsia="zh-CN"/>
                    </w:rPr>
                    <w:t>1</w:t>
                  </w:r>
                </w:p>
              </w:tc>
              <w:tc>
                <w:tcPr>
                  <w:tcW w:w="1441" w:type="pct"/>
                  <w:vAlign w:val="top"/>
                </w:tcPr>
                <w:p w14:paraId="120A4014">
                  <w:pPr>
                    <w:spacing w:before="206" w:line="191" w:lineRule="auto"/>
                    <w:jc w:val="center"/>
                    <w:rPr>
                      <w:rFonts w:eastAsia="宋体" w:cs="Times New Roman" w:hint="default"/>
                      <w:color w:val="auto"/>
                      <w:spacing w:val="-1"/>
                      <w:sz w:val="21"/>
                      <w:szCs w:val="21"/>
                      <w:lang w:val="en-US" w:eastAsia="zh-CN"/>
                    </w:rPr>
                  </w:pPr>
                  <w:r>
                    <w:rPr>
                      <w:rFonts w:eastAsia="宋体" w:cs="Times New Roman" w:hint="default"/>
                      <w:color w:val="auto"/>
                      <w:spacing w:val="-1"/>
                      <w:sz w:val="21"/>
                      <w:szCs w:val="21"/>
                      <w:lang w:val="en-US" w:eastAsia="zh-CN"/>
                    </w:rPr>
                    <w:t>钢筋混凝土框架结构</w:t>
                  </w:r>
                </w:p>
              </w:tc>
              <w:tc>
                <w:tcPr>
                  <w:tcW w:w="826" w:type="pct"/>
                  <w:vAlign w:val="top"/>
                </w:tcPr>
                <w:p w14:paraId="55BCFB64">
                  <w:pPr>
                    <w:spacing w:before="206" w:line="191" w:lineRule="auto"/>
                    <w:jc w:val="center"/>
                    <w:rPr>
                      <w:rFonts w:eastAsia="宋体" w:cs="Times New Roman" w:hint="default"/>
                      <w:color w:val="auto"/>
                      <w:spacing w:val="-1"/>
                      <w:sz w:val="21"/>
                      <w:szCs w:val="21"/>
                      <w:lang w:val="en-US" w:eastAsia="zh-CN"/>
                    </w:rPr>
                  </w:pPr>
                  <w:r>
                    <w:rPr>
                      <w:rFonts w:cs="Times New Roman" w:hint="eastAsia"/>
                      <w:color w:val="auto"/>
                      <w:spacing w:val="-1"/>
                      <w:sz w:val="21"/>
                      <w:szCs w:val="21"/>
                      <w:lang w:val="en-US" w:eastAsia="zh-CN"/>
                    </w:rPr>
                    <w:t>4.5</w:t>
                  </w:r>
                </w:p>
              </w:tc>
            </w:tr>
            <w:tr w14:paraId="6B0C22B2">
              <w:tblPrEx>
                <w:tblW w:w="4996" w:type="pct"/>
                <w:tblInd w:w="0" w:type="dxa"/>
                <w:tblCellMar>
                  <w:top w:w="0" w:type="dxa"/>
                  <w:left w:w="0" w:type="dxa"/>
                  <w:bottom w:w="0" w:type="dxa"/>
                  <w:right w:w="0" w:type="dxa"/>
                </w:tblCellMar>
              </w:tblPrEx>
              <w:trPr>
                <w:trHeight w:val="577"/>
              </w:trPr>
              <w:tc>
                <w:tcPr>
                  <w:tcW w:w="522" w:type="pct"/>
                  <w:vAlign w:val="top"/>
                </w:tcPr>
                <w:p w14:paraId="71393177">
                  <w:pPr>
                    <w:spacing w:before="206" w:line="191" w:lineRule="auto"/>
                    <w:jc w:val="center"/>
                    <w:rPr>
                      <w:rFonts w:cs="Times New Roman" w:hint="default"/>
                      <w:color w:val="auto"/>
                      <w:spacing w:val="-1"/>
                      <w:sz w:val="21"/>
                      <w:szCs w:val="21"/>
                      <w:lang w:val="en-US" w:eastAsia="zh-CN"/>
                    </w:rPr>
                  </w:pPr>
                  <w:r>
                    <w:rPr>
                      <w:rFonts w:cs="Times New Roman" w:hint="eastAsia"/>
                      <w:color w:val="auto"/>
                      <w:spacing w:val="-1"/>
                      <w:sz w:val="21"/>
                      <w:szCs w:val="21"/>
                      <w:lang w:val="en-US" w:eastAsia="zh-CN"/>
                    </w:rPr>
                    <w:t>6</w:t>
                  </w:r>
                </w:p>
              </w:tc>
              <w:tc>
                <w:tcPr>
                  <w:tcW w:w="891" w:type="pct"/>
                  <w:vAlign w:val="top"/>
                </w:tcPr>
                <w:p w14:paraId="7670F4EA">
                  <w:pPr>
                    <w:spacing w:before="206" w:line="191" w:lineRule="auto"/>
                    <w:jc w:val="center"/>
                    <w:rPr>
                      <w:rFonts w:cs="Times New Roman" w:hint="eastAsia"/>
                      <w:color w:val="auto"/>
                      <w:spacing w:val="-1"/>
                      <w:sz w:val="21"/>
                      <w:szCs w:val="21"/>
                      <w:lang w:val="en-US" w:eastAsia="zh-CN"/>
                    </w:rPr>
                  </w:pPr>
                  <w:r>
                    <w:rPr>
                      <w:rFonts w:cs="Times New Roman" w:hint="eastAsia"/>
                      <w:color w:val="auto"/>
                      <w:spacing w:val="-1"/>
                      <w:sz w:val="21"/>
                      <w:szCs w:val="21"/>
                      <w:lang w:val="en-US" w:eastAsia="zh-CN"/>
                    </w:rPr>
                    <w:t>液流电池厂房</w:t>
                  </w:r>
                </w:p>
              </w:tc>
              <w:tc>
                <w:tcPr>
                  <w:tcW w:w="805" w:type="pct"/>
                  <w:vAlign w:val="top"/>
                </w:tcPr>
                <w:p w14:paraId="730480C9">
                  <w:pPr>
                    <w:spacing w:before="206" w:line="191" w:lineRule="auto"/>
                    <w:jc w:val="center"/>
                    <w:rPr>
                      <w:rFonts w:cs="Times New Roman" w:hint="default"/>
                      <w:color w:val="auto"/>
                      <w:spacing w:val="-1"/>
                      <w:sz w:val="21"/>
                      <w:szCs w:val="21"/>
                      <w:lang w:val="en-US" w:eastAsia="zh-CN"/>
                    </w:rPr>
                  </w:pPr>
                  <w:r>
                    <w:rPr>
                      <w:rFonts w:cs="Times New Roman" w:hint="eastAsia"/>
                      <w:color w:val="auto"/>
                      <w:spacing w:val="-1"/>
                      <w:sz w:val="21"/>
                      <w:szCs w:val="21"/>
                      <w:lang w:val="en-US" w:eastAsia="zh-CN"/>
                    </w:rPr>
                    <w:t>24990.42</w:t>
                  </w:r>
                </w:p>
              </w:tc>
              <w:tc>
                <w:tcPr>
                  <w:tcW w:w="513" w:type="pct"/>
                  <w:vAlign w:val="top"/>
                </w:tcPr>
                <w:p w14:paraId="6C1558C3">
                  <w:pPr>
                    <w:spacing w:before="206" w:line="191" w:lineRule="auto"/>
                    <w:jc w:val="center"/>
                    <w:rPr>
                      <w:rFonts w:cs="Times New Roman" w:hint="default"/>
                      <w:color w:val="auto"/>
                      <w:spacing w:val="-1"/>
                      <w:sz w:val="21"/>
                      <w:szCs w:val="21"/>
                      <w:lang w:val="en-US" w:eastAsia="zh-CN"/>
                    </w:rPr>
                  </w:pPr>
                  <w:r>
                    <w:rPr>
                      <w:rFonts w:cs="Times New Roman" w:hint="eastAsia"/>
                      <w:color w:val="auto"/>
                      <w:spacing w:val="-1"/>
                      <w:sz w:val="21"/>
                      <w:szCs w:val="21"/>
                      <w:lang w:val="en-US" w:eastAsia="zh-CN"/>
                    </w:rPr>
                    <w:t>2</w:t>
                  </w:r>
                </w:p>
              </w:tc>
              <w:tc>
                <w:tcPr>
                  <w:tcW w:w="1441" w:type="pct"/>
                  <w:vAlign w:val="top"/>
                </w:tcPr>
                <w:p w14:paraId="3CB427F7">
                  <w:pPr>
                    <w:spacing w:before="206" w:line="191" w:lineRule="auto"/>
                    <w:jc w:val="center"/>
                    <w:rPr>
                      <w:rFonts w:eastAsia="宋体" w:cs="Times New Roman" w:hint="default"/>
                      <w:color w:val="auto"/>
                      <w:spacing w:val="-1"/>
                      <w:sz w:val="21"/>
                      <w:szCs w:val="21"/>
                      <w:lang w:val="en-US" w:eastAsia="zh-CN"/>
                    </w:rPr>
                  </w:pPr>
                  <w:r>
                    <w:rPr>
                      <w:rFonts w:eastAsia="宋体" w:cs="Times New Roman" w:hint="default"/>
                      <w:color w:val="auto"/>
                      <w:spacing w:val="-1"/>
                      <w:sz w:val="21"/>
                      <w:szCs w:val="21"/>
                      <w:lang w:val="en-US" w:eastAsia="zh-CN"/>
                    </w:rPr>
                    <w:t>钢筋混凝土框架结构</w:t>
                  </w:r>
                  <w:r>
                    <w:rPr>
                      <w:rFonts w:cs="Times New Roman" w:hint="eastAsia"/>
                      <w:color w:val="auto"/>
                      <w:spacing w:val="-1"/>
                      <w:sz w:val="21"/>
                      <w:szCs w:val="21"/>
                      <w:lang w:val="en-US" w:eastAsia="zh-CN"/>
                    </w:rPr>
                    <w:t>，一层为电解液储罐区，二层为储能模块区</w:t>
                  </w:r>
                </w:p>
              </w:tc>
              <w:tc>
                <w:tcPr>
                  <w:tcW w:w="826" w:type="pct"/>
                  <w:vAlign w:val="top"/>
                </w:tcPr>
                <w:p w14:paraId="14F422B8">
                  <w:pPr>
                    <w:spacing w:before="206" w:line="191" w:lineRule="auto"/>
                    <w:jc w:val="center"/>
                    <w:rPr>
                      <w:rFonts w:cs="Times New Roman" w:hint="default"/>
                      <w:color w:val="auto"/>
                      <w:spacing w:val="-1"/>
                      <w:sz w:val="21"/>
                      <w:szCs w:val="21"/>
                      <w:lang w:val="en-US" w:eastAsia="zh-CN"/>
                    </w:rPr>
                  </w:pPr>
                  <w:r>
                    <w:rPr>
                      <w:rFonts w:cs="Times New Roman" w:hint="eastAsia"/>
                      <w:color w:val="auto"/>
                      <w:spacing w:val="-1"/>
                      <w:sz w:val="21"/>
                      <w:szCs w:val="21"/>
                      <w:lang w:val="en-US" w:eastAsia="zh-CN"/>
                    </w:rPr>
                    <w:t>15.9</w:t>
                  </w:r>
                </w:p>
              </w:tc>
            </w:tr>
          </w:tbl>
          <w:p w14:paraId="05082167">
            <w:pPr>
              <w:spacing w:before="206" w:line="191" w:lineRule="auto"/>
              <w:jc w:val="both"/>
              <w:rPr>
                <w:rFonts w:ascii="Times New Roman" w:eastAsia="宋体" w:hAnsi="Times New Roman" w:cs="Times New Roman" w:hint="default"/>
                <w:color w:val="auto"/>
                <w:sz w:val="24"/>
                <w:szCs w:val="24"/>
                <w:highlight w:val="none"/>
                <w:lang w:val="en-US" w:eastAsia="zh-CN"/>
              </w:rPr>
            </w:pPr>
            <w:r>
              <w:rPr>
                <w:rFonts w:eastAsia="宋体" w:cs="Times New Roman" w:hint="default"/>
                <w:color w:val="auto"/>
                <w:spacing w:val="-1"/>
                <w:sz w:val="21"/>
                <w:szCs w:val="21"/>
                <w:lang w:val="en-US" w:eastAsia="zh-CN"/>
              </w:rPr>
              <w:t>3、工程建设内容及规模</w:t>
            </w:r>
          </w:p>
          <w:p w14:paraId="041F1B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本项目储能总计容量为</w:t>
            </w:r>
            <w:r>
              <w:rPr>
                <w:rFonts w:cs="Times New Roman" w:hint="eastAsia"/>
                <w:color w:val="auto"/>
                <w:sz w:val="24"/>
                <w:szCs w:val="24"/>
                <w:highlight w:val="none"/>
                <w:lang w:val="en-US" w:eastAsia="zh-CN"/>
              </w:rPr>
              <w:t>355MW/920MWh</w:t>
            </w:r>
            <w:r>
              <w:rPr>
                <w:rFonts w:ascii="Times New Roman" w:eastAsia="宋体" w:hAnsi="Times New Roman" w:cs="Times New Roman" w:hint="default"/>
                <w:color w:val="auto"/>
                <w:sz w:val="24"/>
                <w:szCs w:val="24"/>
                <w:highlight w:val="none"/>
                <w:lang w:val="en-US" w:eastAsia="zh-CN"/>
              </w:rPr>
              <w:t>，配套建设1座220kV升压站，升压站内建设2台容量为</w:t>
            </w:r>
            <w:r>
              <w:rPr>
                <w:rFonts w:cs="Times New Roman" w:hint="eastAsia"/>
                <w:color w:val="auto"/>
                <w:sz w:val="24"/>
                <w:szCs w:val="24"/>
                <w:highlight w:val="none"/>
                <w:lang w:val="en-US" w:eastAsia="zh-CN"/>
              </w:rPr>
              <w:t>180MVA</w:t>
            </w:r>
            <w:r>
              <w:rPr>
                <w:rFonts w:ascii="Times New Roman" w:eastAsia="宋体" w:hAnsi="Times New Roman" w:cs="Times New Roman" w:hint="default"/>
                <w:color w:val="auto"/>
                <w:sz w:val="24"/>
                <w:szCs w:val="24"/>
                <w:highlight w:val="none"/>
                <w:lang w:val="en-US" w:eastAsia="zh-CN"/>
              </w:rPr>
              <w:t>的主变压器。</w:t>
            </w:r>
          </w:p>
          <w:p w14:paraId="74069832">
            <w:pPr>
              <w:pStyle w:val="00000-"/>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表2-</w:t>
            </w:r>
            <w:r>
              <w:rPr>
                <w:rFonts w:ascii="Times New Roman" w:eastAsia="宋体" w:hAnsi="Times New Roman" w:cs="Times New Roman" w:hint="default"/>
                <w:color w:val="auto"/>
                <w:sz w:val="24"/>
                <w:szCs w:val="24"/>
                <w:highlight w:val="none"/>
                <w:lang w:val="en-US" w:eastAsia="zh-CN"/>
              </w:rPr>
              <w:t xml:space="preserve">3    </w:t>
            </w:r>
            <w:r>
              <w:rPr>
                <w:rFonts w:ascii="Times New Roman" w:eastAsia="宋体" w:hAnsi="Times New Roman" w:cs="Times New Roman" w:hint="default"/>
                <w:color w:val="auto"/>
                <w:sz w:val="24"/>
                <w:szCs w:val="24"/>
                <w:highlight w:val="none"/>
              </w:rPr>
              <w:t>本项目工程组成一览表</w:t>
            </w:r>
          </w:p>
          <w:tbl>
            <w:tblPr>
              <w:tblStyle w:val="TableNormal"/>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Grid>
              <w:gridCol w:w="481"/>
              <w:gridCol w:w="489"/>
              <w:gridCol w:w="1099"/>
              <w:gridCol w:w="5973"/>
            </w:tblGrid>
            <w:tr w14:paraId="76AFD706">
              <w:tblPrEx>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Ex>
              <w:trPr>
                <w:jc w:val="center"/>
              </w:trPr>
              <w:tc>
                <w:tcPr>
                  <w:tcW w:w="603" w:type="pct"/>
                  <w:gridSpan w:val="2"/>
                  <w:shd w:val="clear" w:color="auto" w:fill="auto"/>
                  <w:noWrap w:val="0"/>
                  <w:vAlign w:val="center"/>
                </w:tcPr>
                <w:p w14:paraId="31CEC298">
                  <w:pPr>
                    <w:autoSpaceDE w:val="0"/>
                    <w:autoSpaceDN w:val="0"/>
                    <w:adjustRightInd w:val="0"/>
                    <w:jc w:val="center"/>
                    <w:textAlignment w:val="baseline"/>
                    <w:rPr>
                      <w:rFonts w:ascii="Times New Roman"/>
                      <w:b/>
                      <w:bCs/>
                      <w:color w:val="auto"/>
                      <w:sz w:val="21"/>
                      <w:szCs w:val="21"/>
                    </w:rPr>
                  </w:pPr>
                  <w:r>
                    <w:rPr>
                      <w:rFonts w:ascii="Times New Roman"/>
                      <w:b/>
                      <w:bCs/>
                      <w:color w:val="auto"/>
                      <w:sz w:val="21"/>
                      <w:szCs w:val="21"/>
                    </w:rPr>
                    <w:t>分类</w:t>
                  </w:r>
                </w:p>
              </w:tc>
              <w:tc>
                <w:tcPr>
                  <w:tcW w:w="4396" w:type="pct"/>
                  <w:gridSpan w:val="2"/>
                  <w:shd w:val="clear" w:color="auto" w:fill="auto"/>
                  <w:noWrap w:val="0"/>
                  <w:vAlign w:val="center"/>
                </w:tcPr>
                <w:p w14:paraId="32DBD2FE">
                  <w:pPr>
                    <w:autoSpaceDE w:val="0"/>
                    <w:autoSpaceDN w:val="0"/>
                    <w:adjustRightInd w:val="0"/>
                    <w:jc w:val="center"/>
                    <w:textAlignment w:val="baseline"/>
                    <w:rPr>
                      <w:rFonts w:ascii="Times New Roman"/>
                      <w:b/>
                      <w:bCs/>
                      <w:color w:val="auto"/>
                      <w:sz w:val="21"/>
                      <w:szCs w:val="21"/>
                    </w:rPr>
                  </w:pPr>
                  <w:r>
                    <w:rPr>
                      <w:rFonts w:ascii="Times New Roman"/>
                      <w:b/>
                      <w:bCs/>
                      <w:color w:val="auto"/>
                      <w:sz w:val="21"/>
                      <w:szCs w:val="21"/>
                    </w:rPr>
                    <w:t>工程内容与参数</w:t>
                  </w:r>
                </w:p>
              </w:tc>
            </w:tr>
            <w:tr w14:paraId="73E00AC9">
              <w:tblPrEx>
                <w:tblW w:w="4996" w:type="pct"/>
                <w:jc w:val="center"/>
                <w:tblCellMar>
                  <w:top w:w="0" w:type="dxa"/>
                  <w:left w:w="108" w:type="dxa"/>
                  <w:bottom w:w="0" w:type="dxa"/>
                  <w:right w:w="108" w:type="dxa"/>
                </w:tblCellMar>
              </w:tblPrEx>
              <w:trPr>
                <w:trHeight w:val="90"/>
                <w:jc w:val="center"/>
              </w:trPr>
              <w:tc>
                <w:tcPr>
                  <w:tcW w:w="299" w:type="pct"/>
                  <w:vMerge w:val="restart"/>
                  <w:shd w:val="clear" w:color="auto" w:fill="auto"/>
                  <w:noWrap w:val="0"/>
                  <w:vAlign w:val="center"/>
                </w:tcPr>
                <w:p w14:paraId="6FE7CB0E">
                  <w:pPr>
                    <w:autoSpaceDE w:val="0"/>
                    <w:autoSpaceDN w:val="0"/>
                    <w:adjustRightInd w:val="0"/>
                    <w:jc w:val="center"/>
                    <w:textAlignment w:val="baseline"/>
                    <w:rPr>
                      <w:rFonts w:ascii="Times New Roman"/>
                      <w:color w:val="auto"/>
                      <w:sz w:val="21"/>
                      <w:szCs w:val="21"/>
                    </w:rPr>
                  </w:pPr>
                  <w:r>
                    <w:rPr>
                      <w:rFonts w:ascii="Times New Roman"/>
                      <w:color w:val="auto"/>
                      <w:sz w:val="21"/>
                      <w:szCs w:val="21"/>
                    </w:rPr>
                    <w:t>主体工程</w:t>
                  </w:r>
                </w:p>
              </w:tc>
              <w:tc>
                <w:tcPr>
                  <w:tcW w:w="304" w:type="pct"/>
                  <w:vMerge w:val="restart"/>
                  <w:shd w:val="clear" w:color="auto" w:fill="auto"/>
                  <w:noWrap w:val="0"/>
                  <w:vAlign w:val="center"/>
                </w:tcPr>
                <w:p w14:paraId="516C3FB5">
                  <w:pPr>
                    <w:autoSpaceDE w:val="0"/>
                    <w:autoSpaceDN w:val="0"/>
                    <w:adjustRightInd w:val="0"/>
                    <w:jc w:val="center"/>
                    <w:textAlignment w:val="baseline"/>
                    <w:rPr>
                      <w:rFonts w:ascii="Times New Roman"/>
                      <w:color w:val="auto"/>
                      <w:sz w:val="21"/>
                      <w:szCs w:val="21"/>
                    </w:rPr>
                  </w:pPr>
                  <w:r>
                    <w:rPr>
                      <w:rFonts w:ascii="Times New Roman"/>
                      <w:color w:val="auto"/>
                      <w:sz w:val="21"/>
                      <w:szCs w:val="21"/>
                    </w:rPr>
                    <w:t>升压站</w:t>
                  </w:r>
                </w:p>
              </w:tc>
              <w:tc>
                <w:tcPr>
                  <w:tcW w:w="683" w:type="pct"/>
                  <w:shd w:val="clear" w:color="auto" w:fill="auto"/>
                  <w:noWrap w:val="0"/>
                  <w:vAlign w:val="center"/>
                </w:tcPr>
                <w:p w14:paraId="71BE1CFD">
                  <w:pPr>
                    <w:autoSpaceDE w:val="0"/>
                    <w:autoSpaceDN w:val="0"/>
                    <w:adjustRightInd w:val="0"/>
                    <w:jc w:val="center"/>
                    <w:textAlignment w:val="baseline"/>
                    <w:rPr>
                      <w:rFonts w:ascii="Times New Roman"/>
                      <w:color w:val="auto"/>
                      <w:sz w:val="21"/>
                      <w:szCs w:val="21"/>
                    </w:rPr>
                  </w:pPr>
                  <w:r>
                    <w:rPr>
                      <w:rFonts w:ascii="Times New Roman"/>
                      <w:color w:val="auto"/>
                      <w:sz w:val="21"/>
                      <w:szCs w:val="21"/>
                    </w:rPr>
                    <w:t>主变压器</w:t>
                  </w:r>
                </w:p>
              </w:tc>
              <w:tc>
                <w:tcPr>
                  <w:tcW w:w="3713" w:type="pct"/>
                  <w:shd w:val="clear" w:color="auto" w:fill="auto"/>
                  <w:noWrap w:val="0"/>
                  <w:vAlign w:val="center"/>
                </w:tcPr>
                <w:p w14:paraId="7416C0BA">
                  <w:pPr>
                    <w:autoSpaceDE w:val="0"/>
                    <w:autoSpaceDN w:val="0"/>
                    <w:adjustRightInd w:val="0"/>
                    <w:jc w:val="left"/>
                    <w:textAlignment w:val="baseline"/>
                    <w:rPr>
                      <w:rFonts w:ascii="Times New Roman"/>
                      <w:color w:val="auto"/>
                      <w:sz w:val="21"/>
                      <w:szCs w:val="21"/>
                    </w:rPr>
                  </w:pPr>
                  <w:r>
                    <w:rPr>
                      <w:rFonts w:ascii="Times New Roman"/>
                      <w:color w:val="auto"/>
                      <w:sz w:val="21"/>
                      <w:szCs w:val="21"/>
                    </w:rPr>
                    <w:t>户外配置2台</w:t>
                  </w:r>
                  <w:r>
                    <w:rPr>
                      <w:rFonts w:hint="eastAsia"/>
                      <w:color w:val="auto"/>
                      <w:sz w:val="21"/>
                      <w:szCs w:val="21"/>
                      <w:lang w:val="en-US" w:eastAsia="zh-CN"/>
                    </w:rPr>
                    <w:t>18</w:t>
                  </w:r>
                  <w:r>
                    <w:rPr>
                      <w:rFonts w:ascii="Times New Roman"/>
                      <w:color w:val="auto"/>
                      <w:sz w:val="21"/>
                      <w:szCs w:val="21"/>
                    </w:rPr>
                    <w:t>0MVA主变，</w:t>
                  </w:r>
                  <w:r>
                    <w:rPr>
                      <w:rFonts w:ascii="Times New Roman" w:hint="eastAsia"/>
                      <w:color w:val="auto"/>
                      <w:sz w:val="21"/>
                      <w:szCs w:val="21"/>
                    </w:rPr>
                    <w:t>采用三相双绕组有载调压油浸风冷变压器</w:t>
                  </w:r>
                  <w:r>
                    <w:rPr>
                      <w:rFonts w:ascii="Times New Roman"/>
                      <w:color w:val="auto"/>
                      <w:sz w:val="21"/>
                      <w:szCs w:val="21"/>
                    </w:rPr>
                    <w:t>，主变基础为钢筋混凝土肋梁式基础</w:t>
                  </w:r>
                </w:p>
              </w:tc>
            </w:tr>
            <w:tr w14:paraId="2803680A">
              <w:tblPrEx>
                <w:tblW w:w="4996" w:type="pct"/>
                <w:jc w:val="center"/>
                <w:tblCellMar>
                  <w:top w:w="0" w:type="dxa"/>
                  <w:left w:w="108" w:type="dxa"/>
                  <w:bottom w:w="0" w:type="dxa"/>
                  <w:right w:w="108" w:type="dxa"/>
                </w:tblCellMar>
              </w:tblPrEx>
              <w:trPr>
                <w:jc w:val="center"/>
              </w:trPr>
              <w:tc>
                <w:tcPr>
                  <w:tcW w:w="299" w:type="pct"/>
                  <w:vMerge/>
                  <w:shd w:val="clear" w:color="auto" w:fill="auto"/>
                  <w:noWrap w:val="0"/>
                  <w:vAlign w:val="center"/>
                </w:tcPr>
                <w:p w14:paraId="51BFC531">
                  <w:pPr>
                    <w:autoSpaceDE w:val="0"/>
                    <w:autoSpaceDN w:val="0"/>
                    <w:adjustRightInd w:val="0"/>
                    <w:jc w:val="center"/>
                    <w:textAlignment w:val="baseline"/>
                    <w:rPr>
                      <w:rFonts w:ascii="Times New Roman"/>
                      <w:color w:val="auto"/>
                      <w:sz w:val="21"/>
                      <w:szCs w:val="21"/>
                    </w:rPr>
                  </w:pPr>
                </w:p>
              </w:tc>
              <w:tc>
                <w:tcPr>
                  <w:tcW w:w="304" w:type="pct"/>
                  <w:vMerge/>
                  <w:shd w:val="clear" w:color="auto" w:fill="auto"/>
                  <w:noWrap w:val="0"/>
                  <w:vAlign w:val="center"/>
                </w:tcPr>
                <w:p w14:paraId="03383224">
                  <w:pPr>
                    <w:autoSpaceDE w:val="0"/>
                    <w:autoSpaceDN w:val="0"/>
                    <w:adjustRightInd w:val="0"/>
                    <w:jc w:val="center"/>
                    <w:textAlignment w:val="baseline"/>
                    <w:rPr>
                      <w:rFonts w:ascii="Times New Roman"/>
                      <w:color w:val="auto"/>
                      <w:sz w:val="21"/>
                      <w:szCs w:val="21"/>
                    </w:rPr>
                  </w:pPr>
                </w:p>
              </w:tc>
              <w:tc>
                <w:tcPr>
                  <w:tcW w:w="683" w:type="pct"/>
                  <w:shd w:val="clear" w:color="auto" w:fill="auto"/>
                  <w:noWrap w:val="0"/>
                  <w:vAlign w:val="center"/>
                </w:tcPr>
                <w:p w14:paraId="69ACBC56">
                  <w:pPr>
                    <w:autoSpaceDE w:val="0"/>
                    <w:autoSpaceDN w:val="0"/>
                    <w:adjustRightInd w:val="0"/>
                    <w:jc w:val="center"/>
                    <w:textAlignment w:val="baseline"/>
                    <w:rPr>
                      <w:rFonts w:ascii="Times New Roman"/>
                      <w:color w:val="auto"/>
                      <w:sz w:val="21"/>
                      <w:szCs w:val="21"/>
                    </w:rPr>
                  </w:pPr>
                  <w:r>
                    <w:rPr>
                      <w:rFonts w:ascii="Times New Roman"/>
                      <w:color w:val="auto"/>
                      <w:sz w:val="21"/>
                      <w:szCs w:val="21"/>
                    </w:rPr>
                    <w:t>220kV配电设备</w:t>
                  </w:r>
                </w:p>
              </w:tc>
              <w:tc>
                <w:tcPr>
                  <w:tcW w:w="3713" w:type="pct"/>
                  <w:shd w:val="clear" w:color="auto" w:fill="auto"/>
                  <w:noWrap w:val="0"/>
                  <w:vAlign w:val="center"/>
                </w:tcPr>
                <w:p w14:paraId="496F8116">
                  <w:pPr>
                    <w:autoSpaceDE w:val="0"/>
                    <w:autoSpaceDN w:val="0"/>
                    <w:adjustRightInd w:val="0"/>
                    <w:jc w:val="left"/>
                    <w:textAlignment w:val="baseline"/>
                    <w:rPr>
                      <w:rFonts w:ascii="Times New Roman"/>
                      <w:color w:val="auto"/>
                      <w:sz w:val="21"/>
                      <w:szCs w:val="21"/>
                    </w:rPr>
                  </w:pPr>
                  <w:r>
                    <w:rPr>
                      <w:rFonts w:ascii="Times New Roman"/>
                      <w:color w:val="auto"/>
                      <w:sz w:val="21"/>
                      <w:szCs w:val="21"/>
                    </w:rPr>
                    <w:t>采用</w:t>
                  </w:r>
                  <w:r>
                    <w:rPr>
                      <w:rFonts w:hint="eastAsia"/>
                      <w:color w:val="auto"/>
                      <w:sz w:val="21"/>
                      <w:szCs w:val="21"/>
                      <w:lang w:val="en-US" w:eastAsia="zh-CN"/>
                    </w:rPr>
                    <w:t>预制舱</w:t>
                  </w:r>
                  <w:r>
                    <w:rPr>
                      <w:rFonts w:ascii="Times New Roman" w:hint="eastAsia"/>
                      <w:color w:val="auto"/>
                      <w:sz w:val="21"/>
                      <w:szCs w:val="21"/>
                      <w:lang w:val="en-US" w:eastAsia="zh-CN"/>
                    </w:rPr>
                    <w:t>内</w:t>
                  </w:r>
                  <w:r>
                    <w:rPr>
                      <w:rFonts w:ascii="Times New Roman"/>
                      <w:color w:val="auto"/>
                      <w:sz w:val="21"/>
                      <w:szCs w:val="21"/>
                    </w:rPr>
                    <w:t>GIS+外置氧化锌避雷器Y10W-204/532+外置电容式电压互感器，GIS基础为钢筋混凝基础</w:t>
                  </w:r>
                </w:p>
              </w:tc>
            </w:tr>
            <w:tr w14:paraId="139FB866">
              <w:tblPrEx>
                <w:tblW w:w="4996" w:type="pct"/>
                <w:jc w:val="center"/>
                <w:tblCellMar>
                  <w:top w:w="0" w:type="dxa"/>
                  <w:left w:w="108" w:type="dxa"/>
                  <w:bottom w:w="0" w:type="dxa"/>
                  <w:right w:w="108" w:type="dxa"/>
                </w:tblCellMar>
              </w:tblPrEx>
              <w:trPr>
                <w:jc w:val="center"/>
              </w:trPr>
              <w:tc>
                <w:tcPr>
                  <w:tcW w:w="299" w:type="pct"/>
                  <w:vMerge/>
                  <w:shd w:val="clear" w:color="auto" w:fill="auto"/>
                  <w:noWrap w:val="0"/>
                  <w:vAlign w:val="center"/>
                </w:tcPr>
                <w:p w14:paraId="500F81AA">
                  <w:pPr>
                    <w:autoSpaceDE w:val="0"/>
                    <w:autoSpaceDN w:val="0"/>
                    <w:adjustRightInd w:val="0"/>
                    <w:jc w:val="center"/>
                    <w:textAlignment w:val="baseline"/>
                    <w:rPr>
                      <w:rFonts w:ascii="Times New Roman"/>
                      <w:color w:val="auto"/>
                      <w:sz w:val="21"/>
                      <w:szCs w:val="21"/>
                    </w:rPr>
                  </w:pPr>
                </w:p>
              </w:tc>
              <w:tc>
                <w:tcPr>
                  <w:tcW w:w="304" w:type="pct"/>
                  <w:vMerge/>
                  <w:shd w:val="clear" w:color="auto" w:fill="auto"/>
                  <w:noWrap w:val="0"/>
                  <w:vAlign w:val="center"/>
                </w:tcPr>
                <w:p w14:paraId="5F29B2B4">
                  <w:pPr>
                    <w:autoSpaceDE w:val="0"/>
                    <w:autoSpaceDN w:val="0"/>
                    <w:adjustRightInd w:val="0"/>
                    <w:jc w:val="center"/>
                    <w:textAlignment w:val="baseline"/>
                    <w:rPr>
                      <w:rFonts w:ascii="Times New Roman"/>
                      <w:color w:val="auto"/>
                      <w:sz w:val="21"/>
                      <w:szCs w:val="21"/>
                    </w:rPr>
                  </w:pPr>
                </w:p>
              </w:tc>
              <w:tc>
                <w:tcPr>
                  <w:tcW w:w="683" w:type="pct"/>
                  <w:shd w:val="clear" w:color="auto" w:fill="auto"/>
                  <w:noWrap w:val="0"/>
                  <w:vAlign w:val="center"/>
                </w:tcPr>
                <w:p w14:paraId="74A7B170">
                  <w:pPr>
                    <w:autoSpaceDE w:val="0"/>
                    <w:autoSpaceDN w:val="0"/>
                    <w:adjustRightInd w:val="0"/>
                    <w:jc w:val="center"/>
                    <w:textAlignment w:val="baseline"/>
                    <w:rPr>
                      <w:rFonts w:ascii="Times New Roman"/>
                      <w:color w:val="auto"/>
                      <w:sz w:val="21"/>
                      <w:szCs w:val="21"/>
                    </w:rPr>
                  </w:pPr>
                  <w:r>
                    <w:rPr>
                      <w:rFonts w:ascii="Times New Roman"/>
                      <w:color w:val="auto"/>
                      <w:sz w:val="21"/>
                      <w:szCs w:val="21"/>
                    </w:rPr>
                    <w:t>35kV电气设备</w:t>
                  </w:r>
                </w:p>
              </w:tc>
              <w:tc>
                <w:tcPr>
                  <w:tcW w:w="3713" w:type="pct"/>
                  <w:shd w:val="clear" w:color="auto" w:fill="auto"/>
                  <w:noWrap w:val="0"/>
                  <w:vAlign w:val="center"/>
                </w:tcPr>
                <w:p w14:paraId="01F8B92B">
                  <w:pPr>
                    <w:autoSpaceDE w:val="0"/>
                    <w:autoSpaceDN w:val="0"/>
                    <w:adjustRightInd w:val="0"/>
                    <w:jc w:val="left"/>
                    <w:textAlignment w:val="baseline"/>
                    <w:rPr>
                      <w:rFonts w:ascii="Times New Roman"/>
                      <w:color w:val="auto"/>
                      <w:sz w:val="21"/>
                      <w:szCs w:val="21"/>
                    </w:rPr>
                  </w:pPr>
                  <w:r>
                    <w:rPr>
                      <w:rFonts w:ascii="Times New Roman"/>
                      <w:color w:val="auto"/>
                      <w:sz w:val="21"/>
                      <w:szCs w:val="21"/>
                    </w:rPr>
                    <w:t>采用手车式户内高压开关柜，35kV真空断路器（主进柜、接地变柜、PT柜、出线柜、储能柜）+35kV电流互感器+电磁式电压互感器+无功补偿装置+氧化锌避雷器</w:t>
                  </w:r>
                  <w:r>
                    <w:rPr>
                      <w:rFonts w:ascii="Times New Roman" w:hint="eastAsia"/>
                      <w:color w:val="auto"/>
                      <w:sz w:val="21"/>
                      <w:szCs w:val="21"/>
                    </w:rPr>
                    <w:t xml:space="preserve">Y10W-204/532 </w:t>
                  </w:r>
                </w:p>
              </w:tc>
            </w:tr>
            <w:tr w14:paraId="4F8C2899">
              <w:tblPrEx>
                <w:tblW w:w="4996" w:type="pct"/>
                <w:jc w:val="center"/>
                <w:tblCellMar>
                  <w:top w:w="0" w:type="dxa"/>
                  <w:left w:w="108" w:type="dxa"/>
                  <w:bottom w:w="0" w:type="dxa"/>
                  <w:right w:w="108" w:type="dxa"/>
                </w:tblCellMar>
              </w:tblPrEx>
              <w:trPr>
                <w:jc w:val="center"/>
              </w:trPr>
              <w:tc>
                <w:tcPr>
                  <w:tcW w:w="299" w:type="pct"/>
                  <w:vMerge/>
                  <w:shd w:val="clear" w:color="auto" w:fill="auto"/>
                  <w:noWrap w:val="0"/>
                  <w:vAlign w:val="center"/>
                </w:tcPr>
                <w:p w14:paraId="1B3C3711">
                  <w:pPr>
                    <w:autoSpaceDE w:val="0"/>
                    <w:autoSpaceDN w:val="0"/>
                    <w:adjustRightInd w:val="0"/>
                    <w:jc w:val="center"/>
                    <w:textAlignment w:val="baseline"/>
                    <w:rPr>
                      <w:rFonts w:ascii="Times New Roman"/>
                      <w:color w:val="auto"/>
                      <w:sz w:val="21"/>
                      <w:szCs w:val="21"/>
                    </w:rPr>
                  </w:pPr>
                </w:p>
              </w:tc>
              <w:tc>
                <w:tcPr>
                  <w:tcW w:w="304" w:type="pct"/>
                  <w:vMerge/>
                  <w:shd w:val="clear" w:color="auto" w:fill="auto"/>
                  <w:noWrap w:val="0"/>
                  <w:vAlign w:val="center"/>
                </w:tcPr>
                <w:p w14:paraId="759BDEB2">
                  <w:pPr>
                    <w:autoSpaceDE w:val="0"/>
                    <w:autoSpaceDN w:val="0"/>
                    <w:adjustRightInd w:val="0"/>
                    <w:jc w:val="center"/>
                    <w:textAlignment w:val="baseline"/>
                    <w:rPr>
                      <w:rFonts w:ascii="Times New Roman"/>
                      <w:color w:val="auto"/>
                      <w:sz w:val="21"/>
                      <w:szCs w:val="21"/>
                    </w:rPr>
                  </w:pPr>
                </w:p>
              </w:tc>
              <w:tc>
                <w:tcPr>
                  <w:tcW w:w="683" w:type="pct"/>
                  <w:shd w:val="clear" w:color="auto" w:fill="auto"/>
                  <w:noWrap w:val="0"/>
                  <w:vAlign w:val="center"/>
                </w:tcPr>
                <w:p w14:paraId="5852B20B">
                  <w:pPr>
                    <w:autoSpaceDE w:val="0"/>
                    <w:autoSpaceDN w:val="0"/>
                    <w:adjustRightInd w:val="0"/>
                    <w:jc w:val="center"/>
                    <w:textAlignment w:val="baseline"/>
                    <w:rPr>
                      <w:rFonts w:ascii="Times New Roman"/>
                      <w:color w:val="auto"/>
                      <w:sz w:val="21"/>
                      <w:szCs w:val="21"/>
                    </w:rPr>
                  </w:pPr>
                  <w:r>
                    <w:rPr>
                      <w:rFonts w:ascii="Times New Roman"/>
                      <w:color w:val="auto"/>
                      <w:sz w:val="21"/>
                      <w:szCs w:val="21"/>
                    </w:rPr>
                    <w:t>出线回数</w:t>
                  </w:r>
                </w:p>
              </w:tc>
              <w:tc>
                <w:tcPr>
                  <w:tcW w:w="3713" w:type="pct"/>
                  <w:shd w:val="clear" w:color="auto" w:fill="auto"/>
                  <w:noWrap w:val="0"/>
                  <w:vAlign w:val="center"/>
                </w:tcPr>
                <w:p w14:paraId="5B303228">
                  <w:pPr>
                    <w:autoSpaceDE w:val="0"/>
                    <w:autoSpaceDN w:val="0"/>
                    <w:adjustRightInd w:val="0"/>
                    <w:jc w:val="left"/>
                    <w:textAlignment w:val="baseline"/>
                    <w:rPr>
                      <w:rFonts w:ascii="Times New Roman"/>
                      <w:color w:val="auto"/>
                      <w:sz w:val="21"/>
                      <w:szCs w:val="21"/>
                    </w:rPr>
                  </w:pPr>
                  <w:r>
                    <w:rPr>
                      <w:rFonts w:ascii="Times New Roman"/>
                      <w:color w:val="auto"/>
                      <w:sz w:val="21"/>
                      <w:szCs w:val="21"/>
                    </w:rPr>
                    <w:t>220kV出线建设1回；</w:t>
                  </w:r>
                </w:p>
                <w:p w14:paraId="3BA74AA2">
                  <w:pPr>
                    <w:autoSpaceDE w:val="0"/>
                    <w:autoSpaceDN w:val="0"/>
                    <w:adjustRightInd w:val="0"/>
                    <w:jc w:val="left"/>
                    <w:textAlignment w:val="baseline"/>
                    <w:rPr>
                      <w:rFonts w:ascii="Times New Roman" w:eastAsia="宋体" w:hint="eastAsia"/>
                      <w:color w:val="auto"/>
                      <w:sz w:val="21"/>
                      <w:szCs w:val="21"/>
                      <w:lang w:eastAsia="zh-CN"/>
                    </w:rPr>
                  </w:pPr>
                  <w:r>
                    <w:rPr>
                      <w:rFonts w:ascii="Times New Roman"/>
                      <w:color w:val="auto"/>
                      <w:sz w:val="21"/>
                      <w:szCs w:val="21"/>
                    </w:rPr>
                    <w:t>35kV出线</w:t>
                  </w:r>
                  <w:r>
                    <w:rPr>
                      <w:rFonts w:ascii="Times New Roman" w:hint="eastAsia"/>
                      <w:color w:val="auto"/>
                      <w:sz w:val="21"/>
                      <w:szCs w:val="21"/>
                    </w:rPr>
                    <w:t>：</w:t>
                  </w:r>
                  <w:r>
                    <w:rPr>
                      <w:rFonts w:ascii="Times New Roman"/>
                      <w:color w:val="auto"/>
                      <w:sz w:val="21"/>
                      <w:szCs w:val="21"/>
                    </w:rPr>
                    <w:t>储能进线柜1</w:t>
                  </w:r>
                  <w:r>
                    <w:rPr>
                      <w:rFonts w:ascii="Times New Roman" w:hint="eastAsia"/>
                      <w:color w:val="auto"/>
                      <w:sz w:val="21"/>
                      <w:szCs w:val="21"/>
                      <w:lang w:val="en-US" w:eastAsia="zh-CN"/>
                    </w:rPr>
                    <w:t>6</w:t>
                  </w:r>
                  <w:r>
                    <w:rPr>
                      <w:rFonts w:ascii="Times New Roman"/>
                      <w:color w:val="auto"/>
                      <w:sz w:val="21"/>
                      <w:szCs w:val="21"/>
                    </w:rPr>
                    <w:t>回，主变进线</w:t>
                  </w:r>
                  <w:r>
                    <w:rPr>
                      <w:rFonts w:ascii="Times New Roman" w:hint="eastAsia"/>
                      <w:color w:val="auto"/>
                      <w:sz w:val="21"/>
                      <w:szCs w:val="21"/>
                      <w:lang w:val="en-US" w:eastAsia="zh-CN"/>
                    </w:rPr>
                    <w:t>4</w:t>
                  </w:r>
                  <w:r>
                    <w:rPr>
                      <w:rFonts w:ascii="Times New Roman"/>
                      <w:color w:val="auto"/>
                      <w:sz w:val="21"/>
                      <w:szCs w:val="21"/>
                    </w:rPr>
                    <w:t>回</w:t>
                  </w:r>
                  <w:r>
                    <w:rPr>
                      <w:rFonts w:ascii="Times New Roman" w:hint="eastAsia"/>
                      <w:color w:val="auto"/>
                      <w:sz w:val="21"/>
                      <w:szCs w:val="21"/>
                    </w:rPr>
                    <w:t>。预留12回无源滤波装置</w:t>
                  </w:r>
                  <w:r>
                    <w:rPr>
                      <w:rFonts w:hint="eastAsia"/>
                      <w:color w:val="auto"/>
                      <w:sz w:val="21"/>
                      <w:szCs w:val="21"/>
                      <w:lang w:eastAsia="zh-CN"/>
                    </w:rPr>
                    <w:t>。</w:t>
                  </w:r>
                </w:p>
              </w:tc>
            </w:tr>
            <w:tr w14:paraId="73494F62">
              <w:tblPrEx>
                <w:tblW w:w="4996" w:type="pct"/>
                <w:jc w:val="center"/>
                <w:tblCellMar>
                  <w:top w:w="0" w:type="dxa"/>
                  <w:left w:w="108" w:type="dxa"/>
                  <w:bottom w:w="0" w:type="dxa"/>
                  <w:right w:w="108" w:type="dxa"/>
                </w:tblCellMar>
              </w:tblPrEx>
              <w:trPr>
                <w:jc w:val="center"/>
              </w:trPr>
              <w:tc>
                <w:tcPr>
                  <w:tcW w:w="299" w:type="pct"/>
                  <w:vMerge/>
                  <w:shd w:val="clear" w:color="auto" w:fill="auto"/>
                  <w:noWrap w:val="0"/>
                  <w:vAlign w:val="center"/>
                </w:tcPr>
                <w:p w14:paraId="046E5F8E">
                  <w:pPr>
                    <w:autoSpaceDE w:val="0"/>
                    <w:autoSpaceDN w:val="0"/>
                    <w:adjustRightInd w:val="0"/>
                    <w:jc w:val="center"/>
                    <w:textAlignment w:val="baseline"/>
                    <w:rPr>
                      <w:rFonts w:ascii="Times New Roman"/>
                      <w:color w:val="auto"/>
                      <w:sz w:val="21"/>
                      <w:szCs w:val="21"/>
                    </w:rPr>
                  </w:pPr>
                </w:p>
              </w:tc>
              <w:tc>
                <w:tcPr>
                  <w:tcW w:w="304" w:type="pct"/>
                  <w:vMerge w:val="restart"/>
                  <w:noWrap w:val="0"/>
                  <w:vAlign w:val="center"/>
                </w:tcPr>
                <w:p w14:paraId="006D94AE">
                  <w:pPr>
                    <w:autoSpaceDE w:val="0"/>
                    <w:autoSpaceDN w:val="0"/>
                    <w:adjustRightInd w:val="0"/>
                    <w:jc w:val="center"/>
                    <w:textAlignment w:val="baseline"/>
                    <w:rPr>
                      <w:rFonts w:ascii="Times New Roman"/>
                      <w:color w:val="auto"/>
                      <w:sz w:val="21"/>
                      <w:szCs w:val="21"/>
                    </w:rPr>
                  </w:pPr>
                  <w:r>
                    <w:rPr>
                      <w:rFonts w:ascii="Times New Roman"/>
                      <w:color w:val="auto"/>
                      <w:sz w:val="21"/>
                      <w:szCs w:val="21"/>
                    </w:rPr>
                    <w:t>储能区</w:t>
                  </w:r>
                </w:p>
              </w:tc>
              <w:tc>
                <w:tcPr>
                  <w:tcW w:w="683" w:type="pct"/>
                  <w:noWrap w:val="0"/>
                  <w:vAlign w:val="center"/>
                </w:tcPr>
                <w:p w14:paraId="2941998E">
                  <w:pPr>
                    <w:autoSpaceDE w:val="0"/>
                    <w:autoSpaceDN w:val="0"/>
                    <w:adjustRightInd w:val="0"/>
                    <w:jc w:val="center"/>
                    <w:textAlignment w:val="baseline"/>
                    <w:rPr>
                      <w:rFonts w:ascii="Times New Roman"/>
                      <w:color w:val="auto"/>
                      <w:sz w:val="21"/>
                      <w:szCs w:val="21"/>
                    </w:rPr>
                  </w:pPr>
                  <w:r>
                    <w:rPr>
                      <w:rFonts w:ascii="Times New Roman" w:hint="eastAsia"/>
                      <w:color w:val="auto"/>
                      <w:sz w:val="21"/>
                      <w:szCs w:val="21"/>
                    </w:rPr>
                    <w:t>储能单元</w:t>
                  </w:r>
                </w:p>
              </w:tc>
              <w:tc>
                <w:tcPr>
                  <w:tcW w:w="3713" w:type="pct"/>
                  <w:noWrap w:val="0"/>
                  <w:vAlign w:val="center"/>
                </w:tcPr>
                <w:p w14:paraId="765DB9E3">
                  <w:pPr>
                    <w:autoSpaceDE w:val="0"/>
                    <w:autoSpaceDN w:val="0"/>
                    <w:adjustRightInd w:val="0"/>
                    <w:jc w:val="both"/>
                    <w:textAlignment w:val="baseline"/>
                    <w:rPr>
                      <w:rFonts w:ascii="Times New Roman"/>
                      <w:color w:val="auto"/>
                      <w:sz w:val="21"/>
                      <w:szCs w:val="21"/>
                    </w:rPr>
                  </w:pPr>
                  <w:r>
                    <w:rPr>
                      <w:rFonts w:ascii="Times New Roman"/>
                      <w:color w:val="auto"/>
                      <w:sz w:val="21"/>
                      <w:szCs w:val="21"/>
                    </w:rPr>
                    <w:t>储能</w:t>
                  </w:r>
                  <w:r>
                    <w:rPr>
                      <w:rFonts w:ascii="Times New Roman" w:hint="eastAsia"/>
                      <w:color w:val="auto"/>
                      <w:sz w:val="21"/>
                      <w:szCs w:val="21"/>
                    </w:rPr>
                    <w:t>规模为</w:t>
                  </w:r>
                  <w:r>
                    <w:rPr>
                      <w:rFonts w:hint="eastAsia"/>
                      <w:color w:val="auto"/>
                      <w:sz w:val="21"/>
                      <w:szCs w:val="21"/>
                      <w:lang w:eastAsia="zh-CN"/>
                    </w:rPr>
                    <w:t>355MW/920MWh</w:t>
                  </w:r>
                  <w:r>
                    <w:rPr>
                      <w:rFonts w:ascii="Times New Roman"/>
                      <w:color w:val="auto"/>
                      <w:sz w:val="21"/>
                      <w:szCs w:val="21"/>
                    </w:rPr>
                    <w:t>，</w:t>
                  </w:r>
                  <w:r>
                    <w:rPr>
                      <w:rFonts w:ascii="Times New Roman" w:hint="eastAsia"/>
                      <w:color w:val="auto"/>
                      <w:sz w:val="21"/>
                      <w:szCs w:val="21"/>
                    </w:rPr>
                    <w:t>磷酸铁锂电池储能区域按2h和4h系统分为二部分，合计容量</w:t>
                  </w:r>
                  <w:r>
                    <w:rPr>
                      <w:rFonts w:hint="eastAsia"/>
                      <w:color w:val="auto"/>
                      <w:sz w:val="21"/>
                      <w:szCs w:val="21"/>
                      <w:lang w:val="en-US" w:eastAsia="zh-CN"/>
                    </w:rPr>
                    <w:t>305</w:t>
                  </w:r>
                  <w:r>
                    <w:rPr>
                      <w:rFonts w:ascii="Times New Roman" w:hint="eastAsia"/>
                      <w:color w:val="auto"/>
                      <w:sz w:val="21"/>
                      <w:szCs w:val="21"/>
                    </w:rPr>
                    <w:t>MW/</w:t>
                  </w:r>
                  <w:r>
                    <w:rPr>
                      <w:rFonts w:hint="eastAsia"/>
                      <w:color w:val="auto"/>
                      <w:sz w:val="21"/>
                      <w:szCs w:val="21"/>
                      <w:lang w:val="en-US" w:eastAsia="zh-CN"/>
                    </w:rPr>
                    <w:t>720</w:t>
                  </w:r>
                  <w:r>
                    <w:rPr>
                      <w:rFonts w:ascii="Times New Roman" w:hint="eastAsia"/>
                      <w:color w:val="auto"/>
                      <w:sz w:val="21"/>
                      <w:szCs w:val="21"/>
                    </w:rPr>
                    <w:t>MWh</w:t>
                  </w:r>
                  <w:r>
                    <w:rPr>
                      <w:rFonts w:hint="eastAsia"/>
                      <w:color w:val="auto"/>
                      <w:sz w:val="21"/>
                      <w:szCs w:val="21"/>
                      <w:lang w:eastAsia="zh-CN"/>
                    </w:rPr>
                    <w:t>，</w:t>
                  </w:r>
                  <w:r>
                    <w:rPr>
                      <w:rFonts w:hint="eastAsia"/>
                      <w:color w:val="auto"/>
                      <w:sz w:val="21"/>
                      <w:szCs w:val="21"/>
                      <w:lang w:val="en-US" w:eastAsia="zh-CN"/>
                    </w:rPr>
                    <w:t>其中</w:t>
                  </w:r>
                  <w:r>
                    <w:rPr>
                      <w:rFonts w:ascii="Times New Roman" w:hint="eastAsia"/>
                      <w:color w:val="auto"/>
                      <w:sz w:val="21"/>
                      <w:szCs w:val="21"/>
                    </w:rPr>
                    <w:t>2h系统由</w:t>
                  </w:r>
                  <w:r>
                    <w:rPr>
                      <w:rFonts w:hint="eastAsia"/>
                      <w:color w:val="auto"/>
                      <w:sz w:val="21"/>
                      <w:szCs w:val="21"/>
                      <w:lang w:val="en-US" w:eastAsia="zh-CN"/>
                    </w:rPr>
                    <w:t>145套电池柜储能</w:t>
                  </w:r>
                  <w:r>
                    <w:rPr>
                      <w:rFonts w:ascii="Times New Roman" w:hint="eastAsia"/>
                      <w:color w:val="auto"/>
                      <w:sz w:val="21"/>
                      <w:szCs w:val="21"/>
                    </w:rPr>
                    <w:t>子单元组成</w:t>
                  </w:r>
                  <w:r>
                    <w:rPr>
                      <w:rFonts w:hint="eastAsia"/>
                      <w:color w:val="auto"/>
                      <w:sz w:val="21"/>
                      <w:szCs w:val="21"/>
                      <w:lang w:val="en-US" w:eastAsia="zh-CN"/>
                    </w:rPr>
                    <w:t>250</w:t>
                  </w:r>
                  <w:r>
                    <w:rPr>
                      <w:rFonts w:ascii="Times New Roman" w:hint="eastAsia"/>
                      <w:color w:val="auto"/>
                      <w:sz w:val="21"/>
                      <w:szCs w:val="21"/>
                    </w:rPr>
                    <w:t>MW/</w:t>
                  </w:r>
                  <w:r>
                    <w:rPr>
                      <w:rFonts w:hint="eastAsia"/>
                      <w:color w:val="auto"/>
                      <w:sz w:val="21"/>
                      <w:szCs w:val="21"/>
                      <w:lang w:val="en-US" w:eastAsia="zh-CN"/>
                    </w:rPr>
                    <w:t>500</w:t>
                  </w:r>
                  <w:r>
                    <w:rPr>
                      <w:rFonts w:ascii="Times New Roman" w:hint="eastAsia"/>
                      <w:color w:val="auto"/>
                      <w:sz w:val="21"/>
                      <w:szCs w:val="21"/>
                    </w:rPr>
                    <w:t>MWh储能系统</w:t>
                  </w:r>
                  <w:r>
                    <w:rPr>
                      <w:rFonts w:hint="eastAsia"/>
                      <w:color w:val="auto"/>
                      <w:sz w:val="21"/>
                      <w:szCs w:val="21"/>
                      <w:lang w:eastAsia="zh-CN"/>
                    </w:rPr>
                    <w:t>、4h系统由</w:t>
                  </w:r>
                  <w:r>
                    <w:rPr>
                      <w:rFonts w:hint="eastAsia"/>
                      <w:color w:val="auto"/>
                      <w:sz w:val="21"/>
                      <w:szCs w:val="21"/>
                      <w:lang w:val="en-US" w:eastAsia="zh-CN"/>
                    </w:rPr>
                    <w:t>50</w:t>
                  </w:r>
                  <w:r>
                    <w:rPr>
                      <w:rFonts w:hint="eastAsia"/>
                      <w:color w:val="auto"/>
                      <w:sz w:val="21"/>
                      <w:szCs w:val="21"/>
                      <w:lang w:eastAsia="zh-CN"/>
                    </w:rPr>
                    <w:t>套</w:t>
                  </w:r>
                  <w:r>
                    <w:rPr>
                      <w:rFonts w:hint="eastAsia"/>
                      <w:color w:val="auto"/>
                      <w:sz w:val="21"/>
                      <w:szCs w:val="21"/>
                      <w:lang w:val="en-US" w:eastAsia="zh-CN"/>
                    </w:rPr>
                    <w:t>电池柜</w:t>
                  </w:r>
                  <w:r>
                    <w:rPr>
                      <w:rFonts w:hint="eastAsia"/>
                      <w:color w:val="auto"/>
                      <w:sz w:val="21"/>
                      <w:szCs w:val="21"/>
                      <w:lang w:eastAsia="zh-CN"/>
                    </w:rPr>
                    <w:t>储能子单元组成</w:t>
                  </w:r>
                  <w:r>
                    <w:rPr>
                      <w:rFonts w:hint="eastAsia"/>
                      <w:color w:val="auto"/>
                      <w:sz w:val="21"/>
                      <w:szCs w:val="21"/>
                      <w:lang w:val="en-US" w:eastAsia="zh-CN"/>
                    </w:rPr>
                    <w:t>55</w:t>
                  </w:r>
                  <w:r>
                    <w:rPr>
                      <w:rFonts w:hint="eastAsia"/>
                      <w:color w:val="auto"/>
                      <w:sz w:val="21"/>
                      <w:szCs w:val="21"/>
                      <w:lang w:eastAsia="zh-CN"/>
                    </w:rPr>
                    <w:t>MW/</w:t>
                  </w:r>
                  <w:r>
                    <w:rPr>
                      <w:rFonts w:hint="eastAsia"/>
                      <w:color w:val="auto"/>
                      <w:sz w:val="21"/>
                      <w:szCs w:val="21"/>
                      <w:lang w:val="en-US" w:eastAsia="zh-CN"/>
                    </w:rPr>
                    <w:t>220</w:t>
                  </w:r>
                  <w:r>
                    <w:rPr>
                      <w:rFonts w:hint="eastAsia"/>
                      <w:color w:val="auto"/>
                      <w:sz w:val="21"/>
                      <w:szCs w:val="21"/>
                      <w:lang w:eastAsia="zh-CN"/>
                    </w:rPr>
                    <w:t>MWh储能系统</w:t>
                  </w:r>
                  <w:r>
                    <w:rPr>
                      <w:rFonts w:ascii="Times New Roman" w:hint="eastAsia"/>
                      <w:color w:val="auto"/>
                      <w:sz w:val="21"/>
                      <w:szCs w:val="21"/>
                    </w:rPr>
                    <w:t>，全钒液流电池储能系统按4h系统配置</w:t>
                  </w:r>
                  <w:r>
                    <w:rPr>
                      <w:rFonts w:hint="eastAsia"/>
                      <w:color w:val="auto"/>
                      <w:sz w:val="21"/>
                      <w:szCs w:val="21"/>
                      <w:lang w:val="en-US" w:eastAsia="zh-CN"/>
                    </w:rPr>
                    <w:t>位于厂房内</w:t>
                  </w:r>
                  <w:r>
                    <w:rPr>
                      <w:rFonts w:ascii="Times New Roman" w:hint="eastAsia"/>
                      <w:color w:val="auto"/>
                      <w:sz w:val="21"/>
                      <w:szCs w:val="21"/>
                    </w:rPr>
                    <w:t>。系统由</w:t>
                  </w:r>
                  <w:r>
                    <w:rPr>
                      <w:rFonts w:hint="eastAsia"/>
                      <w:color w:val="auto"/>
                      <w:sz w:val="21"/>
                      <w:szCs w:val="21"/>
                      <w:lang w:val="en-US" w:eastAsia="zh-CN"/>
                    </w:rPr>
                    <w:t>50</w:t>
                  </w:r>
                  <w:r>
                    <w:rPr>
                      <w:rFonts w:ascii="Times New Roman" w:hint="eastAsia"/>
                      <w:color w:val="auto"/>
                      <w:sz w:val="21"/>
                      <w:szCs w:val="21"/>
                    </w:rPr>
                    <w:t>套储能单元组成，合计容量</w:t>
                  </w:r>
                  <w:r>
                    <w:rPr>
                      <w:rFonts w:hint="eastAsia"/>
                      <w:color w:val="auto"/>
                      <w:sz w:val="21"/>
                      <w:szCs w:val="21"/>
                      <w:lang w:val="en-US" w:eastAsia="zh-CN"/>
                    </w:rPr>
                    <w:t>50</w:t>
                  </w:r>
                  <w:r>
                    <w:rPr>
                      <w:rFonts w:ascii="Times New Roman" w:hint="eastAsia"/>
                      <w:color w:val="auto"/>
                      <w:sz w:val="21"/>
                      <w:szCs w:val="21"/>
                    </w:rPr>
                    <w:t>MW/</w:t>
                  </w:r>
                  <w:r>
                    <w:rPr>
                      <w:rFonts w:hint="eastAsia"/>
                      <w:color w:val="auto"/>
                      <w:sz w:val="21"/>
                      <w:szCs w:val="21"/>
                      <w:lang w:val="en-US" w:eastAsia="zh-CN"/>
                    </w:rPr>
                    <w:t>20</w:t>
                  </w:r>
                  <w:r>
                    <w:rPr>
                      <w:rFonts w:ascii="Times New Roman" w:hint="eastAsia"/>
                      <w:color w:val="auto"/>
                      <w:sz w:val="21"/>
                      <w:szCs w:val="21"/>
                    </w:rPr>
                    <w:t>0MWh储能系统</w:t>
                  </w:r>
                </w:p>
              </w:tc>
            </w:tr>
            <w:tr w14:paraId="748C20B6">
              <w:tblPrEx>
                <w:tblW w:w="4996" w:type="pct"/>
                <w:jc w:val="center"/>
                <w:tblCellMar>
                  <w:top w:w="0" w:type="dxa"/>
                  <w:left w:w="108" w:type="dxa"/>
                  <w:bottom w:w="0" w:type="dxa"/>
                  <w:right w:w="108" w:type="dxa"/>
                </w:tblCellMar>
              </w:tblPrEx>
              <w:trPr>
                <w:trHeight w:val="90"/>
                <w:jc w:val="center"/>
              </w:trPr>
              <w:tc>
                <w:tcPr>
                  <w:tcW w:w="299" w:type="pct"/>
                  <w:vMerge/>
                  <w:shd w:val="clear" w:color="auto" w:fill="auto"/>
                  <w:noWrap w:val="0"/>
                  <w:vAlign w:val="center"/>
                </w:tcPr>
                <w:p w14:paraId="5B53497F">
                  <w:pPr>
                    <w:autoSpaceDE w:val="0"/>
                    <w:autoSpaceDN w:val="0"/>
                    <w:adjustRightInd w:val="0"/>
                    <w:jc w:val="center"/>
                    <w:textAlignment w:val="baseline"/>
                    <w:rPr>
                      <w:rFonts w:ascii="Times New Roman"/>
                      <w:color w:val="auto"/>
                      <w:sz w:val="21"/>
                      <w:szCs w:val="21"/>
                    </w:rPr>
                  </w:pPr>
                </w:p>
              </w:tc>
              <w:tc>
                <w:tcPr>
                  <w:tcW w:w="304" w:type="pct"/>
                  <w:vMerge/>
                  <w:noWrap w:val="0"/>
                  <w:vAlign w:val="center"/>
                </w:tcPr>
                <w:p w14:paraId="58662145">
                  <w:pPr>
                    <w:autoSpaceDE w:val="0"/>
                    <w:autoSpaceDN w:val="0"/>
                    <w:adjustRightInd w:val="0"/>
                    <w:jc w:val="center"/>
                    <w:textAlignment w:val="baseline"/>
                    <w:rPr>
                      <w:rFonts w:ascii="Times New Roman"/>
                      <w:color w:val="auto"/>
                      <w:sz w:val="21"/>
                      <w:szCs w:val="21"/>
                    </w:rPr>
                  </w:pPr>
                </w:p>
              </w:tc>
              <w:tc>
                <w:tcPr>
                  <w:tcW w:w="683" w:type="pct"/>
                  <w:noWrap w:val="0"/>
                  <w:vAlign w:val="center"/>
                </w:tcPr>
                <w:p w14:paraId="00731C31">
                  <w:pPr>
                    <w:autoSpaceDE w:val="0"/>
                    <w:autoSpaceDN w:val="0"/>
                    <w:adjustRightInd w:val="0"/>
                    <w:jc w:val="center"/>
                    <w:textAlignment w:val="baseline"/>
                    <w:rPr>
                      <w:rFonts w:ascii="Times New Roman"/>
                      <w:color w:val="auto"/>
                      <w:sz w:val="21"/>
                      <w:szCs w:val="21"/>
                    </w:rPr>
                  </w:pPr>
                  <w:r>
                    <w:rPr>
                      <w:rFonts w:ascii="Times New Roman" w:hint="eastAsia"/>
                      <w:color w:val="auto"/>
                      <w:sz w:val="21"/>
                      <w:szCs w:val="21"/>
                    </w:rPr>
                    <w:t>储能变流器</w:t>
                  </w:r>
                  <w:r>
                    <w:rPr>
                      <w:rFonts w:ascii="Times New Roman"/>
                      <w:color w:val="auto"/>
                      <w:sz w:val="21"/>
                      <w:szCs w:val="21"/>
                    </w:rPr>
                    <w:t>升压</w:t>
                  </w:r>
                </w:p>
              </w:tc>
              <w:tc>
                <w:tcPr>
                  <w:tcW w:w="3713" w:type="pct"/>
                  <w:noWrap w:val="0"/>
                  <w:vAlign w:val="center"/>
                </w:tcPr>
                <w:p w14:paraId="3DE1A5ED">
                  <w:pPr>
                    <w:autoSpaceDE w:val="0"/>
                    <w:autoSpaceDN w:val="0"/>
                    <w:adjustRightInd w:val="0"/>
                    <w:jc w:val="left"/>
                    <w:textAlignment w:val="baseline"/>
                    <w:rPr>
                      <w:rFonts w:eastAsia="宋体" w:hint="default"/>
                      <w:color w:val="auto"/>
                      <w:sz w:val="21"/>
                      <w:szCs w:val="21"/>
                      <w:lang w:val="en-US" w:eastAsia="zh-CN"/>
                    </w:rPr>
                  </w:pPr>
                  <w:r>
                    <w:rPr>
                      <w:rFonts w:ascii="Times New Roman" w:hint="eastAsia"/>
                      <w:color w:val="auto"/>
                      <w:sz w:val="21"/>
                      <w:szCs w:val="21"/>
                    </w:rPr>
                    <w:t>磷酸铁锂电池储能区域</w:t>
                  </w:r>
                  <w:r>
                    <w:rPr>
                      <w:rFonts w:hint="eastAsia"/>
                      <w:color w:val="auto"/>
                      <w:sz w:val="21"/>
                      <w:szCs w:val="21"/>
                      <w:lang w:eastAsia="zh-CN"/>
                    </w:rPr>
                    <w:t>：</w:t>
                  </w:r>
                  <w:r>
                    <w:rPr>
                      <w:rFonts w:hint="eastAsia"/>
                      <w:color w:val="auto"/>
                      <w:sz w:val="21"/>
                      <w:szCs w:val="21"/>
                      <w:lang w:val="en-US" w:eastAsia="zh-CN"/>
                    </w:rPr>
                    <w:t>3.45MW变流升压一体机84台，4.5MW变流升压一体机3台，1.72MW变流升压一体机1台。储能变流器</w:t>
                  </w:r>
                  <w:r>
                    <w:rPr>
                      <w:rFonts w:ascii="Times New Roman" w:hint="eastAsia"/>
                      <w:color w:val="auto"/>
                      <w:sz w:val="21"/>
                      <w:szCs w:val="21"/>
                    </w:rPr>
                    <w:t>全钒液流电池储能区域</w:t>
                  </w:r>
                  <w:r>
                    <w:rPr>
                      <w:rFonts w:hint="eastAsia"/>
                      <w:color w:val="auto"/>
                      <w:sz w:val="21"/>
                      <w:szCs w:val="21"/>
                      <w:lang w:eastAsia="zh-CN"/>
                    </w:rPr>
                    <w:t>：</w:t>
                  </w:r>
                  <w:r>
                    <w:rPr>
                      <w:rFonts w:hint="eastAsia"/>
                      <w:color w:val="auto"/>
                      <w:sz w:val="21"/>
                      <w:szCs w:val="21"/>
                      <w:lang w:val="en-US" w:eastAsia="zh-CN"/>
                    </w:rPr>
                    <w:t>5套1</w:t>
                  </w:r>
                  <w:r>
                    <w:rPr>
                      <w:rFonts w:ascii="Times New Roman" w:hint="eastAsia"/>
                      <w:color w:val="auto"/>
                      <w:sz w:val="21"/>
                      <w:szCs w:val="21"/>
                    </w:rPr>
                    <w:t>MW/</w:t>
                  </w:r>
                  <w:r>
                    <w:rPr>
                      <w:rFonts w:hint="eastAsia"/>
                      <w:color w:val="auto"/>
                      <w:sz w:val="21"/>
                      <w:szCs w:val="21"/>
                      <w:lang w:val="en-US" w:eastAsia="zh-CN"/>
                    </w:rPr>
                    <w:t>4</w:t>
                  </w:r>
                  <w:r>
                    <w:rPr>
                      <w:rFonts w:ascii="Times New Roman" w:hint="eastAsia"/>
                      <w:color w:val="auto"/>
                      <w:sz w:val="21"/>
                      <w:szCs w:val="21"/>
                    </w:rPr>
                    <w:t>MWh储能模块组成，每个储能模块安装一台1000kW双向逆变器</w:t>
                  </w:r>
                  <w:r>
                    <w:rPr>
                      <w:rFonts w:hint="eastAsia"/>
                      <w:color w:val="auto"/>
                      <w:sz w:val="21"/>
                      <w:szCs w:val="21"/>
                      <w:lang w:eastAsia="zh-CN"/>
                    </w:rPr>
                    <w:t>，</w:t>
                  </w:r>
                  <w:r>
                    <w:rPr>
                      <w:rFonts w:hint="eastAsia"/>
                      <w:color w:val="auto"/>
                      <w:sz w:val="21"/>
                      <w:szCs w:val="21"/>
                      <w:lang w:val="en-US" w:eastAsia="zh-CN"/>
                    </w:rPr>
                    <w:t>配套50套PCS升压变流一体机</w:t>
                  </w:r>
                </w:p>
              </w:tc>
            </w:tr>
            <w:tr w14:paraId="19E98851">
              <w:tblPrEx>
                <w:tblW w:w="4996" w:type="pct"/>
                <w:jc w:val="center"/>
                <w:tblCellMar>
                  <w:top w:w="0" w:type="dxa"/>
                  <w:left w:w="108" w:type="dxa"/>
                  <w:bottom w:w="0" w:type="dxa"/>
                  <w:right w:w="108" w:type="dxa"/>
                </w:tblCellMar>
              </w:tblPrEx>
              <w:trPr>
                <w:trHeight w:val="911"/>
                <w:jc w:val="center"/>
              </w:trPr>
              <w:tc>
                <w:tcPr>
                  <w:tcW w:w="299" w:type="pct"/>
                  <w:vMerge w:val="restart"/>
                  <w:shd w:val="clear" w:color="auto" w:fill="auto"/>
                  <w:noWrap w:val="0"/>
                  <w:vAlign w:val="center"/>
                </w:tcPr>
                <w:p w14:paraId="74218567">
                  <w:pPr>
                    <w:autoSpaceDE w:val="0"/>
                    <w:autoSpaceDN w:val="0"/>
                    <w:adjustRightInd w:val="0"/>
                    <w:jc w:val="center"/>
                    <w:textAlignment w:val="baseline"/>
                    <w:rPr>
                      <w:rFonts w:ascii="Times New Roman"/>
                      <w:color w:val="auto"/>
                      <w:sz w:val="21"/>
                      <w:szCs w:val="21"/>
                    </w:rPr>
                  </w:pPr>
                  <w:r>
                    <w:rPr>
                      <w:rFonts w:ascii="Times New Roman"/>
                      <w:color w:val="auto"/>
                      <w:sz w:val="21"/>
                      <w:szCs w:val="21"/>
                    </w:rPr>
                    <w:t>辅助工程</w:t>
                  </w:r>
                </w:p>
              </w:tc>
              <w:tc>
                <w:tcPr>
                  <w:tcW w:w="987" w:type="pct"/>
                  <w:gridSpan w:val="2"/>
                  <w:shd w:val="clear" w:color="auto" w:fill="auto"/>
                  <w:noWrap w:val="0"/>
                  <w:vAlign w:val="center"/>
                </w:tcPr>
                <w:p w14:paraId="579C665A">
                  <w:pPr>
                    <w:autoSpaceDE w:val="0"/>
                    <w:autoSpaceDN w:val="0"/>
                    <w:adjustRightInd w:val="0"/>
                    <w:jc w:val="center"/>
                    <w:textAlignment w:val="baseline"/>
                    <w:rPr>
                      <w:rFonts w:ascii="Times New Roman"/>
                      <w:color w:val="auto"/>
                      <w:sz w:val="21"/>
                      <w:szCs w:val="21"/>
                    </w:rPr>
                  </w:pPr>
                  <w:r>
                    <w:rPr>
                      <w:rFonts w:ascii="Times New Roman"/>
                      <w:color w:val="auto"/>
                      <w:sz w:val="21"/>
                      <w:szCs w:val="21"/>
                    </w:rPr>
                    <w:t>综合楼</w:t>
                  </w:r>
                </w:p>
              </w:tc>
              <w:tc>
                <w:tcPr>
                  <w:tcW w:w="3713" w:type="pct"/>
                  <w:shd w:val="clear" w:color="auto" w:fill="auto"/>
                  <w:noWrap w:val="0"/>
                  <w:vAlign w:val="center"/>
                </w:tcPr>
                <w:p w14:paraId="1A81BDBA">
                  <w:pPr>
                    <w:autoSpaceDE w:val="0"/>
                    <w:autoSpaceDN w:val="0"/>
                    <w:adjustRightInd w:val="0"/>
                    <w:jc w:val="left"/>
                    <w:textAlignment w:val="baseline"/>
                    <w:rPr>
                      <w:rFonts w:ascii="Times New Roman"/>
                      <w:color w:val="auto"/>
                      <w:sz w:val="21"/>
                      <w:szCs w:val="21"/>
                    </w:rPr>
                  </w:pPr>
                  <w:r>
                    <w:rPr>
                      <w:rFonts w:ascii="Times New Roman"/>
                      <w:color w:val="auto"/>
                      <w:sz w:val="21"/>
                    </w:rPr>
                    <w:t>2</w:t>
                  </w:r>
                  <w:r>
                    <w:rPr>
                      <w:rFonts w:ascii="Times New Roman"/>
                      <w:color w:val="auto"/>
                      <w:sz w:val="21"/>
                      <w:szCs w:val="21"/>
                    </w:rPr>
                    <w:t>层钢筋混凝土框架结构，占地面积</w:t>
                  </w:r>
                  <w:r>
                    <w:rPr>
                      <w:rFonts w:ascii="Times New Roman" w:hint="eastAsia"/>
                      <w:color w:val="auto"/>
                      <w:sz w:val="21"/>
                      <w:szCs w:val="21"/>
                    </w:rPr>
                    <w:t>948.88</w:t>
                  </w:r>
                  <w:r>
                    <w:rPr>
                      <w:rFonts w:ascii="Times New Roman"/>
                      <w:color w:val="auto"/>
                      <w:sz w:val="21"/>
                      <w:szCs w:val="21"/>
                    </w:rPr>
                    <w:t>m</w:t>
                  </w:r>
                  <w:r>
                    <w:rPr>
                      <w:rFonts w:ascii="Times New Roman"/>
                      <w:color w:val="auto"/>
                      <w:sz w:val="21"/>
                      <w:szCs w:val="21"/>
                      <w:vertAlign w:val="superscript"/>
                    </w:rPr>
                    <w:t>2</w:t>
                  </w:r>
                  <w:r>
                    <w:rPr>
                      <w:rFonts w:ascii="Times New Roman"/>
                      <w:color w:val="auto"/>
                      <w:sz w:val="21"/>
                    </w:rPr>
                    <w:t>，一层主要布置有值休室、工具间、蓄电池室、餐厅</w:t>
                  </w:r>
                  <w:r>
                    <w:rPr>
                      <w:rFonts w:hint="eastAsia"/>
                      <w:color w:val="auto"/>
                      <w:sz w:val="21"/>
                      <w:lang w:val="en-US" w:eastAsia="zh-CN"/>
                    </w:rPr>
                    <w:t>厨房、中控室、电气间等</w:t>
                  </w:r>
                  <w:r>
                    <w:rPr>
                      <w:rFonts w:ascii="Times New Roman"/>
                      <w:color w:val="auto"/>
                      <w:sz w:val="21"/>
                    </w:rPr>
                    <w:t>；二层布置有</w:t>
                  </w:r>
                  <w:r>
                    <w:rPr>
                      <w:rFonts w:hint="eastAsia"/>
                      <w:color w:val="auto"/>
                      <w:sz w:val="21"/>
                      <w:lang w:val="en-US" w:eastAsia="zh-CN"/>
                    </w:rPr>
                    <w:t>运维办公室、会议室、休息室</w:t>
                  </w:r>
                  <w:r>
                    <w:rPr>
                      <w:rFonts w:ascii="Times New Roman"/>
                      <w:color w:val="auto"/>
                      <w:sz w:val="21"/>
                    </w:rPr>
                    <w:t>等</w:t>
                  </w:r>
                </w:p>
              </w:tc>
            </w:tr>
            <w:tr w14:paraId="03903A1D">
              <w:tblPrEx>
                <w:tblW w:w="4996" w:type="pct"/>
                <w:jc w:val="center"/>
                <w:tblCellMar>
                  <w:top w:w="0" w:type="dxa"/>
                  <w:left w:w="108" w:type="dxa"/>
                  <w:bottom w:w="0" w:type="dxa"/>
                  <w:right w:w="108" w:type="dxa"/>
                </w:tblCellMar>
              </w:tblPrEx>
              <w:trPr>
                <w:jc w:val="center"/>
              </w:trPr>
              <w:tc>
                <w:tcPr>
                  <w:tcW w:w="299" w:type="pct"/>
                  <w:vMerge/>
                  <w:shd w:val="clear" w:color="auto" w:fill="auto"/>
                  <w:noWrap w:val="0"/>
                  <w:vAlign w:val="center"/>
                </w:tcPr>
                <w:p w14:paraId="75FFDCDF">
                  <w:pPr>
                    <w:autoSpaceDE w:val="0"/>
                    <w:autoSpaceDN w:val="0"/>
                    <w:adjustRightInd w:val="0"/>
                    <w:jc w:val="center"/>
                    <w:textAlignment w:val="baseline"/>
                    <w:rPr>
                      <w:rFonts w:ascii="Times New Roman"/>
                      <w:color w:val="auto"/>
                      <w:sz w:val="21"/>
                      <w:szCs w:val="21"/>
                    </w:rPr>
                  </w:pPr>
                </w:p>
              </w:tc>
              <w:tc>
                <w:tcPr>
                  <w:tcW w:w="987" w:type="pct"/>
                  <w:gridSpan w:val="2"/>
                  <w:shd w:val="clear" w:color="auto" w:fill="auto"/>
                  <w:noWrap w:val="0"/>
                  <w:vAlign w:val="center"/>
                </w:tcPr>
                <w:p w14:paraId="437FEC98">
                  <w:pPr>
                    <w:widowControl/>
                    <w:jc w:val="center"/>
                    <w:rPr>
                      <w:rFonts w:ascii="Times New Roman"/>
                      <w:color w:val="auto"/>
                      <w:sz w:val="21"/>
                      <w:szCs w:val="21"/>
                    </w:rPr>
                  </w:pPr>
                  <w:r>
                    <w:rPr>
                      <w:rFonts w:ascii="Times New Roman" w:hint="eastAsia"/>
                      <w:color w:val="auto"/>
                      <w:sz w:val="21"/>
                      <w:szCs w:val="21"/>
                    </w:rPr>
                    <w:t>雨淋阀间</w:t>
                  </w:r>
                </w:p>
              </w:tc>
              <w:tc>
                <w:tcPr>
                  <w:tcW w:w="3713" w:type="pct"/>
                  <w:shd w:val="clear" w:color="auto" w:fill="auto"/>
                  <w:noWrap w:val="0"/>
                  <w:vAlign w:val="center"/>
                </w:tcPr>
                <w:p w14:paraId="0B074B28">
                  <w:pPr>
                    <w:widowControl/>
                    <w:jc w:val="left"/>
                    <w:rPr>
                      <w:rFonts w:ascii="Times New Roman" w:eastAsia="宋体" w:hint="default"/>
                      <w:color w:val="auto"/>
                      <w:sz w:val="21"/>
                      <w:szCs w:val="21"/>
                      <w:lang w:val="en-US" w:eastAsia="zh-CN"/>
                    </w:rPr>
                  </w:pPr>
                  <w:r>
                    <w:rPr>
                      <w:rFonts w:ascii="Times New Roman"/>
                      <w:color w:val="auto"/>
                      <w:sz w:val="21"/>
                      <w:szCs w:val="21"/>
                    </w:rPr>
                    <w:t>1层钢筋混凝土框架结构，占地面积</w:t>
                  </w:r>
                  <w:r>
                    <w:rPr>
                      <w:rFonts w:hint="eastAsia"/>
                      <w:color w:val="auto"/>
                      <w:sz w:val="21"/>
                      <w:szCs w:val="21"/>
                      <w:lang w:val="en-US" w:eastAsia="zh-CN"/>
                    </w:rPr>
                    <w:t>40.43</w:t>
                  </w:r>
                  <w:r>
                    <w:rPr>
                      <w:rFonts w:ascii="Times New Roman"/>
                      <w:color w:val="auto"/>
                      <w:sz w:val="21"/>
                      <w:szCs w:val="21"/>
                    </w:rPr>
                    <w:t>m</w:t>
                  </w:r>
                  <w:r>
                    <w:rPr>
                      <w:rFonts w:ascii="Times New Roman"/>
                      <w:color w:val="auto"/>
                      <w:sz w:val="21"/>
                      <w:szCs w:val="21"/>
                      <w:vertAlign w:val="superscript"/>
                    </w:rPr>
                    <w:t>2</w:t>
                  </w:r>
                  <w:r>
                    <w:rPr>
                      <w:rFonts w:ascii="Times New Roman"/>
                      <w:color w:val="auto"/>
                      <w:sz w:val="21"/>
                      <w:szCs w:val="21"/>
                    </w:rPr>
                    <w:t>，</w:t>
                  </w:r>
                  <w:r>
                    <w:rPr>
                      <w:rFonts w:hint="eastAsia"/>
                      <w:color w:val="auto"/>
                      <w:sz w:val="21"/>
                      <w:szCs w:val="21"/>
                      <w:lang w:val="en-US" w:eastAsia="zh-CN"/>
                    </w:rPr>
                    <w:t>雨水控制阀门</w:t>
                  </w:r>
                </w:p>
              </w:tc>
            </w:tr>
            <w:tr w14:paraId="60312E3B">
              <w:tblPrEx>
                <w:tblW w:w="4996" w:type="pct"/>
                <w:jc w:val="center"/>
                <w:tblCellMar>
                  <w:top w:w="0" w:type="dxa"/>
                  <w:left w:w="108" w:type="dxa"/>
                  <w:bottom w:w="0" w:type="dxa"/>
                  <w:right w:w="108" w:type="dxa"/>
                </w:tblCellMar>
              </w:tblPrEx>
              <w:trPr>
                <w:jc w:val="center"/>
              </w:trPr>
              <w:tc>
                <w:tcPr>
                  <w:tcW w:w="299" w:type="pct"/>
                  <w:vMerge/>
                  <w:shd w:val="clear" w:color="auto" w:fill="auto"/>
                  <w:noWrap w:val="0"/>
                  <w:vAlign w:val="center"/>
                </w:tcPr>
                <w:p w14:paraId="26488138">
                  <w:pPr>
                    <w:autoSpaceDE w:val="0"/>
                    <w:autoSpaceDN w:val="0"/>
                    <w:adjustRightInd w:val="0"/>
                    <w:jc w:val="center"/>
                    <w:textAlignment w:val="baseline"/>
                    <w:rPr>
                      <w:rFonts w:ascii="Times New Roman"/>
                      <w:color w:val="auto"/>
                      <w:sz w:val="21"/>
                      <w:szCs w:val="21"/>
                    </w:rPr>
                  </w:pPr>
                </w:p>
              </w:tc>
              <w:tc>
                <w:tcPr>
                  <w:tcW w:w="987" w:type="pct"/>
                  <w:gridSpan w:val="2"/>
                  <w:shd w:val="clear" w:color="auto" w:fill="auto"/>
                  <w:noWrap w:val="0"/>
                  <w:vAlign w:val="center"/>
                </w:tcPr>
                <w:p w14:paraId="031FF0DF">
                  <w:pPr>
                    <w:widowControl/>
                    <w:jc w:val="center"/>
                    <w:rPr>
                      <w:rFonts w:ascii="Times New Roman"/>
                      <w:color w:val="auto"/>
                      <w:sz w:val="21"/>
                      <w:szCs w:val="21"/>
                    </w:rPr>
                  </w:pPr>
                  <w:r>
                    <w:rPr>
                      <w:rFonts w:ascii="Times New Roman"/>
                      <w:color w:val="auto"/>
                      <w:sz w:val="21"/>
                      <w:szCs w:val="21"/>
                    </w:rPr>
                    <w:t>联合泵房</w:t>
                  </w:r>
                </w:p>
              </w:tc>
              <w:tc>
                <w:tcPr>
                  <w:tcW w:w="3713" w:type="pct"/>
                  <w:shd w:val="clear" w:color="auto" w:fill="auto"/>
                  <w:noWrap w:val="0"/>
                  <w:vAlign w:val="center"/>
                </w:tcPr>
                <w:p w14:paraId="601F09F3">
                  <w:pPr>
                    <w:widowControl/>
                    <w:jc w:val="left"/>
                    <w:rPr>
                      <w:rFonts w:ascii="Times New Roman"/>
                      <w:color w:val="auto"/>
                      <w:sz w:val="21"/>
                      <w:szCs w:val="21"/>
                    </w:rPr>
                  </w:pPr>
                  <w:r>
                    <w:rPr>
                      <w:rFonts w:hint="eastAsia"/>
                      <w:color w:val="auto"/>
                      <w:sz w:val="21"/>
                      <w:szCs w:val="21"/>
                      <w:lang w:val="en-US" w:eastAsia="zh-CN"/>
                    </w:rPr>
                    <w:t>半</w:t>
                  </w:r>
                  <w:r>
                    <w:rPr>
                      <w:rFonts w:ascii="Times New Roman"/>
                      <w:color w:val="auto"/>
                      <w:sz w:val="21"/>
                      <w:szCs w:val="21"/>
                    </w:rPr>
                    <w:t>地</w:t>
                  </w:r>
                  <w:r>
                    <w:rPr>
                      <w:rFonts w:hint="eastAsia"/>
                      <w:color w:val="auto"/>
                      <w:sz w:val="21"/>
                      <w:szCs w:val="21"/>
                      <w:lang w:val="en-US" w:eastAsia="zh-CN"/>
                    </w:rPr>
                    <w:t>下形式，</w:t>
                  </w:r>
                  <w:r>
                    <w:rPr>
                      <w:rFonts w:ascii="Times New Roman" w:hint="eastAsia"/>
                      <w:color w:val="auto"/>
                      <w:sz w:val="21"/>
                      <w:szCs w:val="21"/>
                    </w:rPr>
                    <w:t>地下钢筋混凝土箱型结构，地上钢筋混凝土框架结构</w:t>
                  </w:r>
                  <w:r>
                    <w:rPr>
                      <w:rFonts w:hint="eastAsia"/>
                      <w:color w:val="auto"/>
                      <w:sz w:val="21"/>
                      <w:szCs w:val="21"/>
                      <w:lang w:eastAsia="zh-CN"/>
                    </w:rPr>
                    <w:t>，</w:t>
                  </w:r>
                  <w:r>
                    <w:rPr>
                      <w:rFonts w:ascii="Times New Roman"/>
                      <w:color w:val="auto"/>
                      <w:sz w:val="21"/>
                      <w:szCs w:val="21"/>
                    </w:rPr>
                    <w:t>占地面积</w:t>
                  </w:r>
                  <w:r>
                    <w:rPr>
                      <w:rFonts w:hint="eastAsia"/>
                      <w:color w:val="auto"/>
                      <w:sz w:val="21"/>
                      <w:szCs w:val="21"/>
                      <w:lang w:val="en-US" w:eastAsia="zh-CN"/>
                    </w:rPr>
                    <w:t>280</w:t>
                  </w:r>
                  <w:r>
                    <w:rPr>
                      <w:rFonts w:ascii="Times New Roman"/>
                      <w:color w:val="auto"/>
                      <w:sz w:val="21"/>
                      <w:szCs w:val="21"/>
                    </w:rPr>
                    <w:t>m</w:t>
                  </w:r>
                  <w:r>
                    <w:rPr>
                      <w:rFonts w:ascii="Times New Roman"/>
                      <w:color w:val="auto"/>
                      <w:sz w:val="21"/>
                      <w:szCs w:val="21"/>
                      <w:vertAlign w:val="superscript"/>
                    </w:rPr>
                    <w:t>2</w:t>
                  </w:r>
                </w:p>
              </w:tc>
            </w:tr>
            <w:tr w14:paraId="6CAEE3DB">
              <w:tblPrEx>
                <w:tblW w:w="4996" w:type="pct"/>
                <w:jc w:val="center"/>
                <w:tblCellMar>
                  <w:top w:w="0" w:type="dxa"/>
                  <w:left w:w="108" w:type="dxa"/>
                  <w:bottom w:w="0" w:type="dxa"/>
                  <w:right w:w="108" w:type="dxa"/>
                </w:tblCellMar>
              </w:tblPrEx>
              <w:trPr>
                <w:jc w:val="center"/>
              </w:trPr>
              <w:tc>
                <w:tcPr>
                  <w:tcW w:w="299" w:type="pct"/>
                  <w:vMerge/>
                  <w:shd w:val="clear" w:color="auto" w:fill="auto"/>
                  <w:noWrap w:val="0"/>
                  <w:vAlign w:val="center"/>
                </w:tcPr>
                <w:p w14:paraId="5662C8E3">
                  <w:pPr>
                    <w:autoSpaceDE w:val="0"/>
                    <w:autoSpaceDN w:val="0"/>
                    <w:adjustRightInd w:val="0"/>
                    <w:jc w:val="center"/>
                    <w:textAlignment w:val="baseline"/>
                    <w:rPr>
                      <w:rFonts w:ascii="Times New Roman"/>
                      <w:color w:val="auto"/>
                      <w:sz w:val="21"/>
                      <w:szCs w:val="21"/>
                    </w:rPr>
                  </w:pPr>
                </w:p>
              </w:tc>
              <w:tc>
                <w:tcPr>
                  <w:tcW w:w="987" w:type="pct"/>
                  <w:gridSpan w:val="2"/>
                  <w:shd w:val="clear" w:color="auto" w:fill="auto"/>
                  <w:noWrap w:val="0"/>
                  <w:vAlign w:val="center"/>
                </w:tcPr>
                <w:p w14:paraId="4C28AC46">
                  <w:pPr>
                    <w:widowControl/>
                    <w:jc w:val="center"/>
                    <w:rPr>
                      <w:rFonts w:ascii="Times New Roman"/>
                      <w:color w:val="auto"/>
                      <w:sz w:val="21"/>
                      <w:szCs w:val="21"/>
                    </w:rPr>
                  </w:pPr>
                  <w:r>
                    <w:rPr>
                      <w:rFonts w:ascii="Times New Roman" w:hint="eastAsia"/>
                      <w:color w:val="auto"/>
                      <w:sz w:val="21"/>
                      <w:szCs w:val="21"/>
                    </w:rPr>
                    <w:t>消防工程</w:t>
                  </w:r>
                </w:p>
              </w:tc>
              <w:tc>
                <w:tcPr>
                  <w:tcW w:w="3713" w:type="pct"/>
                  <w:shd w:val="clear" w:color="auto" w:fill="auto"/>
                  <w:noWrap w:val="0"/>
                  <w:vAlign w:val="center"/>
                </w:tcPr>
                <w:p w14:paraId="2190EBDB">
                  <w:pPr>
                    <w:widowControl/>
                    <w:jc w:val="left"/>
                    <w:rPr>
                      <w:rFonts w:ascii="Times New Roman"/>
                      <w:color w:val="auto"/>
                      <w:sz w:val="21"/>
                      <w:szCs w:val="21"/>
                    </w:rPr>
                  </w:pPr>
                  <w:r>
                    <w:rPr>
                      <w:rFonts w:ascii="Times New Roman" w:hint="eastAsia"/>
                      <w:color w:val="auto"/>
                      <w:sz w:val="21"/>
                      <w:szCs w:val="21"/>
                      <w:lang w:val="en-US" w:eastAsia="zh-CN"/>
                    </w:rPr>
                    <w:t>设有</w:t>
                  </w:r>
                  <w:r>
                    <w:rPr>
                      <w:rFonts w:hint="eastAsia"/>
                      <w:color w:val="auto"/>
                      <w:sz w:val="21"/>
                      <w:szCs w:val="21"/>
                      <w:lang w:val="en-US" w:eastAsia="zh-CN"/>
                    </w:rPr>
                    <w:t>630</w:t>
                  </w:r>
                  <w:r>
                    <w:rPr>
                      <w:rFonts w:ascii="Times New Roman"/>
                      <w:color w:val="auto"/>
                      <w:sz w:val="21"/>
                      <w:szCs w:val="21"/>
                    </w:rPr>
                    <w:t>m</w:t>
                  </w:r>
                  <w:r>
                    <w:rPr>
                      <w:rFonts w:ascii="Times New Roman" w:hint="eastAsia"/>
                      <w:color w:val="auto"/>
                      <w:sz w:val="21"/>
                      <w:szCs w:val="21"/>
                      <w:vertAlign w:val="superscript"/>
                      <w:lang w:val="en-US" w:eastAsia="zh-CN"/>
                    </w:rPr>
                    <w:t>3</w:t>
                  </w:r>
                  <w:r>
                    <w:rPr>
                      <w:rFonts w:ascii="Times New Roman"/>
                      <w:color w:val="auto"/>
                      <w:sz w:val="21"/>
                      <w:szCs w:val="21"/>
                    </w:rPr>
                    <w:t>消防水池</w:t>
                  </w:r>
                </w:p>
              </w:tc>
            </w:tr>
            <w:tr w14:paraId="380EA031">
              <w:tblPrEx>
                <w:tblW w:w="4996" w:type="pct"/>
                <w:jc w:val="center"/>
                <w:tblCellMar>
                  <w:top w:w="0" w:type="dxa"/>
                  <w:left w:w="108" w:type="dxa"/>
                  <w:bottom w:w="0" w:type="dxa"/>
                  <w:right w:w="108" w:type="dxa"/>
                </w:tblCellMar>
              </w:tblPrEx>
              <w:trPr>
                <w:jc w:val="center"/>
              </w:trPr>
              <w:tc>
                <w:tcPr>
                  <w:tcW w:w="299" w:type="pct"/>
                  <w:vMerge/>
                  <w:shd w:val="clear" w:color="auto" w:fill="auto"/>
                  <w:noWrap w:val="0"/>
                  <w:vAlign w:val="center"/>
                </w:tcPr>
                <w:p w14:paraId="77E81918">
                  <w:pPr>
                    <w:autoSpaceDE w:val="0"/>
                    <w:autoSpaceDN w:val="0"/>
                    <w:adjustRightInd w:val="0"/>
                    <w:jc w:val="center"/>
                    <w:textAlignment w:val="baseline"/>
                    <w:rPr>
                      <w:rFonts w:ascii="Times New Roman"/>
                      <w:color w:val="auto"/>
                      <w:sz w:val="21"/>
                      <w:szCs w:val="21"/>
                    </w:rPr>
                  </w:pPr>
                </w:p>
              </w:tc>
              <w:tc>
                <w:tcPr>
                  <w:tcW w:w="987" w:type="pct"/>
                  <w:gridSpan w:val="2"/>
                  <w:shd w:val="clear" w:color="auto" w:fill="auto"/>
                  <w:noWrap w:val="0"/>
                  <w:vAlign w:val="center"/>
                </w:tcPr>
                <w:p w14:paraId="1F219C04">
                  <w:pPr>
                    <w:widowControl/>
                    <w:jc w:val="center"/>
                    <w:rPr>
                      <w:rFonts w:ascii="Times New Roman"/>
                      <w:color w:val="auto"/>
                      <w:sz w:val="21"/>
                      <w:szCs w:val="21"/>
                      <w:highlight w:val="yellow"/>
                    </w:rPr>
                  </w:pPr>
                  <w:r>
                    <w:rPr>
                      <w:rFonts w:ascii="Times New Roman"/>
                      <w:color w:val="auto"/>
                      <w:sz w:val="21"/>
                      <w:szCs w:val="21"/>
                    </w:rPr>
                    <w:t>危废物暂存间</w:t>
                  </w:r>
                </w:p>
              </w:tc>
              <w:tc>
                <w:tcPr>
                  <w:tcW w:w="3713" w:type="pct"/>
                  <w:shd w:val="clear" w:color="auto" w:fill="auto"/>
                  <w:noWrap w:val="0"/>
                  <w:vAlign w:val="center"/>
                </w:tcPr>
                <w:p w14:paraId="491AF613">
                  <w:pPr>
                    <w:widowControl/>
                    <w:jc w:val="left"/>
                    <w:rPr>
                      <w:rFonts w:ascii="Times New Roman"/>
                      <w:color w:val="auto"/>
                      <w:sz w:val="21"/>
                      <w:szCs w:val="21"/>
                    </w:rPr>
                  </w:pPr>
                  <w:r>
                    <w:rPr>
                      <w:rFonts w:ascii="Times New Roman"/>
                      <w:color w:val="auto"/>
                      <w:sz w:val="21"/>
                      <w:szCs w:val="21"/>
                    </w:rPr>
                    <w:t>位于</w:t>
                  </w:r>
                  <w:r>
                    <w:rPr>
                      <w:rFonts w:hint="eastAsia"/>
                      <w:color w:val="auto"/>
                      <w:sz w:val="21"/>
                      <w:szCs w:val="21"/>
                      <w:lang w:val="en-US" w:eastAsia="zh-CN"/>
                    </w:rPr>
                    <w:t>主变东侧</w:t>
                  </w:r>
                  <w:r>
                    <w:rPr>
                      <w:rFonts w:ascii="Times New Roman" w:hint="eastAsia"/>
                      <w:color w:val="auto"/>
                      <w:sz w:val="21"/>
                      <w:szCs w:val="21"/>
                    </w:rPr>
                    <w:t>侧</w:t>
                  </w:r>
                  <w:r>
                    <w:rPr>
                      <w:rFonts w:ascii="Times New Roman"/>
                      <w:color w:val="auto"/>
                      <w:sz w:val="21"/>
                      <w:szCs w:val="21"/>
                    </w:rPr>
                    <w:t>，</w:t>
                  </w:r>
                  <w:r>
                    <w:rPr>
                      <w:rFonts w:ascii="Times New Roman" w:hint="eastAsia"/>
                      <w:color w:val="auto"/>
                      <w:sz w:val="21"/>
                      <w:szCs w:val="21"/>
                    </w:rPr>
                    <w:t>1层框架结构，</w:t>
                  </w:r>
                  <w:r>
                    <w:rPr>
                      <w:rFonts w:ascii="Times New Roman"/>
                      <w:color w:val="auto"/>
                      <w:sz w:val="21"/>
                      <w:szCs w:val="21"/>
                    </w:rPr>
                    <w:t>建筑面积为</w:t>
                  </w:r>
                  <w:r>
                    <w:rPr>
                      <w:rFonts w:hint="eastAsia"/>
                      <w:color w:val="auto"/>
                      <w:sz w:val="21"/>
                      <w:szCs w:val="21"/>
                      <w:lang w:val="en-US" w:eastAsia="zh-CN"/>
                    </w:rPr>
                    <w:t>59.7</w:t>
                  </w:r>
                  <w:r>
                    <w:rPr>
                      <w:rFonts w:ascii="Times New Roman"/>
                      <w:color w:val="auto"/>
                      <w:sz w:val="21"/>
                      <w:szCs w:val="21"/>
                    </w:rPr>
                    <w:t>m</w:t>
                  </w:r>
                  <w:r>
                    <w:rPr>
                      <w:rFonts w:ascii="Times New Roman"/>
                      <w:color w:val="auto"/>
                      <w:sz w:val="21"/>
                      <w:szCs w:val="21"/>
                      <w:vertAlign w:val="superscript"/>
                    </w:rPr>
                    <w:t>2</w:t>
                  </w:r>
                </w:p>
              </w:tc>
            </w:tr>
            <w:tr w14:paraId="126514F0">
              <w:tblPrEx>
                <w:tblW w:w="4996" w:type="pct"/>
                <w:jc w:val="center"/>
                <w:tblCellMar>
                  <w:top w:w="0" w:type="dxa"/>
                  <w:left w:w="108" w:type="dxa"/>
                  <w:bottom w:w="0" w:type="dxa"/>
                  <w:right w:w="108" w:type="dxa"/>
                </w:tblCellMar>
              </w:tblPrEx>
              <w:trPr>
                <w:jc w:val="center"/>
              </w:trPr>
              <w:tc>
                <w:tcPr>
                  <w:tcW w:w="299" w:type="pct"/>
                  <w:vMerge/>
                  <w:shd w:val="clear" w:color="auto" w:fill="auto"/>
                  <w:noWrap w:val="0"/>
                  <w:vAlign w:val="center"/>
                </w:tcPr>
                <w:p w14:paraId="29B44C68">
                  <w:pPr>
                    <w:autoSpaceDE w:val="0"/>
                    <w:autoSpaceDN w:val="0"/>
                    <w:adjustRightInd w:val="0"/>
                    <w:jc w:val="center"/>
                    <w:textAlignment w:val="baseline"/>
                    <w:rPr>
                      <w:rFonts w:ascii="Times New Roman"/>
                      <w:color w:val="auto"/>
                      <w:sz w:val="21"/>
                      <w:szCs w:val="21"/>
                    </w:rPr>
                  </w:pPr>
                </w:p>
              </w:tc>
              <w:tc>
                <w:tcPr>
                  <w:tcW w:w="987" w:type="pct"/>
                  <w:gridSpan w:val="2"/>
                  <w:shd w:val="clear" w:color="auto" w:fill="auto"/>
                  <w:noWrap w:val="0"/>
                  <w:vAlign w:val="center"/>
                </w:tcPr>
                <w:p w14:paraId="1A02097C">
                  <w:pPr>
                    <w:widowControl/>
                    <w:jc w:val="center"/>
                    <w:rPr>
                      <w:rFonts w:ascii="Times New Roman"/>
                      <w:color w:val="auto"/>
                      <w:sz w:val="21"/>
                      <w:szCs w:val="24"/>
                    </w:rPr>
                  </w:pPr>
                  <w:r>
                    <w:rPr>
                      <w:rFonts w:ascii="Times New Roman"/>
                      <w:color w:val="auto"/>
                      <w:sz w:val="21"/>
                      <w:szCs w:val="24"/>
                    </w:rPr>
                    <w:t>事故池</w:t>
                  </w:r>
                </w:p>
              </w:tc>
              <w:tc>
                <w:tcPr>
                  <w:tcW w:w="3713" w:type="pct"/>
                  <w:shd w:val="clear" w:color="auto" w:fill="auto"/>
                  <w:noWrap w:val="0"/>
                  <w:vAlign w:val="center"/>
                </w:tcPr>
                <w:p w14:paraId="285B1850">
                  <w:pPr>
                    <w:widowControl/>
                    <w:jc w:val="left"/>
                    <w:rPr>
                      <w:rFonts w:ascii="Times New Roman" w:eastAsia="宋体" w:hint="default"/>
                      <w:color w:val="auto"/>
                      <w:sz w:val="21"/>
                      <w:szCs w:val="21"/>
                      <w:vertAlign w:val="baseline"/>
                      <w:lang w:val="en-US" w:eastAsia="zh-CN"/>
                    </w:rPr>
                  </w:pPr>
                  <w:r>
                    <w:rPr>
                      <w:rFonts w:hint="eastAsia"/>
                      <w:color w:val="auto"/>
                      <w:sz w:val="21"/>
                      <w:szCs w:val="21"/>
                      <w:lang w:val="en-US" w:eastAsia="zh-CN"/>
                    </w:rPr>
                    <w:t>事故油池</w:t>
                  </w:r>
                  <w:r>
                    <w:rPr>
                      <w:rFonts w:ascii="Times New Roman"/>
                      <w:color w:val="auto"/>
                      <w:sz w:val="21"/>
                      <w:szCs w:val="21"/>
                    </w:rPr>
                    <w:t>位于</w:t>
                  </w:r>
                  <w:r>
                    <w:rPr>
                      <w:rFonts w:ascii="Times New Roman" w:hint="eastAsia"/>
                      <w:color w:val="auto"/>
                      <w:sz w:val="21"/>
                      <w:szCs w:val="21"/>
                    </w:rPr>
                    <w:t>主变压器西侧</w:t>
                  </w:r>
                  <w:r>
                    <w:rPr>
                      <w:rFonts w:ascii="Times New Roman"/>
                      <w:color w:val="auto"/>
                      <w:sz w:val="21"/>
                      <w:szCs w:val="21"/>
                    </w:rPr>
                    <w:t>，地下钢筋水泥防渗结构，容积为</w:t>
                  </w:r>
                  <w:r>
                    <w:rPr>
                      <w:rFonts w:hint="eastAsia"/>
                      <w:color w:val="auto"/>
                      <w:sz w:val="21"/>
                      <w:szCs w:val="21"/>
                      <w:lang w:val="en-US" w:eastAsia="zh-CN"/>
                    </w:rPr>
                    <w:t>12</w:t>
                  </w:r>
                  <w:r>
                    <w:rPr>
                      <w:rFonts w:ascii="Times New Roman" w:hint="eastAsia"/>
                      <w:color w:val="auto"/>
                      <w:sz w:val="21"/>
                      <w:szCs w:val="21"/>
                    </w:rPr>
                    <w:t>0</w:t>
                  </w:r>
                  <w:r>
                    <w:rPr>
                      <w:rFonts w:ascii="Times New Roman"/>
                      <w:color w:val="auto"/>
                      <w:sz w:val="21"/>
                      <w:szCs w:val="21"/>
                    </w:rPr>
                    <w:t>m</w:t>
                  </w:r>
                  <w:r>
                    <w:rPr>
                      <w:rFonts w:ascii="Times New Roman"/>
                      <w:color w:val="auto"/>
                      <w:sz w:val="21"/>
                      <w:szCs w:val="21"/>
                      <w:vertAlign w:val="superscript"/>
                    </w:rPr>
                    <w:t>3</w:t>
                  </w:r>
                  <w:r>
                    <w:rPr>
                      <w:rFonts w:hint="eastAsia"/>
                      <w:color w:val="auto"/>
                      <w:sz w:val="21"/>
                      <w:szCs w:val="21"/>
                      <w:vertAlign w:val="baseline"/>
                      <w:lang w:eastAsia="zh-CN"/>
                    </w:rPr>
                    <w:t>，</w:t>
                  </w:r>
                  <w:r>
                    <w:rPr>
                      <w:rFonts w:hint="eastAsia"/>
                      <w:color w:val="auto"/>
                      <w:sz w:val="21"/>
                      <w:szCs w:val="21"/>
                      <w:vertAlign w:val="baseline"/>
                      <w:lang w:val="en-US" w:eastAsia="zh-CN"/>
                    </w:rPr>
                    <w:t>电解液事故池位于厂房中间位置，容积为62.5</w:t>
                  </w:r>
                  <w:r>
                    <w:rPr>
                      <w:rFonts w:ascii="Times New Roman"/>
                      <w:color w:val="auto"/>
                      <w:sz w:val="21"/>
                      <w:szCs w:val="21"/>
                    </w:rPr>
                    <w:t>m</w:t>
                  </w:r>
                  <w:r>
                    <w:rPr>
                      <w:rFonts w:ascii="Times New Roman"/>
                      <w:color w:val="auto"/>
                      <w:sz w:val="21"/>
                      <w:szCs w:val="21"/>
                      <w:vertAlign w:val="superscript"/>
                    </w:rPr>
                    <w:t>3</w:t>
                  </w:r>
                </w:p>
              </w:tc>
            </w:tr>
            <w:tr w14:paraId="312C33DF">
              <w:tblPrEx>
                <w:tblW w:w="4996" w:type="pct"/>
                <w:jc w:val="center"/>
                <w:tblCellMar>
                  <w:top w:w="0" w:type="dxa"/>
                  <w:left w:w="108" w:type="dxa"/>
                  <w:bottom w:w="0" w:type="dxa"/>
                  <w:right w:w="108" w:type="dxa"/>
                </w:tblCellMar>
              </w:tblPrEx>
              <w:trPr>
                <w:jc w:val="center"/>
              </w:trPr>
              <w:tc>
                <w:tcPr>
                  <w:tcW w:w="299" w:type="pct"/>
                  <w:vMerge w:val="restart"/>
                  <w:shd w:val="clear" w:color="auto" w:fill="auto"/>
                  <w:noWrap w:val="0"/>
                  <w:vAlign w:val="center"/>
                </w:tcPr>
                <w:p w14:paraId="1E2055D2">
                  <w:pPr>
                    <w:autoSpaceDE w:val="0"/>
                    <w:autoSpaceDN w:val="0"/>
                    <w:adjustRightInd w:val="0"/>
                    <w:jc w:val="center"/>
                    <w:textAlignment w:val="baseline"/>
                    <w:rPr>
                      <w:rFonts w:ascii="Times New Roman"/>
                      <w:color w:val="auto"/>
                      <w:sz w:val="21"/>
                      <w:szCs w:val="21"/>
                    </w:rPr>
                  </w:pPr>
                  <w:r>
                    <w:rPr>
                      <w:rFonts w:ascii="Times New Roman"/>
                      <w:color w:val="auto"/>
                      <w:sz w:val="21"/>
                      <w:szCs w:val="21"/>
                    </w:rPr>
                    <w:t>公用工程</w:t>
                  </w:r>
                </w:p>
              </w:tc>
              <w:tc>
                <w:tcPr>
                  <w:tcW w:w="987" w:type="pct"/>
                  <w:gridSpan w:val="2"/>
                  <w:shd w:val="clear" w:color="auto" w:fill="auto"/>
                  <w:noWrap w:val="0"/>
                  <w:vAlign w:val="center"/>
                </w:tcPr>
                <w:p w14:paraId="1822ABAC">
                  <w:pPr>
                    <w:autoSpaceDE w:val="0"/>
                    <w:autoSpaceDN w:val="0"/>
                    <w:adjustRightInd w:val="0"/>
                    <w:jc w:val="center"/>
                    <w:textAlignment w:val="baseline"/>
                    <w:rPr>
                      <w:rFonts w:ascii="Times New Roman"/>
                      <w:color w:val="auto"/>
                      <w:sz w:val="21"/>
                      <w:szCs w:val="21"/>
                    </w:rPr>
                  </w:pPr>
                  <w:r>
                    <w:rPr>
                      <w:rFonts w:ascii="Times New Roman"/>
                      <w:color w:val="auto"/>
                      <w:sz w:val="21"/>
                      <w:szCs w:val="21"/>
                    </w:rPr>
                    <w:t>给水</w:t>
                  </w:r>
                </w:p>
              </w:tc>
              <w:tc>
                <w:tcPr>
                  <w:tcW w:w="3713" w:type="pct"/>
                  <w:shd w:val="clear" w:color="auto" w:fill="auto"/>
                  <w:noWrap w:val="0"/>
                  <w:vAlign w:val="center"/>
                </w:tcPr>
                <w:p w14:paraId="501E4D79">
                  <w:pPr>
                    <w:autoSpaceDE w:val="0"/>
                    <w:autoSpaceDN w:val="0"/>
                    <w:adjustRightInd w:val="0"/>
                    <w:jc w:val="left"/>
                    <w:textAlignment w:val="baseline"/>
                    <w:rPr>
                      <w:rFonts w:ascii="Times New Roman"/>
                      <w:b w:val="0"/>
                      <w:bCs w:val="0"/>
                      <w:color w:val="auto"/>
                      <w:sz w:val="21"/>
                      <w:szCs w:val="21"/>
                    </w:rPr>
                  </w:pPr>
                  <w:r>
                    <w:rPr>
                      <w:rFonts w:ascii="Times New Roman"/>
                      <w:b w:val="0"/>
                      <w:bCs w:val="0"/>
                      <w:color w:val="auto"/>
                      <w:sz w:val="21"/>
                      <w:szCs w:val="21"/>
                    </w:rPr>
                    <w:t>施工期：由</w:t>
                  </w:r>
                  <w:r>
                    <w:rPr>
                      <w:rFonts w:hint="eastAsia"/>
                      <w:b w:val="0"/>
                      <w:bCs w:val="0"/>
                      <w:color w:val="auto"/>
                      <w:sz w:val="21"/>
                      <w:szCs w:val="21"/>
                      <w:lang w:val="en-US" w:eastAsia="zh-CN"/>
                    </w:rPr>
                    <w:t>半截塔</w:t>
                  </w:r>
                  <w:r>
                    <w:rPr>
                      <w:rFonts w:ascii="Times New Roman"/>
                      <w:b w:val="0"/>
                      <w:bCs w:val="0"/>
                      <w:color w:val="auto"/>
                      <w:sz w:val="21"/>
                      <w:szCs w:val="21"/>
                    </w:rPr>
                    <w:t>村自来水管网提供</w:t>
                  </w:r>
                </w:p>
                <w:p w14:paraId="0B8541F9">
                  <w:pPr>
                    <w:autoSpaceDE w:val="0"/>
                    <w:autoSpaceDN w:val="0"/>
                    <w:adjustRightInd w:val="0"/>
                    <w:jc w:val="left"/>
                    <w:textAlignment w:val="baseline"/>
                    <w:rPr>
                      <w:rFonts w:ascii="Times New Roman"/>
                      <w:b w:val="0"/>
                      <w:bCs w:val="0"/>
                      <w:color w:val="auto"/>
                      <w:sz w:val="21"/>
                      <w:szCs w:val="21"/>
                    </w:rPr>
                  </w:pPr>
                  <w:r>
                    <w:rPr>
                      <w:rFonts w:ascii="Times New Roman"/>
                      <w:b w:val="0"/>
                      <w:bCs w:val="0"/>
                      <w:color w:val="auto"/>
                      <w:sz w:val="21"/>
                      <w:szCs w:val="21"/>
                    </w:rPr>
                    <w:t>运营期：由</w:t>
                  </w:r>
                  <w:r>
                    <w:rPr>
                      <w:rFonts w:hint="eastAsia"/>
                      <w:b w:val="0"/>
                      <w:bCs w:val="0"/>
                      <w:color w:val="auto"/>
                      <w:sz w:val="21"/>
                      <w:szCs w:val="21"/>
                      <w:lang w:val="en-US" w:eastAsia="zh-CN"/>
                    </w:rPr>
                    <w:t>半截塔</w:t>
                  </w:r>
                  <w:r>
                    <w:rPr>
                      <w:rFonts w:ascii="Times New Roman"/>
                      <w:b w:val="0"/>
                      <w:bCs w:val="0"/>
                      <w:color w:val="auto"/>
                      <w:sz w:val="21"/>
                      <w:szCs w:val="21"/>
                    </w:rPr>
                    <w:t>村自来水管网提供，站区供水采用独立的给水系统。泵房内设置恒压变频供水设备，将水送至站区生活给水点。</w:t>
                  </w:r>
                </w:p>
              </w:tc>
            </w:tr>
            <w:tr w14:paraId="6B0C20FF">
              <w:tblPrEx>
                <w:tblW w:w="4996" w:type="pct"/>
                <w:jc w:val="center"/>
                <w:tblCellMar>
                  <w:top w:w="0" w:type="dxa"/>
                  <w:left w:w="108" w:type="dxa"/>
                  <w:bottom w:w="0" w:type="dxa"/>
                  <w:right w:w="108" w:type="dxa"/>
                </w:tblCellMar>
              </w:tblPrEx>
              <w:trPr>
                <w:jc w:val="center"/>
              </w:trPr>
              <w:tc>
                <w:tcPr>
                  <w:tcW w:w="299" w:type="pct"/>
                  <w:vMerge/>
                  <w:shd w:val="clear" w:color="auto" w:fill="auto"/>
                  <w:noWrap w:val="0"/>
                  <w:vAlign w:val="center"/>
                </w:tcPr>
                <w:p w14:paraId="114CD8CA">
                  <w:pPr>
                    <w:autoSpaceDE w:val="0"/>
                    <w:autoSpaceDN w:val="0"/>
                    <w:adjustRightInd w:val="0"/>
                    <w:jc w:val="center"/>
                    <w:textAlignment w:val="baseline"/>
                    <w:rPr>
                      <w:rFonts w:ascii="Times New Roman"/>
                      <w:color w:val="auto"/>
                      <w:sz w:val="21"/>
                      <w:szCs w:val="21"/>
                    </w:rPr>
                  </w:pPr>
                </w:p>
              </w:tc>
              <w:tc>
                <w:tcPr>
                  <w:tcW w:w="987" w:type="pct"/>
                  <w:gridSpan w:val="2"/>
                  <w:shd w:val="clear" w:color="auto" w:fill="auto"/>
                  <w:noWrap w:val="0"/>
                  <w:vAlign w:val="center"/>
                </w:tcPr>
                <w:p w14:paraId="175EFD84">
                  <w:pPr>
                    <w:autoSpaceDE w:val="0"/>
                    <w:autoSpaceDN w:val="0"/>
                    <w:adjustRightInd w:val="0"/>
                    <w:jc w:val="center"/>
                    <w:textAlignment w:val="baseline"/>
                    <w:rPr>
                      <w:rFonts w:ascii="Times New Roman"/>
                      <w:color w:val="auto"/>
                      <w:sz w:val="21"/>
                      <w:szCs w:val="21"/>
                    </w:rPr>
                  </w:pPr>
                  <w:r>
                    <w:rPr>
                      <w:rFonts w:ascii="Times New Roman"/>
                      <w:color w:val="auto"/>
                      <w:sz w:val="21"/>
                      <w:szCs w:val="21"/>
                    </w:rPr>
                    <w:t>排水</w:t>
                  </w:r>
                </w:p>
              </w:tc>
              <w:tc>
                <w:tcPr>
                  <w:tcW w:w="3713" w:type="pct"/>
                  <w:shd w:val="clear" w:color="auto" w:fill="auto"/>
                  <w:noWrap w:val="0"/>
                  <w:vAlign w:val="center"/>
                </w:tcPr>
                <w:p w14:paraId="33F1372D">
                  <w:pPr>
                    <w:autoSpaceDE w:val="0"/>
                    <w:autoSpaceDN w:val="0"/>
                    <w:adjustRightInd w:val="0"/>
                    <w:jc w:val="left"/>
                    <w:textAlignment w:val="baseline"/>
                    <w:rPr>
                      <w:rFonts w:ascii="Times New Roman"/>
                      <w:b w:val="0"/>
                      <w:bCs w:val="0"/>
                      <w:color w:val="auto"/>
                      <w:sz w:val="21"/>
                      <w:szCs w:val="21"/>
                      <w:lang w:bidi="ar"/>
                    </w:rPr>
                  </w:pPr>
                  <w:r>
                    <w:rPr>
                      <w:rFonts w:ascii="Times New Roman"/>
                      <w:b w:val="0"/>
                      <w:bCs w:val="0"/>
                      <w:color w:val="auto"/>
                      <w:sz w:val="21"/>
                      <w:szCs w:val="21"/>
                      <w:lang w:bidi="ar"/>
                    </w:rPr>
                    <w:t>施工期：养护废水、车辆冲洗废水等经沉淀池处理后用于施工场地抑尘，施工人员生活污水排入施工营地旱厕，旱厕定期清掏，不外排</w:t>
                  </w:r>
                </w:p>
                <w:p w14:paraId="684AE5D7">
                  <w:pPr>
                    <w:autoSpaceDE w:val="0"/>
                    <w:autoSpaceDN w:val="0"/>
                    <w:adjustRightInd w:val="0"/>
                    <w:jc w:val="left"/>
                    <w:textAlignment w:val="baseline"/>
                    <w:rPr>
                      <w:rFonts w:ascii="Times New Roman"/>
                      <w:b w:val="0"/>
                      <w:bCs w:val="0"/>
                      <w:color w:val="auto"/>
                      <w:sz w:val="21"/>
                      <w:szCs w:val="21"/>
                    </w:rPr>
                  </w:pPr>
                  <w:r>
                    <w:rPr>
                      <w:rFonts w:ascii="Times New Roman"/>
                      <w:b w:val="0"/>
                      <w:bCs w:val="0"/>
                      <w:color w:val="auto"/>
                      <w:sz w:val="21"/>
                      <w:szCs w:val="21"/>
                      <w:lang w:bidi="ar"/>
                    </w:rPr>
                    <w:t>运行期：排水方式为雨污分流制。</w:t>
                  </w:r>
                  <w:r>
                    <w:rPr>
                      <w:rFonts w:hAnsi="宋体" w:hint="eastAsia"/>
                      <w:b w:val="0"/>
                      <w:bCs w:val="0"/>
                      <w:color w:val="auto"/>
                      <w:sz w:val="21"/>
                      <w:szCs w:val="21"/>
                      <w:lang w:bidi="ar"/>
                    </w:rPr>
                    <w:t>运行期无生产废水，</w:t>
                  </w:r>
                  <w:r>
                    <w:rPr>
                      <w:rFonts w:ascii="Times New Roman"/>
                      <w:b w:val="0"/>
                      <w:bCs w:val="0"/>
                      <w:color w:val="auto"/>
                      <w:sz w:val="21"/>
                      <w:szCs w:val="21"/>
                      <w:lang w:bidi="ar"/>
                    </w:rPr>
                    <w:t>生活污水用于厂区泼洒抑尘，设置防渗旱厕，定期清掏，不外排。站内雨水经雨水口收集，通过埋地雨水管道以重力自流排入雨水泵池。经潜水泵升压排至站外排水沟内。</w:t>
                  </w:r>
                </w:p>
              </w:tc>
            </w:tr>
            <w:tr w14:paraId="270DBC8B">
              <w:tblPrEx>
                <w:tblW w:w="4996" w:type="pct"/>
                <w:jc w:val="center"/>
                <w:tblCellMar>
                  <w:top w:w="0" w:type="dxa"/>
                  <w:left w:w="108" w:type="dxa"/>
                  <w:bottom w:w="0" w:type="dxa"/>
                  <w:right w:w="108" w:type="dxa"/>
                </w:tblCellMar>
              </w:tblPrEx>
              <w:trPr>
                <w:jc w:val="center"/>
              </w:trPr>
              <w:tc>
                <w:tcPr>
                  <w:tcW w:w="299" w:type="pct"/>
                  <w:vMerge/>
                  <w:shd w:val="clear" w:color="auto" w:fill="auto"/>
                  <w:noWrap w:val="0"/>
                  <w:vAlign w:val="center"/>
                </w:tcPr>
                <w:p w14:paraId="5E6C29BB">
                  <w:pPr>
                    <w:autoSpaceDE w:val="0"/>
                    <w:autoSpaceDN w:val="0"/>
                    <w:adjustRightInd w:val="0"/>
                    <w:jc w:val="center"/>
                    <w:textAlignment w:val="baseline"/>
                    <w:rPr>
                      <w:rFonts w:ascii="Times New Roman"/>
                      <w:color w:val="auto"/>
                      <w:sz w:val="21"/>
                      <w:szCs w:val="21"/>
                    </w:rPr>
                  </w:pPr>
                </w:p>
              </w:tc>
              <w:tc>
                <w:tcPr>
                  <w:tcW w:w="987" w:type="pct"/>
                  <w:gridSpan w:val="2"/>
                  <w:shd w:val="clear" w:color="auto" w:fill="auto"/>
                  <w:noWrap w:val="0"/>
                  <w:vAlign w:val="center"/>
                </w:tcPr>
                <w:p w14:paraId="4B420C35">
                  <w:pPr>
                    <w:autoSpaceDE w:val="0"/>
                    <w:autoSpaceDN w:val="0"/>
                    <w:adjustRightInd w:val="0"/>
                    <w:jc w:val="center"/>
                    <w:textAlignment w:val="baseline"/>
                    <w:rPr>
                      <w:rFonts w:ascii="Times New Roman"/>
                      <w:color w:val="auto"/>
                      <w:sz w:val="21"/>
                      <w:szCs w:val="21"/>
                    </w:rPr>
                  </w:pPr>
                  <w:r>
                    <w:rPr>
                      <w:rFonts w:ascii="Times New Roman"/>
                      <w:color w:val="auto"/>
                      <w:sz w:val="21"/>
                      <w:szCs w:val="21"/>
                    </w:rPr>
                    <w:t>供电</w:t>
                  </w:r>
                </w:p>
              </w:tc>
              <w:tc>
                <w:tcPr>
                  <w:tcW w:w="3713" w:type="pct"/>
                  <w:shd w:val="clear" w:color="auto" w:fill="auto"/>
                  <w:noWrap w:val="0"/>
                  <w:vAlign w:val="center"/>
                </w:tcPr>
                <w:p w14:paraId="424F87AF">
                  <w:pPr>
                    <w:autoSpaceDE w:val="0"/>
                    <w:autoSpaceDN w:val="0"/>
                    <w:adjustRightInd w:val="0"/>
                    <w:jc w:val="left"/>
                    <w:textAlignment w:val="baseline"/>
                    <w:rPr>
                      <w:rFonts w:ascii="Times New Roman"/>
                      <w:b w:val="0"/>
                      <w:bCs w:val="0"/>
                      <w:color w:val="auto"/>
                      <w:sz w:val="21"/>
                      <w:szCs w:val="21"/>
                    </w:rPr>
                  </w:pPr>
                  <w:r>
                    <w:rPr>
                      <w:rFonts w:ascii="Times New Roman"/>
                      <w:b w:val="0"/>
                      <w:bCs w:val="0"/>
                      <w:color w:val="auto"/>
                      <w:sz w:val="21"/>
                      <w:szCs w:val="21"/>
                    </w:rPr>
                    <w:t>施工期用电：临时施工电源</w:t>
                  </w:r>
                  <w:r>
                    <w:rPr>
                      <w:rFonts w:ascii="Times New Roman" w:hint="eastAsia"/>
                      <w:b w:val="0"/>
                      <w:bCs w:val="0"/>
                      <w:color w:val="auto"/>
                      <w:sz w:val="21"/>
                      <w:szCs w:val="21"/>
                    </w:rPr>
                    <w:t>由</w:t>
                  </w:r>
                  <w:r>
                    <w:rPr>
                      <w:rFonts w:ascii="Times New Roman"/>
                      <w:b w:val="0"/>
                      <w:bCs w:val="0"/>
                      <w:color w:val="auto"/>
                      <w:sz w:val="21"/>
                      <w:szCs w:val="21"/>
                    </w:rPr>
                    <w:t>站址附近线路引接。</w:t>
                  </w:r>
                </w:p>
                <w:p w14:paraId="70B309A6">
                  <w:pPr>
                    <w:autoSpaceDE w:val="0"/>
                    <w:autoSpaceDN w:val="0"/>
                    <w:adjustRightInd w:val="0"/>
                    <w:jc w:val="left"/>
                    <w:textAlignment w:val="baseline"/>
                    <w:rPr>
                      <w:rFonts w:ascii="Times New Roman"/>
                      <w:b w:val="0"/>
                      <w:bCs w:val="0"/>
                      <w:color w:val="auto"/>
                      <w:sz w:val="21"/>
                      <w:szCs w:val="21"/>
                    </w:rPr>
                  </w:pPr>
                  <w:r>
                    <w:rPr>
                      <w:rFonts w:ascii="Times New Roman"/>
                      <w:b w:val="0"/>
                      <w:bCs w:val="0"/>
                      <w:color w:val="auto"/>
                      <w:sz w:val="21"/>
                      <w:szCs w:val="21"/>
                    </w:rPr>
                    <w:t>运行期站用电：站用变压器</w:t>
                  </w:r>
                  <w:r>
                    <w:rPr>
                      <w:rFonts w:hint="eastAsia"/>
                      <w:b w:val="0"/>
                      <w:bCs w:val="0"/>
                      <w:color w:val="auto"/>
                      <w:sz w:val="21"/>
                      <w:szCs w:val="21"/>
                      <w:lang w:val="en-US" w:eastAsia="zh-CN"/>
                    </w:rPr>
                    <w:t>2台</w:t>
                  </w:r>
                  <w:r>
                    <w:rPr>
                      <w:rFonts w:ascii="Times New Roman"/>
                      <w:b w:val="0"/>
                      <w:bCs w:val="0"/>
                      <w:color w:val="auto"/>
                      <w:sz w:val="21"/>
                      <w:szCs w:val="21"/>
                    </w:rPr>
                    <w:t>，通过双电源切换装置实现互为备用。一台接在升压站内的35kV母线上，另一台接在外接10kV电源上。从35kV母线上引接的站变作为工作电源，在工作电源失去后，站用电从地区取得10kV备用电源，维持站用电负荷正常供电。储能区在储能箱式变内对应每个电池单元设一台干式辅助变压器，电源引自储能升压变压器低压侧。</w:t>
                  </w:r>
                  <w:r>
                    <w:rPr>
                      <w:rFonts w:ascii="Times New Roman" w:hint="eastAsia"/>
                      <w:b w:val="0"/>
                      <w:bCs w:val="0"/>
                      <w:color w:val="auto"/>
                      <w:sz w:val="21"/>
                      <w:szCs w:val="21"/>
                    </w:rPr>
                    <w:t>储能来源和释放去处均为</w:t>
                  </w:r>
                  <w:r>
                    <w:rPr>
                      <w:rFonts w:ascii="Times New Roman" w:hint="default"/>
                      <w:b w:val="0"/>
                      <w:bCs w:val="0"/>
                      <w:color w:val="auto"/>
                      <w:sz w:val="21"/>
                      <w:szCs w:val="21"/>
                      <w:lang w:val="en-US" w:eastAsia="zh-CN"/>
                    </w:rPr>
                    <w:t>牌楼500kV变电站</w:t>
                  </w:r>
                  <w:r>
                    <w:rPr>
                      <w:rFonts w:ascii="Times New Roman" w:hint="eastAsia"/>
                      <w:b w:val="0"/>
                      <w:bCs w:val="0"/>
                      <w:color w:val="auto"/>
                      <w:sz w:val="21"/>
                      <w:szCs w:val="21"/>
                    </w:rPr>
                    <w:t>。</w:t>
                  </w:r>
                </w:p>
              </w:tc>
            </w:tr>
            <w:tr w14:paraId="0808614F">
              <w:tblPrEx>
                <w:tblW w:w="4996" w:type="pct"/>
                <w:jc w:val="center"/>
                <w:tblCellMar>
                  <w:top w:w="0" w:type="dxa"/>
                  <w:left w:w="108" w:type="dxa"/>
                  <w:bottom w:w="0" w:type="dxa"/>
                  <w:right w:w="108" w:type="dxa"/>
                </w:tblCellMar>
              </w:tblPrEx>
              <w:trPr>
                <w:jc w:val="center"/>
              </w:trPr>
              <w:tc>
                <w:tcPr>
                  <w:tcW w:w="299" w:type="pct"/>
                  <w:vMerge/>
                  <w:shd w:val="clear" w:color="auto" w:fill="auto"/>
                  <w:noWrap w:val="0"/>
                  <w:vAlign w:val="center"/>
                </w:tcPr>
                <w:p w14:paraId="29B98491">
                  <w:pPr>
                    <w:autoSpaceDE w:val="0"/>
                    <w:autoSpaceDN w:val="0"/>
                    <w:adjustRightInd w:val="0"/>
                    <w:jc w:val="center"/>
                    <w:textAlignment w:val="baseline"/>
                    <w:rPr>
                      <w:rFonts w:ascii="Times New Roman"/>
                      <w:color w:val="auto"/>
                      <w:sz w:val="21"/>
                      <w:szCs w:val="21"/>
                    </w:rPr>
                  </w:pPr>
                </w:p>
              </w:tc>
              <w:tc>
                <w:tcPr>
                  <w:tcW w:w="987" w:type="pct"/>
                  <w:gridSpan w:val="2"/>
                  <w:shd w:val="clear" w:color="auto" w:fill="auto"/>
                  <w:noWrap w:val="0"/>
                  <w:vAlign w:val="center"/>
                </w:tcPr>
                <w:p w14:paraId="23D97B15">
                  <w:pPr>
                    <w:autoSpaceDE w:val="0"/>
                    <w:autoSpaceDN w:val="0"/>
                    <w:adjustRightInd w:val="0"/>
                    <w:jc w:val="center"/>
                    <w:textAlignment w:val="baseline"/>
                    <w:rPr>
                      <w:rFonts w:ascii="Times New Roman"/>
                      <w:color w:val="auto"/>
                      <w:sz w:val="21"/>
                      <w:szCs w:val="21"/>
                    </w:rPr>
                  </w:pPr>
                  <w:r>
                    <w:rPr>
                      <w:rFonts w:ascii="Times New Roman"/>
                      <w:color w:val="auto"/>
                      <w:sz w:val="21"/>
                      <w:szCs w:val="21"/>
                    </w:rPr>
                    <w:t>供热</w:t>
                  </w:r>
                </w:p>
              </w:tc>
              <w:tc>
                <w:tcPr>
                  <w:tcW w:w="3713" w:type="pct"/>
                  <w:shd w:val="clear" w:color="auto" w:fill="auto"/>
                  <w:noWrap w:val="0"/>
                  <w:vAlign w:val="center"/>
                </w:tcPr>
                <w:p w14:paraId="01FAA799">
                  <w:pPr>
                    <w:autoSpaceDE w:val="0"/>
                    <w:autoSpaceDN w:val="0"/>
                    <w:adjustRightInd w:val="0"/>
                    <w:jc w:val="left"/>
                    <w:textAlignment w:val="baseline"/>
                    <w:rPr>
                      <w:rFonts w:ascii="Times New Roman"/>
                      <w:color w:val="auto"/>
                      <w:sz w:val="21"/>
                      <w:szCs w:val="21"/>
                    </w:rPr>
                  </w:pPr>
                  <w:r>
                    <w:rPr>
                      <w:rFonts w:ascii="Times New Roman"/>
                      <w:color w:val="auto"/>
                      <w:sz w:val="21"/>
                      <w:szCs w:val="21"/>
                    </w:rPr>
                    <w:t>办公空间等设分体空调，夏季制冷，冬季采暖。储能一体户外柜温控系统由设备厂家成套配置。</w:t>
                  </w:r>
                </w:p>
              </w:tc>
            </w:tr>
            <w:tr w14:paraId="2E56AA3B">
              <w:tblPrEx>
                <w:tblW w:w="4996" w:type="pct"/>
                <w:jc w:val="center"/>
                <w:tblCellMar>
                  <w:top w:w="0" w:type="dxa"/>
                  <w:left w:w="108" w:type="dxa"/>
                  <w:bottom w:w="0" w:type="dxa"/>
                  <w:right w:w="108" w:type="dxa"/>
                </w:tblCellMar>
              </w:tblPrEx>
              <w:trPr>
                <w:jc w:val="center"/>
              </w:trPr>
              <w:tc>
                <w:tcPr>
                  <w:tcW w:w="299" w:type="pct"/>
                  <w:vMerge w:val="restart"/>
                  <w:shd w:val="clear" w:color="auto" w:fill="auto"/>
                  <w:noWrap w:val="0"/>
                  <w:vAlign w:val="center"/>
                </w:tcPr>
                <w:p w14:paraId="72B55957">
                  <w:pPr>
                    <w:autoSpaceDE w:val="0"/>
                    <w:autoSpaceDN w:val="0"/>
                    <w:adjustRightInd w:val="0"/>
                    <w:jc w:val="center"/>
                    <w:textAlignment w:val="baseline"/>
                    <w:rPr>
                      <w:rFonts w:ascii="Times New Roman"/>
                      <w:color w:val="auto"/>
                      <w:sz w:val="21"/>
                      <w:szCs w:val="21"/>
                    </w:rPr>
                  </w:pPr>
                  <w:r>
                    <w:rPr>
                      <w:rFonts w:ascii="Times New Roman"/>
                      <w:color w:val="auto"/>
                      <w:sz w:val="21"/>
                      <w:szCs w:val="21"/>
                    </w:rPr>
                    <w:t>临时工程</w:t>
                  </w:r>
                </w:p>
              </w:tc>
              <w:tc>
                <w:tcPr>
                  <w:tcW w:w="987" w:type="pct"/>
                  <w:gridSpan w:val="2"/>
                  <w:shd w:val="clear" w:color="auto" w:fill="auto"/>
                  <w:noWrap w:val="0"/>
                  <w:vAlign w:val="center"/>
                </w:tcPr>
                <w:p w14:paraId="1EF15E75">
                  <w:pPr>
                    <w:autoSpaceDE w:val="0"/>
                    <w:autoSpaceDN w:val="0"/>
                    <w:adjustRightInd w:val="0"/>
                    <w:jc w:val="center"/>
                    <w:textAlignment w:val="baseline"/>
                    <w:rPr>
                      <w:rFonts w:ascii="Times New Roman"/>
                      <w:color w:val="auto"/>
                      <w:sz w:val="21"/>
                      <w:szCs w:val="21"/>
                    </w:rPr>
                  </w:pPr>
                  <w:r>
                    <w:rPr>
                      <w:rFonts w:ascii="Times New Roman"/>
                      <w:color w:val="auto"/>
                      <w:sz w:val="21"/>
                      <w:szCs w:val="21"/>
                    </w:rPr>
                    <w:t>施工营地</w:t>
                  </w:r>
                </w:p>
              </w:tc>
              <w:tc>
                <w:tcPr>
                  <w:tcW w:w="3713" w:type="pct"/>
                  <w:shd w:val="clear" w:color="auto" w:fill="auto"/>
                  <w:noWrap w:val="0"/>
                  <w:vAlign w:val="center"/>
                </w:tcPr>
                <w:p w14:paraId="4BCF19E9">
                  <w:pPr>
                    <w:autoSpaceDE w:val="0"/>
                    <w:autoSpaceDN w:val="0"/>
                    <w:adjustRightInd w:val="0"/>
                    <w:jc w:val="left"/>
                    <w:textAlignment w:val="baseline"/>
                    <w:rPr>
                      <w:rFonts w:ascii="Times New Roman"/>
                      <w:color w:val="auto"/>
                      <w:sz w:val="21"/>
                      <w:szCs w:val="21"/>
                    </w:rPr>
                  </w:pPr>
                  <w:r>
                    <w:rPr>
                      <w:rFonts w:ascii="Times New Roman"/>
                      <w:color w:val="auto"/>
                      <w:sz w:val="21"/>
                      <w:szCs w:val="21"/>
                    </w:rPr>
                    <w:t>不设施工人员食宿营地，施工生产用项目部办公室(临时板房)设置在升压站内。其他施工人员租用当地附近村庄居民住房。</w:t>
                  </w:r>
                </w:p>
              </w:tc>
            </w:tr>
            <w:tr w14:paraId="4165A292">
              <w:tblPrEx>
                <w:tblW w:w="4996" w:type="pct"/>
                <w:jc w:val="center"/>
                <w:tblCellMar>
                  <w:top w:w="0" w:type="dxa"/>
                  <w:left w:w="108" w:type="dxa"/>
                  <w:bottom w:w="0" w:type="dxa"/>
                  <w:right w:w="108" w:type="dxa"/>
                </w:tblCellMar>
              </w:tblPrEx>
              <w:trPr>
                <w:jc w:val="center"/>
              </w:trPr>
              <w:tc>
                <w:tcPr>
                  <w:tcW w:w="299" w:type="pct"/>
                  <w:vMerge/>
                  <w:shd w:val="clear" w:color="auto" w:fill="auto"/>
                  <w:noWrap w:val="0"/>
                  <w:vAlign w:val="center"/>
                </w:tcPr>
                <w:p w14:paraId="78D7ACF2">
                  <w:pPr>
                    <w:autoSpaceDE w:val="0"/>
                    <w:autoSpaceDN w:val="0"/>
                    <w:adjustRightInd w:val="0"/>
                    <w:jc w:val="center"/>
                    <w:textAlignment w:val="baseline"/>
                    <w:rPr>
                      <w:rFonts w:ascii="Times New Roman"/>
                      <w:color w:val="auto"/>
                      <w:sz w:val="21"/>
                      <w:szCs w:val="21"/>
                    </w:rPr>
                  </w:pPr>
                </w:p>
              </w:tc>
              <w:tc>
                <w:tcPr>
                  <w:tcW w:w="987" w:type="pct"/>
                  <w:gridSpan w:val="2"/>
                  <w:shd w:val="clear" w:color="auto" w:fill="auto"/>
                  <w:noWrap w:val="0"/>
                  <w:vAlign w:val="center"/>
                </w:tcPr>
                <w:p w14:paraId="2413A06B">
                  <w:pPr>
                    <w:autoSpaceDE w:val="0"/>
                    <w:autoSpaceDN w:val="0"/>
                    <w:adjustRightInd w:val="0"/>
                    <w:jc w:val="center"/>
                    <w:textAlignment w:val="baseline"/>
                    <w:rPr>
                      <w:rFonts w:ascii="Times New Roman"/>
                      <w:color w:val="auto"/>
                      <w:sz w:val="21"/>
                      <w:szCs w:val="21"/>
                    </w:rPr>
                  </w:pPr>
                  <w:r>
                    <w:rPr>
                      <w:rFonts w:ascii="Times New Roman"/>
                      <w:color w:val="auto"/>
                      <w:sz w:val="21"/>
                      <w:szCs w:val="21"/>
                    </w:rPr>
                    <w:t>施工场地</w:t>
                  </w:r>
                </w:p>
              </w:tc>
              <w:tc>
                <w:tcPr>
                  <w:tcW w:w="3713" w:type="pct"/>
                  <w:shd w:val="clear" w:color="auto" w:fill="auto"/>
                  <w:noWrap w:val="0"/>
                  <w:vAlign w:val="center"/>
                </w:tcPr>
                <w:p w14:paraId="45845A29">
                  <w:pPr>
                    <w:autoSpaceDE w:val="0"/>
                    <w:autoSpaceDN w:val="0"/>
                    <w:adjustRightInd w:val="0"/>
                    <w:jc w:val="left"/>
                    <w:textAlignment w:val="baseline"/>
                    <w:rPr>
                      <w:rFonts w:ascii="Times New Roman"/>
                      <w:color w:val="auto"/>
                      <w:sz w:val="21"/>
                      <w:szCs w:val="21"/>
                    </w:rPr>
                  </w:pPr>
                  <w:r>
                    <w:rPr>
                      <w:rFonts w:ascii="Times New Roman"/>
                      <w:color w:val="auto"/>
                      <w:sz w:val="21"/>
                      <w:szCs w:val="21"/>
                    </w:rPr>
                    <w:t>站区范围内。</w:t>
                  </w:r>
                </w:p>
              </w:tc>
            </w:tr>
            <w:tr w14:paraId="6B6BA254">
              <w:tblPrEx>
                <w:tblW w:w="4996" w:type="pct"/>
                <w:jc w:val="center"/>
                <w:tblCellMar>
                  <w:top w:w="0" w:type="dxa"/>
                  <w:left w:w="108" w:type="dxa"/>
                  <w:bottom w:w="0" w:type="dxa"/>
                  <w:right w:w="108" w:type="dxa"/>
                </w:tblCellMar>
              </w:tblPrEx>
              <w:trPr>
                <w:trHeight w:val="90"/>
                <w:jc w:val="center"/>
              </w:trPr>
              <w:tc>
                <w:tcPr>
                  <w:tcW w:w="299" w:type="pct"/>
                  <w:vMerge/>
                  <w:shd w:val="clear" w:color="auto" w:fill="auto"/>
                  <w:noWrap w:val="0"/>
                  <w:vAlign w:val="center"/>
                </w:tcPr>
                <w:p w14:paraId="2A00CD90">
                  <w:pPr>
                    <w:autoSpaceDE w:val="0"/>
                    <w:autoSpaceDN w:val="0"/>
                    <w:adjustRightInd w:val="0"/>
                    <w:jc w:val="center"/>
                    <w:textAlignment w:val="baseline"/>
                    <w:rPr>
                      <w:rFonts w:ascii="Times New Roman"/>
                      <w:color w:val="auto"/>
                      <w:sz w:val="21"/>
                      <w:szCs w:val="21"/>
                    </w:rPr>
                  </w:pPr>
                </w:p>
              </w:tc>
              <w:tc>
                <w:tcPr>
                  <w:tcW w:w="987" w:type="pct"/>
                  <w:gridSpan w:val="2"/>
                  <w:shd w:val="clear" w:color="auto" w:fill="auto"/>
                  <w:noWrap w:val="0"/>
                  <w:vAlign w:val="center"/>
                </w:tcPr>
                <w:p w14:paraId="10462BBE">
                  <w:pPr>
                    <w:autoSpaceDE w:val="0"/>
                    <w:autoSpaceDN w:val="0"/>
                    <w:adjustRightInd w:val="0"/>
                    <w:jc w:val="center"/>
                    <w:textAlignment w:val="baseline"/>
                    <w:rPr>
                      <w:rFonts w:ascii="Times New Roman"/>
                      <w:color w:val="auto"/>
                      <w:sz w:val="21"/>
                      <w:szCs w:val="21"/>
                    </w:rPr>
                  </w:pPr>
                  <w:r>
                    <w:rPr>
                      <w:rFonts w:ascii="Times New Roman"/>
                      <w:color w:val="auto"/>
                      <w:sz w:val="21"/>
                      <w:szCs w:val="21"/>
                    </w:rPr>
                    <w:t>施工便道</w:t>
                  </w:r>
                </w:p>
              </w:tc>
              <w:tc>
                <w:tcPr>
                  <w:tcW w:w="3713" w:type="pct"/>
                  <w:shd w:val="clear" w:color="auto" w:fill="auto"/>
                  <w:noWrap w:val="0"/>
                  <w:vAlign w:val="center"/>
                </w:tcPr>
                <w:p w14:paraId="69C9333B">
                  <w:pPr>
                    <w:autoSpaceDE w:val="0"/>
                    <w:autoSpaceDN w:val="0"/>
                    <w:adjustRightInd w:val="0"/>
                    <w:jc w:val="left"/>
                    <w:textAlignment w:val="baseline"/>
                    <w:rPr>
                      <w:rFonts w:ascii="Times New Roman"/>
                      <w:color w:val="auto"/>
                      <w:sz w:val="21"/>
                      <w:szCs w:val="21"/>
                    </w:rPr>
                  </w:pPr>
                  <w:r>
                    <w:rPr>
                      <w:rFonts w:ascii="Times New Roman"/>
                      <w:color w:val="auto"/>
                      <w:kern w:val="0"/>
                      <w:sz w:val="21"/>
                    </w:rPr>
                    <w:t>施工临时道路利用现有道路，不设置施工专用道路</w:t>
                  </w:r>
                </w:p>
              </w:tc>
            </w:tr>
            <w:tr w14:paraId="19C8C122">
              <w:tblPrEx>
                <w:tblW w:w="4996" w:type="pct"/>
                <w:jc w:val="center"/>
                <w:tblCellMar>
                  <w:top w:w="0" w:type="dxa"/>
                  <w:left w:w="108" w:type="dxa"/>
                  <w:bottom w:w="0" w:type="dxa"/>
                  <w:right w:w="108" w:type="dxa"/>
                </w:tblCellMar>
              </w:tblPrEx>
              <w:trPr>
                <w:trHeight w:val="105"/>
                <w:jc w:val="center"/>
              </w:trPr>
              <w:tc>
                <w:tcPr>
                  <w:tcW w:w="299" w:type="pct"/>
                  <w:vMerge w:val="restart"/>
                  <w:shd w:val="clear" w:color="auto" w:fill="auto"/>
                  <w:noWrap w:val="0"/>
                  <w:vAlign w:val="center"/>
                </w:tcPr>
                <w:p w14:paraId="1E543B9F">
                  <w:pPr>
                    <w:autoSpaceDE w:val="0"/>
                    <w:autoSpaceDN w:val="0"/>
                    <w:adjustRightInd w:val="0"/>
                    <w:jc w:val="center"/>
                    <w:textAlignment w:val="baseline"/>
                    <w:rPr>
                      <w:rFonts w:ascii="Times New Roman"/>
                      <w:color w:val="auto"/>
                      <w:sz w:val="21"/>
                      <w:szCs w:val="21"/>
                    </w:rPr>
                  </w:pPr>
                  <w:r>
                    <w:rPr>
                      <w:rFonts w:ascii="Times New Roman"/>
                      <w:color w:val="auto"/>
                      <w:sz w:val="21"/>
                      <w:szCs w:val="21"/>
                    </w:rPr>
                    <w:t>环保工程</w:t>
                  </w:r>
                </w:p>
              </w:tc>
              <w:tc>
                <w:tcPr>
                  <w:tcW w:w="987" w:type="pct"/>
                  <w:gridSpan w:val="2"/>
                  <w:shd w:val="clear" w:color="auto" w:fill="auto"/>
                  <w:noWrap w:val="0"/>
                  <w:vAlign w:val="center"/>
                </w:tcPr>
                <w:p w14:paraId="4AFD14C4">
                  <w:pPr>
                    <w:widowControl/>
                    <w:jc w:val="center"/>
                    <w:rPr>
                      <w:rFonts w:ascii="Times New Roman"/>
                      <w:color w:val="auto"/>
                      <w:sz w:val="21"/>
                      <w:szCs w:val="21"/>
                    </w:rPr>
                  </w:pPr>
                  <w:r>
                    <w:rPr>
                      <w:rFonts w:ascii="Times New Roman"/>
                      <w:color w:val="auto"/>
                      <w:sz w:val="21"/>
                      <w:szCs w:val="21"/>
                    </w:rPr>
                    <w:t>废气治理工程</w:t>
                  </w:r>
                </w:p>
              </w:tc>
              <w:tc>
                <w:tcPr>
                  <w:tcW w:w="3713" w:type="pct"/>
                  <w:shd w:val="clear" w:color="auto" w:fill="auto"/>
                  <w:noWrap w:val="0"/>
                  <w:vAlign w:val="center"/>
                </w:tcPr>
                <w:p w14:paraId="13B66561">
                  <w:pPr>
                    <w:autoSpaceDE w:val="0"/>
                    <w:autoSpaceDN w:val="0"/>
                    <w:adjustRightInd w:val="0"/>
                    <w:jc w:val="left"/>
                    <w:textAlignment w:val="baseline"/>
                    <w:rPr>
                      <w:rFonts w:ascii="Times New Roman"/>
                      <w:b w:val="0"/>
                      <w:bCs w:val="0"/>
                      <w:color w:val="auto"/>
                      <w:sz w:val="21"/>
                      <w:szCs w:val="21"/>
                    </w:rPr>
                  </w:pPr>
                  <w:r>
                    <w:rPr>
                      <w:rFonts w:ascii="Times New Roman"/>
                      <w:b w:val="0"/>
                      <w:bCs w:val="0"/>
                      <w:color w:val="auto"/>
                      <w:sz w:val="21"/>
                      <w:szCs w:val="21"/>
                    </w:rPr>
                    <w:t>施工期：施工扬尘通过设置施工围挡，施工材料覆盖，采用商混，进行洒水和清扫等措施治理。</w:t>
                  </w:r>
                </w:p>
                <w:p w14:paraId="50ABC068">
                  <w:pPr>
                    <w:autoSpaceDE w:val="0"/>
                    <w:autoSpaceDN w:val="0"/>
                    <w:adjustRightInd w:val="0"/>
                    <w:jc w:val="left"/>
                    <w:textAlignment w:val="baseline"/>
                    <w:rPr>
                      <w:rFonts w:ascii="Times New Roman"/>
                      <w:b w:val="0"/>
                      <w:bCs w:val="0"/>
                      <w:color w:val="auto"/>
                      <w:sz w:val="21"/>
                      <w:szCs w:val="21"/>
                    </w:rPr>
                  </w:pPr>
                  <w:r>
                    <w:rPr>
                      <w:rFonts w:ascii="Times New Roman"/>
                      <w:b w:val="0"/>
                      <w:bCs w:val="0"/>
                      <w:color w:val="auto"/>
                      <w:sz w:val="21"/>
                      <w:szCs w:val="21"/>
                    </w:rPr>
                    <w:t>运行期：无生产废气，食堂油烟经油烟净化器处理后通过楼顶排气口排放。</w:t>
                  </w:r>
                </w:p>
              </w:tc>
            </w:tr>
            <w:tr w14:paraId="3EC3B009">
              <w:tblPrEx>
                <w:tblW w:w="4996" w:type="pct"/>
                <w:jc w:val="center"/>
                <w:tblCellMar>
                  <w:top w:w="0" w:type="dxa"/>
                  <w:left w:w="108" w:type="dxa"/>
                  <w:bottom w:w="0" w:type="dxa"/>
                  <w:right w:w="108" w:type="dxa"/>
                </w:tblCellMar>
              </w:tblPrEx>
              <w:trPr>
                <w:trHeight w:val="377"/>
                <w:jc w:val="center"/>
              </w:trPr>
              <w:tc>
                <w:tcPr>
                  <w:tcW w:w="299" w:type="pct"/>
                  <w:vMerge/>
                  <w:shd w:val="clear" w:color="auto" w:fill="auto"/>
                  <w:noWrap w:val="0"/>
                  <w:vAlign w:val="center"/>
                </w:tcPr>
                <w:p w14:paraId="37C54DEE">
                  <w:pPr>
                    <w:autoSpaceDE w:val="0"/>
                    <w:autoSpaceDN w:val="0"/>
                    <w:adjustRightInd w:val="0"/>
                    <w:jc w:val="center"/>
                    <w:textAlignment w:val="baseline"/>
                    <w:rPr>
                      <w:rFonts w:ascii="Times New Roman"/>
                      <w:color w:val="auto"/>
                      <w:sz w:val="21"/>
                      <w:szCs w:val="21"/>
                    </w:rPr>
                  </w:pPr>
                </w:p>
              </w:tc>
              <w:tc>
                <w:tcPr>
                  <w:tcW w:w="987" w:type="pct"/>
                  <w:gridSpan w:val="2"/>
                  <w:shd w:val="clear" w:color="auto" w:fill="auto"/>
                  <w:noWrap w:val="0"/>
                  <w:vAlign w:val="center"/>
                </w:tcPr>
                <w:p w14:paraId="0EE7A3AE">
                  <w:pPr>
                    <w:widowControl/>
                    <w:jc w:val="center"/>
                    <w:rPr>
                      <w:rFonts w:ascii="Times New Roman"/>
                      <w:color w:val="auto"/>
                      <w:sz w:val="21"/>
                      <w:szCs w:val="21"/>
                    </w:rPr>
                  </w:pPr>
                  <w:r>
                    <w:rPr>
                      <w:rFonts w:ascii="Times New Roman"/>
                      <w:color w:val="auto"/>
                      <w:sz w:val="21"/>
                      <w:szCs w:val="21"/>
                    </w:rPr>
                    <w:t>废水治理工程</w:t>
                  </w:r>
                </w:p>
              </w:tc>
              <w:tc>
                <w:tcPr>
                  <w:tcW w:w="3713" w:type="pct"/>
                  <w:shd w:val="clear" w:color="auto" w:fill="auto"/>
                  <w:noWrap w:val="0"/>
                  <w:vAlign w:val="center"/>
                </w:tcPr>
                <w:p w14:paraId="05CF0C8D">
                  <w:pPr>
                    <w:autoSpaceDE w:val="0"/>
                    <w:autoSpaceDN w:val="0"/>
                    <w:adjustRightInd w:val="0"/>
                    <w:jc w:val="left"/>
                    <w:textAlignment w:val="baseline"/>
                    <w:rPr>
                      <w:rFonts w:ascii="Times New Roman"/>
                      <w:b w:val="0"/>
                      <w:bCs w:val="0"/>
                      <w:color w:val="auto"/>
                      <w:sz w:val="21"/>
                      <w:szCs w:val="21"/>
                      <w:lang w:bidi="ar"/>
                    </w:rPr>
                  </w:pPr>
                  <w:r>
                    <w:rPr>
                      <w:rFonts w:ascii="Times New Roman"/>
                      <w:b w:val="0"/>
                      <w:bCs w:val="0"/>
                      <w:color w:val="auto"/>
                      <w:sz w:val="21"/>
                      <w:szCs w:val="21"/>
                      <w:lang w:bidi="ar"/>
                    </w:rPr>
                    <w:t>施工期：养护废水、车辆冲洗废水等经沉淀池处理后用于施工场地抑尘，升压站施工人员生活污水排入施工营地旱厕，旱厕定期清掏，不外排。</w:t>
                  </w:r>
                </w:p>
                <w:p w14:paraId="4AD3CE86">
                  <w:pPr>
                    <w:autoSpaceDE w:val="0"/>
                    <w:autoSpaceDN w:val="0"/>
                    <w:adjustRightInd w:val="0"/>
                    <w:jc w:val="left"/>
                    <w:textAlignment w:val="baseline"/>
                    <w:rPr>
                      <w:rFonts w:ascii="Times New Roman"/>
                      <w:b w:val="0"/>
                      <w:bCs w:val="0"/>
                      <w:color w:val="auto"/>
                      <w:sz w:val="21"/>
                      <w:szCs w:val="21"/>
                    </w:rPr>
                  </w:pPr>
                  <w:r>
                    <w:rPr>
                      <w:rFonts w:ascii="Times New Roman"/>
                      <w:b w:val="0"/>
                      <w:bCs w:val="0"/>
                      <w:color w:val="auto"/>
                      <w:sz w:val="21"/>
                      <w:szCs w:val="21"/>
                      <w:lang w:bidi="ar"/>
                    </w:rPr>
                    <w:t>运行期：无生产废水，站内的生活污水用于厂区泼洒抑尘，设置防渗旱厕，定期清掏，不外排。站内雨水经雨水口收集，通过埋地雨水管道以重力自流排入雨水泵池。经潜水泵升压排至站外排水沟内。</w:t>
                  </w:r>
                </w:p>
              </w:tc>
            </w:tr>
            <w:tr w14:paraId="7D48B0B0">
              <w:tblPrEx>
                <w:tblW w:w="4996" w:type="pct"/>
                <w:jc w:val="center"/>
                <w:tblCellMar>
                  <w:top w:w="0" w:type="dxa"/>
                  <w:left w:w="108" w:type="dxa"/>
                  <w:bottom w:w="0" w:type="dxa"/>
                  <w:right w:w="108" w:type="dxa"/>
                </w:tblCellMar>
              </w:tblPrEx>
              <w:trPr>
                <w:jc w:val="center"/>
              </w:trPr>
              <w:tc>
                <w:tcPr>
                  <w:tcW w:w="299" w:type="pct"/>
                  <w:vMerge/>
                  <w:shd w:val="clear" w:color="auto" w:fill="auto"/>
                  <w:noWrap w:val="0"/>
                  <w:vAlign w:val="center"/>
                </w:tcPr>
                <w:p w14:paraId="7A96F959">
                  <w:pPr>
                    <w:autoSpaceDE w:val="0"/>
                    <w:autoSpaceDN w:val="0"/>
                    <w:adjustRightInd w:val="0"/>
                    <w:jc w:val="center"/>
                    <w:textAlignment w:val="baseline"/>
                    <w:rPr>
                      <w:rFonts w:ascii="Times New Roman"/>
                      <w:color w:val="auto"/>
                      <w:sz w:val="21"/>
                      <w:szCs w:val="21"/>
                    </w:rPr>
                  </w:pPr>
                </w:p>
              </w:tc>
              <w:tc>
                <w:tcPr>
                  <w:tcW w:w="987" w:type="pct"/>
                  <w:gridSpan w:val="2"/>
                  <w:shd w:val="clear" w:color="auto" w:fill="auto"/>
                  <w:noWrap w:val="0"/>
                  <w:vAlign w:val="center"/>
                </w:tcPr>
                <w:p w14:paraId="2B15E96A">
                  <w:pPr>
                    <w:widowControl/>
                    <w:jc w:val="center"/>
                    <w:rPr>
                      <w:rFonts w:ascii="Times New Roman"/>
                      <w:color w:val="auto"/>
                      <w:sz w:val="21"/>
                      <w:szCs w:val="21"/>
                    </w:rPr>
                  </w:pPr>
                  <w:r>
                    <w:rPr>
                      <w:rFonts w:ascii="Times New Roman"/>
                      <w:color w:val="auto"/>
                      <w:sz w:val="21"/>
                      <w:szCs w:val="21"/>
                    </w:rPr>
                    <w:t>噪声治理工程</w:t>
                  </w:r>
                </w:p>
              </w:tc>
              <w:tc>
                <w:tcPr>
                  <w:tcW w:w="3713" w:type="pct"/>
                  <w:shd w:val="clear" w:color="auto" w:fill="auto"/>
                  <w:noWrap w:val="0"/>
                  <w:vAlign w:val="center"/>
                </w:tcPr>
                <w:p w14:paraId="4037E78D">
                  <w:pPr>
                    <w:autoSpaceDE w:val="0"/>
                    <w:autoSpaceDN w:val="0"/>
                    <w:adjustRightInd w:val="0"/>
                    <w:jc w:val="left"/>
                    <w:textAlignment w:val="baseline"/>
                    <w:rPr>
                      <w:rFonts w:ascii="Times New Roman"/>
                      <w:color w:val="auto"/>
                      <w:sz w:val="21"/>
                      <w:szCs w:val="21"/>
                    </w:rPr>
                  </w:pPr>
                  <w:r>
                    <w:rPr>
                      <w:rFonts w:ascii="Times New Roman"/>
                      <w:color w:val="auto"/>
                      <w:sz w:val="21"/>
                      <w:szCs w:val="21"/>
                    </w:rPr>
                    <w:t>项目设备选用低噪声设备，加强运行维护管理</w:t>
                  </w:r>
                </w:p>
              </w:tc>
            </w:tr>
            <w:tr w14:paraId="7E31BD90">
              <w:tblPrEx>
                <w:tblW w:w="4996" w:type="pct"/>
                <w:jc w:val="center"/>
                <w:tblCellMar>
                  <w:top w:w="0" w:type="dxa"/>
                  <w:left w:w="108" w:type="dxa"/>
                  <w:bottom w:w="0" w:type="dxa"/>
                  <w:right w:w="108" w:type="dxa"/>
                </w:tblCellMar>
              </w:tblPrEx>
              <w:trPr>
                <w:jc w:val="center"/>
              </w:trPr>
              <w:tc>
                <w:tcPr>
                  <w:tcW w:w="299" w:type="pct"/>
                  <w:vMerge/>
                  <w:shd w:val="clear" w:color="auto" w:fill="auto"/>
                  <w:noWrap w:val="0"/>
                  <w:vAlign w:val="center"/>
                </w:tcPr>
                <w:p w14:paraId="26E9DB00">
                  <w:pPr>
                    <w:autoSpaceDE w:val="0"/>
                    <w:autoSpaceDN w:val="0"/>
                    <w:adjustRightInd w:val="0"/>
                    <w:jc w:val="center"/>
                    <w:textAlignment w:val="baseline"/>
                    <w:rPr>
                      <w:rFonts w:ascii="Times New Roman"/>
                      <w:color w:val="auto"/>
                      <w:sz w:val="21"/>
                      <w:szCs w:val="21"/>
                    </w:rPr>
                  </w:pPr>
                </w:p>
              </w:tc>
              <w:tc>
                <w:tcPr>
                  <w:tcW w:w="987" w:type="pct"/>
                  <w:gridSpan w:val="2"/>
                  <w:vMerge w:val="restart"/>
                  <w:shd w:val="clear" w:color="auto" w:fill="auto"/>
                  <w:noWrap w:val="0"/>
                  <w:vAlign w:val="center"/>
                </w:tcPr>
                <w:p w14:paraId="793BAE0E">
                  <w:pPr>
                    <w:widowControl/>
                    <w:jc w:val="center"/>
                    <w:rPr>
                      <w:rFonts w:ascii="Times New Roman"/>
                      <w:color w:val="auto"/>
                      <w:sz w:val="21"/>
                      <w:szCs w:val="21"/>
                    </w:rPr>
                  </w:pPr>
                  <w:r>
                    <w:rPr>
                      <w:rFonts w:ascii="Times New Roman"/>
                      <w:color w:val="auto"/>
                      <w:sz w:val="21"/>
                      <w:szCs w:val="21"/>
                    </w:rPr>
                    <w:t>固体废物治理工程</w:t>
                  </w:r>
                </w:p>
              </w:tc>
              <w:tc>
                <w:tcPr>
                  <w:tcW w:w="3713" w:type="pct"/>
                  <w:shd w:val="clear" w:color="auto" w:fill="auto"/>
                  <w:noWrap w:val="0"/>
                  <w:vAlign w:val="center"/>
                </w:tcPr>
                <w:p w14:paraId="4F4A3E05">
                  <w:pPr>
                    <w:autoSpaceDE w:val="0"/>
                    <w:autoSpaceDN w:val="0"/>
                    <w:adjustRightInd w:val="0"/>
                    <w:jc w:val="left"/>
                    <w:textAlignment w:val="baseline"/>
                    <w:rPr>
                      <w:rFonts w:ascii="Times New Roman"/>
                      <w:color w:val="auto"/>
                      <w:sz w:val="21"/>
                      <w:szCs w:val="21"/>
                    </w:rPr>
                  </w:pPr>
                  <w:r>
                    <w:rPr>
                      <w:rFonts w:ascii="Times New Roman"/>
                      <w:color w:val="auto"/>
                      <w:sz w:val="21"/>
                    </w:rPr>
                    <w:t>生活垃圾收集后交由环卫部门统一处理</w:t>
                  </w:r>
                </w:p>
              </w:tc>
            </w:tr>
            <w:tr w14:paraId="6793C6A6">
              <w:tblPrEx>
                <w:tblW w:w="4996" w:type="pct"/>
                <w:jc w:val="center"/>
                <w:tblCellMar>
                  <w:top w:w="0" w:type="dxa"/>
                  <w:left w:w="108" w:type="dxa"/>
                  <w:bottom w:w="0" w:type="dxa"/>
                  <w:right w:w="108" w:type="dxa"/>
                </w:tblCellMar>
              </w:tblPrEx>
              <w:trPr>
                <w:jc w:val="center"/>
              </w:trPr>
              <w:tc>
                <w:tcPr>
                  <w:tcW w:w="299" w:type="pct"/>
                  <w:vMerge/>
                  <w:shd w:val="clear" w:color="auto" w:fill="auto"/>
                  <w:noWrap w:val="0"/>
                  <w:vAlign w:val="center"/>
                </w:tcPr>
                <w:p w14:paraId="4CC2FC50">
                  <w:pPr>
                    <w:autoSpaceDE w:val="0"/>
                    <w:autoSpaceDN w:val="0"/>
                    <w:adjustRightInd w:val="0"/>
                    <w:jc w:val="center"/>
                    <w:textAlignment w:val="baseline"/>
                    <w:rPr>
                      <w:rFonts w:ascii="Times New Roman"/>
                      <w:color w:val="auto"/>
                      <w:sz w:val="21"/>
                      <w:szCs w:val="21"/>
                    </w:rPr>
                  </w:pPr>
                </w:p>
              </w:tc>
              <w:tc>
                <w:tcPr>
                  <w:tcW w:w="987" w:type="pct"/>
                  <w:gridSpan w:val="2"/>
                  <w:vMerge/>
                  <w:shd w:val="clear" w:color="auto" w:fill="auto"/>
                  <w:noWrap w:val="0"/>
                  <w:vAlign w:val="center"/>
                </w:tcPr>
                <w:p w14:paraId="6CB6607A">
                  <w:pPr>
                    <w:autoSpaceDE w:val="0"/>
                    <w:autoSpaceDN w:val="0"/>
                    <w:adjustRightInd w:val="0"/>
                    <w:jc w:val="center"/>
                    <w:textAlignment w:val="baseline"/>
                    <w:rPr>
                      <w:rFonts w:ascii="Times New Roman"/>
                      <w:color w:val="auto"/>
                      <w:sz w:val="21"/>
                      <w:szCs w:val="21"/>
                    </w:rPr>
                  </w:pPr>
                </w:p>
              </w:tc>
              <w:tc>
                <w:tcPr>
                  <w:tcW w:w="3713" w:type="pct"/>
                  <w:shd w:val="clear" w:color="auto" w:fill="auto"/>
                  <w:noWrap w:val="0"/>
                  <w:vAlign w:val="center"/>
                </w:tcPr>
                <w:p w14:paraId="666D0BC4">
                  <w:pPr>
                    <w:autoSpaceDE w:val="0"/>
                    <w:autoSpaceDN w:val="0"/>
                    <w:adjustRightInd w:val="0"/>
                    <w:jc w:val="left"/>
                    <w:textAlignment w:val="baseline"/>
                    <w:rPr>
                      <w:rFonts w:ascii="Times New Roman" w:eastAsia="宋体" w:hint="default"/>
                      <w:color w:val="auto"/>
                      <w:sz w:val="21"/>
                      <w:szCs w:val="21"/>
                      <w:lang w:val="en-US" w:eastAsia="zh-CN"/>
                    </w:rPr>
                  </w:pPr>
                  <w:r>
                    <w:rPr>
                      <w:rFonts w:ascii="Times New Roman"/>
                      <w:color w:val="auto"/>
                      <w:sz w:val="21"/>
                      <w:szCs w:val="21"/>
                    </w:rPr>
                    <w:t>废磷酸铁锂电池更换后的废电池由厂家回收处理，不在站内暂存。</w:t>
                  </w:r>
                  <w:r>
                    <w:rPr>
                      <w:rFonts w:ascii="Times New Roman" w:hint="eastAsia"/>
                      <w:color w:val="auto"/>
                      <w:sz w:val="21"/>
                      <w:szCs w:val="21"/>
                    </w:rPr>
                    <w:t>全钒液流电池</w:t>
                  </w:r>
                  <w:r>
                    <w:rPr>
                      <w:rFonts w:hint="eastAsia"/>
                      <w:color w:val="auto"/>
                      <w:sz w:val="21"/>
                      <w:szCs w:val="21"/>
                      <w:lang w:val="en-US" w:eastAsia="zh-CN"/>
                    </w:rPr>
                    <w:t>运营期正常维护无需更换。</w:t>
                  </w:r>
                </w:p>
              </w:tc>
            </w:tr>
            <w:tr w14:paraId="5475AEF3">
              <w:tblPrEx>
                <w:tblW w:w="4996" w:type="pct"/>
                <w:jc w:val="center"/>
                <w:tblCellMar>
                  <w:top w:w="0" w:type="dxa"/>
                  <w:left w:w="108" w:type="dxa"/>
                  <w:bottom w:w="0" w:type="dxa"/>
                  <w:right w:w="108" w:type="dxa"/>
                </w:tblCellMar>
              </w:tblPrEx>
              <w:trPr>
                <w:jc w:val="center"/>
              </w:trPr>
              <w:tc>
                <w:tcPr>
                  <w:tcW w:w="299" w:type="pct"/>
                  <w:vMerge/>
                  <w:shd w:val="clear" w:color="auto" w:fill="auto"/>
                  <w:noWrap w:val="0"/>
                  <w:vAlign w:val="center"/>
                </w:tcPr>
                <w:p w14:paraId="4975F593">
                  <w:pPr>
                    <w:autoSpaceDE w:val="0"/>
                    <w:autoSpaceDN w:val="0"/>
                    <w:adjustRightInd w:val="0"/>
                    <w:jc w:val="center"/>
                    <w:textAlignment w:val="baseline"/>
                    <w:rPr>
                      <w:rFonts w:ascii="Times New Roman"/>
                      <w:color w:val="auto"/>
                      <w:sz w:val="21"/>
                      <w:szCs w:val="21"/>
                    </w:rPr>
                  </w:pPr>
                </w:p>
              </w:tc>
              <w:tc>
                <w:tcPr>
                  <w:tcW w:w="987" w:type="pct"/>
                  <w:gridSpan w:val="2"/>
                  <w:vMerge/>
                  <w:shd w:val="clear" w:color="auto" w:fill="auto"/>
                  <w:noWrap w:val="0"/>
                  <w:vAlign w:val="center"/>
                </w:tcPr>
                <w:p w14:paraId="468D10B7">
                  <w:pPr>
                    <w:autoSpaceDE w:val="0"/>
                    <w:autoSpaceDN w:val="0"/>
                    <w:adjustRightInd w:val="0"/>
                    <w:jc w:val="center"/>
                    <w:textAlignment w:val="baseline"/>
                    <w:rPr>
                      <w:rFonts w:ascii="Times New Roman"/>
                      <w:color w:val="auto"/>
                      <w:sz w:val="21"/>
                      <w:szCs w:val="21"/>
                    </w:rPr>
                  </w:pPr>
                </w:p>
              </w:tc>
              <w:tc>
                <w:tcPr>
                  <w:tcW w:w="3713" w:type="pct"/>
                  <w:shd w:val="clear" w:color="auto" w:fill="auto"/>
                  <w:noWrap w:val="0"/>
                  <w:vAlign w:val="center"/>
                </w:tcPr>
                <w:p w14:paraId="50822B7E">
                  <w:pPr>
                    <w:autoSpaceDE w:val="0"/>
                    <w:autoSpaceDN w:val="0"/>
                    <w:adjustRightInd w:val="0"/>
                    <w:jc w:val="left"/>
                    <w:textAlignment w:val="baseline"/>
                    <w:rPr>
                      <w:rFonts w:ascii="Times New Roman"/>
                      <w:color w:val="auto"/>
                      <w:sz w:val="21"/>
                      <w:szCs w:val="21"/>
                    </w:rPr>
                  </w:pPr>
                  <w:r>
                    <w:rPr>
                      <w:rFonts w:ascii="Times New Roman"/>
                      <w:color w:val="auto"/>
                      <w:sz w:val="21"/>
                      <w:szCs w:val="21"/>
                    </w:rPr>
                    <w:t>变压器事故油暂存于事故油池内，及时</w:t>
                  </w:r>
                  <w:r>
                    <w:rPr>
                      <w:rFonts w:ascii="Times New Roman"/>
                      <w:color w:val="auto"/>
                      <w:sz w:val="21"/>
                    </w:rPr>
                    <w:t>交由有资质单位处置</w:t>
                  </w:r>
                </w:p>
              </w:tc>
            </w:tr>
            <w:tr w14:paraId="50A30A44">
              <w:tblPrEx>
                <w:tblW w:w="4996" w:type="pct"/>
                <w:jc w:val="center"/>
                <w:tblCellMar>
                  <w:top w:w="0" w:type="dxa"/>
                  <w:left w:w="108" w:type="dxa"/>
                  <w:bottom w:w="0" w:type="dxa"/>
                  <w:right w:w="108" w:type="dxa"/>
                </w:tblCellMar>
              </w:tblPrEx>
              <w:trPr>
                <w:jc w:val="center"/>
              </w:trPr>
              <w:tc>
                <w:tcPr>
                  <w:tcW w:w="299" w:type="pct"/>
                  <w:vMerge/>
                  <w:shd w:val="clear" w:color="auto" w:fill="auto"/>
                  <w:noWrap w:val="0"/>
                  <w:vAlign w:val="center"/>
                </w:tcPr>
                <w:p w14:paraId="620030A6">
                  <w:pPr>
                    <w:autoSpaceDE w:val="0"/>
                    <w:autoSpaceDN w:val="0"/>
                    <w:adjustRightInd w:val="0"/>
                    <w:jc w:val="center"/>
                    <w:textAlignment w:val="baseline"/>
                    <w:rPr>
                      <w:rFonts w:ascii="Times New Roman"/>
                      <w:color w:val="auto"/>
                      <w:sz w:val="21"/>
                      <w:szCs w:val="21"/>
                    </w:rPr>
                  </w:pPr>
                </w:p>
              </w:tc>
              <w:tc>
                <w:tcPr>
                  <w:tcW w:w="987" w:type="pct"/>
                  <w:gridSpan w:val="2"/>
                  <w:vMerge/>
                  <w:shd w:val="clear" w:color="auto" w:fill="auto"/>
                  <w:noWrap w:val="0"/>
                  <w:vAlign w:val="center"/>
                </w:tcPr>
                <w:p w14:paraId="14A67311">
                  <w:pPr>
                    <w:autoSpaceDE w:val="0"/>
                    <w:autoSpaceDN w:val="0"/>
                    <w:adjustRightInd w:val="0"/>
                    <w:jc w:val="center"/>
                    <w:textAlignment w:val="baseline"/>
                    <w:rPr>
                      <w:rFonts w:ascii="Times New Roman"/>
                      <w:color w:val="auto"/>
                      <w:sz w:val="21"/>
                      <w:szCs w:val="21"/>
                    </w:rPr>
                  </w:pPr>
                </w:p>
              </w:tc>
              <w:tc>
                <w:tcPr>
                  <w:tcW w:w="3713" w:type="pct"/>
                  <w:shd w:val="clear" w:color="auto" w:fill="auto"/>
                  <w:noWrap w:val="0"/>
                  <w:vAlign w:val="center"/>
                </w:tcPr>
                <w:p w14:paraId="7587E878">
                  <w:pPr>
                    <w:autoSpaceDE w:val="0"/>
                    <w:autoSpaceDN w:val="0"/>
                    <w:adjustRightInd w:val="0"/>
                    <w:jc w:val="left"/>
                    <w:textAlignment w:val="baseline"/>
                    <w:rPr>
                      <w:rFonts w:ascii="Times New Roman"/>
                      <w:color w:val="auto"/>
                      <w:sz w:val="21"/>
                      <w:szCs w:val="21"/>
                    </w:rPr>
                  </w:pPr>
                  <w:r>
                    <w:rPr>
                      <w:rFonts w:ascii="Times New Roman"/>
                      <w:color w:val="auto"/>
                      <w:sz w:val="21"/>
                      <w:szCs w:val="21"/>
                    </w:rPr>
                    <w:t>废旧铅酸蓄电池暂存于危废间内，定期</w:t>
                  </w:r>
                  <w:r>
                    <w:rPr>
                      <w:rFonts w:ascii="Times New Roman"/>
                      <w:color w:val="auto"/>
                      <w:sz w:val="21"/>
                    </w:rPr>
                    <w:t>交由有资质单位处置</w:t>
                  </w:r>
                </w:p>
              </w:tc>
            </w:tr>
            <w:tr w14:paraId="4625B49B">
              <w:tblPrEx>
                <w:tblW w:w="4996" w:type="pct"/>
                <w:jc w:val="center"/>
                <w:tblCellMar>
                  <w:top w:w="0" w:type="dxa"/>
                  <w:left w:w="108" w:type="dxa"/>
                  <w:bottom w:w="0" w:type="dxa"/>
                  <w:right w:w="108" w:type="dxa"/>
                </w:tblCellMar>
              </w:tblPrEx>
              <w:trPr>
                <w:jc w:val="center"/>
              </w:trPr>
              <w:tc>
                <w:tcPr>
                  <w:tcW w:w="299" w:type="pct"/>
                  <w:vMerge/>
                  <w:shd w:val="clear" w:color="auto" w:fill="auto"/>
                  <w:noWrap w:val="0"/>
                  <w:vAlign w:val="center"/>
                </w:tcPr>
                <w:p w14:paraId="25DA3AB0">
                  <w:pPr>
                    <w:autoSpaceDE w:val="0"/>
                    <w:autoSpaceDN w:val="0"/>
                    <w:adjustRightInd w:val="0"/>
                    <w:jc w:val="center"/>
                    <w:textAlignment w:val="baseline"/>
                    <w:rPr>
                      <w:rFonts w:ascii="Times New Roman"/>
                      <w:color w:val="auto"/>
                      <w:sz w:val="21"/>
                      <w:szCs w:val="21"/>
                    </w:rPr>
                  </w:pPr>
                </w:p>
              </w:tc>
              <w:tc>
                <w:tcPr>
                  <w:tcW w:w="987" w:type="pct"/>
                  <w:gridSpan w:val="2"/>
                  <w:shd w:val="clear" w:color="auto" w:fill="auto"/>
                  <w:noWrap w:val="0"/>
                  <w:vAlign w:val="center"/>
                </w:tcPr>
                <w:p w14:paraId="0C19612D">
                  <w:pPr>
                    <w:autoSpaceDE w:val="0"/>
                    <w:autoSpaceDN w:val="0"/>
                    <w:adjustRightInd w:val="0"/>
                    <w:jc w:val="center"/>
                    <w:textAlignment w:val="baseline"/>
                    <w:rPr>
                      <w:rFonts w:ascii="Times New Roman"/>
                      <w:color w:val="auto"/>
                      <w:sz w:val="21"/>
                      <w:szCs w:val="21"/>
                    </w:rPr>
                  </w:pPr>
                  <w:r>
                    <w:rPr>
                      <w:rFonts w:ascii="Times New Roman"/>
                      <w:color w:val="auto"/>
                      <w:sz w:val="21"/>
                      <w:szCs w:val="21"/>
                    </w:rPr>
                    <w:t>防渗工程</w:t>
                  </w:r>
                </w:p>
              </w:tc>
              <w:tc>
                <w:tcPr>
                  <w:tcW w:w="3713" w:type="pct"/>
                  <w:shd w:val="clear" w:color="auto" w:fill="auto"/>
                  <w:noWrap w:val="0"/>
                  <w:vAlign w:val="center"/>
                </w:tcPr>
                <w:p w14:paraId="4AC21F40">
                  <w:pPr>
                    <w:autoSpaceDE w:val="0"/>
                    <w:autoSpaceDN w:val="0"/>
                    <w:adjustRightInd w:val="0"/>
                    <w:jc w:val="left"/>
                    <w:textAlignment w:val="baseline"/>
                    <w:rPr>
                      <w:rFonts w:ascii="Times New Roman" w:hint="eastAsia"/>
                      <w:color w:val="auto"/>
                      <w:sz w:val="21"/>
                      <w:szCs w:val="21"/>
                    </w:rPr>
                  </w:pPr>
                  <w:r>
                    <w:rPr>
                      <w:rFonts w:ascii="Times New Roman" w:hint="eastAsia"/>
                      <w:color w:val="auto"/>
                      <w:sz w:val="21"/>
                      <w:szCs w:val="21"/>
                    </w:rPr>
                    <w:t>重点防渗区：主要包括危废间、升压站蓄电池室及事故油池</w:t>
                  </w:r>
                  <w:r>
                    <w:rPr>
                      <w:rFonts w:hint="eastAsia"/>
                      <w:color w:val="auto"/>
                      <w:sz w:val="21"/>
                      <w:szCs w:val="21"/>
                      <w:lang w:eastAsia="zh-CN"/>
                    </w:rPr>
                    <w:t>、</w:t>
                  </w:r>
                  <w:r>
                    <w:rPr>
                      <w:rFonts w:ascii="Times New Roman" w:hint="eastAsia"/>
                      <w:color w:val="auto"/>
                      <w:sz w:val="21"/>
                      <w:szCs w:val="21"/>
                    </w:rPr>
                    <w:t>全钒液流电池</w:t>
                  </w:r>
                  <w:r>
                    <w:rPr>
                      <w:rFonts w:hint="eastAsia"/>
                      <w:color w:val="auto"/>
                      <w:sz w:val="21"/>
                      <w:szCs w:val="21"/>
                      <w:lang w:val="en-US" w:eastAsia="zh-CN"/>
                    </w:rPr>
                    <w:t>厂房</w:t>
                  </w:r>
                  <w:r>
                    <w:rPr>
                      <w:rFonts w:ascii="Times New Roman" w:hint="eastAsia"/>
                      <w:color w:val="auto"/>
                      <w:sz w:val="21"/>
                      <w:szCs w:val="21"/>
                    </w:rPr>
                    <w:t>等。防渗措施为：采用抗渗混凝土进行防渗+2mm厚高密度聚乙烯膜等人工防渗材料，等效黏土层Mb≥6.0m、K≤1.0×10</w:t>
                  </w:r>
                  <w:r>
                    <w:rPr>
                      <w:rFonts w:ascii="Times New Roman" w:hint="eastAsia"/>
                      <w:color w:val="auto"/>
                      <w:sz w:val="21"/>
                      <w:szCs w:val="21"/>
                      <w:vertAlign w:val="superscript"/>
                    </w:rPr>
                    <w:t>-10</w:t>
                  </w:r>
                  <w:r>
                    <w:rPr>
                      <w:rFonts w:ascii="Times New Roman" w:hint="eastAsia"/>
                      <w:color w:val="auto"/>
                      <w:sz w:val="21"/>
                      <w:szCs w:val="21"/>
                    </w:rPr>
                    <w:t>cm/s。</w:t>
                  </w:r>
                </w:p>
                <w:p w14:paraId="2C23CBF8">
                  <w:pPr>
                    <w:autoSpaceDE w:val="0"/>
                    <w:autoSpaceDN w:val="0"/>
                    <w:adjustRightInd w:val="0"/>
                    <w:jc w:val="left"/>
                    <w:textAlignment w:val="baseline"/>
                    <w:rPr>
                      <w:rFonts w:ascii="Times New Roman" w:hint="eastAsia"/>
                      <w:color w:val="auto"/>
                      <w:sz w:val="21"/>
                      <w:szCs w:val="21"/>
                    </w:rPr>
                  </w:pPr>
                  <w:r>
                    <w:rPr>
                      <w:rFonts w:ascii="Times New Roman" w:hint="eastAsia"/>
                      <w:color w:val="auto"/>
                      <w:sz w:val="21"/>
                      <w:szCs w:val="21"/>
                    </w:rPr>
                    <w:t>一般防渗区：主要包括化粪池、储能电池预制舱及升压变预制舱，35kV预制舱等。等效黏土层Mb≥1.5m、K≤1.0×10</w:t>
                  </w:r>
                  <w:r>
                    <w:rPr>
                      <w:rFonts w:ascii="Times New Roman" w:hint="eastAsia"/>
                      <w:color w:val="auto"/>
                      <w:sz w:val="21"/>
                      <w:szCs w:val="21"/>
                      <w:vertAlign w:val="superscript"/>
                    </w:rPr>
                    <w:t>-7</w:t>
                  </w:r>
                  <w:r>
                    <w:rPr>
                      <w:rFonts w:ascii="Times New Roman" w:hint="eastAsia"/>
                      <w:color w:val="auto"/>
                      <w:sz w:val="21"/>
                      <w:szCs w:val="21"/>
                    </w:rPr>
                    <w:t>cm/s或参照GB16889执行。</w:t>
                  </w:r>
                </w:p>
                <w:p w14:paraId="7EB923A8">
                  <w:pPr>
                    <w:autoSpaceDE w:val="0"/>
                    <w:autoSpaceDN w:val="0"/>
                    <w:adjustRightInd w:val="0"/>
                    <w:jc w:val="left"/>
                    <w:textAlignment w:val="baseline"/>
                    <w:rPr>
                      <w:rFonts w:ascii="Times New Roman"/>
                      <w:color w:val="auto"/>
                      <w:sz w:val="21"/>
                      <w:szCs w:val="21"/>
                    </w:rPr>
                  </w:pPr>
                  <w:r>
                    <w:rPr>
                      <w:rFonts w:ascii="Times New Roman" w:hint="eastAsia"/>
                      <w:color w:val="auto"/>
                      <w:sz w:val="21"/>
                      <w:szCs w:val="21"/>
                    </w:rPr>
                    <w:t>简单防渗区：主要包括办公生活区等，进行简单水泥硬化处理。</w:t>
                  </w:r>
                </w:p>
              </w:tc>
            </w:tr>
            <w:tr w14:paraId="52D2E008">
              <w:tblPrEx>
                <w:tblW w:w="4996" w:type="pct"/>
                <w:jc w:val="center"/>
                <w:tblCellMar>
                  <w:top w:w="0" w:type="dxa"/>
                  <w:left w:w="108" w:type="dxa"/>
                  <w:bottom w:w="0" w:type="dxa"/>
                  <w:right w:w="108" w:type="dxa"/>
                </w:tblCellMar>
              </w:tblPrEx>
              <w:trPr>
                <w:jc w:val="center"/>
              </w:trPr>
              <w:tc>
                <w:tcPr>
                  <w:tcW w:w="299" w:type="pct"/>
                  <w:vMerge/>
                  <w:shd w:val="clear" w:color="auto" w:fill="auto"/>
                  <w:noWrap w:val="0"/>
                  <w:vAlign w:val="center"/>
                </w:tcPr>
                <w:p w14:paraId="4917D8B9">
                  <w:pPr>
                    <w:autoSpaceDE w:val="0"/>
                    <w:autoSpaceDN w:val="0"/>
                    <w:adjustRightInd w:val="0"/>
                    <w:jc w:val="center"/>
                    <w:textAlignment w:val="baseline"/>
                    <w:rPr>
                      <w:rFonts w:ascii="Times New Roman"/>
                      <w:color w:val="auto"/>
                      <w:sz w:val="21"/>
                      <w:szCs w:val="21"/>
                    </w:rPr>
                  </w:pPr>
                </w:p>
              </w:tc>
              <w:tc>
                <w:tcPr>
                  <w:tcW w:w="987" w:type="pct"/>
                  <w:gridSpan w:val="2"/>
                  <w:shd w:val="clear" w:color="auto" w:fill="auto"/>
                  <w:noWrap w:val="0"/>
                  <w:vAlign w:val="center"/>
                </w:tcPr>
                <w:p w14:paraId="5566EABE">
                  <w:pPr>
                    <w:autoSpaceDE w:val="0"/>
                    <w:autoSpaceDN w:val="0"/>
                    <w:adjustRightInd w:val="0"/>
                    <w:jc w:val="center"/>
                    <w:textAlignment w:val="baseline"/>
                    <w:rPr>
                      <w:rFonts w:ascii="Times New Roman"/>
                      <w:color w:val="auto"/>
                      <w:sz w:val="21"/>
                      <w:szCs w:val="21"/>
                    </w:rPr>
                  </w:pPr>
                  <w:r>
                    <w:rPr>
                      <w:rFonts w:ascii="Times New Roman"/>
                      <w:color w:val="auto"/>
                      <w:sz w:val="21"/>
                      <w:szCs w:val="21"/>
                    </w:rPr>
                    <w:t>生态保护</w:t>
                  </w:r>
                </w:p>
              </w:tc>
              <w:tc>
                <w:tcPr>
                  <w:tcW w:w="3713" w:type="pct"/>
                  <w:shd w:val="clear" w:color="auto" w:fill="auto"/>
                  <w:noWrap w:val="0"/>
                  <w:vAlign w:val="center"/>
                </w:tcPr>
                <w:p w14:paraId="64E51A4D">
                  <w:pPr>
                    <w:autoSpaceDE w:val="0"/>
                    <w:autoSpaceDN w:val="0"/>
                    <w:adjustRightInd w:val="0"/>
                    <w:textAlignment w:val="baseline"/>
                    <w:rPr>
                      <w:rFonts w:ascii="Times New Roman"/>
                      <w:color w:val="auto"/>
                      <w:sz w:val="21"/>
                    </w:rPr>
                  </w:pPr>
                  <w:r>
                    <w:rPr>
                      <w:rFonts w:ascii="Times New Roman"/>
                      <w:color w:val="auto"/>
                      <w:sz w:val="21"/>
                    </w:rPr>
                    <w:t>设计期：优化选址，避让生态环境敏感目标，</w:t>
                  </w:r>
                  <w:r>
                    <w:rPr>
                      <w:rFonts w:hint="eastAsia"/>
                      <w:color w:val="auto"/>
                      <w:sz w:val="21"/>
                      <w:lang w:val="en-US" w:eastAsia="zh-CN"/>
                    </w:rPr>
                    <w:t>储能站</w:t>
                  </w:r>
                  <w:r>
                    <w:rPr>
                      <w:rFonts w:ascii="Times New Roman"/>
                      <w:color w:val="auto"/>
                      <w:sz w:val="21"/>
                    </w:rPr>
                    <w:t>按照土石方挖填平衡进行设计。</w:t>
                  </w:r>
                </w:p>
                <w:p w14:paraId="48753725">
                  <w:pPr>
                    <w:autoSpaceDE w:val="0"/>
                    <w:autoSpaceDN w:val="0"/>
                    <w:adjustRightInd w:val="0"/>
                    <w:textAlignment w:val="baseline"/>
                    <w:rPr>
                      <w:rFonts w:ascii="Times New Roman"/>
                      <w:color w:val="auto"/>
                      <w:kern w:val="0"/>
                      <w:sz w:val="18"/>
                    </w:rPr>
                  </w:pPr>
                  <w:r>
                    <w:rPr>
                      <w:rFonts w:ascii="Times New Roman" w:hint="eastAsia"/>
                      <w:color w:val="auto"/>
                      <w:sz w:val="21"/>
                    </w:rPr>
                    <w:tab/>
                  </w:r>
                  <w:r>
                    <w:rPr>
                      <w:rFonts w:ascii="Times New Roman" w:hint="eastAsia"/>
                      <w:color w:val="auto"/>
                      <w:sz w:val="21"/>
                    </w:rPr>
                    <w:t>施工期：1</w:t>
                  </w:r>
                  <w:r>
                    <w:rPr>
                      <w:rFonts w:ascii="Times New Roman"/>
                      <w:color w:val="auto"/>
                      <w:sz w:val="21"/>
                    </w:rPr>
                    <w:t>.</w:t>
                  </w:r>
                  <w:r>
                    <w:rPr>
                      <w:rFonts w:ascii="Times New Roman" w:hint="eastAsia"/>
                      <w:color w:val="auto"/>
                      <w:sz w:val="21"/>
                    </w:rPr>
                    <w:t>施工活动严格控制在征地范围内，尽可能减少对植被的破坏。2.加强对管理人员和施工人员的思想教育，提高其生态环保意识。3.制定合理的施工工期，避开雨季大挖大填施工，以减少水土流失。对土建施工场地采取围挡、遮盖的措施，避免由于风、雨天气可能造成的风蚀和水蚀。4.施工优先采用环保型设备，在施工和环境条件允许的情况下，进行绿色施工，有效降低扬尘及噪声排放强度，保证达标排放。5.施工现场要加强对地表植被的保护，进出一条道，利用己有道路或原有道路拓宽，尽量减少人员、车辆对地表作物的碾压。6.基坑开挖的土壤分类存放，保护表土，用于植被恢复。对表层30～50cm熟土进行剥离，并集中堆存和保护，工程结束后及时利用原表土对施工造成的裸露面进行覆土。7.严格执行水土保持方案生态保护措施。8.结合大气污染防治措施、水污染防治措施、固废污染防治措施和噪声污染防治措施，降低项目建设对区域生态环境的影响。9.施工区布设浆砌石排水沟。</w:t>
                  </w:r>
                </w:p>
              </w:tc>
            </w:tr>
          </w:tbl>
          <w:p w14:paraId="7C5D56AE">
            <w:pPr>
              <w:pStyle w:val="00000-"/>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ascii="Times New Roman" w:eastAsia="宋体" w:hAnsi="Times New Roman" w:cs="Times New Roman" w:hint="default"/>
                <w:color w:val="auto"/>
                <w:sz w:val="24"/>
                <w:szCs w:val="24"/>
                <w:highlight w:val="none"/>
              </w:rPr>
            </w:pPr>
          </w:p>
          <w:p w14:paraId="30BA3742">
            <w:pPr>
              <w:adjustRightInd w:val="0"/>
              <w:snapToGrid w:val="0"/>
              <w:spacing w:line="360" w:lineRule="auto"/>
              <w:jc w:val="left"/>
              <w:rPr>
                <w:rFonts w:ascii="Times New Roman" w:eastAsia="宋体" w:hAnsi="Times New Roman" w:cs="Times New Roman" w:hint="default"/>
                <w:b/>
                <w:color w:val="auto"/>
                <w:sz w:val="24"/>
                <w:szCs w:val="24"/>
                <w:highlight w:val="none"/>
                <w:lang w:val="en-US" w:eastAsia="zh-CN"/>
              </w:rPr>
            </w:pPr>
            <w:r>
              <w:rPr>
                <w:rFonts w:ascii="Times New Roman" w:eastAsia="宋体" w:hAnsi="Times New Roman" w:cs="Times New Roman" w:hint="default"/>
                <w:b/>
                <w:color w:val="auto"/>
                <w:sz w:val="24"/>
                <w:szCs w:val="24"/>
                <w:highlight w:val="none"/>
                <w:lang w:val="en-US" w:eastAsia="zh-CN"/>
              </w:rPr>
              <w:t>4、储能系统方案</w:t>
            </w:r>
          </w:p>
          <w:p w14:paraId="5C247935">
            <w:pPr>
              <w:pStyle w:val="00005"/>
              <w:keepNext w:val="0"/>
              <w:keepLines w:val="0"/>
              <w:pageBreakBefore w:val="0"/>
              <w:widowControl w:val="0"/>
              <w:kinsoku/>
              <w:wordWrap/>
              <w:overflowPunct/>
              <w:topLinePunct w:val="0"/>
              <w:autoSpaceDE/>
              <w:autoSpaceDN/>
              <w:bidi w:val="0"/>
              <w:adjustRightInd w:val="0"/>
              <w:snapToGrid w:val="0"/>
              <w:spacing w:line="360" w:lineRule="auto"/>
              <w:ind w:firstLine="461"/>
              <w:jc w:val="both"/>
              <w:textAlignment w:val="auto"/>
              <w:rPr>
                <w:rFonts w:ascii="Times New Roman" w:eastAsia="宋体" w:hAnsi="Times New Roman" w:cs="Times New Roman" w:hint="default"/>
                <w:color w:val="auto"/>
                <w:sz w:val="24"/>
                <w:szCs w:val="21"/>
                <w:highlight w:val="none"/>
                <w:u w:val="none"/>
                <w:lang w:val="en-US" w:eastAsia="zh-CN"/>
              </w:rPr>
            </w:pPr>
            <w:r>
              <w:rPr>
                <w:rFonts w:ascii="Times New Roman" w:eastAsia="宋体" w:hAnsi="Times New Roman" w:cs="Times New Roman" w:hint="default"/>
                <w:color w:val="auto"/>
                <w:sz w:val="24"/>
                <w:szCs w:val="21"/>
                <w:highlight w:val="none"/>
                <w:u w:val="none"/>
                <w:lang w:val="en-US" w:eastAsia="zh-CN"/>
              </w:rPr>
              <w:t>依据系统专业方案，本工程在主变低压侧下配套建设</w:t>
            </w:r>
            <w:r>
              <w:rPr>
                <w:rFonts w:cs="Times New Roman" w:hint="eastAsia"/>
                <w:color w:val="auto"/>
                <w:sz w:val="24"/>
                <w:szCs w:val="21"/>
                <w:highlight w:val="none"/>
                <w:u w:val="none"/>
                <w:lang w:val="en-US" w:eastAsia="zh-CN"/>
              </w:rPr>
              <w:t>355</w:t>
            </w:r>
            <w:r>
              <w:rPr>
                <w:rFonts w:ascii="Times New Roman" w:eastAsia="宋体" w:hAnsi="Times New Roman" w:cs="Times New Roman" w:hint="default"/>
                <w:color w:val="auto"/>
                <w:sz w:val="24"/>
                <w:szCs w:val="21"/>
                <w:highlight w:val="none"/>
                <w:u w:val="none"/>
                <w:lang w:val="en-US" w:eastAsia="zh-CN"/>
              </w:rPr>
              <w:t>MW/</w:t>
            </w:r>
            <w:r>
              <w:rPr>
                <w:rFonts w:cs="Times New Roman" w:hint="eastAsia"/>
                <w:color w:val="auto"/>
                <w:sz w:val="24"/>
                <w:szCs w:val="21"/>
                <w:highlight w:val="none"/>
                <w:u w:val="none"/>
                <w:lang w:val="en-US" w:eastAsia="zh-CN"/>
              </w:rPr>
              <w:t>92</w:t>
            </w:r>
            <w:r>
              <w:rPr>
                <w:rFonts w:ascii="Times New Roman" w:eastAsia="宋体" w:hAnsi="Times New Roman" w:cs="Times New Roman" w:hint="default"/>
                <w:color w:val="auto"/>
                <w:sz w:val="24"/>
                <w:szCs w:val="21"/>
                <w:highlight w:val="none"/>
                <w:u w:val="none"/>
                <w:lang w:val="en-US" w:eastAsia="zh-CN"/>
              </w:rPr>
              <w:t>0MWh储能系统。其中3</w:t>
            </w:r>
            <w:r>
              <w:rPr>
                <w:rFonts w:cs="Times New Roman" w:hint="eastAsia"/>
                <w:color w:val="auto"/>
                <w:sz w:val="24"/>
                <w:szCs w:val="21"/>
                <w:highlight w:val="none"/>
                <w:u w:val="none"/>
                <w:lang w:val="en-US" w:eastAsia="zh-CN"/>
              </w:rPr>
              <w:t>05</w:t>
            </w:r>
            <w:r>
              <w:rPr>
                <w:rFonts w:ascii="Times New Roman" w:eastAsia="宋体" w:hAnsi="Times New Roman" w:cs="Times New Roman" w:hint="default"/>
                <w:color w:val="auto"/>
                <w:sz w:val="24"/>
                <w:szCs w:val="21"/>
                <w:highlight w:val="none"/>
                <w:u w:val="none"/>
                <w:lang w:val="en-US" w:eastAsia="zh-CN"/>
              </w:rPr>
              <w:t>MW/</w:t>
            </w:r>
            <w:r>
              <w:rPr>
                <w:rFonts w:cs="Times New Roman" w:hint="eastAsia"/>
                <w:color w:val="auto"/>
                <w:sz w:val="24"/>
                <w:szCs w:val="21"/>
                <w:highlight w:val="none"/>
                <w:u w:val="none"/>
                <w:lang w:val="en-US" w:eastAsia="zh-CN"/>
              </w:rPr>
              <w:t>72</w:t>
            </w:r>
            <w:r>
              <w:rPr>
                <w:rFonts w:ascii="Times New Roman" w:eastAsia="宋体" w:hAnsi="Times New Roman" w:cs="Times New Roman" w:hint="default"/>
                <w:color w:val="auto"/>
                <w:sz w:val="24"/>
                <w:szCs w:val="21"/>
                <w:highlight w:val="none"/>
                <w:u w:val="none"/>
                <w:lang w:val="en-US" w:eastAsia="zh-CN"/>
              </w:rPr>
              <w:t>0MWh采用磷酸铁锂技术，</w:t>
            </w:r>
            <w:r>
              <w:rPr>
                <w:rFonts w:cs="Times New Roman" w:hint="eastAsia"/>
                <w:color w:val="auto"/>
                <w:sz w:val="24"/>
                <w:szCs w:val="21"/>
                <w:highlight w:val="none"/>
                <w:u w:val="none"/>
                <w:lang w:val="en-US" w:eastAsia="zh-CN"/>
              </w:rPr>
              <w:t>50</w:t>
            </w:r>
            <w:r>
              <w:rPr>
                <w:rFonts w:ascii="Times New Roman" w:eastAsia="宋体" w:hAnsi="Times New Roman" w:cs="Times New Roman" w:hint="default"/>
                <w:color w:val="auto"/>
                <w:sz w:val="24"/>
                <w:szCs w:val="21"/>
                <w:highlight w:val="none"/>
                <w:u w:val="none"/>
                <w:lang w:val="en-US" w:eastAsia="zh-CN"/>
              </w:rPr>
              <w:t>MW/</w:t>
            </w:r>
            <w:r>
              <w:rPr>
                <w:rFonts w:cs="Times New Roman" w:hint="eastAsia"/>
                <w:color w:val="auto"/>
                <w:sz w:val="24"/>
                <w:szCs w:val="21"/>
                <w:highlight w:val="none"/>
                <w:u w:val="none"/>
                <w:lang w:val="en-US" w:eastAsia="zh-CN"/>
              </w:rPr>
              <w:t>200</w:t>
            </w:r>
            <w:r>
              <w:rPr>
                <w:rFonts w:ascii="Times New Roman" w:eastAsia="宋体" w:hAnsi="Times New Roman" w:cs="Times New Roman" w:hint="default"/>
                <w:color w:val="auto"/>
                <w:sz w:val="24"/>
                <w:szCs w:val="21"/>
                <w:highlight w:val="none"/>
                <w:u w:val="none"/>
                <w:lang w:val="en-US" w:eastAsia="zh-CN"/>
              </w:rPr>
              <w:t>MWh采用钒液流技术。</w:t>
            </w:r>
          </w:p>
          <w:p w14:paraId="6C1BB0EB">
            <w:pPr>
              <w:pStyle w:val="00005"/>
              <w:keepNext w:val="0"/>
              <w:keepLines w:val="0"/>
              <w:pageBreakBefore w:val="0"/>
              <w:widowControl w:val="0"/>
              <w:kinsoku/>
              <w:wordWrap/>
              <w:overflowPunct/>
              <w:topLinePunct w:val="0"/>
              <w:autoSpaceDE/>
              <w:autoSpaceDN/>
              <w:bidi w:val="0"/>
              <w:adjustRightInd w:val="0"/>
              <w:snapToGrid w:val="0"/>
              <w:spacing w:line="360" w:lineRule="auto"/>
              <w:ind w:firstLine="461"/>
              <w:jc w:val="both"/>
              <w:textAlignment w:val="auto"/>
              <w:rPr>
                <w:rFonts w:ascii="Times New Roman" w:eastAsia="宋体" w:hAnsi="Times New Roman" w:cs="Times New Roman" w:hint="default"/>
                <w:color w:val="auto"/>
                <w:sz w:val="24"/>
                <w:szCs w:val="21"/>
                <w:highlight w:val="none"/>
                <w:u w:val="none"/>
                <w:lang w:val="en-US" w:eastAsia="zh-CN"/>
              </w:rPr>
            </w:pPr>
            <w:r>
              <w:rPr>
                <w:rFonts w:ascii="Times New Roman" w:eastAsia="宋体" w:hAnsi="Times New Roman" w:cs="Times New Roman" w:hint="default"/>
                <w:color w:val="auto"/>
                <w:sz w:val="24"/>
                <w:szCs w:val="21"/>
                <w:highlight w:val="none"/>
                <w:u w:val="none"/>
                <w:lang w:val="en-US" w:eastAsia="zh-CN"/>
              </w:rPr>
              <w:t>（1）磷酸铁锂电池储能系统配置方案</w:t>
            </w:r>
          </w:p>
          <w:p w14:paraId="49B54638">
            <w:pPr>
              <w:pStyle w:val="00005"/>
              <w:keepNext w:val="0"/>
              <w:keepLines w:val="0"/>
              <w:pageBreakBefore w:val="0"/>
              <w:widowControl w:val="0"/>
              <w:kinsoku/>
              <w:wordWrap/>
              <w:overflowPunct/>
              <w:topLinePunct w:val="0"/>
              <w:autoSpaceDE/>
              <w:autoSpaceDN/>
              <w:bidi w:val="0"/>
              <w:adjustRightInd w:val="0"/>
              <w:snapToGrid w:val="0"/>
              <w:spacing w:line="360" w:lineRule="auto"/>
              <w:ind w:firstLine="461"/>
              <w:jc w:val="both"/>
              <w:textAlignment w:val="auto"/>
              <w:rPr>
                <w:rFonts w:ascii="Times New Roman" w:eastAsia="宋体" w:hAnsi="Times New Roman" w:cs="Times New Roman" w:hint="default"/>
                <w:color w:val="auto"/>
                <w:sz w:val="24"/>
                <w:szCs w:val="21"/>
                <w:highlight w:val="none"/>
                <w:u w:val="none"/>
                <w:lang w:val="en-US" w:eastAsia="zh-CN"/>
              </w:rPr>
            </w:pPr>
            <w:r>
              <w:rPr>
                <w:rFonts w:ascii="Times New Roman" w:eastAsia="宋体" w:hAnsi="Times New Roman" w:cs="Times New Roman" w:hint="default"/>
                <w:color w:val="auto"/>
                <w:sz w:val="24"/>
                <w:szCs w:val="21"/>
                <w:highlight w:val="none"/>
                <w:u w:val="none"/>
                <w:lang w:val="en-US" w:eastAsia="zh-CN"/>
              </w:rPr>
              <w:t>磷酸铁锂电池系统按2h和4h系统分为二部分：合计容量3</w:t>
            </w:r>
            <w:r>
              <w:rPr>
                <w:rFonts w:cs="Times New Roman" w:hint="eastAsia"/>
                <w:color w:val="auto"/>
                <w:sz w:val="24"/>
                <w:szCs w:val="21"/>
                <w:highlight w:val="none"/>
                <w:u w:val="none"/>
                <w:lang w:val="en-US" w:eastAsia="zh-CN"/>
              </w:rPr>
              <w:t>05</w:t>
            </w:r>
            <w:r>
              <w:rPr>
                <w:rFonts w:ascii="Times New Roman" w:eastAsia="宋体" w:hAnsi="Times New Roman" w:cs="Times New Roman" w:hint="default"/>
                <w:color w:val="auto"/>
                <w:sz w:val="24"/>
                <w:szCs w:val="21"/>
                <w:highlight w:val="none"/>
                <w:u w:val="none"/>
                <w:lang w:val="en-US" w:eastAsia="zh-CN"/>
              </w:rPr>
              <w:t>MW/7</w:t>
            </w:r>
            <w:r>
              <w:rPr>
                <w:rFonts w:cs="Times New Roman" w:hint="eastAsia"/>
                <w:color w:val="auto"/>
                <w:sz w:val="24"/>
                <w:szCs w:val="21"/>
                <w:highlight w:val="none"/>
                <w:u w:val="none"/>
                <w:lang w:val="en-US" w:eastAsia="zh-CN"/>
              </w:rPr>
              <w:t>2</w:t>
            </w:r>
            <w:r>
              <w:rPr>
                <w:rFonts w:ascii="Times New Roman" w:eastAsia="宋体" w:hAnsi="Times New Roman" w:cs="Times New Roman" w:hint="default"/>
                <w:color w:val="auto"/>
                <w:sz w:val="24"/>
                <w:szCs w:val="21"/>
                <w:highlight w:val="none"/>
                <w:u w:val="none"/>
                <w:lang w:val="en-US" w:eastAsia="zh-CN"/>
              </w:rPr>
              <w:t>0MWh。</w:t>
            </w:r>
          </w:p>
          <w:p w14:paraId="6D7D2215">
            <w:pPr>
              <w:pStyle w:val="00005"/>
              <w:keepNext w:val="0"/>
              <w:keepLines w:val="0"/>
              <w:pageBreakBefore w:val="0"/>
              <w:widowControl w:val="0"/>
              <w:kinsoku/>
              <w:wordWrap/>
              <w:overflowPunct/>
              <w:topLinePunct w:val="0"/>
              <w:autoSpaceDE/>
              <w:autoSpaceDN/>
              <w:bidi w:val="0"/>
              <w:adjustRightInd w:val="0"/>
              <w:snapToGrid w:val="0"/>
              <w:spacing w:line="360" w:lineRule="auto"/>
              <w:ind w:firstLine="461"/>
              <w:jc w:val="both"/>
              <w:textAlignment w:val="auto"/>
              <w:rPr>
                <w:rFonts w:ascii="Times New Roman" w:eastAsia="宋体" w:hAnsi="Times New Roman" w:cs="Times New Roman" w:hint="default"/>
                <w:color w:val="auto"/>
                <w:sz w:val="24"/>
                <w:szCs w:val="21"/>
                <w:highlight w:val="none"/>
                <w:u w:val="none"/>
                <w:lang w:val="en-US" w:eastAsia="zh-CN"/>
              </w:rPr>
            </w:pPr>
            <w:r>
              <w:rPr>
                <w:rFonts w:ascii="Times New Roman" w:eastAsia="宋体" w:hAnsi="Times New Roman" w:cs="Times New Roman" w:hint="default"/>
                <w:color w:val="auto"/>
                <w:sz w:val="24"/>
                <w:szCs w:val="21"/>
                <w:highlight w:val="none"/>
                <w:u w:val="none"/>
                <w:lang w:val="en-US" w:eastAsia="zh-CN"/>
              </w:rPr>
              <w:t>2h系统：2h系统由145套电池柜储能子单元组成250MW/500MWh储能系统元，</w:t>
            </w:r>
            <w:r>
              <w:rPr>
                <w:rFonts w:cs="Times New Roman" w:hint="eastAsia"/>
                <w:color w:val="auto"/>
                <w:sz w:val="24"/>
                <w:szCs w:val="21"/>
                <w:highlight w:val="none"/>
                <w:u w:val="none"/>
                <w:lang w:val="en-US" w:eastAsia="zh-CN"/>
              </w:rPr>
              <w:t>通过72套升压变流一体机</w:t>
            </w:r>
            <w:r>
              <w:rPr>
                <w:rFonts w:ascii="Times New Roman" w:eastAsia="宋体" w:hAnsi="Times New Roman" w:cs="Times New Roman" w:hint="default"/>
                <w:color w:val="auto"/>
                <w:sz w:val="24"/>
                <w:szCs w:val="21"/>
                <w:highlight w:val="none"/>
                <w:u w:val="none"/>
                <w:lang w:val="en-US" w:eastAsia="zh-CN"/>
              </w:rPr>
              <w:t>汇集后以35kV接入220kV升压站35kV母线侧。</w:t>
            </w:r>
          </w:p>
          <w:p w14:paraId="4341744F">
            <w:pPr>
              <w:pStyle w:val="00005"/>
              <w:keepNext w:val="0"/>
              <w:keepLines w:val="0"/>
              <w:pageBreakBefore w:val="0"/>
              <w:widowControl w:val="0"/>
              <w:kinsoku/>
              <w:wordWrap/>
              <w:overflowPunct/>
              <w:topLinePunct w:val="0"/>
              <w:autoSpaceDE/>
              <w:autoSpaceDN/>
              <w:bidi w:val="0"/>
              <w:adjustRightInd w:val="0"/>
              <w:snapToGrid w:val="0"/>
              <w:spacing w:line="360" w:lineRule="auto"/>
              <w:ind w:firstLine="461"/>
              <w:jc w:val="both"/>
              <w:textAlignment w:val="auto"/>
              <w:rPr>
                <w:rFonts w:ascii="Times New Roman" w:eastAsia="宋体" w:hAnsi="Times New Roman" w:cs="Times New Roman" w:hint="default"/>
                <w:color w:val="auto"/>
                <w:sz w:val="24"/>
                <w:szCs w:val="21"/>
                <w:highlight w:val="none"/>
                <w:u w:val="none"/>
                <w:lang w:val="en-US" w:eastAsia="zh-CN"/>
              </w:rPr>
            </w:pPr>
            <w:r>
              <w:rPr>
                <w:rFonts w:ascii="Times New Roman" w:eastAsia="宋体" w:hAnsi="Times New Roman" w:cs="Times New Roman" w:hint="default"/>
                <w:color w:val="auto"/>
                <w:sz w:val="24"/>
                <w:szCs w:val="21"/>
                <w:highlight w:val="none"/>
                <w:u w:val="none"/>
                <w:lang w:val="en-US" w:eastAsia="zh-CN"/>
              </w:rPr>
              <w:t>4h系统：</w:t>
            </w:r>
            <w:r>
              <w:rPr>
                <w:rFonts w:ascii="Times New Roman" w:eastAsia="宋体" w:hAnsi="Times New Roman" w:cs="Times New Roman" w:hint="eastAsia"/>
                <w:color w:val="auto"/>
                <w:sz w:val="24"/>
                <w:szCs w:val="21"/>
                <w:highlight w:val="none"/>
                <w:u w:val="none"/>
                <w:lang w:val="en-US" w:eastAsia="zh-CN"/>
              </w:rPr>
              <w:t>4h系统配置位于厂房内。系统由50套储能单元组成，合计容量</w:t>
            </w:r>
            <w:r>
              <w:rPr>
                <w:rFonts w:cs="Times New Roman" w:hint="eastAsia"/>
                <w:color w:val="auto"/>
                <w:sz w:val="24"/>
                <w:szCs w:val="21"/>
                <w:highlight w:val="none"/>
                <w:u w:val="none"/>
                <w:lang w:val="en-US" w:eastAsia="zh-CN"/>
              </w:rPr>
              <w:t>55</w:t>
            </w:r>
            <w:r>
              <w:rPr>
                <w:rFonts w:ascii="Times New Roman" w:eastAsia="宋体" w:hAnsi="Times New Roman" w:cs="Times New Roman" w:hint="eastAsia"/>
                <w:color w:val="auto"/>
                <w:sz w:val="24"/>
                <w:szCs w:val="21"/>
                <w:highlight w:val="none"/>
                <w:u w:val="none"/>
                <w:lang w:val="en-US" w:eastAsia="zh-CN"/>
              </w:rPr>
              <w:t>MW/</w:t>
            </w:r>
            <w:r>
              <w:rPr>
                <w:rFonts w:cs="Times New Roman" w:hint="eastAsia"/>
                <w:color w:val="auto"/>
                <w:sz w:val="24"/>
                <w:szCs w:val="21"/>
                <w:highlight w:val="none"/>
                <w:u w:val="none"/>
                <w:lang w:val="en-US" w:eastAsia="zh-CN"/>
              </w:rPr>
              <w:t>22</w:t>
            </w:r>
            <w:r>
              <w:rPr>
                <w:rFonts w:ascii="Times New Roman" w:eastAsia="宋体" w:hAnsi="Times New Roman" w:cs="Times New Roman" w:hint="eastAsia"/>
                <w:color w:val="auto"/>
                <w:sz w:val="24"/>
                <w:szCs w:val="21"/>
                <w:highlight w:val="none"/>
                <w:u w:val="none"/>
                <w:lang w:val="en-US" w:eastAsia="zh-CN"/>
              </w:rPr>
              <w:t>0MWh储能系统</w:t>
            </w:r>
            <w:r>
              <w:rPr>
                <w:rFonts w:ascii="Times New Roman" w:eastAsia="宋体" w:hAnsi="Times New Roman" w:cs="Times New Roman" w:hint="default"/>
                <w:color w:val="auto"/>
                <w:sz w:val="24"/>
                <w:szCs w:val="21"/>
                <w:highlight w:val="none"/>
                <w:u w:val="none"/>
                <w:lang w:val="en-US" w:eastAsia="zh-CN"/>
              </w:rPr>
              <w:t>由</w:t>
            </w:r>
            <w:r>
              <w:rPr>
                <w:rFonts w:cs="Times New Roman" w:hint="eastAsia"/>
                <w:color w:val="auto"/>
                <w:sz w:val="24"/>
                <w:szCs w:val="21"/>
                <w:highlight w:val="none"/>
                <w:u w:val="none"/>
                <w:lang w:val="en-US" w:eastAsia="zh-CN"/>
              </w:rPr>
              <w:t>61</w:t>
            </w:r>
            <w:r>
              <w:rPr>
                <w:rFonts w:ascii="Times New Roman" w:eastAsia="宋体" w:hAnsi="Times New Roman" w:cs="Times New Roman" w:hint="default"/>
                <w:color w:val="auto"/>
                <w:sz w:val="24"/>
                <w:szCs w:val="21"/>
                <w:highlight w:val="none"/>
                <w:u w:val="none"/>
                <w:lang w:val="en-US" w:eastAsia="zh-CN"/>
              </w:rPr>
              <w:t>套储能子单元组成</w:t>
            </w:r>
            <w:r>
              <w:rPr>
                <w:rFonts w:ascii="Times New Roman" w:eastAsia="宋体" w:hAnsi="Times New Roman" w:cs="Times New Roman" w:hint="eastAsia"/>
                <w:color w:val="auto"/>
                <w:sz w:val="24"/>
                <w:szCs w:val="21"/>
                <w:highlight w:val="none"/>
                <w:u w:val="none"/>
                <w:lang w:val="en-US" w:eastAsia="zh-CN"/>
              </w:rPr>
              <w:t>55</w:t>
            </w:r>
            <w:r>
              <w:rPr>
                <w:rFonts w:ascii="Times New Roman" w:eastAsia="宋体" w:hAnsi="Times New Roman" w:cs="Times New Roman" w:hint="default"/>
                <w:color w:val="auto"/>
                <w:sz w:val="24"/>
                <w:szCs w:val="21"/>
                <w:highlight w:val="none"/>
                <w:u w:val="none"/>
                <w:lang w:val="en-US" w:eastAsia="zh-CN"/>
              </w:rPr>
              <w:t>MW/2</w:t>
            </w:r>
            <w:r>
              <w:rPr>
                <w:rFonts w:ascii="Times New Roman" w:eastAsia="宋体" w:hAnsi="Times New Roman" w:cs="Times New Roman" w:hint="eastAsia"/>
                <w:color w:val="auto"/>
                <w:sz w:val="24"/>
                <w:szCs w:val="21"/>
                <w:highlight w:val="none"/>
                <w:u w:val="none"/>
                <w:lang w:val="en-US" w:eastAsia="zh-CN"/>
              </w:rPr>
              <w:t>2</w:t>
            </w:r>
            <w:r>
              <w:rPr>
                <w:rFonts w:ascii="Times New Roman" w:eastAsia="宋体" w:hAnsi="Times New Roman" w:cs="Times New Roman" w:hint="default"/>
                <w:color w:val="auto"/>
                <w:sz w:val="24"/>
                <w:szCs w:val="21"/>
                <w:highlight w:val="none"/>
                <w:u w:val="none"/>
                <w:lang w:val="en-US" w:eastAsia="zh-CN"/>
              </w:rPr>
              <w:t>0MWh储能系统。，</w:t>
            </w:r>
            <w:r>
              <w:rPr>
                <w:rFonts w:ascii="Times New Roman" w:eastAsia="宋体" w:hAnsi="Times New Roman" w:cs="Times New Roman" w:hint="eastAsia"/>
                <w:color w:val="auto"/>
                <w:sz w:val="24"/>
                <w:szCs w:val="21"/>
                <w:highlight w:val="none"/>
                <w:u w:val="none"/>
                <w:lang w:val="en-US" w:eastAsia="zh-CN"/>
              </w:rPr>
              <w:t>通过</w:t>
            </w:r>
            <w:r>
              <w:rPr>
                <w:rFonts w:cs="Times New Roman" w:hint="eastAsia"/>
                <w:color w:val="auto"/>
                <w:sz w:val="24"/>
                <w:szCs w:val="21"/>
                <w:highlight w:val="none"/>
                <w:u w:val="none"/>
                <w:lang w:val="en-US" w:eastAsia="zh-CN"/>
              </w:rPr>
              <w:t>88套</w:t>
            </w:r>
            <w:r>
              <w:rPr>
                <w:rFonts w:ascii="Times New Roman" w:eastAsia="宋体" w:hAnsi="Times New Roman" w:cs="Times New Roman" w:hint="eastAsia"/>
                <w:color w:val="auto"/>
                <w:sz w:val="24"/>
                <w:szCs w:val="21"/>
                <w:highlight w:val="none"/>
                <w:u w:val="none"/>
                <w:lang w:val="en-US" w:eastAsia="zh-CN"/>
              </w:rPr>
              <w:t>升压变流一体机</w:t>
            </w:r>
            <w:r>
              <w:rPr>
                <w:rFonts w:ascii="Times New Roman" w:eastAsia="宋体" w:hAnsi="Times New Roman" w:cs="Times New Roman" w:hint="default"/>
                <w:color w:val="auto"/>
                <w:sz w:val="24"/>
                <w:szCs w:val="21"/>
                <w:highlight w:val="none"/>
                <w:u w:val="none"/>
                <w:lang w:val="en-US" w:eastAsia="zh-CN"/>
              </w:rPr>
              <w:t>汇集后以35kV接入220kV升压站35kV母线侧。</w:t>
            </w:r>
          </w:p>
          <w:p w14:paraId="201F73CE">
            <w:pPr>
              <w:pStyle w:val="00005"/>
              <w:keepNext w:val="0"/>
              <w:keepLines w:val="0"/>
              <w:pageBreakBefore w:val="0"/>
              <w:widowControl w:val="0"/>
              <w:kinsoku/>
              <w:wordWrap/>
              <w:overflowPunct/>
              <w:topLinePunct w:val="0"/>
              <w:autoSpaceDE/>
              <w:autoSpaceDN/>
              <w:bidi w:val="0"/>
              <w:adjustRightInd w:val="0"/>
              <w:snapToGrid w:val="0"/>
              <w:spacing w:line="360" w:lineRule="auto"/>
              <w:ind w:firstLine="461"/>
              <w:jc w:val="both"/>
              <w:textAlignment w:val="auto"/>
              <w:rPr>
                <w:rFonts w:ascii="Times New Roman" w:eastAsia="宋体" w:hAnsi="Times New Roman" w:cs="Times New Roman" w:hint="default"/>
                <w:color w:val="auto"/>
                <w:sz w:val="24"/>
                <w:szCs w:val="21"/>
                <w:highlight w:val="none"/>
                <w:u w:val="none"/>
                <w:lang w:val="en-US" w:eastAsia="zh-CN"/>
              </w:rPr>
            </w:pPr>
            <w:r>
              <w:rPr>
                <w:rFonts w:ascii="Times New Roman" w:eastAsia="宋体" w:hAnsi="Times New Roman" w:cs="Times New Roman" w:hint="default"/>
                <w:color w:val="auto"/>
                <w:sz w:val="24"/>
                <w:szCs w:val="21"/>
                <w:highlight w:val="none"/>
                <w:u w:val="none"/>
                <w:lang w:val="en-US" w:eastAsia="zh-CN"/>
              </w:rPr>
              <w:t>磷酸铁锂电池储能系统</w:t>
            </w:r>
            <w:r>
              <w:rPr>
                <w:rFonts w:cs="Times New Roman" w:hint="eastAsia"/>
                <w:color w:val="auto"/>
                <w:sz w:val="24"/>
                <w:szCs w:val="21"/>
                <w:highlight w:val="none"/>
                <w:u w:val="none"/>
                <w:lang w:val="en-US" w:eastAsia="zh-CN"/>
              </w:rPr>
              <w:t>设计使用寿命为10年，服务期满后可梯次利用或作为一般固废资源回收利用。</w:t>
            </w:r>
          </w:p>
          <w:p w14:paraId="66EDE4F9">
            <w:pPr>
              <w:pStyle w:val="00005"/>
              <w:keepNext w:val="0"/>
              <w:keepLines w:val="0"/>
              <w:pageBreakBefore w:val="0"/>
              <w:widowControl w:val="0"/>
              <w:kinsoku/>
              <w:wordWrap/>
              <w:overflowPunct/>
              <w:topLinePunct w:val="0"/>
              <w:autoSpaceDE/>
              <w:autoSpaceDN/>
              <w:bidi w:val="0"/>
              <w:adjustRightInd w:val="0"/>
              <w:snapToGrid w:val="0"/>
              <w:spacing w:line="360" w:lineRule="auto"/>
              <w:ind w:firstLine="461"/>
              <w:jc w:val="both"/>
              <w:textAlignment w:val="auto"/>
              <w:rPr>
                <w:rFonts w:ascii="Times New Roman" w:eastAsia="宋体" w:hAnsi="Times New Roman" w:cs="Times New Roman" w:hint="default"/>
                <w:color w:val="auto"/>
                <w:sz w:val="24"/>
                <w:szCs w:val="21"/>
                <w:highlight w:val="none"/>
                <w:u w:val="none"/>
                <w:lang w:val="en-US" w:eastAsia="zh-CN"/>
              </w:rPr>
            </w:pPr>
            <w:r>
              <w:rPr>
                <w:rFonts w:ascii="Times New Roman" w:eastAsia="宋体" w:hAnsi="Times New Roman" w:cs="Times New Roman" w:hint="default"/>
                <w:color w:val="auto"/>
                <w:sz w:val="24"/>
                <w:szCs w:val="21"/>
                <w:highlight w:val="none"/>
                <w:u w:val="none"/>
                <w:lang w:val="en-US" w:eastAsia="zh-CN"/>
              </w:rPr>
              <w:t>（2）全钒液流电池储能系统配置方案</w:t>
            </w:r>
          </w:p>
          <w:p w14:paraId="4C9774AC">
            <w:pPr>
              <w:pStyle w:val="00005"/>
              <w:keepNext w:val="0"/>
              <w:keepLines w:val="0"/>
              <w:pageBreakBefore w:val="0"/>
              <w:widowControl w:val="0"/>
              <w:kinsoku/>
              <w:wordWrap/>
              <w:overflowPunct/>
              <w:topLinePunct w:val="0"/>
              <w:autoSpaceDE/>
              <w:autoSpaceDN/>
              <w:bidi w:val="0"/>
              <w:adjustRightInd w:val="0"/>
              <w:snapToGrid w:val="0"/>
              <w:spacing w:line="360" w:lineRule="auto"/>
              <w:ind w:firstLine="461"/>
              <w:jc w:val="both"/>
              <w:textAlignment w:val="auto"/>
              <w:rPr>
                <w:rFonts w:cs="Times New Roman" w:hint="eastAsia"/>
                <w:color w:val="auto"/>
                <w:sz w:val="24"/>
                <w:szCs w:val="21"/>
                <w:highlight w:val="none"/>
                <w:u w:val="none"/>
                <w:lang w:val="en-US" w:eastAsia="zh-CN"/>
              </w:rPr>
            </w:pPr>
            <w:r>
              <w:rPr>
                <w:rFonts w:ascii="Times New Roman" w:eastAsia="宋体" w:hAnsi="Times New Roman" w:cs="Times New Roman" w:hint="default"/>
                <w:color w:val="auto"/>
                <w:sz w:val="24"/>
                <w:szCs w:val="21"/>
                <w:highlight w:val="none"/>
                <w:u w:val="none"/>
                <w:lang w:val="en-US" w:eastAsia="zh-CN"/>
              </w:rPr>
              <w:t>全钒液流电池储能系统拟采用1MW/4MWh储能模块组成，每个储能模块安装一台1000kW双向逆变器，并联组成5MW储能单元后构成5MW/20MWh储能系统</w:t>
            </w:r>
            <w:r>
              <w:rPr>
                <w:rFonts w:cs="Times New Roman" w:hint="eastAsia"/>
                <w:color w:val="auto"/>
                <w:sz w:val="24"/>
                <w:szCs w:val="21"/>
                <w:highlight w:val="none"/>
                <w:u w:val="none"/>
                <w:lang w:val="en-US" w:eastAsia="zh-CN"/>
              </w:rPr>
              <w:t>，配套20套PCS升压变流一体机，总储能50</w:t>
            </w:r>
            <w:r>
              <w:rPr>
                <w:rFonts w:ascii="Times New Roman" w:eastAsia="宋体" w:hAnsi="Times New Roman" w:cs="Times New Roman" w:hint="default"/>
                <w:color w:val="auto"/>
                <w:sz w:val="24"/>
                <w:szCs w:val="21"/>
                <w:highlight w:val="none"/>
                <w:u w:val="none"/>
                <w:lang w:val="en-US" w:eastAsia="zh-CN"/>
              </w:rPr>
              <w:t>MW/2</w:t>
            </w:r>
            <w:r>
              <w:rPr>
                <w:rFonts w:cs="Times New Roman" w:hint="eastAsia"/>
                <w:color w:val="auto"/>
                <w:sz w:val="24"/>
                <w:szCs w:val="21"/>
                <w:highlight w:val="none"/>
                <w:u w:val="none"/>
                <w:lang w:val="en-US" w:eastAsia="zh-CN"/>
              </w:rPr>
              <w:t>0</w:t>
            </w:r>
            <w:r>
              <w:rPr>
                <w:rFonts w:ascii="Times New Roman" w:eastAsia="宋体" w:hAnsi="Times New Roman" w:cs="Times New Roman" w:hint="default"/>
                <w:color w:val="auto"/>
                <w:sz w:val="24"/>
                <w:szCs w:val="21"/>
                <w:highlight w:val="none"/>
                <w:u w:val="none"/>
                <w:lang w:val="en-US" w:eastAsia="zh-CN"/>
              </w:rPr>
              <w:t>0MWh</w:t>
            </w:r>
            <w:r>
              <w:rPr>
                <w:rFonts w:cs="Times New Roman" w:hint="eastAsia"/>
                <w:color w:val="auto"/>
                <w:sz w:val="24"/>
                <w:szCs w:val="21"/>
                <w:highlight w:val="none"/>
                <w:u w:val="none"/>
                <w:lang w:val="en-US" w:eastAsia="zh-CN"/>
              </w:rPr>
              <w:t>。设计使用寿命为20年，服务期满后电解液可重复使用，配套设备作为一般固废资源回收利用。</w:t>
            </w:r>
          </w:p>
          <w:p w14:paraId="1C1EDDEC">
            <w:pPr>
              <w:pStyle w:val="00005"/>
              <w:keepNext w:val="0"/>
              <w:keepLines w:val="0"/>
              <w:pageBreakBefore w:val="0"/>
              <w:widowControl w:val="0"/>
              <w:kinsoku/>
              <w:wordWrap/>
              <w:overflowPunct/>
              <w:topLinePunct w:val="0"/>
              <w:autoSpaceDE/>
              <w:autoSpaceDN/>
              <w:bidi w:val="0"/>
              <w:adjustRightInd w:val="0"/>
              <w:snapToGrid w:val="0"/>
              <w:spacing w:line="360" w:lineRule="auto"/>
              <w:ind w:firstLine="461"/>
              <w:jc w:val="both"/>
              <w:textAlignment w:val="auto"/>
              <w:rPr>
                <w:rFonts w:ascii="Times New Roman" w:eastAsia="宋体" w:hAnsi="Times New Roman" w:cs="Times New Roman" w:hint="eastAsia"/>
                <w:color w:val="auto"/>
                <w:sz w:val="24"/>
                <w:szCs w:val="21"/>
                <w:highlight w:val="none"/>
                <w:u w:val="none"/>
                <w:lang w:val="en-US" w:eastAsia="zh-CN"/>
              </w:rPr>
            </w:pPr>
            <w:r>
              <w:rPr>
                <w:rFonts w:cs="Times New Roman" w:hint="eastAsia"/>
                <w:color w:val="auto"/>
                <w:sz w:val="24"/>
                <w:szCs w:val="21"/>
                <w:highlight w:val="none"/>
                <w:u w:val="none"/>
                <w:lang w:val="en-US" w:eastAsia="zh-CN"/>
              </w:rPr>
              <w:t>其中</w:t>
            </w:r>
            <w:r>
              <w:rPr>
                <w:rFonts w:ascii="Times New Roman" w:eastAsia="宋体" w:hAnsi="Times New Roman" w:cs="Times New Roman" w:hint="eastAsia"/>
                <w:color w:val="auto"/>
                <w:sz w:val="24"/>
                <w:szCs w:val="21"/>
                <w:highlight w:val="none"/>
                <w:u w:val="none"/>
                <w:lang w:val="en-US" w:eastAsia="zh-CN"/>
              </w:rPr>
              <w:t>全钒液流电池储能系统工作原理如下：</w:t>
            </w:r>
          </w:p>
          <w:p w14:paraId="5D66A262">
            <w:pPr>
              <w:pStyle w:val="00005"/>
              <w:keepNext w:val="0"/>
              <w:keepLines w:val="0"/>
              <w:pageBreakBefore w:val="0"/>
              <w:widowControl w:val="0"/>
              <w:kinsoku/>
              <w:wordWrap/>
              <w:overflowPunct/>
              <w:topLinePunct w:val="0"/>
              <w:autoSpaceDE/>
              <w:autoSpaceDN/>
              <w:bidi w:val="0"/>
              <w:adjustRightInd w:val="0"/>
              <w:snapToGrid w:val="0"/>
              <w:spacing w:line="360" w:lineRule="auto"/>
              <w:ind w:firstLine="461"/>
              <w:jc w:val="both"/>
              <w:textAlignment w:val="auto"/>
              <w:rPr>
                <w:rFonts w:ascii="Times New Roman" w:eastAsia="宋体" w:hAnsi="Times New Roman" w:cs="Times New Roman" w:hint="eastAsia"/>
                <w:color w:val="auto"/>
                <w:sz w:val="24"/>
                <w:szCs w:val="21"/>
                <w:highlight w:val="none"/>
                <w:u w:val="none"/>
                <w:lang w:val="en-US" w:eastAsia="zh-CN"/>
              </w:rPr>
            </w:pPr>
            <w:r>
              <w:rPr>
                <w:rFonts w:ascii="Times New Roman" w:eastAsia="宋体" w:hAnsi="Times New Roman" w:cs="Times New Roman" w:hint="eastAsia"/>
                <w:color w:val="auto"/>
                <w:sz w:val="24"/>
                <w:szCs w:val="21"/>
                <w:highlight w:val="none"/>
                <w:u w:val="none"/>
                <w:lang w:val="en-US" w:eastAsia="zh-CN"/>
              </w:rPr>
              <w:t>全钒液流电池的主体结构为正负极储液罐，蠕动泵，正负极电极，集流板以及隔膜组成。全钒液流电池的正极和负极电解液分别装在两个储罐中，通过蠕动泵将正负极电解液带动于电极表面进行可逆的氧化还原反应，在电堆中，正极、负极电解液用离子交换膜分隔开，电池外接负载。其中初始的正极电解液由1.5mol/L的V</w:t>
            </w:r>
            <w:r>
              <w:rPr>
                <w:rFonts w:cs="Times New Roman" w:hint="eastAsia"/>
                <w:color w:val="auto"/>
                <w:sz w:val="24"/>
                <w:szCs w:val="21"/>
                <w:highlight w:val="none"/>
                <w:u w:val="none"/>
                <w:lang w:val="en-US" w:eastAsia="zh-CN"/>
              </w:rPr>
              <w:t>O</w:t>
            </w:r>
            <w:r>
              <w:rPr>
                <w:rFonts w:ascii="Times New Roman" w:eastAsia="宋体" w:hAnsi="Times New Roman" w:cs="Times New Roman" w:hint="eastAsia"/>
                <w:color w:val="auto"/>
                <w:sz w:val="24"/>
                <w:szCs w:val="21"/>
                <w:highlight w:val="none"/>
                <w:u w:val="none"/>
                <w:vertAlign w:val="superscript"/>
                <w:lang w:val="en-US" w:eastAsia="zh-CN"/>
              </w:rPr>
              <w:t>2+</w:t>
            </w:r>
            <w:r>
              <w:rPr>
                <w:rFonts w:ascii="Times New Roman" w:eastAsia="宋体" w:hAnsi="Times New Roman" w:cs="Times New Roman" w:hint="eastAsia"/>
                <w:color w:val="auto"/>
                <w:sz w:val="24"/>
                <w:szCs w:val="21"/>
                <w:highlight w:val="none"/>
                <w:u w:val="none"/>
                <w:lang w:val="en-US" w:eastAsia="zh-CN"/>
              </w:rPr>
              <w:t>离子溶液以及3mol/L的H</w:t>
            </w:r>
            <w:r>
              <w:rPr>
                <w:rFonts w:ascii="Times New Roman" w:eastAsia="宋体" w:hAnsi="Times New Roman" w:cs="Times New Roman" w:hint="eastAsia"/>
                <w:color w:val="auto"/>
                <w:sz w:val="24"/>
                <w:szCs w:val="21"/>
                <w:highlight w:val="none"/>
                <w:u w:val="none"/>
                <w:vertAlign w:val="subscript"/>
                <w:lang w:val="en-US" w:eastAsia="zh-CN"/>
              </w:rPr>
              <w:t>2</w:t>
            </w:r>
            <w:r>
              <w:rPr>
                <w:rFonts w:ascii="Times New Roman" w:eastAsia="宋体" w:hAnsi="Times New Roman" w:cs="Times New Roman" w:hint="eastAsia"/>
                <w:color w:val="auto"/>
                <w:sz w:val="24"/>
                <w:szCs w:val="21"/>
                <w:highlight w:val="none"/>
                <w:u w:val="none"/>
                <w:lang w:val="en-US" w:eastAsia="zh-CN"/>
              </w:rPr>
              <w:t>SO</w:t>
            </w:r>
            <w:r>
              <w:rPr>
                <w:rFonts w:ascii="Times New Roman" w:eastAsia="宋体" w:hAnsi="Times New Roman" w:cs="Times New Roman" w:hint="eastAsia"/>
                <w:color w:val="auto"/>
                <w:sz w:val="24"/>
                <w:szCs w:val="21"/>
                <w:highlight w:val="none"/>
                <w:u w:val="none"/>
                <w:vertAlign w:val="subscript"/>
                <w:lang w:val="en-US" w:eastAsia="zh-CN"/>
              </w:rPr>
              <w:t>4</w:t>
            </w:r>
            <w:r>
              <w:rPr>
                <w:rFonts w:ascii="Times New Roman" w:eastAsia="宋体" w:hAnsi="Times New Roman" w:cs="Times New Roman" w:hint="eastAsia"/>
                <w:color w:val="auto"/>
                <w:sz w:val="24"/>
                <w:szCs w:val="21"/>
                <w:highlight w:val="none"/>
                <w:u w:val="none"/>
                <w:lang w:val="en-US" w:eastAsia="zh-CN"/>
              </w:rPr>
              <w:t>溶液所构成，初始负极电解液由1.5mol/L的V</w:t>
            </w:r>
            <w:r>
              <w:rPr>
                <w:rFonts w:ascii="Times New Roman" w:eastAsia="宋体" w:hAnsi="Times New Roman" w:cs="Times New Roman" w:hint="eastAsia"/>
                <w:color w:val="auto"/>
                <w:sz w:val="24"/>
                <w:szCs w:val="21"/>
                <w:highlight w:val="none"/>
                <w:u w:val="none"/>
                <w:vertAlign w:val="superscript"/>
                <w:lang w:val="en-US" w:eastAsia="zh-CN"/>
              </w:rPr>
              <w:t>3+</w:t>
            </w:r>
            <w:r>
              <w:rPr>
                <w:rFonts w:ascii="Times New Roman" w:eastAsia="宋体" w:hAnsi="Times New Roman" w:cs="Times New Roman" w:hint="eastAsia"/>
                <w:color w:val="auto"/>
                <w:sz w:val="24"/>
                <w:szCs w:val="21"/>
                <w:highlight w:val="none"/>
                <w:u w:val="none"/>
                <w:lang w:val="en-US" w:eastAsia="zh-CN"/>
              </w:rPr>
              <w:t>离子溶液以及3mol/L的H</w:t>
            </w:r>
            <w:r>
              <w:rPr>
                <w:rFonts w:ascii="Times New Roman" w:eastAsia="宋体" w:hAnsi="Times New Roman" w:cs="Times New Roman" w:hint="eastAsia"/>
                <w:color w:val="auto"/>
                <w:sz w:val="24"/>
                <w:szCs w:val="21"/>
                <w:highlight w:val="none"/>
                <w:u w:val="none"/>
                <w:vertAlign w:val="subscript"/>
                <w:lang w:val="en-US" w:eastAsia="zh-CN"/>
              </w:rPr>
              <w:t>2</w:t>
            </w:r>
            <w:r>
              <w:rPr>
                <w:rFonts w:ascii="Times New Roman" w:eastAsia="宋体" w:hAnsi="Times New Roman" w:cs="Times New Roman" w:hint="eastAsia"/>
                <w:color w:val="auto"/>
                <w:sz w:val="24"/>
                <w:szCs w:val="21"/>
                <w:highlight w:val="none"/>
                <w:u w:val="none"/>
                <w:lang w:val="en-US" w:eastAsia="zh-CN"/>
              </w:rPr>
              <w:t>SO</w:t>
            </w:r>
            <w:r>
              <w:rPr>
                <w:rFonts w:ascii="Times New Roman" w:eastAsia="宋体" w:hAnsi="Times New Roman" w:cs="Times New Roman" w:hint="eastAsia"/>
                <w:color w:val="auto"/>
                <w:sz w:val="24"/>
                <w:szCs w:val="21"/>
                <w:highlight w:val="none"/>
                <w:u w:val="none"/>
                <w:vertAlign w:val="subscript"/>
                <w:lang w:val="en-US" w:eastAsia="zh-CN"/>
              </w:rPr>
              <w:t>4</w:t>
            </w:r>
            <w:r>
              <w:rPr>
                <w:rFonts w:ascii="Times New Roman" w:eastAsia="宋体" w:hAnsi="Times New Roman" w:cs="Times New Roman" w:hint="eastAsia"/>
                <w:color w:val="auto"/>
                <w:sz w:val="24"/>
                <w:szCs w:val="21"/>
                <w:highlight w:val="none"/>
                <w:u w:val="none"/>
                <w:lang w:val="en-US" w:eastAsia="zh-CN"/>
              </w:rPr>
              <w:t>溶液所构成，正负极的电极反应具体如下：充电时电子通过集流板导线从正极转移至负极与跨膜运输的H</w:t>
            </w:r>
            <w:r>
              <w:rPr>
                <w:rFonts w:ascii="Times New Roman" w:eastAsia="宋体" w:hAnsi="Times New Roman" w:cs="Times New Roman" w:hint="eastAsia"/>
                <w:color w:val="auto"/>
                <w:sz w:val="24"/>
                <w:szCs w:val="21"/>
                <w:highlight w:val="none"/>
                <w:u w:val="none"/>
                <w:vertAlign w:val="superscript"/>
                <w:lang w:val="en-US" w:eastAsia="zh-CN"/>
              </w:rPr>
              <w:t>+</w:t>
            </w:r>
            <w:r>
              <w:rPr>
                <w:rFonts w:ascii="Times New Roman" w:eastAsia="宋体" w:hAnsi="Times New Roman" w:cs="Times New Roman" w:hint="eastAsia"/>
                <w:color w:val="auto"/>
                <w:sz w:val="24"/>
                <w:szCs w:val="21"/>
                <w:highlight w:val="none"/>
                <w:u w:val="none"/>
                <w:lang w:val="en-US" w:eastAsia="zh-CN"/>
              </w:rPr>
              <w:t>形成闭合回路，该过程将电能以化学能的形式进行储存，放电阶段则相反。在完全放电状态下，正极电解液中只含有VO</w:t>
            </w:r>
            <w:r>
              <w:rPr>
                <w:rFonts w:ascii="Times New Roman" w:eastAsia="宋体" w:hAnsi="Times New Roman" w:cs="Times New Roman" w:hint="eastAsia"/>
                <w:color w:val="auto"/>
                <w:sz w:val="24"/>
                <w:szCs w:val="21"/>
                <w:highlight w:val="none"/>
                <w:u w:val="none"/>
                <w:vertAlign w:val="superscript"/>
                <w:lang w:val="en-US" w:eastAsia="zh-CN"/>
              </w:rPr>
              <w:t>2+</w:t>
            </w:r>
            <w:r>
              <w:rPr>
                <w:rFonts w:ascii="Times New Roman" w:eastAsia="宋体" w:hAnsi="Times New Roman" w:cs="Times New Roman" w:hint="eastAsia"/>
                <w:color w:val="auto"/>
                <w:sz w:val="24"/>
                <w:szCs w:val="21"/>
                <w:highlight w:val="none"/>
                <w:u w:val="none"/>
                <w:lang w:val="en-US" w:eastAsia="zh-CN"/>
              </w:rPr>
              <w:t>，负极电极液中只含有V</w:t>
            </w:r>
            <w:r>
              <w:rPr>
                <w:rFonts w:ascii="Times New Roman" w:eastAsia="宋体" w:hAnsi="Times New Roman" w:cs="Times New Roman" w:hint="eastAsia"/>
                <w:color w:val="auto"/>
                <w:sz w:val="24"/>
                <w:szCs w:val="21"/>
                <w:highlight w:val="none"/>
                <w:u w:val="none"/>
                <w:vertAlign w:val="superscript"/>
                <w:lang w:val="en-US" w:eastAsia="zh-CN"/>
              </w:rPr>
              <w:t>3+</w:t>
            </w:r>
            <w:r>
              <w:rPr>
                <w:rFonts w:ascii="Times New Roman" w:eastAsia="宋体" w:hAnsi="Times New Roman" w:cs="Times New Roman" w:hint="eastAsia"/>
                <w:color w:val="auto"/>
                <w:sz w:val="24"/>
                <w:szCs w:val="21"/>
                <w:highlight w:val="none"/>
                <w:u w:val="none"/>
                <w:lang w:val="en-US" w:eastAsia="zh-CN"/>
              </w:rPr>
              <w:t>；电量充满时正极电解液中只含VO</w:t>
            </w:r>
            <w:r>
              <w:rPr>
                <w:rFonts w:ascii="Times New Roman" w:eastAsia="宋体" w:hAnsi="Times New Roman" w:cs="Times New Roman" w:hint="eastAsia"/>
                <w:color w:val="auto"/>
                <w:sz w:val="24"/>
                <w:szCs w:val="21"/>
                <w:highlight w:val="none"/>
                <w:u w:val="none"/>
                <w:vertAlign w:val="superscript"/>
                <w:lang w:val="en-US" w:eastAsia="zh-CN"/>
              </w:rPr>
              <w:t>2+</w:t>
            </w:r>
            <w:r>
              <w:rPr>
                <w:rFonts w:ascii="Times New Roman" w:eastAsia="宋体" w:hAnsi="Times New Roman" w:cs="Times New Roman" w:hint="eastAsia"/>
                <w:color w:val="auto"/>
                <w:sz w:val="24"/>
                <w:szCs w:val="21"/>
                <w:highlight w:val="none"/>
                <w:u w:val="none"/>
                <w:lang w:val="en-US" w:eastAsia="zh-CN"/>
              </w:rPr>
              <w:t>，负极电极液中只含有V</w:t>
            </w:r>
            <w:r>
              <w:rPr>
                <w:rFonts w:ascii="Times New Roman" w:eastAsia="宋体" w:hAnsi="Times New Roman" w:cs="Times New Roman" w:hint="eastAsia"/>
                <w:color w:val="auto"/>
                <w:sz w:val="24"/>
                <w:szCs w:val="21"/>
                <w:highlight w:val="none"/>
                <w:u w:val="none"/>
                <w:vertAlign w:val="superscript"/>
                <w:lang w:val="en-US" w:eastAsia="zh-CN"/>
              </w:rPr>
              <w:t>2+</w:t>
            </w:r>
            <w:r>
              <w:rPr>
                <w:rFonts w:ascii="Times New Roman" w:eastAsia="宋体" w:hAnsi="Times New Roman" w:cs="Times New Roman" w:hint="eastAsia"/>
                <w:color w:val="auto"/>
                <w:sz w:val="24"/>
                <w:szCs w:val="21"/>
                <w:highlight w:val="none"/>
                <w:u w:val="none"/>
                <w:lang w:val="en-US" w:eastAsia="zh-CN"/>
              </w:rPr>
              <w:t>。</w:t>
            </w:r>
          </w:p>
          <w:p w14:paraId="2435CF23">
            <w:pPr>
              <w:pStyle w:val="00005"/>
              <w:keepNext w:val="0"/>
              <w:keepLines w:val="0"/>
              <w:pageBreakBefore w:val="0"/>
              <w:widowControl w:val="0"/>
              <w:kinsoku/>
              <w:wordWrap/>
              <w:overflowPunct/>
              <w:topLinePunct w:val="0"/>
              <w:autoSpaceDE/>
              <w:autoSpaceDN/>
              <w:bidi w:val="0"/>
              <w:adjustRightInd w:val="0"/>
              <w:snapToGrid w:val="0"/>
              <w:spacing w:line="360" w:lineRule="auto"/>
              <w:ind w:firstLine="461"/>
              <w:jc w:val="both"/>
              <w:textAlignment w:val="auto"/>
              <w:rPr>
                <w:rFonts w:ascii="宋体" w:hAnsi="宋体" w:cs="宋体" w:hint="eastAsia"/>
                <w:color w:val="auto"/>
                <w:sz w:val="21"/>
                <w:szCs w:val="21"/>
                <w:lang w:val="en-US" w:eastAsia="zh-CN"/>
              </w:rPr>
            </w:pPr>
            <w:r>
              <w:rPr>
                <w:rFonts w:ascii="宋体" w:eastAsia="宋体" w:hAnsi="宋体" w:cs="宋体"/>
                <w:color w:val="auto"/>
                <w:sz w:val="24"/>
                <w:szCs w:val="24"/>
              </w:rPr>
              <w:drawing>
                <wp:anchor distT="0" distB="0" distL="114300" distR="114300" simplePos="0" relativeHeight="251666432" behindDoc="0" locked="0" layoutInCell="1" allowOverlap="1">
                  <wp:simplePos x="0" y="0"/>
                  <wp:positionH relativeFrom="column">
                    <wp:posOffset>207645</wp:posOffset>
                  </wp:positionH>
                  <wp:positionV relativeFrom="paragraph">
                    <wp:posOffset>248920</wp:posOffset>
                  </wp:positionV>
                  <wp:extent cx="4571365" cy="2637155"/>
                  <wp:effectExtent l="0" t="0" r="0" b="0"/>
                  <wp:wrapTopAndBottom/>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55711" name="图片 3" descr="IMG_256"/>
                          <pic:cNvPicPr>
                            <a:picLocks noChangeAspect="1"/>
                          </pic:cNvPicPr>
                        </pic:nvPicPr>
                        <pic:blipFill>
                          <a:blip xmlns:r="http://schemas.openxmlformats.org/officeDocument/2006/relationships" r:embed="rId10"/>
                          <a:srcRect l="97" b="2763"/>
                          <a:stretch>
                            <a:fillRect/>
                          </a:stretch>
                        </pic:blipFill>
                        <pic:spPr>
                          <a:xfrm>
                            <a:off x="0" y="0"/>
                            <a:ext cx="4571365" cy="2637155"/>
                          </a:xfrm>
                          <a:prstGeom prst="rect">
                            <a:avLst/>
                          </a:prstGeom>
                          <a:noFill/>
                          <a:ln w="9525">
                            <a:noFill/>
                          </a:ln>
                        </pic:spPr>
                      </pic:pic>
                    </a:graphicData>
                  </a:graphic>
                </wp:anchor>
              </w:drawing>
            </w:r>
          </w:p>
          <w:p w14:paraId="2108F003">
            <w:pPr>
              <w:pStyle w:val="00005"/>
              <w:keepNext w:val="0"/>
              <w:keepLines w:val="0"/>
              <w:pageBreakBefore w:val="0"/>
              <w:widowControl w:val="0"/>
              <w:kinsoku/>
              <w:wordWrap/>
              <w:overflowPunct/>
              <w:topLinePunct w:val="0"/>
              <w:autoSpaceDE/>
              <w:autoSpaceDN/>
              <w:bidi w:val="0"/>
              <w:adjustRightInd w:val="0"/>
              <w:snapToGrid w:val="0"/>
              <w:spacing w:line="360" w:lineRule="auto"/>
              <w:ind w:firstLine="461"/>
              <w:jc w:val="center"/>
              <w:textAlignment w:val="auto"/>
              <w:rPr>
                <w:rFonts w:ascii="Times New Roman" w:eastAsia="宋体" w:hAnsi="Times New Roman" w:cs="Times New Roman" w:hint="default"/>
                <w:b/>
                <w:color w:val="auto"/>
                <w:sz w:val="24"/>
                <w:szCs w:val="24"/>
                <w:highlight w:val="none"/>
                <w:lang w:val="en-US" w:eastAsia="zh-CN"/>
              </w:rPr>
            </w:pPr>
            <w:r>
              <w:rPr>
                <w:rFonts w:cs="Times New Roman" w:hint="eastAsia"/>
                <w:b/>
                <w:color w:val="auto"/>
                <w:sz w:val="24"/>
                <w:szCs w:val="24"/>
                <w:highlight w:val="none"/>
                <w:lang w:val="en-US" w:eastAsia="zh-CN"/>
              </w:rPr>
              <w:t>图2-2</w:t>
            </w:r>
            <w:r>
              <w:rPr>
                <w:rFonts w:ascii="Times New Roman" w:eastAsia="宋体" w:hAnsi="Times New Roman" w:cs="Times New Roman" w:hint="default"/>
                <w:b/>
                <w:color w:val="auto"/>
                <w:sz w:val="24"/>
                <w:szCs w:val="24"/>
                <w:highlight w:val="none"/>
                <w:lang w:val="en-US" w:eastAsia="zh-CN"/>
              </w:rPr>
              <w:t>全钒液流电池储能系统工作</w:t>
            </w:r>
            <w:r>
              <w:rPr>
                <w:rFonts w:cs="Times New Roman" w:hint="eastAsia"/>
                <w:b/>
                <w:color w:val="auto"/>
                <w:sz w:val="24"/>
                <w:szCs w:val="24"/>
                <w:highlight w:val="none"/>
                <w:lang w:val="en-US" w:eastAsia="zh-CN"/>
              </w:rPr>
              <w:t>流程图</w:t>
            </w:r>
          </w:p>
          <w:p w14:paraId="0595CBB3">
            <w:pPr>
              <w:pStyle w:val="00005"/>
              <w:keepNext w:val="0"/>
              <w:keepLines w:val="0"/>
              <w:pageBreakBefore w:val="0"/>
              <w:widowControl w:val="0"/>
              <w:kinsoku/>
              <w:wordWrap/>
              <w:overflowPunct/>
              <w:topLinePunct w:val="0"/>
              <w:autoSpaceDE/>
              <w:autoSpaceDN/>
              <w:bidi w:val="0"/>
              <w:adjustRightInd w:val="0"/>
              <w:snapToGrid w:val="0"/>
              <w:spacing w:line="360" w:lineRule="auto"/>
              <w:ind w:firstLine="461"/>
              <w:jc w:val="both"/>
              <w:textAlignment w:val="auto"/>
              <w:rPr>
                <w:rFonts w:ascii="Times New Roman" w:eastAsia="宋体" w:hAnsi="Times New Roman" w:cs="Times New Roman" w:hint="default"/>
                <w:b/>
                <w:color w:val="auto"/>
                <w:sz w:val="24"/>
                <w:szCs w:val="24"/>
                <w:highlight w:val="none"/>
              </w:rPr>
            </w:pPr>
            <w:r>
              <w:rPr>
                <w:rFonts w:ascii="Times New Roman" w:eastAsia="宋体" w:hAnsi="Times New Roman" w:cs="Times New Roman" w:hint="default"/>
                <w:b/>
                <w:color w:val="auto"/>
                <w:sz w:val="24"/>
                <w:szCs w:val="24"/>
                <w:highlight w:val="none"/>
                <w:lang w:val="en-US" w:eastAsia="zh-CN"/>
              </w:rPr>
              <w:t>5</w:t>
            </w:r>
            <w:r>
              <w:rPr>
                <w:rFonts w:ascii="Times New Roman" w:eastAsia="宋体" w:hAnsi="Times New Roman" w:cs="Times New Roman" w:hint="default"/>
                <w:b/>
                <w:color w:val="auto"/>
                <w:sz w:val="24"/>
                <w:szCs w:val="24"/>
                <w:highlight w:val="none"/>
              </w:rPr>
              <w:t>、主要设备</w:t>
            </w:r>
            <w:r>
              <w:rPr>
                <w:rFonts w:ascii="Times New Roman" w:eastAsia="宋体" w:hAnsi="Times New Roman" w:cs="Times New Roman" w:hint="default"/>
                <w:b/>
                <w:color w:val="auto"/>
                <w:sz w:val="24"/>
                <w:szCs w:val="24"/>
                <w:highlight w:val="none"/>
                <w:lang w:val="en-US" w:eastAsia="zh-CN"/>
              </w:rPr>
              <w:t>参数情况</w:t>
            </w:r>
            <w:r>
              <w:rPr>
                <w:rFonts w:ascii="Times New Roman" w:eastAsia="宋体" w:hAnsi="Times New Roman" w:cs="Times New Roman" w:hint="default"/>
                <w:b/>
                <w:color w:val="auto"/>
                <w:sz w:val="24"/>
                <w:szCs w:val="24"/>
                <w:highlight w:val="none"/>
              </w:rPr>
              <w:t>表</w:t>
            </w:r>
          </w:p>
          <w:p w14:paraId="5BC7B354">
            <w:pPr>
              <w:pStyle w:val="00000-"/>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表2-</w:t>
            </w:r>
            <w:r>
              <w:rPr>
                <w:rFonts w:ascii="Times New Roman" w:eastAsia="宋体" w:hAnsi="Times New Roman" w:cs="Times New Roman" w:hint="default"/>
                <w:color w:val="auto"/>
                <w:sz w:val="24"/>
                <w:szCs w:val="24"/>
                <w:highlight w:val="none"/>
                <w:lang w:val="en-US" w:eastAsia="zh-CN"/>
              </w:rPr>
              <w:t>4</w:t>
            </w:r>
            <w:r>
              <w:rPr>
                <w:rFonts w:ascii="Times New Roman" w:eastAsia="宋体" w:hAnsi="Times New Roman" w:cs="Times New Roman" w:hint="default"/>
                <w:color w:val="auto"/>
                <w:sz w:val="24"/>
                <w:szCs w:val="24"/>
                <w:highlight w:val="none"/>
              </w:rPr>
              <w:t xml:space="preserve">  </w:t>
            </w:r>
            <w:r>
              <w:rPr>
                <w:rFonts w:cs="Times New Roman" w:hint="eastAsia"/>
                <w:color w:val="auto"/>
                <w:sz w:val="24"/>
                <w:szCs w:val="24"/>
                <w:highlight w:val="none"/>
                <w:lang w:val="en-US" w:eastAsia="zh-CN"/>
              </w:rPr>
              <w:t>锂电池</w:t>
            </w:r>
            <w:r>
              <w:rPr>
                <w:rFonts w:ascii="Times New Roman" w:eastAsia="宋体" w:hAnsi="Times New Roman" w:cs="Times New Roman" w:hint="default"/>
                <w:color w:val="auto"/>
                <w:sz w:val="24"/>
                <w:szCs w:val="24"/>
                <w:highlight w:val="none"/>
              </w:rPr>
              <w:t>储能电池舱参数一览表</w:t>
            </w:r>
          </w:p>
          <w:tbl>
            <w:tblPr>
              <w:tblStyle w:val="TableNormal0"/>
              <w:tblW w:w="4998"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2138"/>
              <w:gridCol w:w="3749"/>
              <w:gridCol w:w="2183"/>
            </w:tblGrid>
            <w:tr w14:paraId="0D1AD562">
              <w:tblPrEx>
                <w:tblW w:w="4998"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406"/>
              </w:trPr>
              <w:tc>
                <w:tcPr>
                  <w:tcW w:w="1324" w:type="pct"/>
                  <w:vAlign w:val="center"/>
                </w:tcPr>
                <w:p w14:paraId="25C085F6">
                  <w:pPr>
                    <w:pStyle w:val="a4"/>
                    <w:bidi w:val="0"/>
                    <w:rPr>
                      <w:rFonts w:ascii="Times New Roman" w:eastAsia="宋体" w:hAnsi="Times New Roman" w:cs="Times New Roman" w:hint="default"/>
                      <w:b/>
                      <w:bCs/>
                      <w:color w:val="auto"/>
                    </w:rPr>
                  </w:pPr>
                  <w:r>
                    <w:rPr>
                      <w:rFonts w:ascii="Times New Roman" w:eastAsia="宋体" w:hAnsi="Times New Roman" w:cs="Times New Roman" w:hint="default"/>
                      <w:b/>
                      <w:bCs/>
                      <w:color w:val="auto"/>
                    </w:rPr>
                    <w:t>设备名称</w:t>
                  </w:r>
                </w:p>
              </w:tc>
              <w:tc>
                <w:tcPr>
                  <w:tcW w:w="2322" w:type="pct"/>
                  <w:vAlign w:val="center"/>
                </w:tcPr>
                <w:p w14:paraId="622FD1E1">
                  <w:pPr>
                    <w:pStyle w:val="a4"/>
                    <w:bidi w:val="0"/>
                    <w:rPr>
                      <w:rFonts w:ascii="Times New Roman" w:eastAsia="宋体" w:hAnsi="Times New Roman" w:cs="Times New Roman" w:hint="default"/>
                      <w:b/>
                      <w:bCs/>
                      <w:color w:val="auto"/>
                    </w:rPr>
                  </w:pPr>
                  <w:r>
                    <w:rPr>
                      <w:rFonts w:ascii="Times New Roman" w:eastAsia="宋体" w:hAnsi="Times New Roman" w:cs="Times New Roman" w:hint="default"/>
                      <w:b/>
                      <w:bCs/>
                      <w:color w:val="auto"/>
                    </w:rPr>
                    <w:t>型号及规格</w:t>
                  </w:r>
                </w:p>
              </w:tc>
              <w:tc>
                <w:tcPr>
                  <w:tcW w:w="1352" w:type="pct"/>
                  <w:vAlign w:val="center"/>
                </w:tcPr>
                <w:p w14:paraId="7CAAF466">
                  <w:pPr>
                    <w:pStyle w:val="a4"/>
                    <w:bidi w:val="0"/>
                    <w:rPr>
                      <w:rFonts w:ascii="Times New Roman" w:eastAsia="宋体" w:hAnsi="Times New Roman" w:cs="Times New Roman" w:hint="default"/>
                      <w:b/>
                      <w:bCs/>
                      <w:color w:val="auto"/>
                      <w:lang w:val="en-US" w:eastAsia="zh-CN"/>
                    </w:rPr>
                  </w:pPr>
                  <w:r>
                    <w:rPr>
                      <w:rFonts w:ascii="Times New Roman" w:eastAsia="宋体" w:hAnsi="Times New Roman" w:cs="Times New Roman" w:hint="default"/>
                      <w:b/>
                      <w:bCs/>
                      <w:color w:val="auto"/>
                    </w:rPr>
                    <w:t>数量</w:t>
                  </w:r>
                  <w:r>
                    <w:rPr>
                      <w:rFonts w:ascii="Times New Roman" w:eastAsia="宋体" w:hAnsi="Times New Roman" w:cs="Times New Roman" w:hint="default"/>
                      <w:b/>
                      <w:bCs/>
                      <w:color w:val="auto"/>
                      <w:lang w:val="en-US" w:eastAsia="zh-CN"/>
                    </w:rPr>
                    <w:t>个/套</w:t>
                  </w:r>
                </w:p>
              </w:tc>
            </w:tr>
            <w:tr w14:paraId="6DDB9698">
              <w:tblPrEx>
                <w:tblW w:w="4998" w:type="pct"/>
                <w:tblInd w:w="0" w:type="dxa"/>
                <w:tblCellMar>
                  <w:top w:w="0" w:type="dxa"/>
                  <w:left w:w="0" w:type="dxa"/>
                  <w:bottom w:w="0" w:type="dxa"/>
                  <w:right w:w="0" w:type="dxa"/>
                </w:tblCellMar>
              </w:tblPrEx>
              <w:trPr>
                <w:trHeight w:val="401"/>
              </w:trPr>
              <w:tc>
                <w:tcPr>
                  <w:tcW w:w="1324" w:type="pct"/>
                  <w:vAlign w:val="center"/>
                </w:tcPr>
                <w:p w14:paraId="6E287288">
                  <w:pPr>
                    <w:pStyle w:val="a4"/>
                    <w:bidi w:val="0"/>
                    <w:rPr>
                      <w:rFonts w:ascii="Times New Roman" w:eastAsia="宋体" w:hAnsi="Times New Roman" w:cs="Times New Roman" w:hint="default"/>
                      <w:color w:val="auto"/>
                      <w:lang w:eastAsia="zh-CN"/>
                    </w:rPr>
                  </w:pPr>
                  <w:r>
                    <w:rPr>
                      <w:rFonts w:ascii="Times New Roman" w:eastAsia="宋体" w:hAnsi="Times New Roman" w:cs="Times New Roman" w:hint="default"/>
                      <w:color w:val="auto"/>
                    </w:rPr>
                    <w:t>2h储能电池</w:t>
                  </w:r>
                  <w:r>
                    <w:rPr>
                      <w:rFonts w:ascii="Times New Roman" w:eastAsia="宋体" w:hAnsi="Times New Roman" w:cs="Times New Roman" w:hint="default"/>
                      <w:color w:val="auto"/>
                      <w:lang w:val="en-US" w:eastAsia="zh-CN"/>
                    </w:rPr>
                    <w:t>集装箱</w:t>
                  </w:r>
                </w:p>
              </w:tc>
              <w:tc>
                <w:tcPr>
                  <w:tcW w:w="2322" w:type="pct"/>
                  <w:vAlign w:val="center"/>
                </w:tcPr>
                <w:p w14:paraId="38E46C7F">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12196×2</w:t>
                  </w:r>
                  <w:r>
                    <w:rPr>
                      <w:rFonts w:cs="Times New Roman" w:hint="eastAsia"/>
                      <w:color w:val="auto"/>
                      <w:lang w:eastAsia="zh-CN"/>
                    </w:rPr>
                    <w:t>584</w:t>
                  </w:r>
                  <w:r>
                    <w:rPr>
                      <w:rFonts w:ascii="Times New Roman" w:eastAsia="宋体" w:hAnsi="Times New Roman" w:cs="Times New Roman" w:hint="default"/>
                      <w:color w:val="auto"/>
                    </w:rPr>
                    <w:t>×2896mm</w:t>
                  </w:r>
                </w:p>
              </w:tc>
              <w:tc>
                <w:tcPr>
                  <w:tcW w:w="1352" w:type="pct"/>
                  <w:vAlign w:val="center"/>
                </w:tcPr>
                <w:p w14:paraId="21D1E322">
                  <w:pPr>
                    <w:pStyle w:val="a4"/>
                    <w:bidi w:val="0"/>
                    <w:rPr>
                      <w:rFonts w:ascii="Times New Roman" w:eastAsia="宋体" w:hAnsi="Times New Roman" w:cs="Times New Roman" w:hint="default"/>
                      <w:color w:val="auto"/>
                    </w:rPr>
                  </w:pPr>
                  <w:r>
                    <w:rPr>
                      <w:rFonts w:cs="Times New Roman" w:hint="eastAsia"/>
                      <w:color w:val="auto"/>
                      <w:lang w:val="en-US" w:eastAsia="zh-CN"/>
                    </w:rPr>
                    <w:t>145</w:t>
                  </w:r>
                  <w:r>
                    <w:rPr>
                      <w:rFonts w:ascii="Times New Roman" w:eastAsia="宋体" w:hAnsi="Times New Roman" w:cs="Times New Roman" w:hint="default"/>
                      <w:color w:val="auto"/>
                    </w:rPr>
                    <w:t>个</w:t>
                  </w:r>
                </w:p>
              </w:tc>
            </w:tr>
            <w:tr w14:paraId="3662385C">
              <w:tblPrEx>
                <w:tblW w:w="4998" w:type="pct"/>
                <w:tblInd w:w="0" w:type="dxa"/>
                <w:tblCellMar>
                  <w:top w:w="0" w:type="dxa"/>
                  <w:left w:w="0" w:type="dxa"/>
                  <w:bottom w:w="0" w:type="dxa"/>
                  <w:right w:w="0" w:type="dxa"/>
                </w:tblCellMar>
              </w:tblPrEx>
              <w:trPr>
                <w:trHeight w:val="428"/>
              </w:trPr>
              <w:tc>
                <w:tcPr>
                  <w:tcW w:w="1324" w:type="pct"/>
                  <w:vAlign w:val="center"/>
                </w:tcPr>
                <w:p w14:paraId="22EC5EE0">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lang w:val="en-US" w:eastAsia="zh-CN"/>
                    </w:rPr>
                    <w:t>4</w:t>
                  </w:r>
                  <w:r>
                    <w:rPr>
                      <w:rFonts w:ascii="Times New Roman" w:eastAsia="宋体" w:hAnsi="Times New Roman" w:cs="Times New Roman" w:hint="default"/>
                      <w:color w:val="auto"/>
                    </w:rPr>
                    <w:t>h储能电池</w:t>
                  </w:r>
                  <w:r>
                    <w:rPr>
                      <w:rFonts w:ascii="Times New Roman" w:eastAsia="宋体" w:hAnsi="Times New Roman" w:cs="Times New Roman" w:hint="default"/>
                      <w:color w:val="auto"/>
                      <w:lang w:val="en-US" w:eastAsia="zh-CN"/>
                    </w:rPr>
                    <w:t>集装箱</w:t>
                  </w:r>
                </w:p>
              </w:tc>
              <w:tc>
                <w:tcPr>
                  <w:tcW w:w="2322" w:type="pct"/>
                  <w:vAlign w:val="center"/>
                </w:tcPr>
                <w:p w14:paraId="207237B6">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12196×2</w:t>
                  </w:r>
                  <w:r>
                    <w:rPr>
                      <w:rFonts w:cs="Times New Roman" w:hint="eastAsia"/>
                      <w:color w:val="auto"/>
                      <w:lang w:eastAsia="zh-CN"/>
                    </w:rPr>
                    <w:t>584</w:t>
                  </w:r>
                  <w:r>
                    <w:rPr>
                      <w:rFonts w:ascii="Times New Roman" w:eastAsia="宋体" w:hAnsi="Times New Roman" w:cs="Times New Roman" w:hint="default"/>
                      <w:color w:val="auto"/>
                    </w:rPr>
                    <w:t>×2896mm</w:t>
                  </w:r>
                </w:p>
              </w:tc>
              <w:tc>
                <w:tcPr>
                  <w:tcW w:w="1352" w:type="pct"/>
                  <w:vAlign w:val="center"/>
                </w:tcPr>
                <w:p w14:paraId="28F36335">
                  <w:pPr>
                    <w:pStyle w:val="a4"/>
                    <w:bidi w:val="0"/>
                    <w:rPr>
                      <w:rFonts w:ascii="Times New Roman" w:eastAsia="宋体" w:hAnsi="Times New Roman" w:cs="Times New Roman" w:hint="default"/>
                      <w:color w:val="auto"/>
                      <w:lang w:val="en-US" w:eastAsia="zh-CN"/>
                    </w:rPr>
                  </w:pPr>
                  <w:r>
                    <w:rPr>
                      <w:rFonts w:cs="Times New Roman" w:hint="eastAsia"/>
                      <w:color w:val="auto"/>
                      <w:lang w:val="en-US" w:eastAsia="zh-CN"/>
                    </w:rPr>
                    <w:t>50</w:t>
                  </w:r>
                  <w:r>
                    <w:rPr>
                      <w:rFonts w:ascii="Times New Roman" w:eastAsia="宋体" w:hAnsi="Times New Roman" w:cs="Times New Roman" w:hint="default"/>
                      <w:color w:val="auto"/>
                    </w:rPr>
                    <w:t>个</w:t>
                  </w:r>
                </w:p>
              </w:tc>
            </w:tr>
            <w:tr w14:paraId="25209888">
              <w:tblPrEx>
                <w:tblW w:w="4998" w:type="pct"/>
                <w:tblInd w:w="0" w:type="dxa"/>
                <w:tblCellMar>
                  <w:top w:w="0" w:type="dxa"/>
                  <w:left w:w="0" w:type="dxa"/>
                  <w:bottom w:w="0" w:type="dxa"/>
                  <w:right w:w="0" w:type="dxa"/>
                </w:tblCellMar>
              </w:tblPrEx>
              <w:trPr>
                <w:trHeight w:val="553"/>
              </w:trPr>
              <w:tc>
                <w:tcPr>
                  <w:tcW w:w="1324" w:type="pct"/>
                  <w:vAlign w:val="center"/>
                </w:tcPr>
                <w:p w14:paraId="4E204873">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箱体</w:t>
                  </w:r>
                </w:p>
              </w:tc>
              <w:tc>
                <w:tcPr>
                  <w:tcW w:w="2322" w:type="pct"/>
                  <w:vAlign w:val="center"/>
                </w:tcPr>
                <w:p w14:paraId="0F63FCB0">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集装箱，含照明、应急照明、消防、汇流柜等</w:t>
                  </w:r>
                </w:p>
              </w:tc>
              <w:tc>
                <w:tcPr>
                  <w:tcW w:w="1352" w:type="pct"/>
                  <w:vAlign w:val="center"/>
                </w:tcPr>
                <w:p w14:paraId="465B2460">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1套</w:t>
                  </w:r>
                </w:p>
              </w:tc>
            </w:tr>
          </w:tbl>
          <w:p w14:paraId="73A6FBCE">
            <w:pPr>
              <w:pStyle w:val="00000-"/>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rPr>
              <w:t>表2-</w:t>
            </w:r>
            <w:r>
              <w:rPr>
                <w:rFonts w:cs="Times New Roman" w:hint="eastAsia"/>
                <w:color w:val="auto"/>
                <w:sz w:val="24"/>
                <w:szCs w:val="24"/>
                <w:highlight w:val="none"/>
                <w:lang w:val="en-US" w:eastAsia="zh-CN"/>
              </w:rPr>
              <w:t>5</w:t>
            </w:r>
            <w:r>
              <w:rPr>
                <w:rFonts w:ascii="Times New Roman" w:eastAsia="宋体" w:hAnsi="Times New Roman" w:cs="Times New Roman" w:hint="default"/>
                <w:color w:val="auto"/>
                <w:sz w:val="24"/>
                <w:szCs w:val="24"/>
                <w:highlight w:val="none"/>
              </w:rPr>
              <w:t xml:space="preserve">  1MW/4MWh液流电池参数一览表</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203"/>
              <w:gridCol w:w="800"/>
              <w:gridCol w:w="876"/>
              <w:gridCol w:w="2982"/>
              <w:gridCol w:w="2207"/>
            </w:tblGrid>
            <w:tr w14:paraId="66B77FCC">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0" w:type="auto"/>
                  <w:vAlign w:val="center"/>
                </w:tcPr>
                <w:p w14:paraId="2BA99604">
                  <w:pPr>
                    <w:jc w:val="center"/>
                    <w:rPr>
                      <w:b/>
                      <w:bCs/>
                      <w:color w:val="auto"/>
                      <w:sz w:val="21"/>
                      <w:szCs w:val="21"/>
                    </w:rPr>
                  </w:pPr>
                  <w:r>
                    <w:rPr>
                      <w:rFonts w:hint="eastAsia"/>
                      <w:b/>
                      <w:bCs/>
                      <w:color w:val="auto"/>
                      <w:sz w:val="21"/>
                      <w:szCs w:val="21"/>
                    </w:rPr>
                    <w:t>名称</w:t>
                  </w:r>
                </w:p>
              </w:tc>
              <w:tc>
                <w:tcPr>
                  <w:tcW w:w="0" w:type="auto"/>
                  <w:vAlign w:val="center"/>
                </w:tcPr>
                <w:p w14:paraId="3DBDAD46">
                  <w:pPr>
                    <w:jc w:val="center"/>
                    <w:rPr>
                      <w:b/>
                      <w:bCs/>
                      <w:color w:val="auto"/>
                      <w:sz w:val="21"/>
                      <w:szCs w:val="21"/>
                    </w:rPr>
                  </w:pPr>
                  <w:r>
                    <w:rPr>
                      <w:rFonts w:hint="eastAsia"/>
                      <w:b/>
                      <w:bCs/>
                      <w:color w:val="auto"/>
                      <w:sz w:val="21"/>
                      <w:szCs w:val="21"/>
                    </w:rPr>
                    <w:t>个数</w:t>
                  </w:r>
                </w:p>
              </w:tc>
              <w:tc>
                <w:tcPr>
                  <w:tcW w:w="0" w:type="auto"/>
                  <w:vAlign w:val="center"/>
                </w:tcPr>
                <w:p w14:paraId="1AB0A36F">
                  <w:pPr>
                    <w:jc w:val="center"/>
                    <w:rPr>
                      <w:b/>
                      <w:bCs/>
                      <w:color w:val="auto"/>
                      <w:sz w:val="21"/>
                      <w:szCs w:val="21"/>
                    </w:rPr>
                  </w:pPr>
                  <w:r>
                    <w:rPr>
                      <w:rFonts w:hint="eastAsia"/>
                      <w:b/>
                      <w:bCs/>
                      <w:color w:val="auto"/>
                      <w:sz w:val="21"/>
                      <w:szCs w:val="21"/>
                    </w:rPr>
                    <w:t>重量</w:t>
                  </w:r>
                </w:p>
              </w:tc>
              <w:tc>
                <w:tcPr>
                  <w:tcW w:w="0" w:type="auto"/>
                  <w:vAlign w:val="center"/>
                </w:tcPr>
                <w:p w14:paraId="5700848A">
                  <w:pPr>
                    <w:jc w:val="center"/>
                    <w:rPr>
                      <w:b/>
                      <w:bCs/>
                      <w:color w:val="auto"/>
                      <w:sz w:val="21"/>
                      <w:szCs w:val="21"/>
                    </w:rPr>
                  </w:pPr>
                  <w:r>
                    <w:rPr>
                      <w:rFonts w:hint="eastAsia"/>
                      <w:b/>
                      <w:bCs/>
                      <w:color w:val="auto"/>
                      <w:sz w:val="21"/>
                      <w:szCs w:val="21"/>
                    </w:rPr>
                    <w:t>参数</w:t>
                  </w:r>
                </w:p>
              </w:tc>
              <w:tc>
                <w:tcPr>
                  <w:tcW w:w="0" w:type="auto"/>
                  <w:vAlign w:val="center"/>
                </w:tcPr>
                <w:p w14:paraId="67596593">
                  <w:pPr>
                    <w:jc w:val="center"/>
                    <w:rPr>
                      <w:b/>
                      <w:bCs/>
                      <w:color w:val="auto"/>
                      <w:sz w:val="21"/>
                      <w:szCs w:val="21"/>
                    </w:rPr>
                  </w:pPr>
                  <w:r>
                    <w:rPr>
                      <w:rFonts w:hint="eastAsia"/>
                      <w:b/>
                      <w:bCs/>
                      <w:color w:val="auto"/>
                      <w:sz w:val="21"/>
                      <w:szCs w:val="21"/>
                    </w:rPr>
                    <w:t>备注</w:t>
                  </w:r>
                </w:p>
              </w:tc>
            </w:tr>
            <w:tr w14:paraId="0AD3E669">
              <w:tblPrEx>
                <w:tblW w:w="0" w:type="auto"/>
                <w:tblInd w:w="0" w:type="dxa"/>
                <w:tblCellMar>
                  <w:top w:w="0" w:type="dxa"/>
                  <w:left w:w="108" w:type="dxa"/>
                  <w:bottom w:w="0" w:type="dxa"/>
                  <w:right w:w="108" w:type="dxa"/>
                </w:tblCellMar>
              </w:tblPrEx>
              <w:tc>
                <w:tcPr>
                  <w:tcW w:w="0" w:type="auto"/>
                  <w:vAlign w:val="center"/>
                </w:tcPr>
                <w:p w14:paraId="2C06625E">
                  <w:pPr>
                    <w:jc w:val="center"/>
                    <w:rPr>
                      <w:b w:val="0"/>
                      <w:bCs w:val="0"/>
                      <w:color w:val="auto"/>
                      <w:sz w:val="21"/>
                      <w:szCs w:val="21"/>
                    </w:rPr>
                  </w:pPr>
                  <w:r>
                    <w:rPr>
                      <w:rFonts w:hint="eastAsia"/>
                      <w:b w:val="0"/>
                      <w:bCs w:val="0"/>
                      <w:color w:val="auto"/>
                      <w:sz w:val="21"/>
                      <w:szCs w:val="21"/>
                    </w:rPr>
                    <w:t>500KW功率模块</w:t>
                  </w:r>
                </w:p>
              </w:tc>
              <w:tc>
                <w:tcPr>
                  <w:tcW w:w="0" w:type="auto"/>
                  <w:vAlign w:val="center"/>
                </w:tcPr>
                <w:p w14:paraId="621A6D4A">
                  <w:pPr>
                    <w:jc w:val="center"/>
                    <w:rPr>
                      <w:b w:val="0"/>
                      <w:bCs w:val="0"/>
                      <w:color w:val="auto"/>
                      <w:sz w:val="21"/>
                      <w:szCs w:val="21"/>
                    </w:rPr>
                  </w:pPr>
                  <w:r>
                    <w:rPr>
                      <w:rFonts w:hint="eastAsia"/>
                      <w:b w:val="0"/>
                      <w:bCs w:val="0"/>
                      <w:color w:val="auto"/>
                      <w:sz w:val="21"/>
                      <w:szCs w:val="21"/>
                    </w:rPr>
                    <w:t>2</w:t>
                  </w:r>
                </w:p>
              </w:tc>
              <w:tc>
                <w:tcPr>
                  <w:tcW w:w="0" w:type="auto"/>
                  <w:vAlign w:val="center"/>
                </w:tcPr>
                <w:p w14:paraId="05E22736">
                  <w:pPr>
                    <w:jc w:val="center"/>
                    <w:rPr>
                      <w:b w:val="0"/>
                      <w:bCs w:val="0"/>
                      <w:color w:val="auto"/>
                      <w:sz w:val="21"/>
                      <w:szCs w:val="21"/>
                    </w:rPr>
                  </w:pPr>
                  <w:r>
                    <w:rPr>
                      <w:rFonts w:hint="eastAsia"/>
                      <w:b w:val="0"/>
                      <w:bCs w:val="0"/>
                      <w:color w:val="auto"/>
                      <w:sz w:val="21"/>
                      <w:szCs w:val="21"/>
                    </w:rPr>
                    <w:t>17t/个</w:t>
                  </w:r>
                </w:p>
              </w:tc>
              <w:tc>
                <w:tcPr>
                  <w:tcW w:w="0" w:type="auto"/>
                  <w:vAlign w:val="center"/>
                </w:tcPr>
                <w:p w14:paraId="7D6F45FF">
                  <w:pPr>
                    <w:jc w:val="center"/>
                    <w:rPr>
                      <w:b w:val="0"/>
                      <w:bCs w:val="0"/>
                      <w:color w:val="auto"/>
                      <w:sz w:val="21"/>
                      <w:szCs w:val="21"/>
                    </w:rPr>
                  </w:pPr>
                  <w:r>
                    <w:rPr>
                      <w:b w:val="0"/>
                      <w:bCs w:val="0"/>
                      <w:color w:val="auto"/>
                      <w:sz w:val="21"/>
                      <w:szCs w:val="21"/>
                    </w:rPr>
                    <w:t>6</w:t>
                  </w:r>
                  <w:r>
                    <w:rPr>
                      <w:rFonts w:hint="eastAsia"/>
                      <w:b w:val="0"/>
                      <w:bCs w:val="0"/>
                      <w:color w:val="auto"/>
                      <w:sz w:val="21"/>
                      <w:szCs w:val="21"/>
                    </w:rPr>
                    <w:t>.</w:t>
                  </w:r>
                  <w:r>
                    <w:rPr>
                      <w:b w:val="0"/>
                      <w:bCs w:val="0"/>
                      <w:color w:val="auto"/>
                      <w:sz w:val="21"/>
                      <w:szCs w:val="21"/>
                    </w:rPr>
                    <w:t>058</w:t>
                  </w:r>
                  <w:r>
                    <w:rPr>
                      <w:rFonts w:hint="eastAsia"/>
                      <w:b w:val="0"/>
                      <w:bCs w:val="0"/>
                      <w:color w:val="auto"/>
                      <w:sz w:val="21"/>
                      <w:szCs w:val="21"/>
                    </w:rPr>
                    <w:t>m</w:t>
                  </w:r>
                  <w:r>
                    <w:rPr>
                      <w:b w:val="0"/>
                      <w:bCs w:val="0"/>
                      <w:color w:val="auto"/>
                      <w:sz w:val="21"/>
                      <w:szCs w:val="21"/>
                    </w:rPr>
                    <w:t>*2</w:t>
                  </w:r>
                  <w:r>
                    <w:rPr>
                      <w:rFonts w:hint="eastAsia"/>
                      <w:b w:val="0"/>
                      <w:bCs w:val="0"/>
                      <w:color w:val="auto"/>
                      <w:sz w:val="21"/>
                      <w:szCs w:val="21"/>
                    </w:rPr>
                    <w:t>.</w:t>
                  </w:r>
                  <w:r>
                    <w:rPr>
                      <w:rFonts w:hint="eastAsia"/>
                      <w:b w:val="0"/>
                      <w:bCs w:val="0"/>
                      <w:color w:val="auto"/>
                      <w:sz w:val="21"/>
                      <w:szCs w:val="21"/>
                      <w:lang w:eastAsia="zh-CN"/>
                    </w:rPr>
                    <w:t>584</w:t>
                  </w:r>
                  <w:r>
                    <w:rPr>
                      <w:rFonts w:hint="eastAsia"/>
                      <w:b w:val="0"/>
                      <w:bCs w:val="0"/>
                      <w:color w:val="auto"/>
                      <w:sz w:val="21"/>
                      <w:szCs w:val="21"/>
                    </w:rPr>
                    <w:t>m</w:t>
                  </w:r>
                  <w:r>
                    <w:rPr>
                      <w:b w:val="0"/>
                      <w:bCs w:val="0"/>
                      <w:color w:val="auto"/>
                      <w:sz w:val="21"/>
                      <w:szCs w:val="21"/>
                    </w:rPr>
                    <w:t>*3</w:t>
                  </w:r>
                  <w:r>
                    <w:rPr>
                      <w:rFonts w:hint="eastAsia"/>
                      <w:b w:val="0"/>
                      <w:bCs w:val="0"/>
                      <w:color w:val="auto"/>
                      <w:sz w:val="21"/>
                      <w:szCs w:val="21"/>
                    </w:rPr>
                    <w:t>.</w:t>
                  </w:r>
                  <w:r>
                    <w:rPr>
                      <w:b w:val="0"/>
                      <w:bCs w:val="0"/>
                      <w:color w:val="auto"/>
                      <w:sz w:val="21"/>
                      <w:szCs w:val="21"/>
                    </w:rPr>
                    <w:t>2m</w:t>
                  </w:r>
                </w:p>
              </w:tc>
              <w:tc>
                <w:tcPr>
                  <w:tcW w:w="0" w:type="auto"/>
                  <w:vAlign w:val="center"/>
                </w:tcPr>
                <w:p w14:paraId="675C1E69">
                  <w:pPr>
                    <w:jc w:val="center"/>
                    <w:rPr>
                      <w:rFonts w:hint="eastAsia"/>
                      <w:b w:val="0"/>
                      <w:bCs w:val="0"/>
                      <w:color w:val="auto"/>
                      <w:sz w:val="21"/>
                      <w:szCs w:val="21"/>
                    </w:rPr>
                  </w:pPr>
                  <w:r>
                    <w:rPr>
                      <w:rFonts w:hint="eastAsia"/>
                      <w:b w:val="0"/>
                      <w:bCs w:val="0"/>
                      <w:color w:val="auto"/>
                      <w:sz w:val="21"/>
                      <w:szCs w:val="21"/>
                    </w:rPr>
                    <w:t>防护等级IP54</w:t>
                  </w:r>
                </w:p>
              </w:tc>
            </w:tr>
            <w:tr w14:paraId="0845376F">
              <w:tblPrEx>
                <w:tblW w:w="0" w:type="auto"/>
                <w:tblInd w:w="0" w:type="dxa"/>
                <w:tblCellMar>
                  <w:top w:w="0" w:type="dxa"/>
                  <w:left w:w="108" w:type="dxa"/>
                  <w:bottom w:w="0" w:type="dxa"/>
                  <w:right w:w="108" w:type="dxa"/>
                </w:tblCellMar>
              </w:tblPrEx>
              <w:trPr>
                <w:trHeight w:val="854"/>
              </w:trPr>
              <w:tc>
                <w:tcPr>
                  <w:tcW w:w="0" w:type="auto"/>
                  <w:vAlign w:val="center"/>
                </w:tcPr>
                <w:p w14:paraId="1633BB79">
                  <w:pPr>
                    <w:jc w:val="center"/>
                    <w:rPr>
                      <w:b w:val="0"/>
                      <w:bCs w:val="0"/>
                      <w:color w:val="auto"/>
                      <w:sz w:val="21"/>
                      <w:szCs w:val="21"/>
                    </w:rPr>
                  </w:pPr>
                  <w:r>
                    <w:rPr>
                      <w:rFonts w:hint="eastAsia"/>
                      <w:b w:val="0"/>
                      <w:bCs w:val="0"/>
                      <w:color w:val="auto"/>
                      <w:sz w:val="21"/>
                      <w:szCs w:val="21"/>
                    </w:rPr>
                    <w:t>储液罐</w:t>
                  </w:r>
                </w:p>
              </w:tc>
              <w:tc>
                <w:tcPr>
                  <w:tcW w:w="0" w:type="auto"/>
                  <w:vAlign w:val="center"/>
                </w:tcPr>
                <w:p w14:paraId="7738FDBA">
                  <w:pPr>
                    <w:jc w:val="center"/>
                    <w:rPr>
                      <w:b w:val="0"/>
                      <w:bCs w:val="0"/>
                      <w:color w:val="auto"/>
                      <w:sz w:val="21"/>
                      <w:szCs w:val="21"/>
                    </w:rPr>
                  </w:pPr>
                  <w:r>
                    <w:rPr>
                      <w:rFonts w:hint="eastAsia"/>
                      <w:b w:val="0"/>
                      <w:bCs w:val="0"/>
                      <w:color w:val="auto"/>
                      <w:sz w:val="21"/>
                      <w:szCs w:val="21"/>
                    </w:rPr>
                    <w:t>8</w:t>
                  </w:r>
                </w:p>
              </w:tc>
              <w:tc>
                <w:tcPr>
                  <w:tcW w:w="0" w:type="auto"/>
                  <w:vAlign w:val="center"/>
                </w:tcPr>
                <w:p w14:paraId="1C5344EA">
                  <w:pPr>
                    <w:jc w:val="center"/>
                    <w:rPr>
                      <w:b w:val="0"/>
                      <w:bCs w:val="0"/>
                      <w:color w:val="auto"/>
                      <w:sz w:val="21"/>
                      <w:szCs w:val="21"/>
                    </w:rPr>
                  </w:pPr>
                  <w:r>
                    <w:rPr>
                      <w:rFonts w:hint="eastAsia"/>
                      <w:b w:val="0"/>
                      <w:bCs w:val="0"/>
                      <w:color w:val="auto"/>
                      <w:sz w:val="21"/>
                      <w:szCs w:val="21"/>
                    </w:rPr>
                    <w:t>700kg/个</w:t>
                  </w:r>
                </w:p>
              </w:tc>
              <w:tc>
                <w:tcPr>
                  <w:tcW w:w="0" w:type="auto"/>
                  <w:vAlign w:val="center"/>
                </w:tcPr>
                <w:p w14:paraId="091E663E">
                  <w:pPr>
                    <w:jc w:val="center"/>
                    <w:rPr>
                      <w:rFonts w:eastAsia="宋体" w:hint="default"/>
                      <w:b w:val="0"/>
                      <w:bCs w:val="0"/>
                      <w:color w:val="auto"/>
                      <w:sz w:val="21"/>
                      <w:szCs w:val="21"/>
                      <w:lang w:val="en-US" w:eastAsia="zh-CN"/>
                    </w:rPr>
                  </w:pPr>
                  <w:r>
                    <w:rPr>
                      <w:b w:val="0"/>
                      <w:bCs w:val="0"/>
                      <w:color w:val="auto"/>
                      <w:sz w:val="21"/>
                      <w:szCs w:val="21"/>
                    </w:rPr>
                    <w:t>3.4</w:t>
                  </w:r>
                  <w:r>
                    <w:rPr>
                      <w:rFonts w:hint="eastAsia"/>
                      <w:b w:val="0"/>
                      <w:bCs w:val="0"/>
                      <w:color w:val="auto"/>
                      <w:sz w:val="21"/>
                      <w:szCs w:val="21"/>
                    </w:rPr>
                    <w:t>m</w:t>
                  </w:r>
                  <w:r>
                    <w:rPr>
                      <w:b w:val="0"/>
                      <w:bCs w:val="0"/>
                      <w:color w:val="auto"/>
                      <w:sz w:val="21"/>
                      <w:szCs w:val="21"/>
                    </w:rPr>
                    <w:t>*4.7</w:t>
                  </w:r>
                  <w:r>
                    <w:rPr>
                      <w:rFonts w:hint="eastAsia"/>
                      <w:b w:val="0"/>
                      <w:bCs w:val="0"/>
                      <w:color w:val="auto"/>
                      <w:sz w:val="21"/>
                      <w:szCs w:val="21"/>
                    </w:rPr>
                    <w:t>m</w:t>
                  </w:r>
                  <w:r>
                    <w:rPr>
                      <w:b w:val="0"/>
                      <w:bCs w:val="0"/>
                      <w:color w:val="auto"/>
                      <w:sz w:val="21"/>
                      <w:szCs w:val="21"/>
                    </w:rPr>
                    <w:t>（外径外高）</w:t>
                  </w:r>
                </w:p>
              </w:tc>
              <w:tc>
                <w:tcPr>
                  <w:tcW w:w="0" w:type="auto"/>
                  <w:vAlign w:val="center"/>
                </w:tcPr>
                <w:p w14:paraId="3EE1C722">
                  <w:pPr>
                    <w:jc w:val="center"/>
                    <w:rPr>
                      <w:b w:val="0"/>
                      <w:bCs w:val="0"/>
                      <w:color w:val="auto"/>
                      <w:sz w:val="21"/>
                      <w:szCs w:val="21"/>
                    </w:rPr>
                  </w:pPr>
                  <w:r>
                    <w:rPr>
                      <w:rFonts w:hint="eastAsia"/>
                      <w:b w:val="0"/>
                      <w:bCs w:val="0"/>
                      <w:color w:val="auto"/>
                      <w:sz w:val="21"/>
                      <w:szCs w:val="21"/>
                    </w:rPr>
                    <w:t>容积31.25m³</w:t>
                  </w:r>
                </w:p>
              </w:tc>
            </w:tr>
            <w:tr w14:paraId="5B81DB1E">
              <w:tblPrEx>
                <w:tblW w:w="0" w:type="auto"/>
                <w:tblInd w:w="0" w:type="dxa"/>
                <w:tblCellMar>
                  <w:top w:w="0" w:type="dxa"/>
                  <w:left w:w="108" w:type="dxa"/>
                  <w:bottom w:w="0" w:type="dxa"/>
                  <w:right w:w="108" w:type="dxa"/>
                </w:tblCellMar>
              </w:tblPrEx>
              <w:tc>
                <w:tcPr>
                  <w:tcW w:w="0" w:type="auto"/>
                  <w:vAlign w:val="center"/>
                </w:tcPr>
                <w:p w14:paraId="44FAC687">
                  <w:pPr>
                    <w:jc w:val="center"/>
                    <w:rPr>
                      <w:b w:val="0"/>
                      <w:bCs w:val="0"/>
                      <w:color w:val="auto"/>
                      <w:sz w:val="21"/>
                      <w:szCs w:val="21"/>
                    </w:rPr>
                  </w:pPr>
                  <w:r>
                    <w:rPr>
                      <w:rFonts w:hint="eastAsia"/>
                      <w:b w:val="0"/>
                      <w:bCs w:val="0"/>
                      <w:color w:val="auto"/>
                      <w:sz w:val="21"/>
                      <w:szCs w:val="21"/>
                    </w:rPr>
                    <w:t>电解液</w:t>
                  </w:r>
                </w:p>
              </w:tc>
              <w:tc>
                <w:tcPr>
                  <w:tcW w:w="0" w:type="auto"/>
                  <w:vAlign w:val="center"/>
                </w:tcPr>
                <w:p w14:paraId="088D613B">
                  <w:pPr>
                    <w:jc w:val="center"/>
                    <w:rPr>
                      <w:b w:val="0"/>
                      <w:bCs w:val="0"/>
                      <w:color w:val="auto"/>
                      <w:sz w:val="21"/>
                      <w:szCs w:val="21"/>
                    </w:rPr>
                  </w:pPr>
                  <w:r>
                    <w:rPr>
                      <w:rFonts w:hint="eastAsia"/>
                      <w:b w:val="0"/>
                      <w:bCs w:val="0"/>
                      <w:color w:val="auto"/>
                      <w:sz w:val="21"/>
                      <w:szCs w:val="21"/>
                    </w:rPr>
                    <w:t>250m³</w:t>
                  </w:r>
                </w:p>
              </w:tc>
              <w:tc>
                <w:tcPr>
                  <w:tcW w:w="0" w:type="auto"/>
                  <w:vAlign w:val="center"/>
                </w:tcPr>
                <w:p w14:paraId="4ACB61A3">
                  <w:pPr>
                    <w:jc w:val="center"/>
                    <w:rPr>
                      <w:b w:val="0"/>
                      <w:bCs w:val="0"/>
                      <w:color w:val="auto"/>
                      <w:sz w:val="21"/>
                      <w:szCs w:val="21"/>
                    </w:rPr>
                  </w:pPr>
                  <w:r>
                    <w:rPr>
                      <w:rFonts w:hint="eastAsia"/>
                      <w:b w:val="0"/>
                      <w:bCs w:val="0"/>
                      <w:color w:val="auto"/>
                      <w:sz w:val="21"/>
                      <w:szCs w:val="21"/>
                    </w:rPr>
                    <w:t>350t</w:t>
                  </w:r>
                </w:p>
              </w:tc>
              <w:tc>
                <w:tcPr>
                  <w:tcW w:w="0" w:type="auto"/>
                  <w:vAlign w:val="center"/>
                </w:tcPr>
                <w:p w14:paraId="5463AA8E">
                  <w:pPr>
                    <w:jc w:val="center"/>
                    <w:rPr>
                      <w:b w:val="0"/>
                      <w:bCs w:val="0"/>
                      <w:color w:val="auto"/>
                      <w:sz w:val="21"/>
                      <w:szCs w:val="21"/>
                    </w:rPr>
                  </w:pPr>
                  <w:r>
                    <w:rPr>
                      <w:rFonts w:hint="eastAsia"/>
                      <w:b w:val="0"/>
                      <w:bCs w:val="0"/>
                      <w:color w:val="auto"/>
                      <w:sz w:val="21"/>
                      <w:szCs w:val="21"/>
                      <w:lang w:val="en-US" w:eastAsia="zh-CN"/>
                    </w:rPr>
                    <w:t>电解液中钒浓度1.6mol/L,硫酸</w:t>
                  </w:r>
                  <w:r>
                    <w:rPr>
                      <w:rFonts w:ascii="Times New Roman" w:eastAsia="宋体" w:hAnsi="Times New Roman" w:cs="Times New Roman" w:hint="eastAsia"/>
                      <w:color w:val="auto"/>
                      <w:sz w:val="21"/>
                      <w:szCs w:val="21"/>
                      <w:highlight w:val="none"/>
                      <w:u w:val="none"/>
                      <w:lang w:val="en-US" w:eastAsia="zh-CN"/>
                    </w:rPr>
                    <w:t>溶液</w:t>
                  </w:r>
                  <w:r>
                    <w:rPr>
                      <w:rFonts w:cs="Times New Roman" w:hint="eastAsia"/>
                      <w:color w:val="auto"/>
                      <w:sz w:val="21"/>
                      <w:szCs w:val="21"/>
                      <w:highlight w:val="none"/>
                      <w:u w:val="none"/>
                      <w:lang w:val="en-US" w:eastAsia="zh-CN"/>
                    </w:rPr>
                    <w:t>浓度</w:t>
                  </w:r>
                  <w:r>
                    <w:rPr>
                      <w:rFonts w:ascii="Times New Roman" w:eastAsia="宋体" w:hAnsi="Times New Roman" w:cs="Times New Roman" w:hint="eastAsia"/>
                      <w:color w:val="auto"/>
                      <w:sz w:val="21"/>
                      <w:szCs w:val="21"/>
                      <w:highlight w:val="none"/>
                      <w:u w:val="none"/>
                      <w:lang w:val="en-US" w:eastAsia="zh-CN"/>
                    </w:rPr>
                    <w:t>3mol/L</w:t>
                  </w:r>
                </w:p>
              </w:tc>
              <w:tc>
                <w:tcPr>
                  <w:tcW w:w="0" w:type="auto"/>
                  <w:vAlign w:val="center"/>
                </w:tcPr>
                <w:p w14:paraId="5DCF8789">
                  <w:pPr>
                    <w:jc w:val="center"/>
                    <w:rPr>
                      <w:b w:val="0"/>
                      <w:bCs w:val="0"/>
                      <w:color w:val="auto"/>
                      <w:sz w:val="21"/>
                      <w:szCs w:val="21"/>
                    </w:rPr>
                  </w:pPr>
                  <w:r>
                    <w:rPr>
                      <w:rFonts w:hint="eastAsia"/>
                      <w:b w:val="0"/>
                      <w:bCs w:val="0"/>
                      <w:color w:val="auto"/>
                      <w:sz w:val="21"/>
                      <w:szCs w:val="21"/>
                    </w:rPr>
                    <w:t>/</w:t>
                  </w:r>
                </w:p>
              </w:tc>
            </w:tr>
            <w:tr w14:paraId="19B66078">
              <w:tblPrEx>
                <w:tblW w:w="0" w:type="auto"/>
                <w:tblInd w:w="0" w:type="dxa"/>
                <w:tblCellMar>
                  <w:top w:w="0" w:type="dxa"/>
                  <w:left w:w="108" w:type="dxa"/>
                  <w:bottom w:w="0" w:type="dxa"/>
                  <w:right w:w="108" w:type="dxa"/>
                </w:tblCellMar>
              </w:tblPrEx>
              <w:tc>
                <w:tcPr>
                  <w:tcW w:w="0" w:type="auto"/>
                  <w:vAlign w:val="center"/>
                </w:tcPr>
                <w:p w14:paraId="6B349696">
                  <w:pPr>
                    <w:jc w:val="center"/>
                    <w:rPr>
                      <w:b w:val="0"/>
                      <w:bCs w:val="0"/>
                      <w:color w:val="auto"/>
                      <w:sz w:val="21"/>
                      <w:szCs w:val="21"/>
                    </w:rPr>
                  </w:pPr>
                  <w:r>
                    <w:rPr>
                      <w:rFonts w:hint="eastAsia"/>
                      <w:b w:val="0"/>
                      <w:bCs w:val="0"/>
                      <w:color w:val="auto"/>
                      <w:sz w:val="21"/>
                      <w:szCs w:val="21"/>
                    </w:rPr>
                    <w:t>钛管蒸发器</w:t>
                  </w:r>
                </w:p>
              </w:tc>
              <w:tc>
                <w:tcPr>
                  <w:tcW w:w="0" w:type="auto"/>
                  <w:vAlign w:val="center"/>
                </w:tcPr>
                <w:p w14:paraId="0D07DAD5">
                  <w:pPr>
                    <w:jc w:val="center"/>
                    <w:rPr>
                      <w:b w:val="0"/>
                      <w:bCs w:val="0"/>
                      <w:color w:val="auto"/>
                      <w:sz w:val="21"/>
                      <w:szCs w:val="21"/>
                    </w:rPr>
                  </w:pPr>
                  <w:r>
                    <w:rPr>
                      <w:rFonts w:hint="eastAsia"/>
                      <w:b w:val="0"/>
                      <w:bCs w:val="0"/>
                      <w:color w:val="auto"/>
                      <w:sz w:val="21"/>
                      <w:szCs w:val="21"/>
                    </w:rPr>
                    <w:t>4</w:t>
                  </w:r>
                </w:p>
              </w:tc>
              <w:tc>
                <w:tcPr>
                  <w:tcW w:w="0" w:type="auto"/>
                  <w:vAlign w:val="center"/>
                </w:tcPr>
                <w:p w14:paraId="08A35742">
                  <w:pPr>
                    <w:jc w:val="center"/>
                    <w:rPr>
                      <w:b w:val="0"/>
                      <w:bCs w:val="0"/>
                      <w:color w:val="auto"/>
                      <w:sz w:val="21"/>
                      <w:szCs w:val="21"/>
                    </w:rPr>
                  </w:pPr>
                  <w:r>
                    <w:rPr>
                      <w:rFonts w:hint="eastAsia"/>
                      <w:b w:val="0"/>
                      <w:bCs w:val="0"/>
                      <w:color w:val="auto"/>
                      <w:sz w:val="21"/>
                      <w:szCs w:val="21"/>
                    </w:rPr>
                    <w:t>50kg/个</w:t>
                  </w:r>
                </w:p>
              </w:tc>
              <w:tc>
                <w:tcPr>
                  <w:tcW w:w="0" w:type="auto"/>
                  <w:vAlign w:val="center"/>
                </w:tcPr>
                <w:p w14:paraId="6FF09F0E">
                  <w:pPr>
                    <w:jc w:val="center"/>
                    <w:rPr>
                      <w:b w:val="0"/>
                      <w:bCs w:val="0"/>
                      <w:color w:val="auto"/>
                      <w:sz w:val="21"/>
                      <w:szCs w:val="21"/>
                    </w:rPr>
                  </w:pPr>
                  <w:r>
                    <w:rPr>
                      <w:rFonts w:hint="eastAsia"/>
                      <w:b w:val="0"/>
                      <w:bCs w:val="0"/>
                      <w:color w:val="auto"/>
                      <w:sz w:val="21"/>
                      <w:szCs w:val="21"/>
                    </w:rPr>
                    <w:t>1.4m*0.315m/DN100</w:t>
                  </w:r>
                </w:p>
              </w:tc>
              <w:tc>
                <w:tcPr>
                  <w:tcW w:w="0" w:type="auto"/>
                  <w:vAlign w:val="center"/>
                </w:tcPr>
                <w:p w14:paraId="521C63E7">
                  <w:pPr>
                    <w:jc w:val="center"/>
                    <w:rPr>
                      <w:rFonts w:eastAsia="宋体" w:hint="eastAsia"/>
                      <w:b w:val="0"/>
                      <w:bCs w:val="0"/>
                      <w:color w:val="auto"/>
                      <w:sz w:val="21"/>
                      <w:szCs w:val="21"/>
                      <w:lang w:eastAsia="zh-CN"/>
                    </w:rPr>
                  </w:pPr>
                  <w:r>
                    <w:rPr>
                      <w:rFonts w:hint="eastAsia"/>
                      <w:b w:val="0"/>
                      <w:bCs w:val="0"/>
                      <w:color w:val="auto"/>
                      <w:sz w:val="21"/>
                      <w:szCs w:val="21"/>
                      <w:lang w:val="en-US" w:eastAsia="zh-CN"/>
                    </w:rPr>
                    <w:t>/</w:t>
                  </w:r>
                </w:p>
              </w:tc>
            </w:tr>
            <w:tr w14:paraId="3497134B">
              <w:tblPrEx>
                <w:tblW w:w="0" w:type="auto"/>
                <w:tblInd w:w="0" w:type="dxa"/>
                <w:tblCellMar>
                  <w:top w:w="0" w:type="dxa"/>
                  <w:left w:w="108" w:type="dxa"/>
                  <w:bottom w:w="0" w:type="dxa"/>
                  <w:right w:w="108" w:type="dxa"/>
                </w:tblCellMar>
              </w:tblPrEx>
              <w:tc>
                <w:tcPr>
                  <w:tcW w:w="0" w:type="auto"/>
                  <w:vAlign w:val="center"/>
                </w:tcPr>
                <w:p w14:paraId="4D62EEBC">
                  <w:pPr>
                    <w:jc w:val="center"/>
                    <w:rPr>
                      <w:b w:val="0"/>
                      <w:bCs w:val="0"/>
                      <w:color w:val="auto"/>
                      <w:sz w:val="21"/>
                      <w:szCs w:val="21"/>
                    </w:rPr>
                  </w:pPr>
                  <w:r>
                    <w:rPr>
                      <w:rFonts w:hint="eastAsia"/>
                      <w:b w:val="0"/>
                      <w:bCs w:val="0"/>
                      <w:color w:val="auto"/>
                      <w:sz w:val="21"/>
                      <w:szCs w:val="21"/>
                    </w:rPr>
                    <w:t>磁力泵</w:t>
                  </w:r>
                </w:p>
              </w:tc>
              <w:tc>
                <w:tcPr>
                  <w:tcW w:w="0" w:type="auto"/>
                  <w:vAlign w:val="center"/>
                </w:tcPr>
                <w:p w14:paraId="187EEB10">
                  <w:pPr>
                    <w:jc w:val="center"/>
                    <w:rPr>
                      <w:b w:val="0"/>
                      <w:bCs w:val="0"/>
                      <w:color w:val="auto"/>
                      <w:sz w:val="21"/>
                      <w:szCs w:val="21"/>
                    </w:rPr>
                  </w:pPr>
                  <w:r>
                    <w:rPr>
                      <w:rFonts w:hint="eastAsia"/>
                      <w:b w:val="0"/>
                      <w:bCs w:val="0"/>
                      <w:color w:val="auto"/>
                      <w:sz w:val="21"/>
                      <w:szCs w:val="21"/>
                    </w:rPr>
                    <w:t>8</w:t>
                  </w:r>
                </w:p>
              </w:tc>
              <w:tc>
                <w:tcPr>
                  <w:tcW w:w="0" w:type="auto"/>
                  <w:vAlign w:val="center"/>
                </w:tcPr>
                <w:p w14:paraId="7EA6BA9F">
                  <w:pPr>
                    <w:jc w:val="center"/>
                    <w:rPr>
                      <w:b w:val="0"/>
                      <w:bCs w:val="0"/>
                      <w:color w:val="auto"/>
                      <w:sz w:val="21"/>
                      <w:szCs w:val="21"/>
                    </w:rPr>
                  </w:pPr>
                  <w:r>
                    <w:rPr>
                      <w:rFonts w:hint="eastAsia"/>
                      <w:b w:val="0"/>
                      <w:bCs w:val="0"/>
                      <w:color w:val="auto"/>
                      <w:sz w:val="21"/>
                      <w:szCs w:val="21"/>
                    </w:rPr>
                    <w:t>57kg/个</w:t>
                  </w:r>
                </w:p>
              </w:tc>
              <w:tc>
                <w:tcPr>
                  <w:tcW w:w="0" w:type="auto"/>
                  <w:vAlign w:val="center"/>
                </w:tcPr>
                <w:p w14:paraId="0AF22114">
                  <w:pPr>
                    <w:jc w:val="center"/>
                    <w:rPr>
                      <w:b w:val="0"/>
                      <w:bCs w:val="0"/>
                      <w:color w:val="auto"/>
                      <w:sz w:val="21"/>
                      <w:szCs w:val="21"/>
                    </w:rPr>
                  </w:pPr>
                  <w:r>
                    <w:rPr>
                      <w:rFonts w:hint="eastAsia"/>
                      <w:b w:val="0"/>
                      <w:bCs w:val="0"/>
                      <w:color w:val="auto"/>
                      <w:sz w:val="21"/>
                      <w:szCs w:val="21"/>
                    </w:rPr>
                    <w:t>扬程28m，流量30m³/h</w:t>
                  </w:r>
                </w:p>
              </w:tc>
              <w:tc>
                <w:tcPr>
                  <w:tcW w:w="0" w:type="auto"/>
                  <w:vAlign w:val="center"/>
                </w:tcPr>
                <w:p w14:paraId="406261A0">
                  <w:pPr>
                    <w:jc w:val="center"/>
                    <w:rPr>
                      <w:b w:val="0"/>
                      <w:bCs w:val="0"/>
                      <w:color w:val="auto"/>
                      <w:sz w:val="21"/>
                      <w:szCs w:val="21"/>
                    </w:rPr>
                  </w:pPr>
                  <w:r>
                    <w:rPr>
                      <w:rFonts w:hint="eastAsia"/>
                      <w:b w:val="0"/>
                      <w:bCs w:val="0"/>
                      <w:color w:val="auto"/>
                      <w:sz w:val="21"/>
                      <w:szCs w:val="21"/>
                    </w:rPr>
                    <w:t>功率5.5kw</w:t>
                  </w:r>
                </w:p>
              </w:tc>
            </w:tr>
            <w:tr w14:paraId="4E88A06C">
              <w:tblPrEx>
                <w:tblW w:w="0" w:type="auto"/>
                <w:tblInd w:w="0" w:type="dxa"/>
                <w:tblCellMar>
                  <w:top w:w="0" w:type="dxa"/>
                  <w:left w:w="108" w:type="dxa"/>
                  <w:bottom w:w="0" w:type="dxa"/>
                  <w:right w:w="108" w:type="dxa"/>
                </w:tblCellMar>
              </w:tblPrEx>
              <w:tc>
                <w:tcPr>
                  <w:tcW w:w="0" w:type="auto"/>
                  <w:vAlign w:val="center"/>
                </w:tcPr>
                <w:p w14:paraId="340530AA">
                  <w:pPr>
                    <w:jc w:val="center"/>
                    <w:rPr>
                      <w:b w:val="0"/>
                      <w:bCs w:val="0"/>
                      <w:color w:val="auto"/>
                      <w:sz w:val="21"/>
                      <w:szCs w:val="21"/>
                    </w:rPr>
                  </w:pPr>
                  <w:r>
                    <w:rPr>
                      <w:rFonts w:hint="eastAsia"/>
                      <w:b w:val="0"/>
                      <w:bCs w:val="0"/>
                      <w:color w:val="auto"/>
                      <w:sz w:val="21"/>
                      <w:szCs w:val="21"/>
                    </w:rPr>
                    <w:t>液流循环系统</w:t>
                  </w:r>
                </w:p>
              </w:tc>
              <w:tc>
                <w:tcPr>
                  <w:tcW w:w="0" w:type="auto"/>
                  <w:vAlign w:val="center"/>
                </w:tcPr>
                <w:p w14:paraId="57685300">
                  <w:pPr>
                    <w:jc w:val="center"/>
                    <w:rPr>
                      <w:b w:val="0"/>
                      <w:bCs w:val="0"/>
                      <w:color w:val="auto"/>
                      <w:sz w:val="21"/>
                      <w:szCs w:val="21"/>
                    </w:rPr>
                  </w:pPr>
                  <w:r>
                    <w:rPr>
                      <w:rFonts w:hint="eastAsia"/>
                      <w:b w:val="0"/>
                      <w:bCs w:val="0"/>
                      <w:color w:val="auto"/>
                      <w:sz w:val="21"/>
                      <w:szCs w:val="21"/>
                    </w:rPr>
                    <w:t>1</w:t>
                  </w:r>
                </w:p>
              </w:tc>
              <w:tc>
                <w:tcPr>
                  <w:tcW w:w="0" w:type="auto"/>
                  <w:vAlign w:val="center"/>
                </w:tcPr>
                <w:p w14:paraId="77D6A443">
                  <w:pPr>
                    <w:jc w:val="center"/>
                    <w:rPr>
                      <w:b w:val="0"/>
                      <w:bCs w:val="0"/>
                      <w:color w:val="auto"/>
                      <w:sz w:val="21"/>
                      <w:szCs w:val="21"/>
                    </w:rPr>
                  </w:pPr>
                  <w:r>
                    <w:rPr>
                      <w:rFonts w:hint="eastAsia"/>
                      <w:b w:val="0"/>
                      <w:bCs w:val="0"/>
                      <w:color w:val="auto"/>
                      <w:sz w:val="21"/>
                      <w:szCs w:val="21"/>
                    </w:rPr>
                    <w:t>4t/组</w:t>
                  </w:r>
                </w:p>
              </w:tc>
              <w:tc>
                <w:tcPr>
                  <w:tcW w:w="0" w:type="auto"/>
                  <w:vAlign w:val="center"/>
                </w:tcPr>
                <w:p w14:paraId="60D51486">
                  <w:pPr>
                    <w:jc w:val="center"/>
                    <w:rPr>
                      <w:b w:val="0"/>
                      <w:bCs w:val="0"/>
                      <w:color w:val="auto"/>
                      <w:sz w:val="21"/>
                      <w:szCs w:val="21"/>
                    </w:rPr>
                  </w:pPr>
                  <w:r>
                    <w:rPr>
                      <w:rFonts w:hint="eastAsia"/>
                      <w:b w:val="0"/>
                      <w:bCs w:val="0"/>
                      <w:color w:val="auto"/>
                      <w:sz w:val="21"/>
                      <w:szCs w:val="21"/>
                    </w:rPr>
                    <w:t>/</w:t>
                  </w:r>
                </w:p>
              </w:tc>
              <w:tc>
                <w:tcPr>
                  <w:tcW w:w="0" w:type="auto"/>
                  <w:vAlign w:val="center"/>
                </w:tcPr>
                <w:p w14:paraId="78890D71">
                  <w:pPr>
                    <w:jc w:val="center"/>
                    <w:rPr>
                      <w:b w:val="0"/>
                      <w:bCs w:val="0"/>
                      <w:color w:val="auto"/>
                      <w:sz w:val="21"/>
                      <w:szCs w:val="21"/>
                    </w:rPr>
                  </w:pPr>
                  <w:r>
                    <w:rPr>
                      <w:rFonts w:hint="eastAsia"/>
                      <w:b w:val="0"/>
                      <w:bCs w:val="0"/>
                      <w:color w:val="auto"/>
                      <w:sz w:val="21"/>
                      <w:szCs w:val="21"/>
                    </w:rPr>
                    <w:t>含阀门</w:t>
                  </w:r>
                </w:p>
              </w:tc>
            </w:tr>
            <w:tr w14:paraId="57584785">
              <w:tblPrEx>
                <w:tblW w:w="0" w:type="auto"/>
                <w:tblInd w:w="0" w:type="dxa"/>
                <w:tblCellMar>
                  <w:top w:w="0" w:type="dxa"/>
                  <w:left w:w="108" w:type="dxa"/>
                  <w:bottom w:w="0" w:type="dxa"/>
                  <w:right w:w="108" w:type="dxa"/>
                </w:tblCellMar>
              </w:tblPrEx>
              <w:tc>
                <w:tcPr>
                  <w:tcW w:w="0" w:type="auto"/>
                  <w:vAlign w:val="center"/>
                </w:tcPr>
                <w:p w14:paraId="1E551E8F">
                  <w:pPr>
                    <w:jc w:val="center"/>
                    <w:rPr>
                      <w:b w:val="0"/>
                      <w:bCs w:val="0"/>
                      <w:color w:val="auto"/>
                      <w:sz w:val="21"/>
                      <w:szCs w:val="21"/>
                    </w:rPr>
                  </w:pPr>
                  <w:r>
                    <w:rPr>
                      <w:rFonts w:hint="eastAsia"/>
                      <w:b w:val="0"/>
                      <w:bCs w:val="0"/>
                      <w:color w:val="auto"/>
                      <w:sz w:val="21"/>
                      <w:szCs w:val="21"/>
                    </w:rPr>
                    <w:t>电磁控制系统</w:t>
                  </w:r>
                </w:p>
              </w:tc>
              <w:tc>
                <w:tcPr>
                  <w:tcW w:w="0" w:type="auto"/>
                  <w:vAlign w:val="center"/>
                </w:tcPr>
                <w:p w14:paraId="56EF44DF">
                  <w:pPr>
                    <w:jc w:val="center"/>
                    <w:rPr>
                      <w:b w:val="0"/>
                      <w:bCs w:val="0"/>
                      <w:color w:val="auto"/>
                      <w:sz w:val="21"/>
                      <w:szCs w:val="21"/>
                    </w:rPr>
                  </w:pPr>
                  <w:r>
                    <w:rPr>
                      <w:rFonts w:hint="eastAsia"/>
                      <w:b w:val="0"/>
                      <w:bCs w:val="0"/>
                      <w:color w:val="auto"/>
                      <w:sz w:val="21"/>
                      <w:szCs w:val="21"/>
                    </w:rPr>
                    <w:t>1</w:t>
                  </w:r>
                </w:p>
              </w:tc>
              <w:tc>
                <w:tcPr>
                  <w:tcW w:w="0" w:type="auto"/>
                  <w:vAlign w:val="center"/>
                </w:tcPr>
                <w:p w14:paraId="0BD541BA">
                  <w:pPr>
                    <w:jc w:val="center"/>
                    <w:rPr>
                      <w:b w:val="0"/>
                      <w:bCs w:val="0"/>
                      <w:color w:val="auto"/>
                      <w:sz w:val="21"/>
                      <w:szCs w:val="21"/>
                    </w:rPr>
                  </w:pPr>
                  <w:r>
                    <w:rPr>
                      <w:rFonts w:hint="eastAsia"/>
                      <w:b w:val="0"/>
                      <w:bCs w:val="0"/>
                      <w:color w:val="auto"/>
                      <w:sz w:val="21"/>
                      <w:szCs w:val="21"/>
                    </w:rPr>
                    <w:t>/</w:t>
                  </w:r>
                </w:p>
              </w:tc>
              <w:tc>
                <w:tcPr>
                  <w:tcW w:w="0" w:type="auto"/>
                  <w:vAlign w:val="center"/>
                </w:tcPr>
                <w:p w14:paraId="5189D4E7">
                  <w:pPr>
                    <w:jc w:val="center"/>
                    <w:rPr>
                      <w:b w:val="0"/>
                      <w:bCs w:val="0"/>
                      <w:color w:val="auto"/>
                      <w:sz w:val="21"/>
                      <w:szCs w:val="21"/>
                    </w:rPr>
                  </w:pPr>
                  <w:r>
                    <w:rPr>
                      <w:rFonts w:hint="eastAsia"/>
                      <w:b w:val="0"/>
                      <w:bCs w:val="0"/>
                      <w:color w:val="auto"/>
                      <w:sz w:val="21"/>
                      <w:szCs w:val="21"/>
                    </w:rPr>
                    <w:t>传感器、通讯线缆等</w:t>
                  </w:r>
                </w:p>
              </w:tc>
              <w:tc>
                <w:tcPr>
                  <w:tcW w:w="0" w:type="auto"/>
                  <w:vAlign w:val="center"/>
                </w:tcPr>
                <w:p w14:paraId="3003A192">
                  <w:pPr>
                    <w:jc w:val="center"/>
                    <w:rPr>
                      <w:rFonts w:eastAsia="宋体" w:hint="eastAsia"/>
                      <w:b w:val="0"/>
                      <w:bCs w:val="0"/>
                      <w:color w:val="auto"/>
                      <w:sz w:val="21"/>
                      <w:szCs w:val="21"/>
                      <w:lang w:val="en-US" w:eastAsia="zh-CN"/>
                    </w:rPr>
                  </w:pPr>
                  <w:r>
                    <w:rPr>
                      <w:rFonts w:hint="eastAsia"/>
                      <w:b w:val="0"/>
                      <w:bCs w:val="0"/>
                      <w:color w:val="auto"/>
                      <w:sz w:val="21"/>
                      <w:szCs w:val="21"/>
                      <w:lang w:val="en-US" w:eastAsia="zh-CN"/>
                    </w:rPr>
                    <w:t>/</w:t>
                  </w:r>
                </w:p>
              </w:tc>
            </w:tr>
            <w:tr w14:paraId="48663BAE">
              <w:tblPrEx>
                <w:tblW w:w="0" w:type="auto"/>
                <w:tblInd w:w="0" w:type="dxa"/>
                <w:tblCellMar>
                  <w:top w:w="0" w:type="dxa"/>
                  <w:left w:w="108" w:type="dxa"/>
                  <w:bottom w:w="0" w:type="dxa"/>
                  <w:right w:w="108" w:type="dxa"/>
                </w:tblCellMar>
              </w:tblPrEx>
              <w:trPr>
                <w:trHeight w:val="90"/>
              </w:trPr>
              <w:tc>
                <w:tcPr>
                  <w:tcW w:w="0" w:type="auto"/>
                  <w:vAlign w:val="center"/>
                </w:tcPr>
                <w:p w14:paraId="72EF92A5">
                  <w:pPr>
                    <w:jc w:val="center"/>
                    <w:rPr>
                      <w:rFonts w:ascii="Times New Roman" w:eastAsia="宋体" w:hAnsi="Times New Roman" w:cs="Times New Roman" w:hint="eastAsia"/>
                      <w:color w:val="auto"/>
                      <w:sz w:val="21"/>
                      <w:szCs w:val="21"/>
                      <w:highlight w:val="none"/>
                      <w:u w:val="none"/>
                      <w:lang w:val="en-US" w:eastAsia="zh-CN"/>
                    </w:rPr>
                  </w:pPr>
                  <w:r>
                    <w:rPr>
                      <w:rFonts w:ascii="Times New Roman" w:eastAsia="宋体" w:hAnsi="Times New Roman" w:cs="Times New Roman" w:hint="eastAsia"/>
                      <w:color w:val="auto"/>
                      <w:sz w:val="21"/>
                      <w:szCs w:val="21"/>
                      <w:highlight w:val="none"/>
                      <w:u w:val="none"/>
                      <w:lang w:val="en-US" w:eastAsia="zh-CN"/>
                    </w:rPr>
                    <w:t>制冷机</w:t>
                  </w:r>
                </w:p>
              </w:tc>
              <w:tc>
                <w:tcPr>
                  <w:tcW w:w="0" w:type="auto"/>
                  <w:vAlign w:val="center"/>
                </w:tcPr>
                <w:p w14:paraId="311D820C">
                  <w:pPr>
                    <w:jc w:val="center"/>
                    <w:rPr>
                      <w:rFonts w:ascii="Times New Roman" w:eastAsia="宋体" w:hAnsi="Times New Roman" w:cs="Times New Roman" w:hint="eastAsia"/>
                      <w:color w:val="auto"/>
                      <w:sz w:val="21"/>
                      <w:szCs w:val="21"/>
                      <w:highlight w:val="none"/>
                      <w:u w:val="none"/>
                      <w:lang w:val="en-US" w:eastAsia="zh-CN"/>
                    </w:rPr>
                  </w:pPr>
                  <w:r>
                    <w:rPr>
                      <w:rFonts w:ascii="Times New Roman" w:eastAsia="宋体" w:hAnsi="Times New Roman" w:cs="Times New Roman" w:hint="eastAsia"/>
                      <w:color w:val="auto"/>
                      <w:sz w:val="21"/>
                      <w:szCs w:val="21"/>
                      <w:highlight w:val="none"/>
                      <w:u w:val="none"/>
                      <w:lang w:val="en-US" w:eastAsia="zh-CN"/>
                    </w:rPr>
                    <w:t>2</w:t>
                  </w:r>
                </w:p>
              </w:tc>
              <w:tc>
                <w:tcPr>
                  <w:tcW w:w="0" w:type="auto"/>
                  <w:vAlign w:val="center"/>
                </w:tcPr>
                <w:p w14:paraId="56D8FA54">
                  <w:pPr>
                    <w:jc w:val="center"/>
                    <w:rPr>
                      <w:rFonts w:ascii="Times New Roman" w:eastAsia="宋体" w:hAnsi="Times New Roman" w:cs="Times New Roman" w:hint="eastAsia"/>
                      <w:color w:val="auto"/>
                      <w:sz w:val="21"/>
                      <w:szCs w:val="21"/>
                      <w:highlight w:val="none"/>
                      <w:u w:val="none"/>
                      <w:lang w:val="en-US" w:eastAsia="zh-CN"/>
                    </w:rPr>
                  </w:pPr>
                  <w:r>
                    <w:rPr>
                      <w:rFonts w:ascii="Times New Roman" w:eastAsia="宋体" w:hAnsi="Times New Roman" w:cs="Times New Roman" w:hint="eastAsia"/>
                      <w:color w:val="auto"/>
                      <w:sz w:val="21"/>
                      <w:szCs w:val="21"/>
                      <w:highlight w:val="none"/>
                      <w:u w:val="none"/>
                      <w:lang w:val="en-US" w:eastAsia="zh-CN"/>
                    </w:rPr>
                    <w:t>800kg/个</w:t>
                  </w:r>
                </w:p>
              </w:tc>
              <w:tc>
                <w:tcPr>
                  <w:tcW w:w="0" w:type="auto"/>
                  <w:vAlign w:val="center"/>
                </w:tcPr>
                <w:p w14:paraId="14069640">
                  <w:pPr>
                    <w:jc w:val="center"/>
                    <w:rPr>
                      <w:rFonts w:ascii="Times New Roman" w:eastAsia="宋体" w:hAnsi="Times New Roman" w:cs="Times New Roman" w:hint="eastAsia"/>
                      <w:color w:val="auto"/>
                      <w:sz w:val="21"/>
                      <w:szCs w:val="21"/>
                      <w:highlight w:val="none"/>
                      <w:u w:val="none"/>
                      <w:lang w:val="en-US" w:eastAsia="zh-CN"/>
                    </w:rPr>
                  </w:pPr>
                  <w:r>
                    <w:rPr>
                      <w:rFonts w:ascii="Times New Roman" w:eastAsia="宋体" w:hAnsi="Times New Roman" w:cs="Times New Roman" w:hint="eastAsia"/>
                      <w:color w:val="auto"/>
                      <w:sz w:val="21"/>
                      <w:szCs w:val="21"/>
                      <w:highlight w:val="none"/>
                      <w:u w:val="none"/>
                      <w:lang w:val="en-US" w:eastAsia="zh-CN"/>
                    </w:rPr>
                    <w:t>制冷功率70KW</w:t>
                  </w:r>
                </w:p>
              </w:tc>
              <w:tc>
                <w:tcPr>
                  <w:tcW w:w="0" w:type="auto"/>
                  <w:vAlign w:val="center"/>
                </w:tcPr>
                <w:p w14:paraId="5D5EA8F2">
                  <w:pPr>
                    <w:jc w:val="both"/>
                    <w:rPr>
                      <w:rFonts w:eastAsia="宋体" w:hint="eastAsia"/>
                      <w:b w:val="0"/>
                      <w:bCs w:val="0"/>
                      <w:color w:val="auto"/>
                      <w:sz w:val="21"/>
                      <w:szCs w:val="21"/>
                      <w:lang w:val="en-US" w:eastAsia="zh-CN"/>
                    </w:rPr>
                  </w:pPr>
                  <w:r>
                    <w:rPr>
                      <w:rFonts w:eastAsia="宋体" w:hint="eastAsia"/>
                      <w:b w:val="0"/>
                      <w:bCs w:val="0"/>
                      <w:color w:val="auto"/>
                      <w:sz w:val="21"/>
                      <w:szCs w:val="21"/>
                      <w:lang w:val="en-US" w:eastAsia="zh-CN"/>
                    </w:rPr>
                    <w:t>采用乙二醇作为冷却液，循环利用，不外排。</w:t>
                  </w:r>
                </w:p>
              </w:tc>
            </w:tr>
            <w:tr w14:paraId="3549E27F">
              <w:tblPrEx>
                <w:tblW w:w="0" w:type="auto"/>
                <w:tblInd w:w="0" w:type="dxa"/>
                <w:tblCellMar>
                  <w:top w:w="0" w:type="dxa"/>
                  <w:left w:w="108" w:type="dxa"/>
                  <w:bottom w:w="0" w:type="dxa"/>
                  <w:right w:w="108" w:type="dxa"/>
                </w:tblCellMar>
              </w:tblPrEx>
              <w:trPr>
                <w:trHeight w:val="90"/>
              </w:trPr>
              <w:tc>
                <w:tcPr>
                  <w:tcW w:w="0" w:type="auto"/>
                  <w:vAlign w:val="center"/>
                </w:tcPr>
                <w:p w14:paraId="2EFE74C9">
                  <w:pPr>
                    <w:jc w:val="center"/>
                    <w:rPr>
                      <w:b w:val="0"/>
                      <w:bCs w:val="0"/>
                      <w:color w:val="auto"/>
                      <w:sz w:val="21"/>
                      <w:szCs w:val="21"/>
                    </w:rPr>
                  </w:pPr>
                  <w:r>
                    <w:rPr>
                      <w:rFonts w:hint="eastAsia"/>
                      <w:b w:val="0"/>
                      <w:bCs w:val="0"/>
                      <w:color w:val="auto"/>
                      <w:sz w:val="21"/>
                      <w:szCs w:val="21"/>
                    </w:rPr>
                    <w:t>动力变频柜</w:t>
                  </w:r>
                </w:p>
              </w:tc>
              <w:tc>
                <w:tcPr>
                  <w:tcW w:w="0" w:type="auto"/>
                  <w:vAlign w:val="center"/>
                </w:tcPr>
                <w:p w14:paraId="2A687EBB">
                  <w:pPr>
                    <w:jc w:val="center"/>
                    <w:rPr>
                      <w:b w:val="0"/>
                      <w:bCs w:val="0"/>
                      <w:color w:val="auto"/>
                      <w:sz w:val="21"/>
                      <w:szCs w:val="21"/>
                    </w:rPr>
                  </w:pPr>
                  <w:r>
                    <w:rPr>
                      <w:rFonts w:hint="eastAsia"/>
                      <w:b w:val="0"/>
                      <w:bCs w:val="0"/>
                      <w:color w:val="auto"/>
                      <w:sz w:val="21"/>
                      <w:szCs w:val="21"/>
                    </w:rPr>
                    <w:t>2</w:t>
                  </w:r>
                </w:p>
              </w:tc>
              <w:tc>
                <w:tcPr>
                  <w:tcW w:w="0" w:type="auto"/>
                  <w:vAlign w:val="center"/>
                </w:tcPr>
                <w:p w14:paraId="06781140">
                  <w:pPr>
                    <w:jc w:val="center"/>
                    <w:rPr>
                      <w:b w:val="0"/>
                      <w:bCs w:val="0"/>
                      <w:color w:val="auto"/>
                      <w:sz w:val="21"/>
                      <w:szCs w:val="21"/>
                    </w:rPr>
                  </w:pPr>
                  <w:r>
                    <w:rPr>
                      <w:rFonts w:hint="eastAsia"/>
                      <w:b w:val="0"/>
                      <w:bCs w:val="0"/>
                      <w:color w:val="auto"/>
                      <w:sz w:val="21"/>
                      <w:szCs w:val="21"/>
                    </w:rPr>
                    <w:t>/</w:t>
                  </w:r>
                </w:p>
              </w:tc>
              <w:tc>
                <w:tcPr>
                  <w:tcW w:w="0" w:type="auto"/>
                  <w:vAlign w:val="center"/>
                </w:tcPr>
                <w:p w14:paraId="3165BF59">
                  <w:pPr>
                    <w:jc w:val="center"/>
                    <w:rPr>
                      <w:b w:val="0"/>
                      <w:bCs w:val="0"/>
                      <w:color w:val="auto"/>
                      <w:sz w:val="21"/>
                      <w:szCs w:val="21"/>
                    </w:rPr>
                  </w:pPr>
                  <w:r>
                    <w:rPr>
                      <w:rFonts w:hint="eastAsia"/>
                      <w:b w:val="0"/>
                      <w:bCs w:val="0"/>
                      <w:color w:val="auto"/>
                      <w:sz w:val="21"/>
                      <w:szCs w:val="21"/>
                    </w:rPr>
                    <w:t>从配电室接入电缆</w:t>
                  </w:r>
                </w:p>
              </w:tc>
              <w:tc>
                <w:tcPr>
                  <w:tcW w:w="0" w:type="auto"/>
                  <w:vAlign w:val="center"/>
                </w:tcPr>
                <w:p w14:paraId="33AEE7D1">
                  <w:pPr>
                    <w:jc w:val="center"/>
                    <w:rPr>
                      <w:b w:val="0"/>
                      <w:bCs w:val="0"/>
                      <w:color w:val="auto"/>
                      <w:sz w:val="21"/>
                      <w:szCs w:val="21"/>
                    </w:rPr>
                  </w:pPr>
                  <w:r>
                    <w:rPr>
                      <w:rFonts w:hint="eastAsia"/>
                      <w:b w:val="0"/>
                      <w:bCs w:val="0"/>
                      <w:color w:val="auto"/>
                      <w:sz w:val="21"/>
                      <w:szCs w:val="21"/>
                    </w:rPr>
                    <w:t>电气总控</w:t>
                  </w:r>
                </w:p>
              </w:tc>
            </w:tr>
            <w:tr w14:paraId="6D2DE2B7">
              <w:tblPrEx>
                <w:tblW w:w="0" w:type="auto"/>
                <w:tblInd w:w="0" w:type="dxa"/>
                <w:tblCellMar>
                  <w:top w:w="0" w:type="dxa"/>
                  <w:left w:w="108" w:type="dxa"/>
                  <w:bottom w:w="0" w:type="dxa"/>
                  <w:right w:w="108" w:type="dxa"/>
                </w:tblCellMar>
              </w:tblPrEx>
              <w:tc>
                <w:tcPr>
                  <w:tcW w:w="0" w:type="auto"/>
                  <w:vAlign w:val="center"/>
                </w:tcPr>
                <w:p w14:paraId="56430617">
                  <w:pPr>
                    <w:jc w:val="center"/>
                    <w:rPr>
                      <w:b w:val="0"/>
                      <w:bCs w:val="0"/>
                      <w:color w:val="auto"/>
                      <w:sz w:val="21"/>
                      <w:szCs w:val="21"/>
                    </w:rPr>
                  </w:pPr>
                  <w:r>
                    <w:rPr>
                      <w:rFonts w:hint="eastAsia"/>
                      <w:b w:val="0"/>
                      <w:bCs w:val="0"/>
                      <w:color w:val="auto"/>
                      <w:sz w:val="21"/>
                      <w:szCs w:val="21"/>
                    </w:rPr>
                    <w:t>BMS柜</w:t>
                  </w:r>
                </w:p>
              </w:tc>
              <w:tc>
                <w:tcPr>
                  <w:tcW w:w="0" w:type="auto"/>
                  <w:vAlign w:val="center"/>
                </w:tcPr>
                <w:p w14:paraId="36403F18">
                  <w:pPr>
                    <w:jc w:val="center"/>
                    <w:rPr>
                      <w:b w:val="0"/>
                      <w:bCs w:val="0"/>
                      <w:color w:val="auto"/>
                      <w:sz w:val="21"/>
                      <w:szCs w:val="21"/>
                    </w:rPr>
                  </w:pPr>
                  <w:r>
                    <w:rPr>
                      <w:rFonts w:hint="eastAsia"/>
                      <w:b w:val="0"/>
                      <w:bCs w:val="0"/>
                      <w:color w:val="auto"/>
                      <w:sz w:val="21"/>
                      <w:szCs w:val="21"/>
                    </w:rPr>
                    <w:t>2</w:t>
                  </w:r>
                </w:p>
              </w:tc>
              <w:tc>
                <w:tcPr>
                  <w:tcW w:w="0" w:type="auto"/>
                  <w:vAlign w:val="center"/>
                </w:tcPr>
                <w:p w14:paraId="4FBA227A">
                  <w:pPr>
                    <w:jc w:val="center"/>
                    <w:rPr>
                      <w:b w:val="0"/>
                      <w:bCs w:val="0"/>
                      <w:color w:val="auto"/>
                      <w:sz w:val="21"/>
                      <w:szCs w:val="21"/>
                    </w:rPr>
                  </w:pPr>
                  <w:r>
                    <w:rPr>
                      <w:rFonts w:hint="eastAsia"/>
                      <w:b w:val="0"/>
                      <w:bCs w:val="0"/>
                      <w:color w:val="auto"/>
                      <w:sz w:val="21"/>
                      <w:szCs w:val="21"/>
                    </w:rPr>
                    <w:t>/</w:t>
                  </w:r>
                </w:p>
              </w:tc>
              <w:tc>
                <w:tcPr>
                  <w:tcW w:w="0" w:type="auto"/>
                  <w:vAlign w:val="center"/>
                </w:tcPr>
                <w:p w14:paraId="5CA1AF3B">
                  <w:pPr>
                    <w:jc w:val="center"/>
                    <w:rPr>
                      <w:b w:val="0"/>
                      <w:bCs w:val="0"/>
                      <w:color w:val="auto"/>
                      <w:sz w:val="21"/>
                      <w:szCs w:val="21"/>
                    </w:rPr>
                  </w:pPr>
                  <w:r>
                    <w:rPr>
                      <w:rFonts w:hint="eastAsia"/>
                      <w:b w:val="0"/>
                      <w:bCs w:val="0"/>
                      <w:color w:val="auto"/>
                      <w:sz w:val="21"/>
                      <w:szCs w:val="21"/>
                    </w:rPr>
                    <w:t>由动力变频柜控制</w:t>
                  </w:r>
                </w:p>
              </w:tc>
              <w:tc>
                <w:tcPr>
                  <w:tcW w:w="0" w:type="auto"/>
                  <w:vAlign w:val="center"/>
                </w:tcPr>
                <w:p w14:paraId="70CBA7F7">
                  <w:pPr>
                    <w:jc w:val="center"/>
                    <w:rPr>
                      <w:b w:val="0"/>
                      <w:bCs w:val="0"/>
                      <w:color w:val="auto"/>
                      <w:sz w:val="21"/>
                      <w:szCs w:val="21"/>
                    </w:rPr>
                  </w:pPr>
                  <w:r>
                    <w:rPr>
                      <w:rFonts w:hint="eastAsia"/>
                      <w:b w:val="0"/>
                      <w:bCs w:val="0"/>
                      <w:color w:val="auto"/>
                      <w:sz w:val="21"/>
                      <w:szCs w:val="21"/>
                    </w:rPr>
                    <w:t>控弱电</w:t>
                  </w:r>
                </w:p>
              </w:tc>
            </w:tr>
            <w:tr w14:paraId="4071493D">
              <w:tblPrEx>
                <w:tblW w:w="0" w:type="auto"/>
                <w:tblInd w:w="0" w:type="dxa"/>
                <w:tblCellMar>
                  <w:top w:w="0" w:type="dxa"/>
                  <w:left w:w="108" w:type="dxa"/>
                  <w:bottom w:w="0" w:type="dxa"/>
                  <w:right w:w="108" w:type="dxa"/>
                </w:tblCellMar>
              </w:tblPrEx>
              <w:tc>
                <w:tcPr>
                  <w:tcW w:w="0" w:type="auto"/>
                  <w:vAlign w:val="center"/>
                </w:tcPr>
                <w:p w14:paraId="7E3D2304">
                  <w:pPr>
                    <w:jc w:val="center"/>
                    <w:rPr>
                      <w:rFonts w:hint="eastAsia"/>
                      <w:b w:val="0"/>
                      <w:bCs w:val="0"/>
                      <w:color w:val="auto"/>
                      <w:sz w:val="21"/>
                      <w:szCs w:val="21"/>
                    </w:rPr>
                  </w:pPr>
                  <w:r>
                    <w:rPr>
                      <w:rFonts w:hint="eastAsia"/>
                      <w:b w:val="0"/>
                      <w:bCs w:val="0"/>
                      <w:color w:val="auto"/>
                      <w:sz w:val="21"/>
                      <w:szCs w:val="21"/>
                    </w:rPr>
                    <w:t>PCS(含变压器)</w:t>
                  </w:r>
                </w:p>
              </w:tc>
              <w:tc>
                <w:tcPr>
                  <w:tcW w:w="0" w:type="auto"/>
                  <w:vAlign w:val="center"/>
                </w:tcPr>
                <w:p w14:paraId="636466CC">
                  <w:pPr>
                    <w:jc w:val="center"/>
                    <w:rPr>
                      <w:rFonts w:hint="eastAsia"/>
                      <w:b w:val="0"/>
                      <w:bCs w:val="0"/>
                      <w:color w:val="auto"/>
                      <w:sz w:val="21"/>
                      <w:szCs w:val="21"/>
                    </w:rPr>
                  </w:pPr>
                  <w:r>
                    <w:rPr>
                      <w:rFonts w:hint="eastAsia"/>
                      <w:b w:val="0"/>
                      <w:bCs w:val="0"/>
                      <w:color w:val="auto"/>
                      <w:sz w:val="21"/>
                      <w:szCs w:val="21"/>
                    </w:rPr>
                    <w:t>1</w:t>
                  </w:r>
                </w:p>
              </w:tc>
              <w:tc>
                <w:tcPr>
                  <w:tcW w:w="0" w:type="auto"/>
                  <w:vAlign w:val="center"/>
                </w:tcPr>
                <w:p w14:paraId="31848442">
                  <w:pPr>
                    <w:jc w:val="center"/>
                    <w:rPr>
                      <w:rFonts w:hint="eastAsia"/>
                      <w:b w:val="0"/>
                      <w:bCs w:val="0"/>
                      <w:color w:val="auto"/>
                      <w:sz w:val="21"/>
                      <w:szCs w:val="21"/>
                    </w:rPr>
                  </w:pPr>
                  <w:r>
                    <w:rPr>
                      <w:rFonts w:hint="eastAsia"/>
                      <w:b w:val="0"/>
                      <w:bCs w:val="0"/>
                      <w:color w:val="auto"/>
                      <w:sz w:val="21"/>
                      <w:szCs w:val="21"/>
                    </w:rPr>
                    <w:t>18t</w:t>
                  </w:r>
                </w:p>
              </w:tc>
              <w:tc>
                <w:tcPr>
                  <w:tcW w:w="0" w:type="auto"/>
                  <w:vAlign w:val="center"/>
                </w:tcPr>
                <w:p w14:paraId="5486720C">
                  <w:pPr>
                    <w:jc w:val="center"/>
                    <w:rPr>
                      <w:rFonts w:hint="eastAsia"/>
                      <w:b w:val="0"/>
                      <w:bCs w:val="0"/>
                      <w:color w:val="auto"/>
                      <w:sz w:val="21"/>
                      <w:szCs w:val="21"/>
                    </w:rPr>
                  </w:pPr>
                  <w:r>
                    <w:rPr>
                      <w:rFonts w:hint="eastAsia"/>
                      <w:b w:val="0"/>
                      <w:bCs w:val="0"/>
                      <w:color w:val="auto"/>
                      <w:sz w:val="21"/>
                      <w:szCs w:val="21"/>
                    </w:rPr>
                    <w:t>含变压器</w:t>
                  </w:r>
                </w:p>
              </w:tc>
              <w:tc>
                <w:tcPr>
                  <w:tcW w:w="0" w:type="auto"/>
                  <w:vAlign w:val="center"/>
                </w:tcPr>
                <w:p w14:paraId="6606E058">
                  <w:pPr>
                    <w:jc w:val="center"/>
                    <w:rPr>
                      <w:rFonts w:eastAsia="宋体" w:hint="eastAsia"/>
                      <w:b w:val="0"/>
                      <w:bCs w:val="0"/>
                      <w:color w:val="auto"/>
                      <w:sz w:val="21"/>
                      <w:szCs w:val="21"/>
                      <w:lang w:val="en-US" w:eastAsia="zh-CN"/>
                    </w:rPr>
                  </w:pPr>
                  <w:r>
                    <w:rPr>
                      <w:rFonts w:hint="eastAsia"/>
                      <w:b w:val="0"/>
                      <w:bCs w:val="0"/>
                      <w:color w:val="auto"/>
                      <w:sz w:val="21"/>
                      <w:szCs w:val="21"/>
                      <w:lang w:val="en-US" w:eastAsia="zh-CN"/>
                    </w:rPr>
                    <w:t>/</w:t>
                  </w:r>
                </w:p>
              </w:tc>
            </w:tr>
          </w:tbl>
          <w:p w14:paraId="79AEF14F">
            <w:pPr>
              <w:pStyle w:val="00000-"/>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表2-</w:t>
            </w:r>
            <w:r>
              <w:rPr>
                <w:rFonts w:cs="Times New Roman" w:hint="eastAsia"/>
                <w:color w:val="auto"/>
                <w:sz w:val="24"/>
                <w:szCs w:val="24"/>
                <w:highlight w:val="none"/>
                <w:lang w:val="en-US" w:eastAsia="zh-CN"/>
              </w:rPr>
              <w:t>6</w:t>
            </w:r>
            <w:r>
              <w:rPr>
                <w:rFonts w:ascii="Times New Roman" w:eastAsia="宋体" w:hAnsi="Times New Roman" w:cs="Times New Roman" w:hint="default"/>
                <w:color w:val="auto"/>
                <w:sz w:val="24"/>
                <w:szCs w:val="24"/>
                <w:highlight w:val="none"/>
                <w:lang w:val="en-US" w:eastAsia="zh-CN"/>
              </w:rPr>
              <w:t xml:space="preserve">   变压器装置参数一览表</w:t>
            </w:r>
          </w:p>
          <w:tbl>
            <w:tblPr>
              <w:tblStyle w:val="TableNormal0"/>
              <w:tblW w:w="4995"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1225"/>
              <w:gridCol w:w="2435"/>
              <w:gridCol w:w="4405"/>
            </w:tblGrid>
            <w:tr w14:paraId="3DFF52E4">
              <w:tblPrEx>
                <w:tblW w:w="4995"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281"/>
              </w:trPr>
              <w:tc>
                <w:tcPr>
                  <w:tcW w:w="759" w:type="pct"/>
                  <w:tcBorders>
                    <w:tl2br w:val="nil"/>
                    <w:tr2bl w:val="nil"/>
                  </w:tcBorders>
                  <w:vAlign w:val="top"/>
                </w:tcPr>
                <w:p w14:paraId="4D6E6214">
                  <w:pPr>
                    <w:pStyle w:val="a4"/>
                    <w:bidi w:val="0"/>
                    <w:rPr>
                      <w:rFonts w:ascii="Times New Roman" w:eastAsia="宋体" w:hAnsi="Times New Roman" w:cs="Times New Roman" w:hint="default"/>
                      <w:b/>
                      <w:bCs/>
                      <w:color w:val="auto"/>
                    </w:rPr>
                  </w:pPr>
                  <w:r>
                    <w:rPr>
                      <w:rFonts w:ascii="Times New Roman" w:eastAsia="宋体" w:hAnsi="Times New Roman" w:cs="Times New Roman" w:hint="default"/>
                      <w:b/>
                      <w:bCs/>
                      <w:color w:val="auto"/>
                    </w:rPr>
                    <w:t>设备</w:t>
                  </w:r>
                </w:p>
              </w:tc>
              <w:tc>
                <w:tcPr>
                  <w:tcW w:w="1509" w:type="pct"/>
                  <w:tcBorders>
                    <w:tl2br w:val="nil"/>
                    <w:tr2bl w:val="nil"/>
                  </w:tcBorders>
                  <w:vAlign w:val="top"/>
                </w:tcPr>
                <w:p w14:paraId="4BD8F57C">
                  <w:pPr>
                    <w:pStyle w:val="a4"/>
                    <w:bidi w:val="0"/>
                    <w:rPr>
                      <w:rFonts w:ascii="Times New Roman" w:eastAsia="宋体" w:hAnsi="Times New Roman" w:cs="Times New Roman" w:hint="default"/>
                      <w:b/>
                      <w:bCs/>
                      <w:color w:val="auto"/>
                    </w:rPr>
                  </w:pPr>
                  <w:r>
                    <w:rPr>
                      <w:rFonts w:ascii="Times New Roman" w:eastAsia="宋体" w:hAnsi="Times New Roman" w:cs="Times New Roman" w:hint="default"/>
                      <w:b/>
                      <w:bCs/>
                      <w:color w:val="auto"/>
                    </w:rPr>
                    <w:t>名称</w:t>
                  </w:r>
                </w:p>
              </w:tc>
              <w:tc>
                <w:tcPr>
                  <w:tcW w:w="2730" w:type="pct"/>
                  <w:tcBorders>
                    <w:tl2br w:val="nil"/>
                    <w:tr2bl w:val="nil"/>
                  </w:tcBorders>
                  <w:vAlign w:val="top"/>
                </w:tcPr>
                <w:p w14:paraId="2812CC65">
                  <w:pPr>
                    <w:pStyle w:val="a4"/>
                    <w:bidi w:val="0"/>
                    <w:rPr>
                      <w:rFonts w:ascii="Times New Roman" w:eastAsia="宋体" w:hAnsi="Times New Roman" w:cs="Times New Roman" w:hint="default"/>
                      <w:b/>
                      <w:bCs/>
                      <w:color w:val="auto"/>
                    </w:rPr>
                  </w:pPr>
                  <w:r>
                    <w:rPr>
                      <w:rFonts w:ascii="Times New Roman" w:eastAsia="宋体" w:hAnsi="Times New Roman" w:cs="Times New Roman" w:hint="default"/>
                      <w:b/>
                      <w:bCs/>
                      <w:color w:val="auto"/>
                    </w:rPr>
                    <w:t>参数</w:t>
                  </w:r>
                </w:p>
              </w:tc>
            </w:tr>
            <w:tr w14:paraId="6AC28C22">
              <w:tblPrEx>
                <w:tblW w:w="4995" w:type="pct"/>
                <w:tblInd w:w="0" w:type="dxa"/>
                <w:tblCellMar>
                  <w:top w:w="0" w:type="dxa"/>
                  <w:left w:w="0" w:type="dxa"/>
                  <w:bottom w:w="0" w:type="dxa"/>
                  <w:right w:w="0" w:type="dxa"/>
                </w:tblCellMar>
              </w:tblPrEx>
              <w:trPr>
                <w:trHeight w:val="277"/>
              </w:trPr>
              <w:tc>
                <w:tcPr>
                  <w:tcW w:w="759" w:type="pct"/>
                  <w:vMerge w:val="restart"/>
                  <w:tcBorders>
                    <w:tl2br w:val="nil"/>
                    <w:tr2bl w:val="nil"/>
                  </w:tcBorders>
                  <w:vAlign w:val="center"/>
                </w:tcPr>
                <w:p w14:paraId="788C58F6">
                  <w:pPr>
                    <w:pStyle w:val="a4"/>
                    <w:bidi w:val="0"/>
                    <w:jc w:val="center"/>
                    <w:rPr>
                      <w:rFonts w:ascii="Times New Roman" w:eastAsia="宋体" w:hAnsi="Times New Roman" w:cs="Times New Roman" w:hint="default"/>
                      <w:color w:val="auto"/>
                    </w:rPr>
                  </w:pPr>
                  <w:r>
                    <w:rPr>
                      <w:rFonts w:cs="Times New Roman" w:hint="eastAsia"/>
                      <w:color w:val="auto"/>
                      <w:lang w:val="en-US" w:eastAsia="zh-CN"/>
                    </w:rPr>
                    <w:t>主变</w:t>
                  </w:r>
                  <w:r>
                    <w:rPr>
                      <w:rFonts w:ascii="Times New Roman" w:eastAsia="宋体" w:hAnsi="Times New Roman" w:cs="Times New Roman" w:hint="default"/>
                      <w:color w:val="auto"/>
                    </w:rPr>
                    <w:t>压器</w:t>
                  </w:r>
                </w:p>
              </w:tc>
              <w:tc>
                <w:tcPr>
                  <w:tcW w:w="1509" w:type="pct"/>
                  <w:tcBorders>
                    <w:tl2br w:val="nil"/>
                    <w:tr2bl w:val="nil"/>
                  </w:tcBorders>
                  <w:vAlign w:val="top"/>
                </w:tcPr>
                <w:p w14:paraId="5E4942B5">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型号</w:t>
                  </w:r>
                </w:p>
              </w:tc>
              <w:tc>
                <w:tcPr>
                  <w:tcW w:w="2730" w:type="pct"/>
                  <w:tcBorders>
                    <w:tl2br w:val="nil"/>
                    <w:tr2bl w:val="nil"/>
                  </w:tcBorders>
                  <w:vAlign w:val="top"/>
                </w:tcPr>
                <w:p w14:paraId="11616AE5">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SFZ-</w:t>
                  </w:r>
                  <w:r>
                    <w:rPr>
                      <w:rFonts w:cs="Times New Roman" w:hint="eastAsia"/>
                      <w:color w:val="auto"/>
                      <w:lang w:eastAsia="zh-CN"/>
                    </w:rPr>
                    <w:t>180MVA</w:t>
                  </w:r>
                  <w:r>
                    <w:rPr>
                      <w:rFonts w:ascii="Times New Roman" w:eastAsia="宋体" w:hAnsi="Times New Roman" w:cs="Times New Roman" w:hint="default"/>
                      <w:color w:val="auto"/>
                    </w:rPr>
                    <w:t>/220kV</w:t>
                  </w:r>
                </w:p>
              </w:tc>
            </w:tr>
            <w:tr w14:paraId="16FF2342">
              <w:tblPrEx>
                <w:tblW w:w="4995" w:type="pct"/>
                <w:tblInd w:w="0" w:type="dxa"/>
                <w:tblCellMar>
                  <w:top w:w="0" w:type="dxa"/>
                  <w:left w:w="0" w:type="dxa"/>
                  <w:bottom w:w="0" w:type="dxa"/>
                  <w:right w:w="0" w:type="dxa"/>
                </w:tblCellMar>
              </w:tblPrEx>
              <w:trPr>
                <w:trHeight w:val="279"/>
              </w:trPr>
              <w:tc>
                <w:tcPr>
                  <w:tcW w:w="759" w:type="pct"/>
                  <w:vMerge/>
                  <w:tcBorders>
                    <w:tl2br w:val="nil"/>
                    <w:tr2bl w:val="nil"/>
                  </w:tcBorders>
                  <w:vAlign w:val="center"/>
                </w:tcPr>
                <w:p w14:paraId="4AD28F54">
                  <w:pPr>
                    <w:pStyle w:val="a4"/>
                    <w:bidi w:val="0"/>
                    <w:jc w:val="center"/>
                    <w:rPr>
                      <w:rFonts w:ascii="Times New Roman" w:eastAsia="宋体" w:hAnsi="Times New Roman" w:cs="Times New Roman" w:hint="default"/>
                      <w:color w:val="auto"/>
                    </w:rPr>
                  </w:pPr>
                </w:p>
              </w:tc>
              <w:tc>
                <w:tcPr>
                  <w:tcW w:w="1509" w:type="pct"/>
                  <w:tcBorders>
                    <w:tl2br w:val="nil"/>
                    <w:tr2bl w:val="nil"/>
                  </w:tcBorders>
                  <w:vAlign w:val="top"/>
                </w:tcPr>
                <w:p w14:paraId="75F0C9EC">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型式</w:t>
                  </w:r>
                </w:p>
              </w:tc>
              <w:tc>
                <w:tcPr>
                  <w:tcW w:w="2730" w:type="pct"/>
                  <w:tcBorders>
                    <w:tl2br w:val="nil"/>
                    <w:tr2bl w:val="nil"/>
                  </w:tcBorders>
                  <w:vAlign w:val="top"/>
                </w:tcPr>
                <w:p w14:paraId="369E1930">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户外箱式、三相、油浸、风冷自冷</w:t>
                  </w:r>
                </w:p>
              </w:tc>
            </w:tr>
            <w:tr w14:paraId="18A9D6CC">
              <w:tblPrEx>
                <w:tblW w:w="4995" w:type="pct"/>
                <w:tblInd w:w="0" w:type="dxa"/>
                <w:tblCellMar>
                  <w:top w:w="0" w:type="dxa"/>
                  <w:left w:w="0" w:type="dxa"/>
                  <w:bottom w:w="0" w:type="dxa"/>
                  <w:right w:w="0" w:type="dxa"/>
                </w:tblCellMar>
              </w:tblPrEx>
              <w:trPr>
                <w:trHeight w:val="277"/>
              </w:trPr>
              <w:tc>
                <w:tcPr>
                  <w:tcW w:w="759" w:type="pct"/>
                  <w:vMerge/>
                  <w:tcBorders>
                    <w:tl2br w:val="nil"/>
                    <w:tr2bl w:val="nil"/>
                  </w:tcBorders>
                  <w:vAlign w:val="center"/>
                </w:tcPr>
                <w:p w14:paraId="5B1852EE">
                  <w:pPr>
                    <w:pStyle w:val="a4"/>
                    <w:bidi w:val="0"/>
                    <w:jc w:val="center"/>
                    <w:rPr>
                      <w:rFonts w:ascii="Times New Roman" w:eastAsia="宋体" w:hAnsi="Times New Roman" w:cs="Times New Roman" w:hint="default"/>
                      <w:color w:val="auto"/>
                    </w:rPr>
                  </w:pPr>
                </w:p>
              </w:tc>
              <w:tc>
                <w:tcPr>
                  <w:tcW w:w="1509" w:type="pct"/>
                  <w:tcBorders>
                    <w:tl2br w:val="nil"/>
                    <w:tr2bl w:val="nil"/>
                  </w:tcBorders>
                  <w:vAlign w:val="top"/>
                </w:tcPr>
                <w:p w14:paraId="487B8CB9">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容量</w:t>
                  </w:r>
                </w:p>
              </w:tc>
              <w:tc>
                <w:tcPr>
                  <w:tcW w:w="2730" w:type="pct"/>
                  <w:tcBorders>
                    <w:tl2br w:val="nil"/>
                    <w:tr2bl w:val="nil"/>
                  </w:tcBorders>
                  <w:vAlign w:val="top"/>
                </w:tcPr>
                <w:p w14:paraId="51CE3C35">
                  <w:pPr>
                    <w:pStyle w:val="a4"/>
                    <w:bidi w:val="0"/>
                    <w:rPr>
                      <w:rFonts w:ascii="Times New Roman" w:eastAsia="宋体" w:hAnsi="Times New Roman" w:cs="Times New Roman" w:hint="eastAsia"/>
                      <w:color w:val="auto"/>
                      <w:lang w:eastAsia="zh-CN"/>
                    </w:rPr>
                  </w:pPr>
                  <w:r>
                    <w:rPr>
                      <w:rFonts w:cs="Times New Roman" w:hint="eastAsia"/>
                      <w:color w:val="auto"/>
                      <w:lang w:eastAsia="zh-CN"/>
                    </w:rPr>
                    <w:t>180MVA</w:t>
                  </w:r>
                </w:p>
              </w:tc>
            </w:tr>
            <w:tr w14:paraId="551E38B8">
              <w:tblPrEx>
                <w:tblW w:w="4995" w:type="pct"/>
                <w:tblInd w:w="0" w:type="dxa"/>
                <w:tblCellMar>
                  <w:top w:w="0" w:type="dxa"/>
                  <w:left w:w="0" w:type="dxa"/>
                  <w:bottom w:w="0" w:type="dxa"/>
                  <w:right w:w="0" w:type="dxa"/>
                </w:tblCellMar>
              </w:tblPrEx>
              <w:trPr>
                <w:trHeight w:val="277"/>
              </w:trPr>
              <w:tc>
                <w:tcPr>
                  <w:tcW w:w="759" w:type="pct"/>
                  <w:vMerge/>
                  <w:tcBorders>
                    <w:tl2br w:val="nil"/>
                    <w:tr2bl w:val="nil"/>
                  </w:tcBorders>
                  <w:vAlign w:val="center"/>
                </w:tcPr>
                <w:p w14:paraId="00545A47">
                  <w:pPr>
                    <w:pStyle w:val="a4"/>
                    <w:bidi w:val="0"/>
                    <w:jc w:val="center"/>
                    <w:rPr>
                      <w:rFonts w:ascii="Times New Roman" w:eastAsia="宋体" w:hAnsi="Times New Roman" w:cs="Times New Roman" w:hint="default"/>
                      <w:color w:val="auto"/>
                    </w:rPr>
                  </w:pPr>
                </w:p>
              </w:tc>
              <w:tc>
                <w:tcPr>
                  <w:tcW w:w="1509" w:type="pct"/>
                  <w:tcBorders>
                    <w:tl2br w:val="nil"/>
                    <w:tr2bl w:val="nil"/>
                  </w:tcBorders>
                  <w:vAlign w:val="top"/>
                </w:tcPr>
                <w:p w14:paraId="3B3A7C56">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数量</w:t>
                  </w:r>
                </w:p>
              </w:tc>
              <w:tc>
                <w:tcPr>
                  <w:tcW w:w="2730" w:type="pct"/>
                  <w:tcBorders>
                    <w:tl2br w:val="nil"/>
                    <w:tr2bl w:val="nil"/>
                  </w:tcBorders>
                  <w:vAlign w:val="top"/>
                </w:tcPr>
                <w:p w14:paraId="3756A20E">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lang w:val="en-US" w:eastAsia="zh-CN"/>
                    </w:rPr>
                    <w:t>2</w:t>
                  </w:r>
                  <w:r>
                    <w:rPr>
                      <w:rFonts w:ascii="Times New Roman" w:eastAsia="宋体" w:hAnsi="Times New Roman" w:cs="Times New Roman" w:hint="default"/>
                      <w:color w:val="auto"/>
                    </w:rPr>
                    <w:t>台</w:t>
                  </w:r>
                </w:p>
              </w:tc>
            </w:tr>
            <w:tr w14:paraId="3713E2CF">
              <w:tblPrEx>
                <w:tblW w:w="4995" w:type="pct"/>
                <w:tblInd w:w="0" w:type="dxa"/>
                <w:tblCellMar>
                  <w:top w:w="0" w:type="dxa"/>
                  <w:left w:w="0" w:type="dxa"/>
                  <w:bottom w:w="0" w:type="dxa"/>
                  <w:right w:w="0" w:type="dxa"/>
                </w:tblCellMar>
              </w:tblPrEx>
              <w:trPr>
                <w:trHeight w:val="277"/>
              </w:trPr>
              <w:tc>
                <w:tcPr>
                  <w:tcW w:w="759" w:type="pct"/>
                  <w:vMerge w:val="restart"/>
                  <w:tcBorders>
                    <w:tl2br w:val="nil"/>
                    <w:tr2bl w:val="nil"/>
                  </w:tcBorders>
                  <w:vAlign w:val="center"/>
                </w:tcPr>
                <w:p w14:paraId="446ABBEE">
                  <w:pPr>
                    <w:pStyle w:val="a4"/>
                    <w:bidi w:val="0"/>
                    <w:jc w:val="center"/>
                    <w:rPr>
                      <w:rFonts w:ascii="Times New Roman" w:eastAsia="宋体" w:hAnsi="Times New Roman" w:cs="Times New Roman" w:hint="default"/>
                      <w:color w:val="auto"/>
                      <w:lang w:val="en-US" w:eastAsia="zh-CN"/>
                    </w:rPr>
                  </w:pPr>
                  <w:r>
                    <w:rPr>
                      <w:rFonts w:cs="Times New Roman" w:hint="eastAsia"/>
                      <w:color w:val="auto"/>
                      <w:lang w:val="en-US" w:eastAsia="zh-CN"/>
                    </w:rPr>
                    <w:t>35kV变压器</w:t>
                  </w:r>
                </w:p>
              </w:tc>
              <w:tc>
                <w:tcPr>
                  <w:tcW w:w="1509" w:type="pct"/>
                  <w:tcBorders>
                    <w:tl2br w:val="nil"/>
                    <w:tr2bl w:val="nil"/>
                  </w:tcBorders>
                  <w:vAlign w:val="top"/>
                </w:tcPr>
                <w:p w14:paraId="40B6E1AD">
                  <w:pPr>
                    <w:pStyle w:val="a4"/>
                    <w:bidi w:val="0"/>
                    <w:rPr>
                      <w:rFonts w:ascii="Times New Roman" w:eastAsia="宋体" w:hAnsi="Times New Roman" w:cs="Times New Roman" w:hint="eastAsia"/>
                      <w:color w:val="auto"/>
                      <w:lang w:val="en-US" w:eastAsia="zh-CN"/>
                    </w:rPr>
                  </w:pPr>
                  <w:r>
                    <w:rPr>
                      <w:rFonts w:cs="Times New Roman" w:hint="eastAsia"/>
                      <w:color w:val="auto"/>
                      <w:lang w:val="en-US" w:eastAsia="zh-CN"/>
                    </w:rPr>
                    <w:t>型号</w:t>
                  </w:r>
                </w:p>
              </w:tc>
              <w:tc>
                <w:tcPr>
                  <w:tcW w:w="2730" w:type="pct"/>
                  <w:tcBorders>
                    <w:tl2br w:val="nil"/>
                    <w:tr2bl w:val="nil"/>
                  </w:tcBorders>
                  <w:vAlign w:val="top"/>
                </w:tcPr>
                <w:p w14:paraId="6FFA3759">
                  <w:pPr>
                    <w:pStyle w:val="a4"/>
                    <w:bidi w:val="0"/>
                    <w:rPr>
                      <w:rFonts w:ascii="Times New Roman" w:eastAsia="宋体" w:hAnsi="Times New Roman" w:cs="Times New Roman" w:hint="default"/>
                      <w:color w:val="auto"/>
                      <w:lang w:val="en-US" w:eastAsia="zh-CN"/>
                    </w:rPr>
                  </w:pPr>
                  <w:r>
                    <w:rPr>
                      <w:color w:val="auto"/>
                      <w:spacing w:val="-39"/>
                      <w:sz w:val="21"/>
                      <w:szCs w:val="21"/>
                    </w:rPr>
                    <w:t xml:space="preserve"> </w:t>
                  </w:r>
                  <w:r>
                    <w:rPr>
                      <w:rFonts w:ascii="Times New Roman" w:eastAsia="Times New Roman" w:hAnsi="Times New Roman" w:cs="Times New Roman"/>
                      <w:color w:val="auto"/>
                      <w:spacing w:val="-3"/>
                      <w:sz w:val="21"/>
                      <w:szCs w:val="21"/>
                    </w:rPr>
                    <w:t>SCB</w:t>
                  </w:r>
                  <w:r>
                    <w:rPr>
                      <w:color w:val="auto"/>
                      <w:position w:val="-4"/>
                      <w:sz w:val="21"/>
                      <w:szCs w:val="21"/>
                    </w:rPr>
                    <w:drawing>
                      <wp:inline distT="0" distB="0" distL="0" distR="0">
                        <wp:extent cx="85725" cy="121285"/>
                        <wp:effectExtent l="0" t="0" r="5715" b="635"/>
                        <wp:docPr id="144" name="IM 144"/>
                        <wp:cNvGraphicFramePr/>
                        <a:graphic xmlns:a="http://schemas.openxmlformats.org/drawingml/2006/main">
                          <a:graphicData uri="http://schemas.openxmlformats.org/drawingml/2006/picture">
                            <pic:pic xmlns:pic="http://schemas.openxmlformats.org/drawingml/2006/picture">
                              <pic:nvPicPr>
                                <pic:cNvPr id="1682702040" name="IM 144"/>
                                <pic:cNvPicPr/>
                              </pic:nvPicPr>
                              <pic:blipFill>
                                <a:blip xmlns:r="http://schemas.openxmlformats.org/officeDocument/2006/relationships" r:embed="rId11"/>
                                <a:stretch>
                                  <a:fillRect/>
                                </a:stretch>
                              </pic:blipFill>
                              <pic:spPr>
                                <a:xfrm>
                                  <a:off x="0" y="0"/>
                                  <a:ext cx="86233" cy="121908"/>
                                </a:xfrm>
                                <a:prstGeom prst="rect">
                                  <a:avLst/>
                                </a:prstGeom>
                              </pic:spPr>
                            </pic:pic>
                          </a:graphicData>
                        </a:graphic>
                      </wp:inline>
                    </w:drawing>
                  </w:r>
                  <w:r>
                    <w:rPr>
                      <w:rFonts w:ascii="Times New Roman" w:eastAsia="Times New Roman" w:hAnsi="Times New Roman" w:cs="Times New Roman"/>
                      <w:color w:val="auto"/>
                      <w:spacing w:val="33"/>
                      <w:sz w:val="21"/>
                      <w:szCs w:val="21"/>
                    </w:rPr>
                    <w:t xml:space="preserve"> </w:t>
                  </w:r>
                  <w:r>
                    <w:rPr>
                      <w:rFonts w:ascii="Times New Roman" w:eastAsia="Times New Roman" w:hAnsi="Times New Roman" w:cs="Times New Roman"/>
                      <w:color w:val="auto"/>
                      <w:spacing w:val="-3"/>
                      <w:sz w:val="21"/>
                      <w:szCs w:val="21"/>
                    </w:rPr>
                    <w:t>-2200/35,2200kVA,37±2x2.5%/0.38kV</w:t>
                  </w:r>
                </w:p>
              </w:tc>
            </w:tr>
            <w:tr w14:paraId="4E6A109B">
              <w:tblPrEx>
                <w:tblW w:w="4995" w:type="pct"/>
                <w:tblInd w:w="0" w:type="dxa"/>
                <w:tblCellMar>
                  <w:top w:w="0" w:type="dxa"/>
                  <w:left w:w="0" w:type="dxa"/>
                  <w:bottom w:w="0" w:type="dxa"/>
                  <w:right w:w="0" w:type="dxa"/>
                </w:tblCellMar>
              </w:tblPrEx>
              <w:trPr>
                <w:trHeight w:val="277"/>
              </w:trPr>
              <w:tc>
                <w:tcPr>
                  <w:tcW w:w="759" w:type="pct"/>
                  <w:vMerge/>
                  <w:tcBorders>
                    <w:tl2br w:val="nil"/>
                    <w:tr2bl w:val="nil"/>
                  </w:tcBorders>
                  <w:vAlign w:val="top"/>
                </w:tcPr>
                <w:p w14:paraId="2064D913">
                  <w:pPr>
                    <w:pStyle w:val="a4"/>
                    <w:bidi w:val="0"/>
                    <w:rPr>
                      <w:rFonts w:ascii="Times New Roman" w:eastAsia="宋体" w:hAnsi="Times New Roman" w:cs="Times New Roman" w:hint="default"/>
                      <w:color w:val="auto"/>
                      <w:lang w:val="en-US" w:eastAsia="zh-CN"/>
                    </w:rPr>
                  </w:pPr>
                </w:p>
              </w:tc>
              <w:tc>
                <w:tcPr>
                  <w:tcW w:w="1509" w:type="pct"/>
                  <w:tcBorders>
                    <w:tl2br w:val="nil"/>
                    <w:tr2bl w:val="nil"/>
                  </w:tcBorders>
                  <w:vAlign w:val="top"/>
                </w:tcPr>
                <w:p w14:paraId="7B5A31AA">
                  <w:pPr>
                    <w:pStyle w:val="a4"/>
                    <w:bidi w:val="0"/>
                    <w:rPr>
                      <w:rFonts w:ascii="Times New Roman" w:eastAsia="宋体" w:hAnsi="Times New Roman" w:cs="Times New Roman" w:hint="eastAsia"/>
                      <w:color w:val="auto"/>
                      <w:lang w:val="en-US" w:eastAsia="zh-CN"/>
                    </w:rPr>
                  </w:pPr>
                  <w:r>
                    <w:rPr>
                      <w:rFonts w:ascii="Times New Roman" w:eastAsia="宋体" w:hAnsi="Times New Roman" w:cs="Times New Roman" w:hint="default"/>
                      <w:color w:val="auto"/>
                    </w:rPr>
                    <w:t>型式</w:t>
                  </w:r>
                </w:p>
              </w:tc>
              <w:tc>
                <w:tcPr>
                  <w:tcW w:w="2730" w:type="pct"/>
                  <w:tcBorders>
                    <w:tl2br w:val="nil"/>
                    <w:tr2bl w:val="nil"/>
                  </w:tcBorders>
                  <w:vAlign w:val="top"/>
                </w:tcPr>
                <w:p w14:paraId="148ABF90">
                  <w:pPr>
                    <w:pStyle w:val="a4"/>
                    <w:bidi w:val="0"/>
                    <w:jc w:val="center"/>
                    <w:rPr>
                      <w:rFonts w:ascii="Times New Roman" w:eastAsia="宋体" w:hAnsi="Times New Roman" w:cs="Times New Roman" w:hint="default"/>
                      <w:color w:val="auto"/>
                      <w:lang w:val="en-US" w:eastAsia="zh-CN"/>
                    </w:rPr>
                  </w:pPr>
                  <w:r>
                    <w:rPr>
                      <w:rFonts w:hint="eastAsia"/>
                      <w:color w:val="auto"/>
                      <w:spacing w:val="-1"/>
                      <w:sz w:val="21"/>
                      <w:szCs w:val="21"/>
                      <w:lang w:val="en-US" w:eastAsia="zh-CN"/>
                    </w:rPr>
                    <w:t>户内式，三相、干式</w:t>
                  </w:r>
                </w:p>
              </w:tc>
            </w:tr>
            <w:tr w14:paraId="3D7BB71A">
              <w:tblPrEx>
                <w:tblW w:w="4995" w:type="pct"/>
                <w:tblInd w:w="0" w:type="dxa"/>
                <w:tblCellMar>
                  <w:top w:w="0" w:type="dxa"/>
                  <w:left w:w="0" w:type="dxa"/>
                  <w:bottom w:w="0" w:type="dxa"/>
                  <w:right w:w="0" w:type="dxa"/>
                </w:tblCellMar>
              </w:tblPrEx>
              <w:trPr>
                <w:trHeight w:val="274"/>
              </w:trPr>
              <w:tc>
                <w:tcPr>
                  <w:tcW w:w="759" w:type="pct"/>
                  <w:vMerge/>
                  <w:tcBorders>
                    <w:tl2br w:val="nil"/>
                    <w:tr2bl w:val="nil"/>
                  </w:tcBorders>
                  <w:vAlign w:val="top"/>
                </w:tcPr>
                <w:p w14:paraId="2FBA2A5C">
                  <w:pPr>
                    <w:pStyle w:val="a4"/>
                    <w:bidi w:val="0"/>
                    <w:rPr>
                      <w:rFonts w:ascii="Times New Roman" w:eastAsia="宋体" w:hAnsi="Times New Roman" w:cs="Times New Roman" w:hint="default"/>
                      <w:color w:val="auto"/>
                    </w:rPr>
                  </w:pPr>
                </w:p>
              </w:tc>
              <w:tc>
                <w:tcPr>
                  <w:tcW w:w="1509" w:type="pct"/>
                  <w:tcBorders>
                    <w:tl2br w:val="nil"/>
                    <w:tr2bl w:val="nil"/>
                  </w:tcBorders>
                  <w:vAlign w:val="center"/>
                </w:tcPr>
                <w:p w14:paraId="11D1264B">
                  <w:pPr>
                    <w:pStyle w:val="a4"/>
                    <w:bidi w:val="0"/>
                    <w:jc w:val="center"/>
                    <w:rPr>
                      <w:rFonts w:ascii="Times New Roman" w:eastAsia="宋体" w:hAnsi="Times New Roman" w:cs="Times New Roman" w:hint="eastAsia"/>
                      <w:color w:val="auto"/>
                      <w:lang w:val="en-US" w:eastAsia="zh-CN"/>
                    </w:rPr>
                  </w:pPr>
                  <w:r>
                    <w:rPr>
                      <w:rFonts w:cs="Times New Roman" w:hint="eastAsia"/>
                      <w:color w:val="auto"/>
                      <w:lang w:val="en-US" w:eastAsia="zh-CN"/>
                    </w:rPr>
                    <w:t>容量</w:t>
                  </w:r>
                </w:p>
              </w:tc>
              <w:tc>
                <w:tcPr>
                  <w:tcW w:w="2730" w:type="pct"/>
                  <w:tcBorders>
                    <w:tl2br w:val="nil"/>
                    <w:tr2bl w:val="nil"/>
                  </w:tcBorders>
                  <w:vAlign w:val="top"/>
                </w:tcPr>
                <w:p w14:paraId="3E53B23D">
                  <w:pPr>
                    <w:pStyle w:val="a4"/>
                    <w:bidi w:val="0"/>
                    <w:rPr>
                      <w:rFonts w:ascii="Times New Roman" w:eastAsia="宋体" w:hAnsi="Times New Roman" w:cs="Times New Roman" w:hint="default"/>
                      <w:color w:val="auto"/>
                      <w:lang w:val="en-US" w:eastAsia="zh-CN"/>
                    </w:rPr>
                  </w:pPr>
                  <w:r>
                    <w:rPr>
                      <w:rFonts w:ascii="Times New Roman" w:eastAsia="Times New Roman" w:hAnsi="Times New Roman" w:cs="Times New Roman"/>
                      <w:color w:val="auto"/>
                      <w:spacing w:val="-5"/>
                      <w:position w:val="17"/>
                      <w:sz w:val="24"/>
                      <w:szCs w:val="24"/>
                    </w:rPr>
                    <w:t>4000kVA/2000kVA-2000kVA</w:t>
                  </w:r>
                </w:p>
              </w:tc>
            </w:tr>
            <w:tr w14:paraId="7B9D6C03">
              <w:tblPrEx>
                <w:tblW w:w="4995" w:type="pct"/>
                <w:tblInd w:w="0" w:type="dxa"/>
                <w:tblCellMar>
                  <w:top w:w="0" w:type="dxa"/>
                  <w:left w:w="0" w:type="dxa"/>
                  <w:bottom w:w="0" w:type="dxa"/>
                  <w:right w:w="0" w:type="dxa"/>
                </w:tblCellMar>
              </w:tblPrEx>
              <w:trPr>
                <w:trHeight w:val="277"/>
              </w:trPr>
              <w:tc>
                <w:tcPr>
                  <w:tcW w:w="759" w:type="pct"/>
                  <w:vMerge/>
                  <w:tcBorders>
                    <w:tl2br w:val="nil"/>
                    <w:tr2bl w:val="nil"/>
                  </w:tcBorders>
                  <w:vAlign w:val="top"/>
                </w:tcPr>
                <w:p w14:paraId="5C040242">
                  <w:pPr>
                    <w:pStyle w:val="a4"/>
                    <w:bidi w:val="0"/>
                    <w:rPr>
                      <w:rFonts w:ascii="Times New Roman" w:eastAsia="宋体" w:hAnsi="Times New Roman" w:cs="Times New Roman" w:hint="default"/>
                      <w:color w:val="auto"/>
                    </w:rPr>
                  </w:pPr>
                </w:p>
              </w:tc>
              <w:tc>
                <w:tcPr>
                  <w:tcW w:w="1509" w:type="pct"/>
                  <w:tcBorders>
                    <w:tl2br w:val="nil"/>
                    <w:tr2bl w:val="nil"/>
                  </w:tcBorders>
                  <w:vAlign w:val="top"/>
                </w:tcPr>
                <w:p w14:paraId="1C384704">
                  <w:pPr>
                    <w:pStyle w:val="a4"/>
                    <w:bidi w:val="0"/>
                    <w:rPr>
                      <w:rFonts w:ascii="Times New Roman" w:eastAsia="宋体" w:hAnsi="Times New Roman" w:cs="Times New Roman" w:hint="default"/>
                      <w:color w:val="auto"/>
                      <w:lang w:val="en-US" w:eastAsia="zh-CN"/>
                    </w:rPr>
                  </w:pPr>
                  <w:r>
                    <w:rPr>
                      <w:rFonts w:cs="Times New Roman" w:hint="eastAsia"/>
                      <w:color w:val="auto"/>
                      <w:lang w:val="en-US" w:eastAsia="zh-CN"/>
                    </w:rPr>
                    <w:t>数量</w:t>
                  </w:r>
                </w:p>
              </w:tc>
              <w:tc>
                <w:tcPr>
                  <w:tcW w:w="2730" w:type="pct"/>
                  <w:tcBorders>
                    <w:tl2br w:val="nil"/>
                    <w:tr2bl w:val="nil"/>
                  </w:tcBorders>
                  <w:vAlign w:val="top"/>
                </w:tcPr>
                <w:p w14:paraId="736CD48A">
                  <w:pPr>
                    <w:pStyle w:val="a4"/>
                    <w:bidi w:val="0"/>
                    <w:rPr>
                      <w:rFonts w:ascii="Times New Roman" w:eastAsia="宋体" w:hAnsi="Times New Roman" w:cs="Times New Roman" w:hint="default"/>
                      <w:color w:val="auto"/>
                      <w:lang w:val="en-US" w:eastAsia="zh-CN"/>
                    </w:rPr>
                  </w:pPr>
                  <w:r>
                    <w:rPr>
                      <w:rFonts w:cs="Times New Roman" w:hint="eastAsia"/>
                      <w:color w:val="auto"/>
                      <w:lang w:val="en-US" w:eastAsia="zh-CN"/>
                    </w:rPr>
                    <w:t>6</w:t>
                  </w:r>
                  <w:r>
                    <w:rPr>
                      <w:rFonts w:ascii="Times New Roman" w:eastAsia="宋体" w:hAnsi="Times New Roman" w:cs="Times New Roman" w:hint="default"/>
                      <w:color w:val="auto"/>
                    </w:rPr>
                    <w:t>台</w:t>
                  </w:r>
                </w:p>
              </w:tc>
            </w:tr>
            <w:tr w14:paraId="117C6F5C">
              <w:tblPrEx>
                <w:tblW w:w="4995" w:type="pct"/>
                <w:tblInd w:w="0" w:type="dxa"/>
                <w:tblCellMar>
                  <w:top w:w="0" w:type="dxa"/>
                  <w:left w:w="0" w:type="dxa"/>
                  <w:bottom w:w="0" w:type="dxa"/>
                  <w:right w:w="0" w:type="dxa"/>
                </w:tblCellMar>
              </w:tblPrEx>
              <w:trPr>
                <w:trHeight w:val="277"/>
              </w:trPr>
              <w:tc>
                <w:tcPr>
                  <w:tcW w:w="759" w:type="pct"/>
                  <w:vMerge w:val="restart"/>
                  <w:tcBorders>
                    <w:tl2br w:val="nil"/>
                    <w:tr2bl w:val="nil"/>
                  </w:tcBorders>
                  <w:vAlign w:val="center"/>
                </w:tcPr>
                <w:p w14:paraId="04D035CD">
                  <w:pPr>
                    <w:pStyle w:val="a4"/>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储能变流升</w:t>
                  </w:r>
                </w:p>
                <w:p w14:paraId="041149F7">
                  <w:pPr>
                    <w:pStyle w:val="a4"/>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压一体机</w:t>
                  </w:r>
                </w:p>
              </w:tc>
              <w:tc>
                <w:tcPr>
                  <w:tcW w:w="1509" w:type="pct"/>
                  <w:tcBorders>
                    <w:tl2br w:val="nil"/>
                    <w:tr2bl w:val="nil"/>
                  </w:tcBorders>
                  <w:vAlign w:val="top"/>
                </w:tcPr>
                <w:p w14:paraId="526EF209">
                  <w:pPr>
                    <w:pStyle w:val="a4"/>
                    <w:bidi w:val="0"/>
                    <w:rPr>
                      <w:rFonts w:cs="Times New Roman" w:hint="eastAsia"/>
                      <w:color w:val="auto"/>
                      <w:lang w:val="en-US" w:eastAsia="zh-CN"/>
                    </w:rPr>
                  </w:pPr>
                  <w:r>
                    <w:rPr>
                      <w:rFonts w:cs="Times New Roman" w:hint="eastAsia"/>
                      <w:color w:val="auto"/>
                      <w:lang w:val="en-US" w:eastAsia="zh-CN"/>
                    </w:rPr>
                    <w:t>逆变器额定功率</w:t>
                  </w:r>
                </w:p>
              </w:tc>
              <w:tc>
                <w:tcPr>
                  <w:tcW w:w="2730" w:type="pct"/>
                  <w:tcBorders>
                    <w:tl2br w:val="nil"/>
                    <w:tr2bl w:val="nil"/>
                  </w:tcBorders>
                  <w:vAlign w:val="top"/>
                </w:tcPr>
                <w:p w14:paraId="13E23FE6">
                  <w:pPr>
                    <w:pStyle w:val="a4"/>
                    <w:bidi w:val="0"/>
                    <w:rPr>
                      <w:rFonts w:cs="Times New Roman" w:hint="eastAsia"/>
                      <w:color w:val="auto"/>
                      <w:lang w:val="en-US" w:eastAsia="zh-CN"/>
                    </w:rPr>
                  </w:pPr>
                  <w:r>
                    <w:rPr>
                      <w:rFonts w:cs="Times New Roman" w:hint="eastAsia"/>
                      <w:color w:val="auto"/>
                      <w:lang w:val="en-US" w:eastAsia="zh-CN"/>
                    </w:rPr>
                    <w:t>1375kW</w:t>
                  </w:r>
                </w:p>
              </w:tc>
            </w:tr>
            <w:tr w14:paraId="5D3024E9">
              <w:tblPrEx>
                <w:tblW w:w="4995" w:type="pct"/>
                <w:tblInd w:w="0" w:type="dxa"/>
                <w:tblCellMar>
                  <w:top w:w="0" w:type="dxa"/>
                  <w:left w:w="0" w:type="dxa"/>
                  <w:bottom w:w="0" w:type="dxa"/>
                  <w:right w:w="0" w:type="dxa"/>
                </w:tblCellMar>
              </w:tblPrEx>
              <w:trPr>
                <w:trHeight w:val="277"/>
              </w:trPr>
              <w:tc>
                <w:tcPr>
                  <w:tcW w:w="759" w:type="pct"/>
                  <w:vMerge/>
                  <w:tcBorders>
                    <w:tl2br w:val="nil"/>
                    <w:tr2bl w:val="nil"/>
                  </w:tcBorders>
                  <w:vAlign w:val="top"/>
                </w:tcPr>
                <w:p w14:paraId="6184F6BA">
                  <w:pPr>
                    <w:pStyle w:val="a4"/>
                    <w:bidi w:val="0"/>
                    <w:rPr>
                      <w:rFonts w:ascii="Times New Roman" w:eastAsia="宋体" w:hAnsi="Times New Roman" w:cs="Times New Roman" w:hint="default"/>
                      <w:color w:val="auto"/>
                    </w:rPr>
                  </w:pPr>
                </w:p>
              </w:tc>
              <w:tc>
                <w:tcPr>
                  <w:tcW w:w="1509" w:type="pct"/>
                  <w:tcBorders>
                    <w:tl2br w:val="nil"/>
                    <w:tr2bl w:val="nil"/>
                  </w:tcBorders>
                  <w:vAlign w:val="top"/>
                </w:tcPr>
                <w:p w14:paraId="3721AE06">
                  <w:pPr>
                    <w:pStyle w:val="a4"/>
                    <w:bidi w:val="0"/>
                    <w:rPr>
                      <w:rFonts w:cs="Times New Roman" w:hint="eastAsia"/>
                      <w:color w:val="auto"/>
                      <w:lang w:val="en-US" w:eastAsia="zh-CN"/>
                    </w:rPr>
                  </w:pPr>
                  <w:r>
                    <w:rPr>
                      <w:rFonts w:cs="Times New Roman" w:hint="eastAsia"/>
                      <w:color w:val="auto"/>
                      <w:lang w:val="en-US" w:eastAsia="zh-CN"/>
                    </w:rPr>
                    <w:t>直流输入范围</w:t>
                  </w:r>
                </w:p>
              </w:tc>
              <w:tc>
                <w:tcPr>
                  <w:tcW w:w="2730" w:type="pct"/>
                  <w:tcBorders>
                    <w:tl2br w:val="nil"/>
                    <w:tr2bl w:val="nil"/>
                  </w:tcBorders>
                  <w:vAlign w:val="top"/>
                </w:tcPr>
                <w:p w14:paraId="73A4C82E">
                  <w:pPr>
                    <w:pStyle w:val="a4"/>
                    <w:bidi w:val="0"/>
                    <w:rPr>
                      <w:rFonts w:cs="Times New Roman" w:hint="eastAsia"/>
                      <w:color w:val="auto"/>
                      <w:lang w:val="en-US" w:eastAsia="zh-CN"/>
                    </w:rPr>
                  </w:pPr>
                  <w:r>
                    <w:rPr>
                      <w:rFonts w:cs="Times New Roman" w:hint="eastAsia"/>
                      <w:color w:val="auto"/>
                      <w:lang w:val="en-US" w:eastAsia="zh-CN"/>
                    </w:rPr>
                    <w:t>800～1500V</w:t>
                  </w:r>
                </w:p>
              </w:tc>
            </w:tr>
            <w:tr w14:paraId="54DC3BAD">
              <w:tblPrEx>
                <w:tblW w:w="4995" w:type="pct"/>
                <w:tblInd w:w="0" w:type="dxa"/>
                <w:tblCellMar>
                  <w:top w:w="0" w:type="dxa"/>
                  <w:left w:w="0" w:type="dxa"/>
                  <w:bottom w:w="0" w:type="dxa"/>
                  <w:right w:w="0" w:type="dxa"/>
                </w:tblCellMar>
              </w:tblPrEx>
              <w:trPr>
                <w:trHeight w:val="277"/>
              </w:trPr>
              <w:tc>
                <w:tcPr>
                  <w:tcW w:w="759" w:type="pct"/>
                  <w:vMerge/>
                  <w:tcBorders>
                    <w:tl2br w:val="nil"/>
                    <w:tr2bl w:val="nil"/>
                  </w:tcBorders>
                  <w:vAlign w:val="top"/>
                </w:tcPr>
                <w:p w14:paraId="154E3EE1">
                  <w:pPr>
                    <w:pStyle w:val="a4"/>
                    <w:bidi w:val="0"/>
                    <w:rPr>
                      <w:rFonts w:ascii="Times New Roman" w:eastAsia="宋体" w:hAnsi="Times New Roman" w:cs="Times New Roman" w:hint="default"/>
                      <w:color w:val="auto"/>
                    </w:rPr>
                  </w:pPr>
                </w:p>
              </w:tc>
              <w:tc>
                <w:tcPr>
                  <w:tcW w:w="1509" w:type="pct"/>
                  <w:tcBorders>
                    <w:tl2br w:val="nil"/>
                    <w:tr2bl w:val="nil"/>
                  </w:tcBorders>
                  <w:vAlign w:val="top"/>
                </w:tcPr>
                <w:p w14:paraId="37513DCE">
                  <w:pPr>
                    <w:pStyle w:val="a4"/>
                    <w:bidi w:val="0"/>
                    <w:rPr>
                      <w:rFonts w:cs="Times New Roman" w:hint="eastAsia"/>
                      <w:color w:val="auto"/>
                      <w:lang w:val="en-US" w:eastAsia="zh-CN"/>
                    </w:rPr>
                  </w:pPr>
                  <w:r>
                    <w:rPr>
                      <w:rFonts w:ascii="Times New Roman" w:eastAsia="宋体" w:hAnsi="Times New Roman" w:cs="Times New Roman" w:hint="default"/>
                      <w:color w:val="auto"/>
                    </w:rPr>
                    <w:t>型式</w:t>
                  </w:r>
                </w:p>
              </w:tc>
              <w:tc>
                <w:tcPr>
                  <w:tcW w:w="2730" w:type="pct"/>
                  <w:tcBorders>
                    <w:tl2br w:val="nil"/>
                    <w:tr2bl w:val="nil"/>
                  </w:tcBorders>
                  <w:vAlign w:val="top"/>
                </w:tcPr>
                <w:p w14:paraId="760C3E25">
                  <w:pPr>
                    <w:pStyle w:val="a4"/>
                    <w:bidi w:val="0"/>
                    <w:rPr>
                      <w:rFonts w:cs="Times New Roman" w:hint="eastAsia"/>
                      <w:color w:val="auto"/>
                      <w:lang w:val="en-US" w:eastAsia="zh-CN"/>
                    </w:rPr>
                  </w:pPr>
                  <w:r>
                    <w:rPr>
                      <w:rFonts w:cs="Times New Roman" w:hint="eastAsia"/>
                      <w:color w:val="auto"/>
                      <w:lang w:val="en-US" w:eastAsia="zh-CN"/>
                    </w:rPr>
                    <w:t>干变，双绕组</w:t>
                  </w:r>
                </w:p>
              </w:tc>
            </w:tr>
            <w:tr w14:paraId="4928C744">
              <w:tblPrEx>
                <w:tblW w:w="4995" w:type="pct"/>
                <w:tblInd w:w="0" w:type="dxa"/>
                <w:tblCellMar>
                  <w:top w:w="0" w:type="dxa"/>
                  <w:left w:w="0" w:type="dxa"/>
                  <w:bottom w:w="0" w:type="dxa"/>
                  <w:right w:w="0" w:type="dxa"/>
                </w:tblCellMar>
              </w:tblPrEx>
              <w:trPr>
                <w:trHeight w:val="292"/>
              </w:trPr>
              <w:tc>
                <w:tcPr>
                  <w:tcW w:w="759" w:type="pct"/>
                  <w:vMerge/>
                  <w:tcBorders>
                    <w:tl2br w:val="nil"/>
                    <w:tr2bl w:val="nil"/>
                  </w:tcBorders>
                  <w:vAlign w:val="top"/>
                </w:tcPr>
                <w:p w14:paraId="48DFACE7">
                  <w:pPr>
                    <w:pStyle w:val="a4"/>
                    <w:bidi w:val="0"/>
                    <w:rPr>
                      <w:rFonts w:ascii="Times New Roman" w:eastAsia="宋体" w:hAnsi="Times New Roman" w:cs="Times New Roman" w:hint="default"/>
                      <w:color w:val="auto"/>
                    </w:rPr>
                  </w:pPr>
                </w:p>
              </w:tc>
              <w:tc>
                <w:tcPr>
                  <w:tcW w:w="1509" w:type="pct"/>
                  <w:tcBorders>
                    <w:tl2br w:val="nil"/>
                    <w:tr2bl w:val="nil"/>
                  </w:tcBorders>
                  <w:vAlign w:val="top"/>
                </w:tcPr>
                <w:p w14:paraId="7A4B6F0A">
                  <w:pPr>
                    <w:pStyle w:val="a4"/>
                    <w:bidi w:val="0"/>
                    <w:rPr>
                      <w:rFonts w:ascii="Times New Roman" w:eastAsia="宋体" w:hAnsi="Times New Roman" w:cs="Times New Roman" w:hint="eastAsia"/>
                      <w:color w:val="auto"/>
                      <w:lang w:val="en-US" w:eastAsia="zh-CN"/>
                    </w:rPr>
                  </w:pPr>
                  <w:r>
                    <w:rPr>
                      <w:rFonts w:cs="Times New Roman" w:hint="eastAsia"/>
                      <w:color w:val="auto"/>
                      <w:lang w:val="en-US" w:eastAsia="zh-CN"/>
                    </w:rPr>
                    <w:t>规格</w:t>
                  </w:r>
                </w:p>
              </w:tc>
              <w:tc>
                <w:tcPr>
                  <w:tcW w:w="2730" w:type="pct"/>
                  <w:tcBorders>
                    <w:tl2br w:val="nil"/>
                    <w:tr2bl w:val="nil"/>
                  </w:tcBorders>
                  <w:vAlign w:val="top"/>
                </w:tcPr>
                <w:p w14:paraId="0FF0A157">
                  <w:pPr>
                    <w:pStyle w:val="a4"/>
                    <w:bidi w:val="0"/>
                    <w:rPr>
                      <w:rFonts w:cs="Times New Roman" w:hint="eastAsia"/>
                      <w:color w:val="auto"/>
                      <w:lang w:val="en-US" w:eastAsia="zh-CN"/>
                    </w:rPr>
                  </w:pPr>
                  <w:r>
                    <w:rPr>
                      <w:rFonts w:hint="eastAsia"/>
                      <w:color w:val="auto"/>
                      <w:sz w:val="21"/>
                      <w:szCs w:val="21"/>
                      <w:lang w:val="en-US" w:eastAsia="zh-CN"/>
                    </w:rPr>
                    <w:t>3.45MW、4.5MW、1.72MW</w:t>
                  </w:r>
                </w:p>
              </w:tc>
            </w:tr>
            <w:tr w14:paraId="58FC0733">
              <w:tblPrEx>
                <w:tblW w:w="4995" w:type="pct"/>
                <w:tblInd w:w="0" w:type="dxa"/>
                <w:tblCellMar>
                  <w:top w:w="0" w:type="dxa"/>
                  <w:left w:w="0" w:type="dxa"/>
                  <w:bottom w:w="0" w:type="dxa"/>
                  <w:right w:w="0" w:type="dxa"/>
                </w:tblCellMar>
              </w:tblPrEx>
              <w:trPr>
                <w:trHeight w:val="277"/>
              </w:trPr>
              <w:tc>
                <w:tcPr>
                  <w:tcW w:w="759" w:type="pct"/>
                  <w:vMerge/>
                  <w:tcBorders>
                    <w:tl2br w:val="nil"/>
                    <w:tr2bl w:val="nil"/>
                  </w:tcBorders>
                  <w:vAlign w:val="top"/>
                </w:tcPr>
                <w:p w14:paraId="6F6BFC38">
                  <w:pPr>
                    <w:pStyle w:val="a4"/>
                    <w:bidi w:val="0"/>
                    <w:rPr>
                      <w:rFonts w:ascii="Times New Roman" w:eastAsia="宋体" w:hAnsi="Times New Roman" w:cs="Times New Roman" w:hint="default"/>
                      <w:color w:val="auto"/>
                    </w:rPr>
                  </w:pPr>
                </w:p>
              </w:tc>
              <w:tc>
                <w:tcPr>
                  <w:tcW w:w="1509" w:type="pct"/>
                  <w:tcBorders>
                    <w:tl2br w:val="nil"/>
                    <w:tr2bl w:val="nil"/>
                  </w:tcBorders>
                  <w:vAlign w:val="top"/>
                </w:tcPr>
                <w:p w14:paraId="6C8B3EA2">
                  <w:pPr>
                    <w:pStyle w:val="a4"/>
                    <w:bidi w:val="0"/>
                    <w:rPr>
                      <w:rFonts w:cs="Times New Roman" w:hint="eastAsia"/>
                      <w:color w:val="auto"/>
                      <w:lang w:val="en-US" w:eastAsia="zh-CN"/>
                    </w:rPr>
                  </w:pPr>
                  <w:r>
                    <w:rPr>
                      <w:rFonts w:ascii="Times New Roman" w:eastAsia="宋体" w:hAnsi="Times New Roman" w:cs="Times New Roman" w:hint="default"/>
                      <w:color w:val="auto"/>
                    </w:rPr>
                    <w:t>容量</w:t>
                  </w:r>
                </w:p>
              </w:tc>
              <w:tc>
                <w:tcPr>
                  <w:tcW w:w="2730" w:type="pct"/>
                  <w:tcBorders>
                    <w:tl2br w:val="nil"/>
                    <w:tr2bl w:val="nil"/>
                  </w:tcBorders>
                  <w:vAlign w:val="top"/>
                </w:tcPr>
                <w:p w14:paraId="406B4C41">
                  <w:pPr>
                    <w:pStyle w:val="a4"/>
                    <w:bidi w:val="0"/>
                    <w:rPr>
                      <w:rFonts w:cs="Times New Roman" w:hint="eastAsia"/>
                      <w:color w:val="auto"/>
                      <w:lang w:val="en-US" w:eastAsia="zh-CN"/>
                    </w:rPr>
                  </w:pPr>
                  <w:r>
                    <w:rPr>
                      <w:rFonts w:cs="Times New Roman" w:hint="eastAsia"/>
                      <w:color w:val="auto"/>
                      <w:lang w:val="en-US" w:eastAsia="zh-CN"/>
                    </w:rPr>
                    <w:t>2750kVA，</w:t>
                  </w:r>
                </w:p>
              </w:tc>
            </w:tr>
          </w:tbl>
          <w:p w14:paraId="7A244879">
            <w:pPr>
              <w:pStyle w:val="00005"/>
              <w:ind w:left="0" w:firstLine="0" w:leftChars="0" w:firstLineChars="0"/>
              <w:rPr>
                <w:rFonts w:ascii="Times New Roman" w:eastAsia="宋体" w:hAnsi="Times New Roman" w:cs="Times New Roman" w:hint="default"/>
                <w:b/>
                <w:color w:val="auto"/>
                <w:sz w:val="24"/>
                <w:szCs w:val="24"/>
                <w:highlight w:val="none"/>
              </w:rPr>
            </w:pPr>
            <w:r>
              <w:rPr>
                <w:rFonts w:ascii="Times New Roman" w:eastAsia="宋体" w:hAnsi="Times New Roman" w:cs="Times New Roman" w:hint="default"/>
                <w:b/>
                <w:color w:val="auto"/>
                <w:sz w:val="24"/>
                <w:szCs w:val="24"/>
                <w:highlight w:val="none"/>
                <w:lang w:val="en-US" w:eastAsia="zh-CN"/>
              </w:rPr>
              <w:t>6</w:t>
            </w:r>
            <w:r>
              <w:rPr>
                <w:rFonts w:ascii="Times New Roman" w:eastAsia="宋体" w:hAnsi="Times New Roman" w:cs="Times New Roman" w:hint="default"/>
                <w:b/>
                <w:color w:val="auto"/>
                <w:sz w:val="24"/>
                <w:szCs w:val="24"/>
                <w:highlight w:val="none"/>
              </w:rPr>
              <w:t>、公用工程</w:t>
            </w:r>
          </w:p>
          <w:p w14:paraId="15FBCC99">
            <w:pPr>
              <w:pStyle w:val="0715"/>
              <w:adjustRightInd w:val="0"/>
              <w:snapToGrid w:val="0"/>
              <w:ind w:firstLine="461"/>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（1）给</w:t>
            </w:r>
            <w:r>
              <w:rPr>
                <w:rFonts w:ascii="Times New Roman" w:eastAsia="宋体" w:hAnsi="Times New Roman" w:cs="Times New Roman" w:hint="default"/>
                <w:color w:val="auto"/>
                <w:sz w:val="24"/>
                <w:szCs w:val="24"/>
                <w:highlight w:val="none"/>
                <w:lang w:eastAsia="zh-CN"/>
              </w:rPr>
              <w:t>、</w:t>
            </w:r>
            <w:r>
              <w:rPr>
                <w:rFonts w:ascii="Times New Roman" w:eastAsia="宋体" w:hAnsi="Times New Roman" w:cs="Times New Roman" w:hint="default"/>
                <w:color w:val="auto"/>
                <w:sz w:val="24"/>
                <w:szCs w:val="24"/>
                <w:highlight w:val="none"/>
                <w:lang w:val="en-US" w:eastAsia="zh-CN"/>
              </w:rPr>
              <w:t>排</w:t>
            </w:r>
            <w:r>
              <w:rPr>
                <w:rFonts w:ascii="Times New Roman" w:eastAsia="宋体" w:hAnsi="Times New Roman" w:cs="Times New Roman" w:hint="default"/>
                <w:color w:val="auto"/>
                <w:sz w:val="24"/>
                <w:szCs w:val="24"/>
                <w:highlight w:val="none"/>
              </w:rPr>
              <w:t>水</w:t>
            </w:r>
          </w:p>
          <w:p w14:paraId="3D6449E2">
            <w:pPr>
              <w:pStyle w:val="00005"/>
              <w:keepNext w:val="0"/>
              <w:keepLines w:val="0"/>
              <w:pageBreakBefore w:val="0"/>
              <w:widowControl w:val="0"/>
              <w:kinsoku/>
              <w:wordWrap/>
              <w:overflowPunct/>
              <w:topLinePunct w:val="0"/>
              <w:autoSpaceDE/>
              <w:autoSpaceDN/>
              <w:bidi w:val="0"/>
              <w:adjustRightInd w:val="0"/>
              <w:snapToGrid w:val="0"/>
              <w:spacing w:line="360" w:lineRule="auto"/>
              <w:ind w:firstLine="461"/>
              <w:jc w:val="both"/>
              <w:textAlignment w:val="auto"/>
              <w:rPr>
                <w:rFonts w:ascii="Times New Roman" w:eastAsia="宋体" w:hAnsi="Times New Roman" w:cs="Times New Roman" w:hint="default"/>
                <w:color w:val="auto"/>
                <w:sz w:val="24"/>
                <w:szCs w:val="21"/>
                <w:highlight w:val="none"/>
                <w:u w:val="none"/>
                <w:lang w:val="en-US" w:eastAsia="zh-CN"/>
              </w:rPr>
            </w:pPr>
            <w:r>
              <w:rPr>
                <w:rFonts w:ascii="Times New Roman" w:eastAsia="宋体" w:hAnsi="Times New Roman" w:cs="Times New Roman" w:hint="default"/>
                <w:color w:val="auto"/>
                <w:sz w:val="24"/>
                <w:szCs w:val="21"/>
                <w:highlight w:val="none"/>
                <w:u w:val="none"/>
                <w:lang w:val="en-US" w:eastAsia="zh-CN"/>
              </w:rPr>
              <w:t>本项目用水由附近村庄管道自来水，用水包括生活用水。</w:t>
            </w:r>
          </w:p>
          <w:p w14:paraId="1F621722">
            <w:pPr>
              <w:pStyle w:val="00005"/>
              <w:keepNext w:val="0"/>
              <w:keepLines w:val="0"/>
              <w:pageBreakBefore w:val="0"/>
              <w:widowControl w:val="0"/>
              <w:kinsoku/>
              <w:wordWrap/>
              <w:overflowPunct/>
              <w:topLinePunct w:val="0"/>
              <w:autoSpaceDE/>
              <w:autoSpaceDN/>
              <w:bidi w:val="0"/>
              <w:adjustRightInd w:val="0"/>
              <w:snapToGrid w:val="0"/>
              <w:spacing w:line="360" w:lineRule="auto"/>
              <w:ind w:firstLine="461"/>
              <w:jc w:val="both"/>
              <w:textAlignment w:val="auto"/>
              <w:rPr>
                <w:rFonts w:ascii="Times New Roman" w:eastAsia="宋体" w:hAnsi="Times New Roman" w:cs="Times New Roman" w:hint="default"/>
                <w:color w:val="auto"/>
                <w:sz w:val="24"/>
                <w:szCs w:val="21"/>
                <w:highlight w:val="none"/>
                <w:u w:val="none"/>
                <w:lang w:val="en-US" w:eastAsia="zh-CN"/>
              </w:rPr>
            </w:pPr>
            <w:r>
              <w:rPr>
                <w:rFonts w:ascii="Times New Roman" w:eastAsia="宋体" w:hAnsi="Times New Roman" w:cs="Times New Roman" w:hint="default"/>
                <w:color w:val="auto"/>
                <w:sz w:val="24"/>
                <w:szCs w:val="21"/>
                <w:highlight w:val="none"/>
                <w:u w:val="none"/>
                <w:lang w:val="en-US" w:eastAsia="zh-CN"/>
              </w:rPr>
              <w:t>①生活用水</w:t>
            </w:r>
          </w:p>
          <w:p w14:paraId="378B5BC3">
            <w:pPr>
              <w:pStyle w:val="00005"/>
              <w:keepNext w:val="0"/>
              <w:keepLines w:val="0"/>
              <w:pageBreakBefore w:val="0"/>
              <w:widowControl w:val="0"/>
              <w:kinsoku/>
              <w:wordWrap/>
              <w:overflowPunct/>
              <w:topLinePunct w:val="0"/>
              <w:autoSpaceDE/>
              <w:autoSpaceDN/>
              <w:bidi w:val="0"/>
              <w:adjustRightInd w:val="0"/>
              <w:snapToGrid w:val="0"/>
              <w:spacing w:line="360" w:lineRule="auto"/>
              <w:ind w:firstLine="461"/>
              <w:jc w:val="both"/>
              <w:textAlignment w:val="auto"/>
              <w:rPr>
                <w:rFonts w:ascii="Times New Roman" w:eastAsia="宋体" w:hAnsi="Times New Roman" w:cs="Times New Roman" w:hint="default"/>
                <w:color w:val="auto"/>
                <w:sz w:val="24"/>
                <w:szCs w:val="21"/>
                <w:highlight w:val="none"/>
                <w:u w:val="none"/>
                <w:lang w:val="en-US" w:eastAsia="zh-CN"/>
              </w:rPr>
            </w:pPr>
            <w:r>
              <w:rPr>
                <w:rFonts w:ascii="Times New Roman" w:eastAsia="宋体" w:hAnsi="Times New Roman" w:cs="Times New Roman" w:hint="default"/>
                <w:color w:val="auto"/>
                <w:sz w:val="24"/>
                <w:szCs w:val="21"/>
                <w:highlight w:val="none"/>
                <w:u w:val="none"/>
                <w:lang w:val="en-US" w:eastAsia="zh-CN"/>
              </w:rPr>
              <w:t>本项目劳动定员20人，日常生活用水（包括冲厕用水</w:t>
            </w:r>
            <w:r>
              <w:rPr>
                <w:rFonts w:cs="Times New Roman" w:hint="eastAsia"/>
                <w:color w:val="auto"/>
                <w:sz w:val="24"/>
                <w:szCs w:val="21"/>
                <w:highlight w:val="none"/>
                <w:u w:val="none"/>
                <w:lang w:val="en-US" w:eastAsia="zh-CN"/>
              </w:rPr>
              <w:t>、食堂用水</w:t>
            </w:r>
            <w:r>
              <w:rPr>
                <w:rFonts w:ascii="Times New Roman" w:eastAsia="宋体" w:hAnsi="Times New Roman" w:cs="Times New Roman" w:hint="default"/>
                <w:color w:val="auto"/>
                <w:sz w:val="24"/>
                <w:szCs w:val="21"/>
                <w:highlight w:val="none"/>
                <w:u w:val="none"/>
                <w:lang w:val="en-US" w:eastAsia="zh-CN"/>
              </w:rPr>
              <w:t>、盥洗用水等）按</w:t>
            </w:r>
            <w:r>
              <w:rPr>
                <w:rFonts w:cs="Times New Roman" w:hint="eastAsia"/>
                <w:color w:val="auto"/>
                <w:sz w:val="24"/>
                <w:szCs w:val="21"/>
                <w:highlight w:val="none"/>
                <w:u w:val="none"/>
                <w:lang w:val="en-US" w:eastAsia="zh-CN"/>
              </w:rPr>
              <w:t>8</w:t>
            </w:r>
            <w:r>
              <w:rPr>
                <w:rFonts w:ascii="Times New Roman" w:eastAsia="宋体" w:hAnsi="Times New Roman" w:cs="Times New Roman" w:hint="default"/>
                <w:color w:val="auto"/>
                <w:sz w:val="24"/>
                <w:szCs w:val="21"/>
                <w:highlight w:val="none"/>
                <w:u w:val="none"/>
                <w:lang w:val="en-US" w:eastAsia="zh-CN"/>
              </w:rPr>
              <w:t>0L/人天计，则本项目职工生活用水约为1.</w:t>
            </w:r>
            <w:r>
              <w:rPr>
                <w:rFonts w:cs="Times New Roman" w:hint="eastAsia"/>
                <w:color w:val="auto"/>
                <w:sz w:val="24"/>
                <w:szCs w:val="21"/>
                <w:highlight w:val="none"/>
                <w:u w:val="none"/>
                <w:lang w:val="en-US" w:eastAsia="zh-CN"/>
              </w:rPr>
              <w:t>6</w:t>
            </w:r>
            <w:r>
              <w:rPr>
                <w:rFonts w:ascii="Times New Roman" w:eastAsia="宋体" w:hAnsi="Times New Roman" w:cs="Times New Roman" w:hint="default"/>
                <w:color w:val="auto"/>
                <w:sz w:val="24"/>
                <w:szCs w:val="21"/>
                <w:highlight w:val="none"/>
                <w:u w:val="none"/>
                <w:lang w:val="en-US" w:eastAsia="zh-CN"/>
              </w:rPr>
              <w:t>m</w:t>
            </w:r>
            <w:r>
              <w:rPr>
                <w:rFonts w:ascii="Times New Roman" w:eastAsia="宋体" w:hAnsi="Times New Roman" w:cs="Times New Roman" w:hint="default"/>
                <w:color w:val="auto"/>
                <w:sz w:val="24"/>
                <w:szCs w:val="21"/>
                <w:highlight w:val="none"/>
                <w:u w:val="none"/>
                <w:vertAlign w:val="superscript"/>
                <w:lang w:val="en-US" w:eastAsia="zh-CN"/>
              </w:rPr>
              <w:t>3</w:t>
            </w:r>
            <w:r>
              <w:rPr>
                <w:rFonts w:ascii="Times New Roman" w:eastAsia="宋体" w:hAnsi="Times New Roman" w:cs="Times New Roman" w:hint="default"/>
                <w:color w:val="auto"/>
                <w:sz w:val="24"/>
                <w:szCs w:val="21"/>
                <w:highlight w:val="none"/>
                <w:u w:val="none"/>
                <w:lang w:val="en-US" w:eastAsia="zh-CN"/>
              </w:rPr>
              <w:t>/d（</w:t>
            </w:r>
            <w:r>
              <w:rPr>
                <w:rFonts w:cs="Times New Roman" w:hint="eastAsia"/>
                <w:color w:val="auto"/>
                <w:sz w:val="24"/>
                <w:szCs w:val="21"/>
                <w:highlight w:val="none"/>
                <w:u w:val="none"/>
                <w:lang w:val="en-US" w:eastAsia="zh-CN"/>
              </w:rPr>
              <w:t>584</w:t>
            </w:r>
            <w:r>
              <w:rPr>
                <w:rFonts w:ascii="Times New Roman" w:eastAsia="宋体" w:hAnsi="Times New Roman" w:cs="Times New Roman" w:hint="default"/>
                <w:color w:val="auto"/>
                <w:sz w:val="24"/>
                <w:szCs w:val="21"/>
                <w:highlight w:val="none"/>
                <w:u w:val="none"/>
                <w:lang w:val="en-US" w:eastAsia="zh-CN"/>
              </w:rPr>
              <w:t>m³/a）。</w:t>
            </w:r>
          </w:p>
          <w:p w14:paraId="722E88DF">
            <w:pPr>
              <w:pStyle w:val="00005"/>
              <w:keepNext w:val="0"/>
              <w:keepLines w:val="0"/>
              <w:pageBreakBefore w:val="0"/>
              <w:widowControl w:val="0"/>
              <w:kinsoku/>
              <w:wordWrap/>
              <w:overflowPunct/>
              <w:topLinePunct w:val="0"/>
              <w:autoSpaceDE/>
              <w:autoSpaceDN/>
              <w:bidi w:val="0"/>
              <w:adjustRightInd w:val="0"/>
              <w:snapToGrid w:val="0"/>
              <w:spacing w:line="360" w:lineRule="auto"/>
              <w:ind w:firstLine="461"/>
              <w:jc w:val="both"/>
              <w:textAlignment w:val="auto"/>
              <w:rPr>
                <w:rFonts w:ascii="Times New Roman" w:eastAsia="宋体" w:hAnsi="Times New Roman" w:cs="Times New Roman" w:hint="default"/>
                <w:color w:val="auto"/>
                <w:sz w:val="24"/>
                <w:szCs w:val="21"/>
                <w:highlight w:val="none"/>
                <w:u w:val="none"/>
                <w:lang w:val="en-US" w:eastAsia="zh-CN"/>
              </w:rPr>
            </w:pPr>
            <w:r>
              <w:rPr>
                <w:rFonts w:ascii="Times New Roman" w:eastAsia="宋体" w:hAnsi="Times New Roman" w:cs="Times New Roman" w:hint="default"/>
                <w:color w:val="auto"/>
                <w:sz w:val="24"/>
                <w:szCs w:val="21"/>
                <w:highlight w:val="none"/>
                <w:u w:val="none"/>
                <w:lang w:val="en-US" w:eastAsia="zh-CN"/>
              </w:rPr>
              <w:t>②排水</w:t>
            </w:r>
          </w:p>
          <w:p w14:paraId="04D8FC2F">
            <w:pPr>
              <w:pStyle w:val="00005"/>
              <w:keepNext w:val="0"/>
              <w:keepLines w:val="0"/>
              <w:pageBreakBefore w:val="0"/>
              <w:widowControl w:val="0"/>
              <w:kinsoku/>
              <w:wordWrap/>
              <w:overflowPunct/>
              <w:topLinePunct w:val="0"/>
              <w:autoSpaceDE/>
              <w:autoSpaceDN/>
              <w:bidi w:val="0"/>
              <w:adjustRightInd w:val="0"/>
              <w:snapToGrid w:val="0"/>
              <w:spacing w:line="360" w:lineRule="auto"/>
              <w:ind w:firstLine="461"/>
              <w:jc w:val="both"/>
              <w:textAlignment w:val="auto"/>
              <w:rPr>
                <w:rFonts w:ascii="Times New Roman" w:eastAsia="宋体" w:hAnsi="Times New Roman" w:cs="Times New Roman" w:hint="default"/>
                <w:color w:val="auto"/>
                <w:sz w:val="24"/>
                <w:szCs w:val="21"/>
                <w:highlight w:val="none"/>
                <w:u w:val="none"/>
                <w:lang w:val="en-US" w:eastAsia="zh-CN"/>
              </w:rPr>
            </w:pPr>
            <w:r>
              <w:rPr>
                <w:rFonts w:ascii="Times New Roman" w:eastAsia="宋体" w:hAnsi="Times New Roman" w:cs="Times New Roman" w:hint="default"/>
                <w:color w:val="auto"/>
                <w:lang w:val="en-US" w:eastAsia="zh-CN"/>
              </w:rPr>
              <w:t>本项目生活污水</w:t>
            </w:r>
            <w:r>
              <w:rPr>
                <w:rFonts w:ascii="Times New Roman" w:eastAsia="宋体" w:hAnsi="Times New Roman" w:cs="Times New Roman" w:hint="default"/>
                <w:color w:val="auto"/>
                <w:kern w:val="0"/>
                <w:sz w:val="24"/>
              </w:rPr>
              <w:t>产生量按用水量的</w:t>
            </w:r>
            <w:r>
              <w:rPr>
                <w:rFonts w:ascii="Times New Roman" w:eastAsia="宋体" w:hAnsi="Times New Roman" w:cs="Times New Roman" w:hint="default"/>
                <w:color w:val="auto"/>
                <w:kern w:val="0"/>
                <w:sz w:val="24"/>
                <w:lang w:val="en-US" w:eastAsia="zh-CN"/>
              </w:rPr>
              <w:t>9</w:t>
            </w:r>
            <w:r>
              <w:rPr>
                <w:rFonts w:ascii="Times New Roman" w:eastAsia="宋体" w:hAnsi="Times New Roman" w:cs="Times New Roman" w:hint="default"/>
                <w:color w:val="auto"/>
                <w:kern w:val="0"/>
                <w:sz w:val="24"/>
              </w:rPr>
              <w:t>0%计</w:t>
            </w:r>
            <w:r>
              <w:rPr>
                <w:rFonts w:ascii="Times New Roman" w:eastAsia="宋体" w:hAnsi="Times New Roman" w:cs="Times New Roman" w:hint="default"/>
                <w:color w:val="auto"/>
                <w:kern w:val="0"/>
                <w:sz w:val="24"/>
                <w:lang w:eastAsia="zh-CN"/>
              </w:rPr>
              <w:t>，</w:t>
            </w:r>
            <w:r>
              <w:rPr>
                <w:rFonts w:cs="Times New Roman" w:hint="eastAsia"/>
                <w:color w:val="auto"/>
                <w:lang w:val="en-US" w:eastAsia="zh-CN"/>
              </w:rPr>
              <w:t>食堂废水经隔油处理后与</w:t>
            </w:r>
            <w:r>
              <w:rPr>
                <w:rFonts w:ascii="Times New Roman" w:eastAsia="宋体" w:hAnsi="Times New Roman" w:cs="Times New Roman" w:hint="default"/>
                <w:color w:val="auto"/>
                <w:lang w:val="en-US" w:eastAsia="zh-CN"/>
              </w:rPr>
              <w:t>生活污水经化粪池沉淀后，经地埋式一体化污水处理设备处理后作为厂区地面抑尘、绿化使用，不外排</w:t>
            </w:r>
            <w:r>
              <w:rPr>
                <w:rFonts w:ascii="Times New Roman" w:eastAsia="宋体" w:hAnsi="Times New Roman" w:cs="Times New Roman" w:hint="default"/>
                <w:color w:val="auto"/>
                <w:sz w:val="24"/>
                <w:szCs w:val="21"/>
                <w:highlight w:val="none"/>
                <w:u w:val="none"/>
                <w:lang w:val="en-US" w:eastAsia="zh-CN"/>
              </w:rPr>
              <w:t>。</w:t>
            </w:r>
          </w:p>
          <w:p w14:paraId="41768F40">
            <w:pPr>
              <w:pStyle w:val="00005"/>
              <w:ind w:firstLine="461"/>
              <w:rPr>
                <w:rFonts w:ascii="Times New Roman" w:eastAsia="宋体" w:hAnsi="Times New Roman" w:cs="Times New Roman" w:hint="default"/>
                <w:color w:val="auto"/>
              </w:rPr>
            </w:pPr>
            <w:r>
              <w:rPr>
                <w:rFonts w:ascii="Times New Roman" w:eastAsia="宋体" w:hAnsi="Times New Roman" w:cs="Times New Roman" w:hint="default"/>
                <w:color w:val="auto"/>
                <w:kern w:val="0"/>
                <w:sz w:val="24"/>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55pt;height:113.25pt" o:oleicon="f" o:ole="" coordsize="21600,21600" o:preferrelative="t" filled="f" stroked="f">
                  <v:imagedata r:id="rId12" o:title=""/>
                  <o:lock v:ext="edit" aspectratio="t"/>
                  <w10:anchorlock/>
                </v:shape>
                <o:OLEObject Type="Embed" ProgID="Visio.Drawing.11" ShapeID="_x0000_i1025" DrawAspect="Content" ObjectID="_1468075725" r:id="rId13"/>
              </w:object>
            </w:r>
          </w:p>
          <w:p w14:paraId="77F42171">
            <w:pPr>
              <w:pStyle w:val="00005"/>
              <w:ind w:left="0" w:firstLine="0" w:leftChars="0" w:firstLineChars="0"/>
              <w:jc w:val="center"/>
              <w:rPr>
                <w:rFonts w:ascii="Times New Roman" w:eastAsia="宋体" w:hAnsi="Times New Roman" w:cs="Times New Roman" w:hint="default"/>
                <w:b/>
                <w:bCs/>
                <w:color w:val="auto"/>
                <w:lang w:val="en-US" w:eastAsia="zh-CN"/>
              </w:rPr>
            </w:pPr>
            <w:r>
              <w:rPr>
                <w:rFonts w:ascii="Times New Roman" w:eastAsia="宋体" w:hAnsi="Times New Roman" w:cs="Times New Roman" w:hint="default"/>
                <w:b/>
                <w:bCs/>
                <w:color w:val="auto"/>
                <w:lang w:val="en-US" w:eastAsia="zh-CN"/>
              </w:rPr>
              <w:t>图2-2  本项目平衡图   单位：m</w:t>
            </w:r>
            <w:r>
              <w:rPr>
                <w:rFonts w:ascii="Times New Roman" w:eastAsia="宋体" w:hAnsi="Times New Roman" w:cs="Times New Roman" w:hint="default"/>
                <w:b/>
                <w:bCs/>
                <w:color w:val="auto"/>
                <w:vertAlign w:val="superscript"/>
                <w:lang w:val="en-US" w:eastAsia="zh-CN"/>
              </w:rPr>
              <w:t>3</w:t>
            </w:r>
            <w:r>
              <w:rPr>
                <w:rFonts w:ascii="Times New Roman" w:eastAsia="宋体" w:hAnsi="Times New Roman" w:cs="Times New Roman" w:hint="default"/>
                <w:b/>
                <w:bCs/>
                <w:color w:val="auto"/>
                <w:lang w:val="en-US" w:eastAsia="zh-CN"/>
              </w:rPr>
              <w:t>/d</w:t>
            </w:r>
          </w:p>
          <w:p w14:paraId="5C8AE790">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w:t>
            </w:r>
            <w:r>
              <w:rPr>
                <w:rFonts w:ascii="Times New Roman" w:eastAsia="宋体" w:hAnsi="Times New Roman" w:cs="Times New Roman" w:hint="default"/>
                <w:color w:val="auto"/>
                <w:sz w:val="24"/>
                <w:szCs w:val="24"/>
                <w:highlight w:val="none"/>
                <w:lang w:val="en-US" w:eastAsia="zh-CN"/>
              </w:rPr>
              <w:t>2</w:t>
            </w:r>
            <w:r>
              <w:rPr>
                <w:rFonts w:ascii="Times New Roman" w:eastAsia="宋体" w:hAnsi="Times New Roman" w:cs="Times New Roman" w:hint="default"/>
                <w:color w:val="auto"/>
                <w:sz w:val="24"/>
                <w:szCs w:val="24"/>
                <w:highlight w:val="none"/>
              </w:rPr>
              <w:t>）供电：从35kV母线引接一回，自身供电系统供应。</w:t>
            </w:r>
          </w:p>
          <w:p w14:paraId="573346B6">
            <w:pPr>
              <w:pStyle w:val="00005"/>
              <w:ind w:firstLine="461"/>
              <w:rPr>
                <w:rFonts w:ascii="Times New Roman" w:eastAsia="宋体" w:hAnsi="Times New Roman" w:cs="Times New Roman" w:hint="default"/>
                <w:color w:val="auto"/>
                <w:kern w:val="2"/>
                <w:sz w:val="24"/>
                <w:szCs w:val="24"/>
                <w:highlight w:val="none"/>
              </w:rPr>
            </w:pPr>
            <w:r>
              <w:rPr>
                <w:rFonts w:ascii="Times New Roman" w:eastAsia="宋体" w:hAnsi="Times New Roman" w:cs="Times New Roman" w:hint="default"/>
                <w:color w:val="auto"/>
                <w:kern w:val="2"/>
                <w:sz w:val="24"/>
                <w:szCs w:val="24"/>
                <w:highlight w:val="none"/>
              </w:rPr>
              <w:t>（</w:t>
            </w:r>
            <w:r>
              <w:rPr>
                <w:rFonts w:ascii="Times New Roman" w:eastAsia="宋体" w:hAnsi="Times New Roman" w:cs="Times New Roman" w:hint="default"/>
                <w:color w:val="auto"/>
                <w:kern w:val="2"/>
                <w:sz w:val="24"/>
                <w:szCs w:val="24"/>
                <w:highlight w:val="none"/>
                <w:lang w:val="en-US" w:eastAsia="zh-CN"/>
              </w:rPr>
              <w:t>3</w:t>
            </w:r>
            <w:r>
              <w:rPr>
                <w:rFonts w:ascii="Times New Roman" w:eastAsia="宋体" w:hAnsi="Times New Roman" w:cs="Times New Roman" w:hint="default"/>
                <w:color w:val="auto"/>
                <w:kern w:val="2"/>
                <w:sz w:val="24"/>
                <w:szCs w:val="24"/>
                <w:highlight w:val="none"/>
              </w:rPr>
              <w:t>）采暖制冷：本项目</w:t>
            </w:r>
            <w:r>
              <w:rPr>
                <w:rFonts w:ascii="Times New Roman" w:eastAsia="宋体" w:hAnsi="Times New Roman" w:cs="Times New Roman" w:hint="default"/>
                <w:color w:val="auto"/>
                <w:kern w:val="2"/>
                <w:sz w:val="24"/>
                <w:szCs w:val="24"/>
                <w:highlight w:val="none"/>
                <w:lang w:val="en-US" w:eastAsia="zh-CN"/>
              </w:rPr>
              <w:t>综合楼</w:t>
            </w:r>
            <w:r>
              <w:rPr>
                <w:rFonts w:ascii="Times New Roman" w:eastAsia="宋体" w:hAnsi="Times New Roman" w:cs="Times New Roman" w:hint="default"/>
                <w:color w:val="auto"/>
                <w:kern w:val="2"/>
                <w:sz w:val="24"/>
                <w:szCs w:val="24"/>
                <w:highlight w:val="none"/>
              </w:rPr>
              <w:t>采暖制冷均采用分体空调。</w:t>
            </w:r>
          </w:p>
          <w:p w14:paraId="39895D4D">
            <w:pPr>
              <w:pStyle w:val="0715"/>
              <w:adjustRightInd w:val="0"/>
              <w:snapToGrid w:val="0"/>
              <w:ind w:firstLine="461"/>
              <w:rPr>
                <w:rFonts w:ascii="Times New Roman" w:eastAsia="宋体" w:hAnsi="Times New Roman" w:cs="Times New Roman" w:hint="default"/>
                <w:snapToGrid w:val="0"/>
                <w:color w:val="auto"/>
                <w:sz w:val="24"/>
                <w:szCs w:val="24"/>
                <w:highlight w:val="none"/>
              </w:rPr>
            </w:pPr>
            <w:r>
              <w:rPr>
                <w:rFonts w:ascii="Times New Roman" w:eastAsia="宋体" w:hAnsi="Times New Roman" w:cs="Times New Roman" w:hint="default"/>
                <w:color w:val="auto"/>
                <w:kern w:val="2"/>
                <w:sz w:val="24"/>
                <w:szCs w:val="24"/>
                <w:highlight w:val="none"/>
              </w:rPr>
              <w:t>（</w:t>
            </w:r>
            <w:r>
              <w:rPr>
                <w:rFonts w:ascii="Times New Roman" w:eastAsia="宋体" w:hAnsi="Times New Roman" w:cs="Times New Roman" w:hint="default"/>
                <w:color w:val="auto"/>
                <w:kern w:val="2"/>
                <w:sz w:val="24"/>
                <w:szCs w:val="24"/>
                <w:highlight w:val="none"/>
                <w:lang w:val="en-US" w:eastAsia="zh-CN"/>
              </w:rPr>
              <w:t>4</w:t>
            </w:r>
            <w:r>
              <w:rPr>
                <w:rFonts w:ascii="Times New Roman" w:eastAsia="宋体" w:hAnsi="Times New Roman" w:cs="Times New Roman" w:hint="default"/>
                <w:color w:val="auto"/>
                <w:kern w:val="2"/>
                <w:sz w:val="24"/>
                <w:szCs w:val="24"/>
                <w:highlight w:val="none"/>
              </w:rPr>
              <w:t>）食堂、住宿：</w:t>
            </w:r>
            <w:r>
              <w:rPr>
                <w:rFonts w:ascii="Times New Roman" w:eastAsia="宋体" w:hAnsi="Times New Roman" w:cs="Times New Roman" w:hint="default"/>
                <w:snapToGrid w:val="0"/>
                <w:color w:val="auto"/>
                <w:sz w:val="24"/>
                <w:szCs w:val="24"/>
                <w:highlight w:val="none"/>
              </w:rPr>
              <w:t>本项目</w:t>
            </w:r>
            <w:r>
              <w:rPr>
                <w:rFonts w:cs="Times New Roman" w:hint="eastAsia"/>
                <w:snapToGrid w:val="0"/>
                <w:color w:val="auto"/>
                <w:sz w:val="24"/>
                <w:szCs w:val="24"/>
                <w:highlight w:val="none"/>
                <w:lang w:val="en-US" w:eastAsia="zh-CN"/>
              </w:rPr>
              <w:t>设有</w:t>
            </w:r>
            <w:r>
              <w:rPr>
                <w:rFonts w:ascii="Times New Roman" w:eastAsia="宋体" w:hAnsi="Times New Roman" w:cs="Times New Roman" w:hint="default"/>
                <w:snapToGrid w:val="0"/>
                <w:color w:val="auto"/>
                <w:sz w:val="24"/>
                <w:szCs w:val="24"/>
                <w:highlight w:val="none"/>
              </w:rPr>
              <w:t>食堂、</w:t>
            </w:r>
            <w:r>
              <w:rPr>
                <w:rFonts w:cs="Times New Roman" w:hint="eastAsia"/>
                <w:snapToGrid w:val="0"/>
                <w:color w:val="auto"/>
                <w:sz w:val="24"/>
                <w:szCs w:val="24"/>
                <w:highlight w:val="none"/>
                <w:lang w:val="en-US" w:eastAsia="zh-CN"/>
              </w:rPr>
              <w:t>无员工</w:t>
            </w:r>
            <w:r>
              <w:rPr>
                <w:rFonts w:ascii="Times New Roman" w:eastAsia="宋体" w:hAnsi="Times New Roman" w:cs="Times New Roman" w:hint="default"/>
                <w:snapToGrid w:val="0"/>
                <w:color w:val="auto"/>
                <w:sz w:val="24"/>
                <w:szCs w:val="24"/>
                <w:highlight w:val="none"/>
              </w:rPr>
              <w:t>住宿。</w:t>
            </w:r>
          </w:p>
          <w:p w14:paraId="2A9761B7">
            <w:pPr>
              <w:pStyle w:val="00005"/>
              <w:ind w:left="0" w:firstLine="0" w:leftChars="0" w:firstLineChars="0"/>
              <w:rPr>
                <w:rFonts w:ascii="Times New Roman" w:eastAsia="宋体" w:hAnsi="Times New Roman" w:cs="Times New Roman" w:hint="default"/>
                <w:b/>
                <w:color w:val="auto"/>
                <w:sz w:val="24"/>
                <w:szCs w:val="24"/>
                <w:highlight w:val="none"/>
              </w:rPr>
            </w:pPr>
            <w:r>
              <w:rPr>
                <w:rFonts w:ascii="Times New Roman" w:eastAsia="宋体" w:hAnsi="Times New Roman" w:cs="Times New Roman" w:hint="default"/>
                <w:b/>
                <w:color w:val="auto"/>
                <w:sz w:val="24"/>
                <w:szCs w:val="24"/>
                <w:highlight w:val="none"/>
                <w:lang w:val="en-US" w:eastAsia="zh-CN"/>
              </w:rPr>
              <w:t>7</w:t>
            </w:r>
            <w:r>
              <w:rPr>
                <w:rFonts w:ascii="Times New Roman" w:eastAsia="宋体" w:hAnsi="Times New Roman" w:cs="Times New Roman" w:hint="default"/>
                <w:b/>
                <w:color w:val="auto"/>
                <w:sz w:val="24"/>
                <w:szCs w:val="24"/>
                <w:highlight w:val="none"/>
              </w:rPr>
              <w:t>、劳动定员及工作制度</w:t>
            </w:r>
          </w:p>
          <w:p w14:paraId="06772BCB">
            <w:pPr>
              <w:pStyle w:val="0000"/>
              <w:bidi w:val="0"/>
              <w:rPr>
                <w:rFonts w:ascii="Times New Roman" w:eastAsia="宋体" w:hAnsi="Times New Roman" w:cs="Times New Roman" w:hint="default"/>
                <w:color w:val="auto"/>
              </w:rPr>
            </w:pPr>
            <w:r>
              <w:rPr>
                <w:rFonts w:ascii="Times New Roman" w:eastAsia="宋体" w:hAnsi="Times New Roman" w:cs="Times New Roman" w:hint="default"/>
                <w:color w:val="auto"/>
                <w:lang w:val="en-US" w:eastAsia="zh-CN"/>
              </w:rPr>
              <w:t>本项目设员工20人，</w:t>
            </w:r>
            <w:r>
              <w:rPr>
                <w:rFonts w:ascii="Times New Roman" w:eastAsia="宋体" w:hAnsi="Times New Roman" w:cs="Times New Roman" w:hint="default"/>
                <w:color w:val="auto"/>
              </w:rPr>
              <w:t>年工作</w:t>
            </w:r>
            <w:r>
              <w:rPr>
                <w:rFonts w:ascii="Times New Roman" w:eastAsia="宋体" w:hAnsi="Times New Roman" w:cs="Times New Roman" w:hint="default"/>
                <w:color w:val="auto"/>
                <w:lang w:val="en-US" w:eastAsia="zh-CN"/>
              </w:rPr>
              <w:t>365</w:t>
            </w:r>
            <w:r>
              <w:rPr>
                <w:rFonts w:ascii="Times New Roman" w:eastAsia="宋体" w:hAnsi="Times New Roman" w:cs="Times New Roman" w:hint="default"/>
                <w:color w:val="auto"/>
              </w:rPr>
              <w:t>天</w:t>
            </w:r>
            <w:r>
              <w:rPr>
                <w:rFonts w:cs="Times New Roman" w:hint="eastAsia"/>
                <w:color w:val="auto"/>
                <w:lang w:eastAsia="zh-CN"/>
              </w:rPr>
              <w:t>，</w:t>
            </w:r>
            <w:r>
              <w:rPr>
                <w:rFonts w:cs="Times New Roman" w:hint="eastAsia"/>
                <w:color w:val="auto"/>
                <w:lang w:val="en-US" w:eastAsia="zh-CN"/>
              </w:rPr>
              <w:t>主要工作区域为综合楼</w:t>
            </w:r>
            <w:r>
              <w:rPr>
                <w:rFonts w:ascii="Times New Roman" w:eastAsia="宋体" w:hAnsi="Times New Roman" w:cs="Times New Roman" w:hint="default"/>
                <w:color w:val="auto"/>
              </w:rPr>
              <w:t>，本项目实行</w:t>
            </w:r>
            <w:r>
              <w:rPr>
                <w:rFonts w:ascii="Times New Roman" w:eastAsia="宋体" w:hAnsi="Times New Roman" w:cs="Times New Roman" w:hint="default"/>
                <w:color w:val="auto"/>
                <w:lang w:val="en-US" w:eastAsia="zh-CN"/>
              </w:rPr>
              <w:t>三</w:t>
            </w:r>
            <w:r>
              <w:rPr>
                <w:rFonts w:ascii="Times New Roman" w:eastAsia="宋体" w:hAnsi="Times New Roman" w:cs="Times New Roman" w:hint="default"/>
                <w:color w:val="auto"/>
              </w:rPr>
              <w:t>班</w:t>
            </w:r>
            <w:r>
              <w:rPr>
                <w:rFonts w:cs="Times New Roman" w:hint="eastAsia"/>
                <w:color w:val="auto"/>
                <w:lang w:eastAsia="zh-CN"/>
              </w:rPr>
              <w:t>，</w:t>
            </w:r>
            <w:r>
              <w:rPr>
                <w:rFonts w:cs="Times New Roman" w:hint="eastAsia"/>
                <w:color w:val="auto"/>
                <w:lang w:val="en-US" w:eastAsia="zh-CN"/>
              </w:rPr>
              <w:t>每班</w:t>
            </w:r>
            <w:r>
              <w:rPr>
                <w:rFonts w:ascii="Times New Roman" w:eastAsia="宋体" w:hAnsi="Times New Roman" w:cs="Times New Roman" w:hint="default"/>
                <w:color w:val="auto"/>
                <w:lang w:val="en-US" w:eastAsia="zh-CN"/>
              </w:rPr>
              <w:t>8</w:t>
            </w:r>
            <w:r>
              <w:rPr>
                <w:rFonts w:ascii="Times New Roman" w:eastAsia="宋体" w:hAnsi="Times New Roman" w:cs="Times New Roman" w:hint="default"/>
                <w:color w:val="auto"/>
              </w:rPr>
              <w:t>小时制，</w:t>
            </w:r>
          </w:p>
        </w:tc>
      </w:tr>
      <w:tr w14:paraId="655B03E8">
        <w:tblPrEx>
          <w:tblW w:w="0" w:type="auto"/>
          <w:jc w:val="center"/>
          <w:tblCellMar>
            <w:top w:w="0" w:type="dxa"/>
            <w:left w:w="28" w:type="dxa"/>
            <w:bottom w:w="0" w:type="dxa"/>
            <w:right w:w="28" w:type="dxa"/>
          </w:tblCellMar>
        </w:tblPrEx>
        <w:trPr>
          <w:trHeight w:val="1931"/>
          <w:jc w:val="center"/>
        </w:trPr>
        <w:tc>
          <w:tcPr>
            <w:tcW w:w="766" w:type="dxa"/>
            <w:vAlign w:val="bottom"/>
          </w:tcPr>
          <w:p w14:paraId="50CF7427">
            <w:pPr>
              <w:pStyle w:val="NormalWeb"/>
              <w:adjustRightInd w:val="0"/>
              <w:snapToGrid w:val="0"/>
              <w:spacing w:before="0" w:beforeAutospacing="0" w:after="0" w:afterAutospacing="0"/>
              <w:jc w:val="center"/>
              <w:rPr>
                <w:rFonts w:ascii="Times New Roman" w:eastAsia="宋体" w:hAnsi="Times New Roman" w:cs="Times New Roman" w:hint="default"/>
                <w:color w:val="auto"/>
                <w:sz w:val="21"/>
                <w:szCs w:val="21"/>
                <w:highlight w:val="none"/>
              </w:rPr>
            </w:pPr>
            <w:r>
              <w:rPr>
                <w:rFonts w:ascii="Times New Roman" w:eastAsia="宋体" w:hAnsi="Times New Roman" w:cs="Times New Roman" w:hint="default"/>
                <w:color w:val="auto"/>
                <w:sz w:val="24"/>
                <w:szCs w:val="24"/>
                <w:highlight w:val="none"/>
              </w:rPr>
              <w:t>工艺流程和产排污环节</w:t>
            </w:r>
          </w:p>
        </w:tc>
        <w:tc>
          <w:tcPr>
            <w:tcW w:w="8134" w:type="dxa"/>
          </w:tcPr>
          <w:p w14:paraId="5F79D0BE">
            <w:pPr>
              <w:pStyle w:val="TableText"/>
              <w:spacing w:before="35" w:line="219" w:lineRule="auto"/>
              <w:ind w:left="110"/>
              <w:rPr>
                <w:rFonts w:ascii="Times New Roman" w:eastAsia="宋体" w:hAnsi="Times New Roman" w:cs="Times New Roman" w:hint="default"/>
                <w:color w:val="auto"/>
                <w:spacing w:val="-1"/>
                <w14:textOutline w14:w="4358" w14:cap="sq">
                  <w14:solidFill>
                    <w14:srgbClr w14:val="000000"/>
                  </w14:solidFill>
                  <w14:bevel/>
                </w14:textOutline>
              </w:rPr>
            </w:pPr>
            <w:r>
              <w:rPr>
                <w:rFonts w:ascii="Times New Roman" w:eastAsia="宋体" w:hAnsi="Times New Roman" w:cs="Times New Roman" w:hint="default"/>
                <w:color w:val="auto"/>
                <w:spacing w:val="-1"/>
                <w14:textOutline w14:w="4358" w14:cap="sq">
                  <w14:solidFill>
                    <w14:srgbClr w14:val="000000"/>
                  </w14:solidFill>
                  <w14:bevel/>
                </w14:textOutline>
              </w:rPr>
              <w:t>工艺流程简述（图示）</w:t>
            </w:r>
          </w:p>
          <w:p w14:paraId="47D8FA45">
            <w:pPr>
              <w:pStyle w:val="TableText"/>
              <w:spacing w:before="35" w:line="219" w:lineRule="auto"/>
              <w:ind w:left="110"/>
              <w:rPr>
                <w:rFonts w:ascii="Times New Roman" w:eastAsia="宋体" w:hAnsi="Times New Roman" w:cs="Times New Roman" w:hint="default"/>
                <w:color w:val="auto"/>
                <w:spacing w:val="-1"/>
                <w14:textOutline w14:w="4358" w14:cap="sq">
                  <w14:solidFill>
                    <w14:srgbClr w14:val="000000"/>
                  </w14:solidFill>
                  <w14:bevel/>
                </w14:textOutline>
              </w:rPr>
            </w:pPr>
            <w:r>
              <w:rPr>
                <w:rFonts w:ascii="Times New Roman" w:eastAsia="宋体" w:hAnsi="Times New Roman" w:cs="Times New Roman" w:hint="default"/>
                <w:color w:val="auto"/>
                <w:sz w:val="24"/>
              </w:rPr>
              <mc:AlternateContent>
                <mc:Choice Requires="wps">
                  <w:drawing>
                    <wp:anchor distT="0" distB="0" distL="114300" distR="114300" simplePos="0" relativeHeight="251658240" behindDoc="0" locked="0" layoutInCell="1" allowOverlap="1">
                      <wp:simplePos x="0" y="0"/>
                      <wp:positionH relativeFrom="column">
                        <wp:posOffset>19685</wp:posOffset>
                      </wp:positionH>
                      <wp:positionV relativeFrom="paragraph">
                        <wp:posOffset>201295</wp:posOffset>
                      </wp:positionV>
                      <wp:extent cx="2901950" cy="583565"/>
                      <wp:effectExtent l="5080" t="4445" r="19050" b="6350"/>
                      <wp:wrapNone/>
                      <wp:docPr id="17" name="文本框 17"/>
                      <wp:cNvGraphicFramePr/>
                      <a:graphic xmlns:a="http://schemas.openxmlformats.org/drawingml/2006/main">
                        <a:graphicData uri="http://schemas.microsoft.com/office/word/2010/wordprocessingShape">
                          <wps:wsp xmlns:wps="http://schemas.microsoft.com/office/word/2010/wordprocessingShape">
                            <wps:cNvSpPr txBox="1"/>
                            <wps:spPr>
                              <a:xfrm>
                                <a:off x="1560830" y="1398905"/>
                                <a:ext cx="2901950" cy="583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eastAsia="宋体" w:hint="default"/>
                                      <w:b/>
                                      <w:bCs/>
                                      <w:sz w:val="24"/>
                                      <w:szCs w:val="32"/>
                                      <w:lang w:val="en-US" w:eastAsia="zh-CN"/>
                                    </w:rPr>
                                  </w:pPr>
                                  <w:r>
                                    <w:rPr>
                                      <w:rFonts w:hint="eastAsia"/>
                                      <w:b/>
                                      <w:bCs/>
                                      <w:sz w:val="24"/>
                                      <w:szCs w:val="32"/>
                                      <w:lang w:val="en-US" w:eastAsia="zh-CN"/>
                                    </w:rPr>
                                    <w:t>施工扬尘、施工噪声、建筑垃圾、生活垃圾、施工人员生活污水，植被破坏</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_x0000_s1026" o:spid="_x0000_s1026" type="#_x0000_t202" style="width:228.5pt;height:45.95pt;margin-top:15.85pt;margin-left:1.55pt;mso-height-relative:page;mso-width-relative:page;position:absolute;z-index:251659264" coordsize="21600,21600" filled="t" fillcolor="white" stroked="t" strokecolor="black">
                      <v:stroke joinstyle="round"/>
                      <o:lock v:ext="edit" aspectratio="f"/>
                      <v:textbox>
                        <w:txbxContent>
                          <w:p w14:paraId="372E504B">
                            <w:pPr>
                              <w:rPr>
                                <w:rFonts w:eastAsia="宋体" w:hint="default"/>
                                <w:b/>
                                <w:bCs/>
                                <w:sz w:val="24"/>
                                <w:szCs w:val="32"/>
                                <w:lang w:val="en-US" w:eastAsia="zh-CN"/>
                              </w:rPr>
                            </w:pPr>
                            <w:r>
                              <w:rPr>
                                <w:rFonts w:hint="eastAsia"/>
                                <w:b/>
                                <w:bCs/>
                                <w:sz w:val="24"/>
                                <w:szCs w:val="32"/>
                                <w:lang w:val="en-US" w:eastAsia="zh-CN"/>
                              </w:rPr>
                              <w:t>施工扬尘、施工噪声、建筑垃圾、生活垃圾、施工人员生活污水，植被破坏</w:t>
                            </w:r>
                          </w:p>
                        </w:txbxContent>
                      </v:textbox>
                    </v:shape>
                  </w:pict>
                </mc:Fallback>
              </mc:AlternateContent>
            </w:r>
          </w:p>
          <w:p w14:paraId="31C15BD0">
            <w:pPr>
              <w:adjustRightInd w:val="0"/>
              <w:snapToGrid w:val="0"/>
              <w:spacing w:line="360" w:lineRule="auto"/>
              <w:rPr>
                <w:rFonts w:ascii="Times New Roman" w:eastAsia="宋体" w:hAnsi="Times New Roman" w:cs="Times New Roman" w:hint="default"/>
                <w:b/>
                <w:bCs/>
                <w:color w:val="auto"/>
                <w:sz w:val="24"/>
                <w:szCs w:val="24"/>
                <w:highlight w:val="none"/>
              </w:rPr>
            </w:pPr>
            <w:r>
              <w:rPr>
                <w:color w:val="auto"/>
                <w:sz w:val="24"/>
              </w:rPr>
              <mc:AlternateContent>
                <mc:Choice Requires="wps">
                  <w:drawing>
                    <wp:anchor distT="0" distB="0" distL="114300" distR="114300" simplePos="0" relativeHeight="251667456" behindDoc="0" locked="0" layoutInCell="1" allowOverlap="1">
                      <wp:simplePos x="0" y="0"/>
                      <wp:positionH relativeFrom="column">
                        <wp:posOffset>2867025</wp:posOffset>
                      </wp:positionH>
                      <wp:positionV relativeFrom="paragraph">
                        <wp:posOffset>2529205</wp:posOffset>
                      </wp:positionV>
                      <wp:extent cx="1362710" cy="346710"/>
                      <wp:effectExtent l="0" t="0" r="8890" b="3810"/>
                      <wp:wrapNone/>
                      <wp:docPr id="10" name="文本框 10"/>
                      <wp:cNvGraphicFramePr/>
                      <a:graphic xmlns:a="http://schemas.openxmlformats.org/drawingml/2006/main">
                        <a:graphicData uri="http://schemas.microsoft.com/office/word/2010/wordprocessingShape">
                          <wps:wsp xmlns:wps="http://schemas.microsoft.com/office/word/2010/wordprocessingShape">
                            <wps:cNvSpPr txBox="1"/>
                            <wps:spPr>
                              <a:xfrm>
                                <a:off x="4748530" y="4122420"/>
                                <a:ext cx="1362710" cy="3467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eastAsia="宋体" w:hAnsi="宋体" w:cs="宋体" w:hint="eastAsia"/>
                                      <w:b/>
                                      <w:bCs/>
                                      <w:lang w:val="en-US" w:eastAsia="zh-CN"/>
                                    </w:rPr>
                                  </w:pPr>
                                  <w:r>
                                    <w:rPr>
                                      <w:rFonts w:ascii="宋体" w:eastAsia="宋体" w:hAnsi="宋体" w:cs="宋体" w:hint="eastAsia"/>
                                      <w:b/>
                                      <w:bCs/>
                                      <w:lang w:val="en-US" w:eastAsia="zh-CN"/>
                                    </w:rPr>
                                    <w:t>食堂废气、废水</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7" type="#_x0000_t202" style="width:107.3pt;height:27.3pt;margin-top:199.15pt;margin-left:225.75pt;mso-height-relative:page;mso-width-relative:page;position:absolute;z-index:251668480" coordsize="21600,21600" filled="t" fillcolor="white" stroked="f">
                      <o:lock v:ext="edit" aspectratio="f"/>
                      <v:textbox>
                        <w:txbxContent>
                          <w:p w14:paraId="49F8518E">
                            <w:pPr>
                              <w:rPr>
                                <w:rFonts w:ascii="宋体" w:eastAsia="宋体" w:hAnsi="宋体" w:cs="宋体" w:hint="eastAsia"/>
                                <w:b/>
                                <w:bCs/>
                                <w:lang w:val="en-US" w:eastAsia="zh-CN"/>
                              </w:rPr>
                            </w:pPr>
                            <w:r>
                              <w:rPr>
                                <w:rFonts w:ascii="宋体" w:eastAsia="宋体" w:hAnsi="宋体" w:cs="宋体" w:hint="eastAsia"/>
                                <w:b/>
                                <w:bCs/>
                                <w:lang w:val="en-US" w:eastAsia="zh-CN"/>
                              </w:rPr>
                              <w:t>食堂废气、废水</w:t>
                            </w:r>
                          </w:p>
                        </w:txbxContent>
                      </v:textbox>
                    </v:shape>
                  </w:pict>
                </mc:Fallback>
              </mc:AlternateContent>
            </w:r>
            <w:r>
              <w:rPr>
                <w:rFonts w:ascii="Times New Roman" w:eastAsia="宋体" w:hAnsi="Times New Roman" w:cs="Times New Roman" w:hint="default"/>
                <w:color w:val="auto"/>
                <w:position w:val="-78"/>
              </w:rPr>
              <w:drawing>
                <wp:inline distT="0" distB="0" distL="0" distR="0">
                  <wp:extent cx="3963035" cy="2486660"/>
                  <wp:effectExtent l="0" t="0" r="14605" b="12700"/>
                  <wp:docPr id="20" name="IM 20"/>
                  <wp:cNvGraphicFramePr/>
                  <a:graphic xmlns:a="http://schemas.openxmlformats.org/drawingml/2006/main">
                    <a:graphicData uri="http://schemas.openxmlformats.org/drawingml/2006/picture">
                      <pic:pic xmlns:pic="http://schemas.openxmlformats.org/drawingml/2006/picture">
                        <pic:nvPicPr>
                          <pic:cNvPr id="789777458" name="IM 20"/>
                          <pic:cNvPicPr/>
                        </pic:nvPicPr>
                        <pic:blipFill>
                          <a:blip xmlns:r="http://schemas.openxmlformats.org/officeDocument/2006/relationships" r:embed="rId14"/>
                          <a:stretch>
                            <a:fillRect/>
                          </a:stretch>
                        </pic:blipFill>
                        <pic:spPr>
                          <a:xfrm>
                            <a:off x="0" y="0"/>
                            <a:ext cx="3963154" cy="2486984"/>
                          </a:xfrm>
                          <a:prstGeom prst="rect">
                            <a:avLst/>
                          </a:prstGeom>
                        </pic:spPr>
                      </pic:pic>
                    </a:graphicData>
                  </a:graphic>
                </wp:inline>
              </w:drawing>
            </w:r>
          </w:p>
          <w:p w14:paraId="10A29B59">
            <w:pPr>
              <w:adjustRightInd w:val="0"/>
              <w:snapToGrid w:val="0"/>
              <w:spacing w:line="360" w:lineRule="auto"/>
              <w:rPr>
                <w:rFonts w:ascii="Times New Roman" w:eastAsia="宋体" w:hAnsi="Times New Roman" w:cs="Times New Roman" w:hint="default"/>
                <w:b/>
                <w:bCs/>
                <w:color w:val="auto"/>
                <w:sz w:val="24"/>
                <w:szCs w:val="24"/>
                <w:highlight w:val="none"/>
              </w:rPr>
            </w:pPr>
          </w:p>
          <w:p w14:paraId="75E8657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1、施工期</w:t>
            </w:r>
            <w:r>
              <w:rPr>
                <w:rFonts w:ascii="Times New Roman" w:eastAsia="宋体" w:hAnsi="Times New Roman" w:cs="Times New Roman" w:hint="default"/>
                <w:color w:val="auto"/>
                <w:sz w:val="24"/>
                <w:szCs w:val="24"/>
                <w:highlight w:val="none"/>
              </w:rPr>
              <w:t>产排污环节</w:t>
            </w:r>
          </w:p>
          <w:p w14:paraId="20A81E2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本项目</w:t>
            </w:r>
            <w:r>
              <w:rPr>
                <w:rFonts w:cs="Times New Roman" w:hint="eastAsia"/>
                <w:color w:val="auto"/>
                <w:sz w:val="24"/>
                <w:szCs w:val="24"/>
                <w:highlight w:val="none"/>
                <w:lang w:val="en-US" w:eastAsia="zh-CN"/>
              </w:rPr>
              <w:t>包括</w:t>
            </w:r>
            <w:r>
              <w:rPr>
                <w:rFonts w:ascii="Times New Roman" w:eastAsia="宋体" w:hAnsi="Times New Roman" w:cs="Times New Roman" w:hint="default"/>
                <w:color w:val="auto"/>
                <w:sz w:val="24"/>
                <w:szCs w:val="24"/>
                <w:highlight w:val="none"/>
                <w:lang w:val="en-US" w:eastAsia="zh-CN"/>
              </w:rPr>
              <w:t>建设升压站</w:t>
            </w:r>
            <w:r>
              <w:rPr>
                <w:rFonts w:cs="Times New Roman" w:hint="eastAsia"/>
                <w:color w:val="auto"/>
                <w:sz w:val="24"/>
                <w:szCs w:val="24"/>
                <w:highlight w:val="none"/>
                <w:lang w:val="en-US" w:eastAsia="zh-CN"/>
              </w:rPr>
              <w:t>土建施工及</w:t>
            </w:r>
            <w:r>
              <w:rPr>
                <w:rFonts w:ascii="Times New Roman" w:eastAsia="宋体" w:hAnsi="Times New Roman" w:cs="Times New Roman" w:hint="default"/>
                <w:color w:val="auto"/>
                <w:sz w:val="24"/>
                <w:szCs w:val="24"/>
                <w:highlight w:val="none"/>
                <w:lang w:val="en-US" w:eastAsia="zh-CN"/>
              </w:rPr>
              <w:t>主变压器及其配套供电设施的安装和调试。</w:t>
            </w:r>
          </w:p>
          <w:p w14:paraId="6F0BD3B0">
            <w:pPr>
              <w:pStyle w:val="00005"/>
              <w:ind w:left="0" w:firstLine="0" w:leftChars="0" w:firstLineChars="0"/>
              <w:jc w:val="center"/>
              <w:rPr>
                <w:rFonts w:ascii="Times New Roman" w:eastAsia="宋体" w:hAnsi="Times New Roman" w:cs="Times New Roman" w:hint="default"/>
                <w:b/>
                <w:bCs/>
                <w:color w:val="auto"/>
                <w:lang w:val="en-US" w:eastAsia="zh-CN"/>
              </w:rPr>
            </w:pPr>
            <w:r>
              <w:rPr>
                <w:rFonts w:ascii="Times New Roman" w:hAnsi="Times New Roman" w:cs="Times New Roman" w:hint="eastAsia"/>
                <w:b/>
                <w:bCs/>
                <w:color w:val="auto"/>
                <w:lang w:val="en-US" w:eastAsia="zh-CN"/>
              </w:rPr>
              <w:t>表2-7</w:t>
            </w:r>
            <w:r>
              <w:rPr>
                <w:rFonts w:ascii="Times New Roman" w:eastAsia="宋体" w:hAnsi="Times New Roman" w:cs="Times New Roman" w:hint="default"/>
                <w:b/>
                <w:bCs/>
                <w:color w:val="auto"/>
                <w:lang w:val="en-US" w:eastAsia="zh-CN"/>
              </w:rPr>
              <w:t xml:space="preserve">  本项目</w:t>
            </w:r>
            <w:r>
              <w:rPr>
                <w:rFonts w:ascii="Times New Roman" w:hAnsi="Times New Roman" w:cs="Times New Roman" w:hint="eastAsia"/>
                <w:b/>
                <w:bCs/>
                <w:color w:val="auto"/>
                <w:lang w:val="en-US" w:eastAsia="zh-CN"/>
              </w:rPr>
              <w:t>土方</w:t>
            </w:r>
            <w:r>
              <w:rPr>
                <w:rFonts w:ascii="Times New Roman" w:eastAsia="宋体" w:hAnsi="Times New Roman" w:cs="Times New Roman" w:hint="default"/>
                <w:b/>
                <w:bCs/>
                <w:color w:val="auto"/>
                <w:lang w:val="en-US" w:eastAsia="zh-CN"/>
              </w:rPr>
              <w:t>平衡</w:t>
            </w:r>
            <w:r>
              <w:rPr>
                <w:rFonts w:ascii="Times New Roman" w:hAnsi="Times New Roman" w:cs="Times New Roman" w:hint="eastAsia"/>
                <w:b/>
                <w:bCs/>
                <w:color w:val="auto"/>
                <w:lang w:val="en-US" w:eastAsia="zh-CN"/>
              </w:rPr>
              <w:t>表</w:t>
            </w:r>
            <w:r>
              <w:rPr>
                <w:rFonts w:ascii="Times New Roman" w:eastAsia="宋体" w:hAnsi="Times New Roman" w:cs="Times New Roman" w:hint="default"/>
                <w:b/>
                <w:bCs/>
                <w:color w:val="auto"/>
                <w:lang w:val="en-US" w:eastAsia="zh-CN"/>
              </w:rPr>
              <w:t xml:space="preserve">   单位：m</w:t>
            </w:r>
            <w:r>
              <w:rPr>
                <w:rFonts w:ascii="Times New Roman" w:eastAsia="宋体" w:hAnsi="Times New Roman" w:cs="Times New Roman" w:hint="default"/>
                <w:b/>
                <w:bCs/>
                <w:color w:val="auto"/>
                <w:vertAlign w:val="superscript"/>
                <w:lang w:val="en-US" w:eastAsia="zh-CN"/>
              </w:rPr>
              <w:t>3</w:t>
            </w:r>
          </w:p>
          <w:tbl>
            <w:tblPr>
              <w:tblStyle w:val="TableNormal0"/>
              <w:tblW w:w="4999"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1683"/>
              <w:gridCol w:w="2952"/>
              <w:gridCol w:w="1718"/>
              <w:gridCol w:w="1718"/>
            </w:tblGrid>
            <w:tr w14:paraId="54345E34">
              <w:tblPrEx>
                <w:tblW w:w="4999"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406"/>
              </w:trPr>
              <w:tc>
                <w:tcPr>
                  <w:tcW w:w="1042" w:type="pct"/>
                  <w:vAlign w:val="center"/>
                </w:tcPr>
                <w:p w14:paraId="2CFB237C">
                  <w:pPr>
                    <w:pStyle w:val="a4"/>
                    <w:bidi w:val="0"/>
                    <w:rPr>
                      <w:rFonts w:ascii="Times New Roman" w:eastAsia="宋体" w:hAnsi="Times New Roman" w:cs="Times New Roman" w:hint="default"/>
                      <w:b/>
                      <w:bCs/>
                      <w:color w:val="auto"/>
                    </w:rPr>
                  </w:pPr>
                  <w:r>
                    <w:rPr>
                      <w:rFonts w:ascii="Times New Roman" w:hAnsi="Times New Roman" w:cs="Times New Roman" w:hint="eastAsia"/>
                      <w:b/>
                      <w:bCs/>
                      <w:color w:val="auto"/>
                      <w:lang w:val="en-US" w:eastAsia="zh-CN"/>
                    </w:rPr>
                    <w:t>填方量</w:t>
                  </w:r>
                </w:p>
              </w:tc>
              <w:tc>
                <w:tcPr>
                  <w:tcW w:w="1828" w:type="pct"/>
                  <w:vAlign w:val="center"/>
                </w:tcPr>
                <w:p w14:paraId="7C759692">
                  <w:pPr>
                    <w:pStyle w:val="a4"/>
                    <w:bidi w:val="0"/>
                    <w:rPr>
                      <w:rFonts w:ascii="Times New Roman" w:eastAsia="宋体" w:hAnsi="Times New Roman" w:cs="Times New Roman" w:hint="default"/>
                      <w:b/>
                      <w:bCs/>
                      <w:color w:val="auto"/>
                      <w:lang w:val="en-US" w:eastAsia="zh-CN"/>
                    </w:rPr>
                  </w:pPr>
                  <w:r>
                    <w:rPr>
                      <w:rFonts w:ascii="Times New Roman" w:hAnsi="Times New Roman" w:cs="Times New Roman" w:hint="eastAsia"/>
                      <w:b/>
                      <w:bCs/>
                      <w:color w:val="auto"/>
                      <w:lang w:val="en-US" w:eastAsia="zh-CN"/>
                    </w:rPr>
                    <w:t>挖方量</w:t>
                  </w:r>
                </w:p>
              </w:tc>
              <w:tc>
                <w:tcPr>
                  <w:tcW w:w="1064" w:type="pct"/>
                  <w:vAlign w:val="center"/>
                </w:tcPr>
                <w:p w14:paraId="22972879">
                  <w:pPr>
                    <w:pStyle w:val="a4"/>
                    <w:bidi w:val="0"/>
                    <w:rPr>
                      <w:rFonts w:ascii="Times New Roman" w:eastAsia="宋体" w:hAnsi="Times New Roman" w:cs="Times New Roman" w:hint="default"/>
                      <w:b/>
                      <w:bCs/>
                      <w:color w:val="auto"/>
                      <w:lang w:val="en-US" w:eastAsia="zh-CN"/>
                    </w:rPr>
                  </w:pPr>
                  <w:r>
                    <w:rPr>
                      <w:rFonts w:ascii="Times New Roman" w:hAnsi="Times New Roman" w:cs="Times New Roman" w:hint="eastAsia"/>
                      <w:b/>
                      <w:bCs/>
                      <w:color w:val="auto"/>
                      <w:lang w:val="en-US" w:eastAsia="zh-CN"/>
                    </w:rPr>
                    <w:t>借方量</w:t>
                  </w:r>
                </w:p>
              </w:tc>
              <w:tc>
                <w:tcPr>
                  <w:tcW w:w="1064" w:type="pct"/>
                  <w:vAlign w:val="center"/>
                </w:tcPr>
                <w:p w14:paraId="443F9615">
                  <w:pPr>
                    <w:pStyle w:val="a4"/>
                    <w:bidi w:val="0"/>
                    <w:rPr>
                      <w:rFonts w:ascii="Times New Roman" w:hAnsi="Times New Roman" w:cs="Times New Roman" w:hint="default"/>
                      <w:b/>
                      <w:bCs/>
                      <w:color w:val="auto"/>
                      <w:lang w:val="en-US" w:eastAsia="zh-CN"/>
                    </w:rPr>
                  </w:pPr>
                  <w:r>
                    <w:rPr>
                      <w:rFonts w:ascii="Times New Roman" w:hAnsi="Times New Roman" w:cs="Times New Roman" w:hint="eastAsia"/>
                      <w:b/>
                      <w:bCs/>
                      <w:color w:val="auto"/>
                      <w:lang w:val="en-US" w:eastAsia="zh-CN"/>
                    </w:rPr>
                    <w:t>备注</w:t>
                  </w:r>
                </w:p>
              </w:tc>
            </w:tr>
            <w:tr w14:paraId="01273323">
              <w:tblPrEx>
                <w:tblW w:w="4999" w:type="pct"/>
                <w:tblInd w:w="0" w:type="dxa"/>
                <w:tblCellMar>
                  <w:top w:w="0" w:type="dxa"/>
                  <w:left w:w="0" w:type="dxa"/>
                  <w:bottom w:w="0" w:type="dxa"/>
                  <w:right w:w="0" w:type="dxa"/>
                </w:tblCellMar>
              </w:tblPrEx>
              <w:trPr>
                <w:trHeight w:val="401"/>
              </w:trPr>
              <w:tc>
                <w:tcPr>
                  <w:tcW w:w="1042" w:type="pct"/>
                  <w:vAlign w:val="center"/>
                </w:tcPr>
                <w:p w14:paraId="2D45B1A8">
                  <w:pPr>
                    <w:pStyle w:val="a4"/>
                    <w:bidi w:val="0"/>
                    <w:rPr>
                      <w:rFonts w:ascii="Times New Roman" w:eastAsia="宋体" w:hAnsi="Times New Roman" w:cs="Times New Roman" w:hint="default"/>
                      <w:color w:val="auto"/>
                      <w:lang w:eastAsia="zh-CN"/>
                    </w:rPr>
                  </w:pPr>
                  <w:r>
                    <w:rPr>
                      <w:rFonts w:cs="Times New Roman" w:hint="eastAsia"/>
                      <w:color w:val="auto"/>
                      <w:sz w:val="24"/>
                      <w:szCs w:val="24"/>
                      <w:highlight w:val="none"/>
                      <w:lang w:val="en-US" w:eastAsia="zh-CN"/>
                    </w:rPr>
                    <w:t>91091.19</w:t>
                  </w:r>
                </w:p>
              </w:tc>
              <w:tc>
                <w:tcPr>
                  <w:tcW w:w="1828" w:type="pct"/>
                  <w:vAlign w:val="center"/>
                </w:tcPr>
                <w:p w14:paraId="74F50F08">
                  <w:pPr>
                    <w:pStyle w:val="a4"/>
                    <w:bidi w:val="0"/>
                    <w:rPr>
                      <w:rFonts w:ascii="Times New Roman" w:eastAsia="宋体" w:hAnsi="Times New Roman" w:cs="Times New Roman" w:hint="default"/>
                      <w:color w:val="auto"/>
                    </w:rPr>
                  </w:pPr>
                  <w:r>
                    <w:rPr>
                      <w:rFonts w:cs="Times New Roman" w:hint="eastAsia"/>
                      <w:color w:val="auto"/>
                      <w:sz w:val="24"/>
                      <w:szCs w:val="24"/>
                      <w:highlight w:val="none"/>
                      <w:lang w:val="en-US" w:eastAsia="zh-CN"/>
                    </w:rPr>
                    <w:t>75259.5</w:t>
                  </w:r>
                </w:p>
              </w:tc>
              <w:tc>
                <w:tcPr>
                  <w:tcW w:w="1064" w:type="pct"/>
                  <w:vAlign w:val="center"/>
                </w:tcPr>
                <w:p w14:paraId="7EAD8865">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lang w:val="en-US" w:eastAsia="zh-CN"/>
                    </w:rPr>
                    <w:t>15,831.69</w:t>
                  </w:r>
                </w:p>
              </w:tc>
              <w:tc>
                <w:tcPr>
                  <w:tcW w:w="1064" w:type="pct"/>
                  <w:vAlign w:val="center"/>
                </w:tcPr>
                <w:p w14:paraId="48C2E521">
                  <w:pPr>
                    <w:pStyle w:val="a4"/>
                    <w:bidi w:val="0"/>
                    <w:rPr>
                      <w:rFonts w:ascii="Times New Roman" w:eastAsia="宋体" w:hAnsi="Times New Roman" w:cs="Times New Roman" w:hint="default"/>
                      <w:color w:val="auto"/>
                      <w:lang w:val="en-US" w:eastAsia="zh-CN"/>
                    </w:rPr>
                  </w:pPr>
                  <w:r>
                    <w:rPr>
                      <w:rFonts w:ascii="Times New Roman" w:hAnsi="Times New Roman" w:cs="Times New Roman" w:hint="eastAsia"/>
                      <w:color w:val="auto"/>
                      <w:lang w:val="en-US" w:eastAsia="zh-CN"/>
                    </w:rPr>
                    <w:t>外购土方</w:t>
                  </w:r>
                </w:p>
              </w:tc>
            </w:tr>
          </w:tbl>
          <w:p w14:paraId="7839E7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施工扬尘：施工期扬尘主要来自施工现场建筑垃圾的清理及堆放扬尘及</w:t>
            </w:r>
          </w:p>
          <w:p w14:paraId="5131396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施工车辆来往造成的现场道路扬尘。</w:t>
            </w:r>
            <w:r>
              <w:rPr>
                <w:rFonts w:cs="Times New Roman" w:hint="eastAsia"/>
                <w:color w:val="auto"/>
                <w:sz w:val="24"/>
                <w:szCs w:val="24"/>
                <w:highlight w:val="none"/>
                <w:lang w:val="en-US" w:eastAsia="zh-CN"/>
              </w:rPr>
              <w:t>通过相应措施</w:t>
            </w:r>
            <w:r>
              <w:rPr>
                <w:rFonts w:ascii="Times New Roman" w:eastAsia="宋体" w:hAnsi="Times New Roman" w:cs="Times New Roman" w:hint="default"/>
                <w:color w:val="auto"/>
                <w:sz w:val="24"/>
                <w:szCs w:val="24"/>
                <w:highlight w:val="none"/>
                <w:lang w:val="en-US" w:eastAsia="zh-CN"/>
              </w:rPr>
              <w:t>有效抑制扬尘的产生，对周围村庄大气环境产生影响较小。并且</w:t>
            </w:r>
            <w:r>
              <w:rPr>
                <w:rFonts w:ascii="Times New Roman" w:hAnsi="Times New Roman" w:cs="Times New Roman" w:hint="eastAsia"/>
                <w:color w:val="auto"/>
                <w:sz w:val="24"/>
                <w:szCs w:val="24"/>
                <w:highlight w:val="none"/>
                <w:lang w:val="en-US" w:eastAsia="zh-CN"/>
              </w:rPr>
              <w:t>通过采取</w:t>
            </w:r>
            <w:r>
              <w:rPr>
                <w:rFonts w:ascii="Times New Roman" w:eastAsia="宋体" w:hAnsi="Times New Roman" w:cs="Times New Roman" w:hint="default"/>
                <w:color w:val="auto"/>
                <w:sz w:val="24"/>
                <w:szCs w:val="24"/>
                <w:highlight w:val="none"/>
                <w:lang w:val="en-US" w:eastAsia="zh-CN"/>
              </w:rPr>
              <w:t>专项作业车和非道路移动机械尾气排放得到有效控制</w:t>
            </w:r>
            <w:r>
              <w:rPr>
                <w:rFonts w:ascii="Times New Roman" w:hAnsi="Times New Roman" w:cs="Times New Roman" w:hint="eastAsia"/>
                <w:color w:val="auto"/>
                <w:sz w:val="24"/>
                <w:szCs w:val="24"/>
                <w:highlight w:val="none"/>
                <w:lang w:val="en-US" w:eastAsia="zh-CN"/>
              </w:rPr>
              <w:t>措施</w:t>
            </w:r>
            <w:r>
              <w:rPr>
                <w:rFonts w:ascii="Times New Roman" w:eastAsia="宋体" w:hAnsi="Times New Roman" w:cs="Times New Roman" w:hint="default"/>
                <w:color w:val="auto"/>
                <w:sz w:val="24"/>
                <w:szCs w:val="24"/>
                <w:highlight w:val="none"/>
                <w:lang w:val="en-US" w:eastAsia="zh-CN"/>
              </w:rPr>
              <w:t>，</w:t>
            </w:r>
            <w:r>
              <w:rPr>
                <w:rFonts w:ascii="Times New Roman" w:hAnsi="Times New Roman" w:cs="Times New Roman" w:hint="eastAsia"/>
                <w:color w:val="auto"/>
                <w:sz w:val="24"/>
                <w:szCs w:val="24"/>
                <w:highlight w:val="none"/>
                <w:lang w:val="en-US" w:eastAsia="zh-CN"/>
              </w:rPr>
              <w:t>确保尾气</w:t>
            </w:r>
            <w:r>
              <w:rPr>
                <w:rFonts w:ascii="Times New Roman" w:eastAsia="宋体" w:hAnsi="Times New Roman" w:cs="Times New Roman" w:hint="default"/>
                <w:color w:val="auto"/>
                <w:sz w:val="24"/>
                <w:szCs w:val="24"/>
                <w:highlight w:val="none"/>
                <w:lang w:val="en-US" w:eastAsia="zh-CN"/>
              </w:rPr>
              <w:t>排放</w:t>
            </w:r>
            <w:r>
              <w:rPr>
                <w:rFonts w:ascii="Times New Roman" w:hAnsi="Times New Roman" w:cs="Times New Roman" w:hint="eastAsia"/>
                <w:color w:val="auto"/>
                <w:sz w:val="24"/>
                <w:szCs w:val="24"/>
                <w:highlight w:val="none"/>
                <w:lang w:val="en-US" w:eastAsia="zh-CN"/>
              </w:rPr>
              <w:t>达标。</w:t>
            </w:r>
          </w:p>
          <w:p w14:paraId="79DC274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施工噪声：施工期噪声主要来源于包括施工现场的机械设备和来往车辆的</w:t>
            </w:r>
          </w:p>
          <w:p w14:paraId="0C0F235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交通噪声。采用低噪音、振动小的设备，并注意对设备的维护和保养，合理操作，保证施工机械在最佳状态。合理布置施工现场，尽量避免在施工现场的同一地点安排大量的高噪声设备，造成局部声级过高，利用隔声构件对高噪声设备进行隔声降噪</w:t>
            </w:r>
            <w:r>
              <w:rPr>
                <w:rFonts w:cs="Times New Roman" w:hint="eastAsia"/>
                <w:color w:val="auto"/>
                <w:sz w:val="24"/>
                <w:szCs w:val="24"/>
                <w:highlight w:val="none"/>
                <w:lang w:val="en-US" w:eastAsia="zh-CN"/>
              </w:rPr>
              <w:t>。</w:t>
            </w:r>
          </w:p>
          <w:p w14:paraId="1297EDB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施工污水：施工过程中的污水主要为施工人员的生活污水，利用化粪池收集处理，定期清掏不外排</w:t>
            </w:r>
          </w:p>
          <w:p w14:paraId="60882A6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施工固废：施工期固体废物主要为施工人员产生的生活垃圾以及工程施工</w:t>
            </w:r>
          </w:p>
          <w:p w14:paraId="037BE260">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产生的建筑垃圾。，施工过程中产生的废包装袋、生活垃圾应分类集中收集，生活垃圾经集中收集后，清运至当地的垃圾收集点，由环卫部门收集处理；废包装袋、边角料进行回收处理，再利用。施工完成后及时做好迹地清理工作，施工临时占地采取隔离保护措施，施工结束后应将混凝土余料和残渣及时清除，以免影响后期土地功能的恢复；施工过程中产生的土石方余方用于站区四周平整土地、修建道路，不随意堆放丢弃。</w:t>
            </w:r>
          </w:p>
          <w:p w14:paraId="684CF29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植被破坏：储能站基础开挖及施工，施工道路等临时占地对植被的破坏等。</w:t>
            </w:r>
          </w:p>
          <w:p w14:paraId="30C0BE8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2、运营期</w:t>
            </w:r>
          </w:p>
          <w:p w14:paraId="42C11B6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充电过程：储能电站能量管理系统（EMS）接受指令后，通过现有户外配电装置经过主变压器降压至35kV，在经过储能变流升压一体机降压、PCS逆变换流后，以直流电压给储能电池充电。</w:t>
            </w:r>
          </w:p>
          <w:p w14:paraId="5200F54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放电过程：储能电站能量管理系统（EMS）接受指令后，储能电池经PCS逆变器、升压一体机变流升压后至35kV</w:t>
            </w:r>
            <w:r>
              <w:rPr>
                <w:rFonts w:cs="Times New Roman" w:hint="eastAsia"/>
                <w:color w:val="auto"/>
                <w:sz w:val="24"/>
                <w:szCs w:val="24"/>
                <w:highlight w:val="none"/>
                <w:lang w:val="en-US" w:eastAsia="zh-CN"/>
              </w:rPr>
              <w:t>变压器</w:t>
            </w:r>
            <w:r>
              <w:rPr>
                <w:rFonts w:ascii="Times New Roman" w:eastAsia="宋体" w:hAnsi="Times New Roman" w:cs="Times New Roman" w:hint="default"/>
                <w:color w:val="auto"/>
                <w:sz w:val="24"/>
                <w:szCs w:val="24"/>
                <w:highlight w:val="none"/>
                <w:lang w:val="en-US" w:eastAsia="zh-CN"/>
              </w:rPr>
              <w:t>，再经过主变压器升压至220kV，送至220kV母线，利用线路送出。</w:t>
            </w:r>
          </w:p>
          <w:p w14:paraId="0788CF1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cs="Times New Roman" w:hint="eastAsia"/>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本项目储能站在运营期间对周边环境的主要影响为主变在运行过程中产生的电磁辐射及噪声。本项目储能部分电压不超过35kV电磁影响极小，本次电磁环境以升压站</w:t>
            </w:r>
            <w:r>
              <w:rPr>
                <w:rFonts w:cs="Times New Roman" w:hint="eastAsia"/>
                <w:color w:val="auto"/>
                <w:sz w:val="24"/>
                <w:szCs w:val="24"/>
                <w:highlight w:val="none"/>
                <w:lang w:val="en-US" w:eastAsia="zh-CN"/>
              </w:rPr>
              <w:t>主变</w:t>
            </w:r>
            <w:r>
              <w:rPr>
                <w:rFonts w:ascii="Times New Roman" w:eastAsia="宋体" w:hAnsi="Times New Roman" w:cs="Times New Roman" w:hint="default"/>
                <w:color w:val="auto"/>
                <w:sz w:val="24"/>
                <w:szCs w:val="24"/>
                <w:highlight w:val="none"/>
                <w:lang w:val="en-US" w:eastAsia="zh-CN"/>
              </w:rPr>
              <w:t>进行预测分析。</w:t>
            </w:r>
            <w:r>
              <w:rPr>
                <w:rFonts w:cs="Times New Roman" w:hint="eastAsia"/>
                <w:color w:val="auto"/>
                <w:sz w:val="24"/>
                <w:szCs w:val="24"/>
                <w:highlight w:val="none"/>
                <w:lang w:val="en-US" w:eastAsia="zh-CN"/>
              </w:rPr>
              <w:t>另外综合楼设有厨房和生活办公区，产生食堂废气和生活污水。</w:t>
            </w:r>
          </w:p>
          <w:p w14:paraId="5517758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eastAsia="宋体" w:hAnsi="Times New Roman" w:cs="Times New Roman" w:hint="default"/>
                <w:color w:val="auto"/>
                <w:sz w:val="24"/>
                <w:szCs w:val="24"/>
                <w:highlight w:val="none"/>
                <w:lang w:val="en-US" w:eastAsia="zh-CN"/>
              </w:rPr>
            </w:pPr>
            <w:r>
              <w:rPr>
                <w:rFonts w:ascii="Times New Roman" w:hAnsi="Times New Roman" w:cs="Times New Roman" w:hint="eastAsia"/>
                <w:color w:val="auto"/>
                <w:sz w:val="24"/>
                <w:szCs w:val="24"/>
                <w:highlight w:val="none"/>
                <w:lang w:val="en-US" w:eastAsia="zh-CN"/>
              </w:rPr>
              <w:t>3</w:t>
            </w:r>
            <w:r>
              <w:rPr>
                <w:rFonts w:ascii="Times New Roman" w:eastAsia="宋体" w:hAnsi="Times New Roman" w:cs="Times New Roman" w:hint="default"/>
                <w:color w:val="auto"/>
                <w:sz w:val="24"/>
                <w:szCs w:val="24"/>
                <w:highlight w:val="none"/>
                <w:lang w:val="en-US" w:eastAsia="zh-CN"/>
              </w:rPr>
              <w:t>、</w:t>
            </w:r>
            <w:r>
              <w:rPr>
                <w:rFonts w:ascii="Times New Roman" w:hAnsi="Times New Roman" w:cs="Times New Roman" w:hint="eastAsia"/>
                <w:color w:val="auto"/>
                <w:sz w:val="24"/>
                <w:szCs w:val="24"/>
                <w:highlight w:val="none"/>
                <w:lang w:val="en-US" w:eastAsia="zh-CN"/>
              </w:rPr>
              <w:t>服务期满</w:t>
            </w:r>
          </w:p>
          <w:p w14:paraId="2B8CF65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储能站在</w:t>
            </w:r>
            <w:r>
              <w:rPr>
                <w:rFonts w:ascii="Times New Roman" w:hAnsi="Times New Roman" w:cs="Times New Roman" w:hint="eastAsia"/>
                <w:color w:val="auto"/>
                <w:sz w:val="24"/>
                <w:szCs w:val="24"/>
                <w:highlight w:val="none"/>
                <w:lang w:val="en-US" w:eastAsia="zh-CN"/>
              </w:rPr>
              <w:t>服务期满后</w:t>
            </w:r>
            <w:r>
              <w:rPr>
                <w:rFonts w:ascii="Times New Roman" w:eastAsia="宋体" w:hAnsi="Times New Roman" w:cs="Times New Roman" w:hint="default"/>
                <w:color w:val="auto"/>
                <w:sz w:val="24"/>
                <w:szCs w:val="24"/>
                <w:highlight w:val="none"/>
                <w:lang w:val="en-US" w:eastAsia="zh-CN"/>
              </w:rPr>
              <w:t>主要影响为</w:t>
            </w:r>
            <w:r>
              <w:rPr>
                <w:rFonts w:ascii="Times New Roman" w:hAnsi="Times New Roman" w:cs="Times New Roman" w:hint="eastAsia"/>
                <w:color w:val="auto"/>
                <w:sz w:val="24"/>
                <w:szCs w:val="24"/>
                <w:highlight w:val="none"/>
                <w:lang w:val="en-US" w:eastAsia="zh-CN"/>
              </w:rPr>
              <w:t>固体废物处置对生态环境的影响</w:t>
            </w:r>
            <w:r>
              <w:rPr>
                <w:rFonts w:ascii="Times New Roman" w:eastAsia="宋体" w:hAnsi="Times New Roman" w:cs="Times New Roman" w:hint="default"/>
                <w:color w:val="auto"/>
                <w:sz w:val="24"/>
                <w:szCs w:val="24"/>
                <w:highlight w:val="none"/>
                <w:lang w:val="en-US" w:eastAsia="zh-CN"/>
              </w:rPr>
              <w:t>。</w:t>
            </w:r>
            <w:r>
              <w:rPr>
                <w:rFonts w:ascii="Times New Roman" w:hAnsi="Times New Roman" w:cs="Times New Roman" w:hint="eastAsia"/>
                <w:color w:val="auto"/>
                <w:sz w:val="24"/>
                <w:szCs w:val="24"/>
                <w:highlight w:val="none"/>
                <w:lang w:val="en-US" w:eastAsia="zh-CN"/>
              </w:rPr>
              <w:t>主要包括废锂电池、废电解液、废设备等。</w:t>
            </w:r>
          </w:p>
          <w:p w14:paraId="47B32513">
            <w:pPr>
              <w:adjustRightInd w:val="0"/>
              <w:snapToGrid w:val="0"/>
              <w:spacing w:line="360" w:lineRule="auto"/>
              <w:rPr>
                <w:rFonts w:ascii="Times New Roman" w:eastAsia="宋体" w:hAnsi="Times New Roman" w:cs="Times New Roman" w:hint="default"/>
                <w:b/>
                <w:bCs/>
                <w:color w:val="auto"/>
                <w:sz w:val="24"/>
                <w:szCs w:val="24"/>
                <w:highlight w:val="none"/>
              </w:rPr>
            </w:pPr>
            <w:r>
              <w:rPr>
                <w:rFonts w:ascii="Times New Roman" w:eastAsia="宋体" w:hAnsi="Times New Roman" w:cs="Times New Roman" w:hint="default"/>
                <w:b/>
                <w:bCs/>
                <w:color w:val="auto"/>
                <w:sz w:val="24"/>
                <w:szCs w:val="24"/>
                <w:highlight w:val="none"/>
              </w:rPr>
              <w:t>产污环节及污染物汇总：</w:t>
            </w:r>
          </w:p>
          <w:p w14:paraId="5E0349FE">
            <w:pPr>
              <w:pStyle w:val="a5"/>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b/>
                <w:bCs/>
                <w:color w:val="auto"/>
                <w:sz w:val="24"/>
                <w:szCs w:val="24"/>
                <w:highlight w:val="none"/>
              </w:rPr>
              <w:t xml:space="preserve">表2- </w:t>
            </w:r>
            <w:r>
              <w:rPr>
                <w:rFonts w:ascii="Times New Roman" w:eastAsia="宋体" w:hAnsi="Times New Roman" w:cs="Times New Roman" w:hint="default"/>
                <w:b/>
                <w:bCs/>
                <w:color w:val="auto"/>
                <w:sz w:val="24"/>
                <w:szCs w:val="24"/>
                <w:highlight w:val="none"/>
                <w:lang w:val="en-US" w:eastAsia="zh-CN"/>
              </w:rPr>
              <w:t>6</w:t>
            </w:r>
            <w:r>
              <w:rPr>
                <w:rFonts w:ascii="Times New Roman" w:eastAsia="宋体" w:hAnsi="Times New Roman" w:cs="Times New Roman" w:hint="default"/>
                <w:color w:val="auto"/>
                <w:sz w:val="24"/>
                <w:szCs w:val="24"/>
                <w:highlight w:val="none"/>
              </w:rPr>
              <w:t xml:space="preserve">  本项目主要污染工序及污染物</w:t>
            </w:r>
          </w:p>
          <w:tbl>
            <w:tblPr>
              <w:tblStyle w:val="TableNormal"/>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868"/>
              <w:gridCol w:w="701"/>
              <w:gridCol w:w="1362"/>
              <w:gridCol w:w="1582"/>
              <w:gridCol w:w="3507"/>
            </w:tblGrid>
            <w:tr w14:paraId="2972DE99">
              <w:tblPrEx>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69"/>
                <w:jc w:val="center"/>
              </w:trPr>
              <w:tc>
                <w:tcPr>
                  <w:tcW w:w="541" w:type="pct"/>
                  <w:noWrap w:val="0"/>
                  <w:vAlign w:val="center"/>
                </w:tcPr>
                <w:p w14:paraId="61A0EC69">
                  <w:pPr>
                    <w:pStyle w:val="a4"/>
                    <w:bidi w:val="0"/>
                    <w:rPr>
                      <w:rFonts w:ascii="Times New Roman" w:eastAsia="宋体" w:hAnsi="Times New Roman" w:cs="Times New Roman" w:hint="default"/>
                      <w:color w:val="auto"/>
                      <w:lang w:eastAsia="zh-CN"/>
                    </w:rPr>
                  </w:pPr>
                  <w:r>
                    <w:rPr>
                      <w:rFonts w:ascii="Times New Roman" w:eastAsia="宋体" w:hAnsi="Times New Roman" w:cs="Times New Roman" w:hint="default"/>
                      <w:color w:val="auto"/>
                      <w:lang w:val="en-US" w:eastAsia="zh-CN"/>
                    </w:rPr>
                    <w:t>类别</w:t>
                  </w:r>
                </w:p>
              </w:tc>
              <w:tc>
                <w:tcPr>
                  <w:tcW w:w="437" w:type="pct"/>
                  <w:noWrap w:val="0"/>
                  <w:vAlign w:val="center"/>
                </w:tcPr>
                <w:p w14:paraId="600FC018">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污染物名称</w:t>
                  </w:r>
                </w:p>
              </w:tc>
              <w:tc>
                <w:tcPr>
                  <w:tcW w:w="849" w:type="pct"/>
                  <w:noWrap w:val="0"/>
                  <w:vAlign w:val="center"/>
                </w:tcPr>
                <w:p w14:paraId="34DD77A1">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污染物产生环节</w:t>
                  </w:r>
                </w:p>
              </w:tc>
              <w:tc>
                <w:tcPr>
                  <w:tcW w:w="986" w:type="pct"/>
                  <w:noWrap w:val="0"/>
                  <w:vAlign w:val="center"/>
                </w:tcPr>
                <w:p w14:paraId="4125E50E">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污染因子</w:t>
                  </w:r>
                </w:p>
              </w:tc>
              <w:tc>
                <w:tcPr>
                  <w:tcW w:w="2186" w:type="pct"/>
                  <w:noWrap w:val="0"/>
                  <w:vAlign w:val="center"/>
                </w:tcPr>
                <w:p w14:paraId="3CA1D83A">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治理措施</w:t>
                  </w:r>
                </w:p>
              </w:tc>
            </w:tr>
            <w:tr w14:paraId="51495DE2">
              <w:tblPrEx>
                <w:tblW w:w="4970" w:type="pct"/>
                <w:jc w:val="center"/>
                <w:tblCellMar>
                  <w:top w:w="0" w:type="dxa"/>
                  <w:left w:w="108" w:type="dxa"/>
                  <w:bottom w:w="0" w:type="dxa"/>
                  <w:right w:w="108" w:type="dxa"/>
                </w:tblCellMar>
              </w:tblPrEx>
              <w:trPr>
                <w:trHeight w:val="1438"/>
                <w:jc w:val="center"/>
              </w:trPr>
              <w:tc>
                <w:tcPr>
                  <w:tcW w:w="541" w:type="pct"/>
                  <w:vMerge w:val="restart"/>
                  <w:noWrap w:val="0"/>
                  <w:vAlign w:val="center"/>
                </w:tcPr>
                <w:p w14:paraId="5ADDA71D">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施工期</w:t>
                  </w:r>
                </w:p>
              </w:tc>
              <w:tc>
                <w:tcPr>
                  <w:tcW w:w="437" w:type="pct"/>
                  <w:noWrap w:val="0"/>
                  <w:vAlign w:val="center"/>
                </w:tcPr>
                <w:p w14:paraId="76E4C55B">
                  <w:pPr>
                    <w:pStyle w:val="a4"/>
                    <w:bidi w:val="0"/>
                    <w:rPr>
                      <w:rFonts w:ascii="Times New Roman" w:eastAsia="宋体" w:hAnsi="Times New Roman" w:cs="Times New Roman" w:hint="default"/>
                      <w:color w:val="auto"/>
                      <w:lang w:eastAsia="zh-CN"/>
                    </w:rPr>
                  </w:pPr>
                  <w:r>
                    <w:rPr>
                      <w:rFonts w:ascii="Times New Roman" w:eastAsia="宋体" w:hAnsi="Times New Roman" w:cs="Times New Roman" w:hint="default"/>
                      <w:color w:val="auto"/>
                      <w:lang w:val="en-US" w:eastAsia="zh-CN"/>
                    </w:rPr>
                    <w:t>废气</w:t>
                  </w:r>
                </w:p>
              </w:tc>
              <w:tc>
                <w:tcPr>
                  <w:tcW w:w="849" w:type="pct"/>
                  <w:noWrap w:val="0"/>
                  <w:vAlign w:val="center"/>
                </w:tcPr>
                <w:p w14:paraId="706F8008">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施工扬尘</w:t>
                  </w:r>
                </w:p>
              </w:tc>
              <w:tc>
                <w:tcPr>
                  <w:tcW w:w="986" w:type="pct"/>
                  <w:noWrap w:val="0"/>
                  <w:vAlign w:val="center"/>
                </w:tcPr>
                <w:p w14:paraId="499A1DAD">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颗粒物</w:t>
                  </w:r>
                </w:p>
              </w:tc>
              <w:tc>
                <w:tcPr>
                  <w:tcW w:w="2186" w:type="pct"/>
                  <w:noWrap w:val="0"/>
                  <w:vAlign w:val="center"/>
                </w:tcPr>
                <w:p w14:paraId="0AE1E0C8">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lang w:val="en-US" w:eastAsia="zh-CN"/>
                    </w:rPr>
                    <w:t>设置施工围挡，施工材料进行覆场区附近道路的扬尘进行洒水和清扫盖</w:t>
                  </w:r>
                </w:p>
              </w:tc>
            </w:tr>
            <w:tr w14:paraId="6FAAE322">
              <w:tblPrEx>
                <w:tblW w:w="4970" w:type="pct"/>
                <w:jc w:val="center"/>
                <w:tblCellMar>
                  <w:top w:w="0" w:type="dxa"/>
                  <w:left w:w="108" w:type="dxa"/>
                  <w:bottom w:w="0" w:type="dxa"/>
                  <w:right w:w="108" w:type="dxa"/>
                </w:tblCellMar>
              </w:tblPrEx>
              <w:trPr>
                <w:trHeight w:val="1057"/>
                <w:jc w:val="center"/>
              </w:trPr>
              <w:tc>
                <w:tcPr>
                  <w:tcW w:w="541" w:type="pct"/>
                  <w:vMerge/>
                  <w:noWrap w:val="0"/>
                  <w:vAlign w:val="center"/>
                </w:tcPr>
                <w:p w14:paraId="41E7DD79">
                  <w:pPr>
                    <w:pStyle w:val="a4"/>
                    <w:bidi w:val="0"/>
                    <w:rPr>
                      <w:rFonts w:ascii="Times New Roman" w:eastAsia="宋体" w:hAnsi="Times New Roman" w:cs="Times New Roman" w:hint="default"/>
                      <w:color w:val="auto"/>
                      <w:lang w:val="en-US" w:eastAsia="zh-CN"/>
                    </w:rPr>
                  </w:pPr>
                </w:p>
              </w:tc>
              <w:tc>
                <w:tcPr>
                  <w:tcW w:w="437" w:type="pct"/>
                  <w:noWrap w:val="0"/>
                  <w:vAlign w:val="center"/>
                </w:tcPr>
                <w:p w14:paraId="7D4F4A6C">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废水</w:t>
                  </w:r>
                </w:p>
              </w:tc>
              <w:tc>
                <w:tcPr>
                  <w:tcW w:w="849" w:type="pct"/>
                  <w:noWrap w:val="0"/>
                  <w:vAlign w:val="center"/>
                </w:tcPr>
                <w:p w14:paraId="73770AAE">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施工废水</w:t>
                  </w:r>
                </w:p>
              </w:tc>
              <w:tc>
                <w:tcPr>
                  <w:tcW w:w="986" w:type="pct"/>
                  <w:noWrap w:val="0"/>
                  <w:vAlign w:val="center"/>
                </w:tcPr>
                <w:p w14:paraId="1EE07922">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pH、COD</w:t>
                  </w:r>
                  <w:r>
                    <w:rPr>
                      <w:rFonts w:ascii="Times New Roman" w:eastAsia="宋体" w:hAnsi="Times New Roman" w:cs="Times New Roman" w:hint="default"/>
                      <w:color w:val="auto"/>
                      <w:vertAlign w:val="subscript"/>
                      <w:lang w:val="en-US" w:eastAsia="zh-CN"/>
                    </w:rPr>
                    <w:t>C</w:t>
                  </w:r>
                  <w:r>
                    <w:rPr>
                      <w:rFonts w:ascii="Times New Roman" w:eastAsia="宋体" w:hAnsi="Times New Roman" w:cs="Times New Roman" w:hint="default"/>
                      <w:color w:val="auto"/>
                      <w:lang w:val="en-US" w:eastAsia="zh-CN"/>
                    </w:rPr>
                    <w:t>r、BOD</w:t>
                  </w:r>
                  <w:r>
                    <w:rPr>
                      <w:rFonts w:ascii="Times New Roman" w:eastAsia="宋体" w:hAnsi="Times New Roman" w:cs="Times New Roman" w:hint="default"/>
                      <w:color w:val="auto"/>
                      <w:vertAlign w:val="subscript"/>
                      <w:lang w:val="en-US" w:eastAsia="zh-CN"/>
                    </w:rPr>
                    <w:t>5</w:t>
                  </w:r>
                  <w:r>
                    <w:rPr>
                      <w:rFonts w:ascii="Times New Roman" w:eastAsia="宋体" w:hAnsi="Times New Roman" w:cs="Times New Roman" w:hint="default"/>
                      <w:color w:val="auto"/>
                      <w:lang w:val="en-US" w:eastAsia="zh-CN"/>
                    </w:rPr>
                    <w:t>、SS、氨氮、总磷、总氮</w:t>
                  </w:r>
                </w:p>
              </w:tc>
              <w:tc>
                <w:tcPr>
                  <w:tcW w:w="2186" w:type="pct"/>
                  <w:noWrap w:val="0"/>
                  <w:vAlign w:val="center"/>
                </w:tcPr>
                <w:p w14:paraId="6A4821C6">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rPr>
                    <w:t>本工程不设施工营地，施工人员租用当地附近村庄居民住房，施工人员生活污水依托当地的生活污水处理设施。</w:t>
                  </w:r>
                </w:p>
              </w:tc>
            </w:tr>
            <w:tr w14:paraId="609D7246">
              <w:tblPrEx>
                <w:tblW w:w="4970" w:type="pct"/>
                <w:jc w:val="center"/>
                <w:tblCellMar>
                  <w:top w:w="0" w:type="dxa"/>
                  <w:left w:w="108" w:type="dxa"/>
                  <w:bottom w:w="0" w:type="dxa"/>
                  <w:right w:w="108" w:type="dxa"/>
                </w:tblCellMar>
              </w:tblPrEx>
              <w:trPr>
                <w:trHeight w:val="369"/>
                <w:jc w:val="center"/>
              </w:trPr>
              <w:tc>
                <w:tcPr>
                  <w:tcW w:w="541" w:type="pct"/>
                  <w:vMerge/>
                  <w:noWrap w:val="0"/>
                  <w:vAlign w:val="center"/>
                </w:tcPr>
                <w:p w14:paraId="5D769DB4">
                  <w:pPr>
                    <w:pStyle w:val="a4"/>
                    <w:bidi w:val="0"/>
                    <w:rPr>
                      <w:rFonts w:ascii="Times New Roman" w:eastAsia="宋体" w:hAnsi="Times New Roman" w:cs="Times New Roman" w:hint="default"/>
                      <w:color w:val="auto"/>
                      <w:lang w:eastAsia="zh-CN"/>
                    </w:rPr>
                  </w:pPr>
                </w:p>
              </w:tc>
              <w:tc>
                <w:tcPr>
                  <w:tcW w:w="437" w:type="pct"/>
                  <w:noWrap w:val="0"/>
                  <w:vAlign w:val="center"/>
                </w:tcPr>
                <w:p w14:paraId="5C4399D6">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噪声</w:t>
                  </w:r>
                </w:p>
              </w:tc>
              <w:tc>
                <w:tcPr>
                  <w:tcW w:w="849" w:type="pct"/>
                  <w:noWrap w:val="0"/>
                  <w:vAlign w:val="center"/>
                </w:tcPr>
                <w:p w14:paraId="13EEE340">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施工噪声</w:t>
                  </w:r>
                </w:p>
              </w:tc>
              <w:tc>
                <w:tcPr>
                  <w:tcW w:w="986" w:type="pct"/>
                  <w:noWrap w:val="0"/>
                  <w:vAlign w:val="center"/>
                </w:tcPr>
                <w:p w14:paraId="67560EE2">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等效声级</w:t>
                  </w:r>
                </w:p>
              </w:tc>
              <w:tc>
                <w:tcPr>
                  <w:tcW w:w="2186" w:type="pct"/>
                  <w:noWrap w:val="0"/>
                  <w:vAlign w:val="center"/>
                </w:tcPr>
                <w:p w14:paraId="41D8D9A5">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采用低噪声设备、合理安排施工时间，加强管理。</w:t>
                  </w:r>
                </w:p>
              </w:tc>
            </w:tr>
            <w:tr w14:paraId="742B22E7">
              <w:tblPrEx>
                <w:tblW w:w="4970" w:type="pct"/>
                <w:jc w:val="center"/>
                <w:tblCellMar>
                  <w:top w:w="0" w:type="dxa"/>
                  <w:left w:w="108" w:type="dxa"/>
                  <w:bottom w:w="0" w:type="dxa"/>
                  <w:right w:w="108" w:type="dxa"/>
                </w:tblCellMar>
              </w:tblPrEx>
              <w:trPr>
                <w:trHeight w:val="369"/>
                <w:jc w:val="center"/>
              </w:trPr>
              <w:tc>
                <w:tcPr>
                  <w:tcW w:w="541" w:type="pct"/>
                  <w:vMerge/>
                  <w:noWrap w:val="0"/>
                  <w:vAlign w:val="center"/>
                </w:tcPr>
                <w:p w14:paraId="6F749A48">
                  <w:pPr>
                    <w:pStyle w:val="a4"/>
                    <w:bidi w:val="0"/>
                    <w:rPr>
                      <w:rFonts w:ascii="Times New Roman" w:eastAsia="宋体" w:hAnsi="Times New Roman" w:cs="Times New Roman" w:hint="default"/>
                      <w:color w:val="auto"/>
                    </w:rPr>
                  </w:pPr>
                </w:p>
              </w:tc>
              <w:tc>
                <w:tcPr>
                  <w:tcW w:w="437" w:type="pct"/>
                  <w:vMerge w:val="restart"/>
                  <w:noWrap w:val="0"/>
                  <w:vAlign w:val="center"/>
                </w:tcPr>
                <w:p w14:paraId="0F25CD60">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固废</w:t>
                  </w:r>
                </w:p>
              </w:tc>
              <w:tc>
                <w:tcPr>
                  <w:tcW w:w="849" w:type="pct"/>
                  <w:noWrap w:val="0"/>
                  <w:vAlign w:val="center"/>
                </w:tcPr>
                <w:p w14:paraId="21CFFA82">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生活垃圾</w:t>
                  </w:r>
                </w:p>
              </w:tc>
              <w:tc>
                <w:tcPr>
                  <w:tcW w:w="986" w:type="pct"/>
                  <w:tcBorders>
                    <w:top w:val="single" w:sz="6" w:space="0" w:color="000000"/>
                    <w:bottom w:val="single" w:sz="6" w:space="0" w:color="000000"/>
                  </w:tcBorders>
                  <w:noWrap w:val="0"/>
                  <w:vAlign w:val="center"/>
                </w:tcPr>
                <w:p w14:paraId="00976602">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生活垃圾</w:t>
                  </w:r>
                </w:p>
              </w:tc>
              <w:tc>
                <w:tcPr>
                  <w:tcW w:w="2186" w:type="pct"/>
                  <w:noWrap w:val="0"/>
                  <w:vAlign w:val="center"/>
                </w:tcPr>
                <w:p w14:paraId="106298B5">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统一收集，定期清运至当地的垃圾收集点交由环卫部门处置</w:t>
                  </w:r>
                </w:p>
              </w:tc>
            </w:tr>
            <w:tr w14:paraId="4E16961D">
              <w:tblPrEx>
                <w:tblW w:w="4970" w:type="pct"/>
                <w:jc w:val="center"/>
                <w:tblCellMar>
                  <w:top w:w="0" w:type="dxa"/>
                  <w:left w:w="108" w:type="dxa"/>
                  <w:bottom w:w="0" w:type="dxa"/>
                  <w:right w:w="108" w:type="dxa"/>
                </w:tblCellMar>
              </w:tblPrEx>
              <w:trPr>
                <w:trHeight w:val="369"/>
                <w:jc w:val="center"/>
              </w:trPr>
              <w:tc>
                <w:tcPr>
                  <w:tcW w:w="541" w:type="pct"/>
                  <w:vMerge/>
                  <w:noWrap w:val="0"/>
                  <w:vAlign w:val="center"/>
                </w:tcPr>
                <w:p w14:paraId="472C41C6">
                  <w:pPr>
                    <w:pStyle w:val="a4"/>
                    <w:bidi w:val="0"/>
                    <w:rPr>
                      <w:rFonts w:ascii="Times New Roman" w:eastAsia="宋体" w:hAnsi="Times New Roman" w:cs="Times New Roman" w:hint="default"/>
                      <w:color w:val="auto"/>
                    </w:rPr>
                  </w:pPr>
                </w:p>
              </w:tc>
              <w:tc>
                <w:tcPr>
                  <w:tcW w:w="437" w:type="pct"/>
                  <w:vMerge/>
                  <w:noWrap w:val="0"/>
                  <w:vAlign w:val="center"/>
                </w:tcPr>
                <w:p w14:paraId="0FA1D4A3">
                  <w:pPr>
                    <w:pStyle w:val="a4"/>
                    <w:bidi w:val="0"/>
                    <w:rPr>
                      <w:rFonts w:ascii="Times New Roman" w:eastAsia="宋体" w:hAnsi="Times New Roman" w:cs="Times New Roman" w:hint="default"/>
                      <w:color w:val="auto"/>
                      <w:lang w:val="en-US" w:eastAsia="zh-CN"/>
                    </w:rPr>
                  </w:pPr>
                </w:p>
              </w:tc>
              <w:tc>
                <w:tcPr>
                  <w:tcW w:w="849" w:type="pct"/>
                  <w:noWrap w:val="0"/>
                  <w:vAlign w:val="center"/>
                </w:tcPr>
                <w:p w14:paraId="1347ADB5">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一般固废</w:t>
                  </w:r>
                </w:p>
              </w:tc>
              <w:tc>
                <w:tcPr>
                  <w:tcW w:w="986" w:type="pct"/>
                  <w:tcBorders>
                    <w:top w:val="single" w:sz="6" w:space="0" w:color="000000"/>
                    <w:bottom w:val="single" w:sz="6" w:space="0" w:color="000000"/>
                  </w:tcBorders>
                  <w:noWrap w:val="0"/>
                  <w:vAlign w:val="center"/>
                </w:tcPr>
                <w:p w14:paraId="6538DBD7">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建筑垃圾</w:t>
                  </w:r>
                </w:p>
              </w:tc>
              <w:tc>
                <w:tcPr>
                  <w:tcW w:w="2186" w:type="pct"/>
                  <w:tcBorders>
                    <w:bottom w:val="single" w:sz="6" w:space="0" w:color="000000"/>
                  </w:tcBorders>
                  <w:noWrap w:val="0"/>
                  <w:vAlign w:val="center"/>
                </w:tcPr>
                <w:p w14:paraId="12421733">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集中堆放，运至指定的场所处理</w:t>
                  </w:r>
                </w:p>
              </w:tc>
            </w:tr>
            <w:tr w14:paraId="5C5B1FA1">
              <w:tblPrEx>
                <w:tblW w:w="4970" w:type="pct"/>
                <w:jc w:val="center"/>
                <w:tblCellMar>
                  <w:top w:w="0" w:type="dxa"/>
                  <w:left w:w="108" w:type="dxa"/>
                  <w:bottom w:w="0" w:type="dxa"/>
                  <w:right w:w="108" w:type="dxa"/>
                </w:tblCellMar>
              </w:tblPrEx>
              <w:trPr>
                <w:trHeight w:val="369"/>
                <w:jc w:val="center"/>
              </w:trPr>
              <w:tc>
                <w:tcPr>
                  <w:tcW w:w="541" w:type="pct"/>
                  <w:vMerge w:val="restart"/>
                  <w:noWrap w:val="0"/>
                  <w:vAlign w:val="center"/>
                </w:tcPr>
                <w:p w14:paraId="6919E8F0">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运营期</w:t>
                  </w:r>
                </w:p>
              </w:tc>
              <w:tc>
                <w:tcPr>
                  <w:tcW w:w="437" w:type="pct"/>
                  <w:noWrap w:val="0"/>
                  <w:vAlign w:val="center"/>
                </w:tcPr>
                <w:p w14:paraId="40DC302A">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电磁环境</w:t>
                  </w:r>
                </w:p>
              </w:tc>
              <w:tc>
                <w:tcPr>
                  <w:tcW w:w="849" w:type="pct"/>
                  <w:noWrap w:val="0"/>
                  <w:vAlign w:val="center"/>
                </w:tcPr>
                <w:p w14:paraId="52A3D141">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升压站</w:t>
                  </w:r>
                </w:p>
              </w:tc>
              <w:tc>
                <w:tcPr>
                  <w:tcW w:w="986" w:type="pct"/>
                  <w:tcBorders>
                    <w:top w:val="single" w:sz="6" w:space="0" w:color="000000"/>
                    <w:bottom w:val="single" w:sz="6" w:space="0" w:color="000000"/>
                  </w:tcBorders>
                  <w:noWrap w:val="0"/>
                  <w:vAlign w:val="center"/>
                </w:tcPr>
                <w:p w14:paraId="71B7C71D">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工频电场、工频磁场</w:t>
                  </w:r>
                </w:p>
              </w:tc>
              <w:tc>
                <w:tcPr>
                  <w:tcW w:w="2186" w:type="pct"/>
                  <w:tcBorders>
                    <w:top w:val="single" w:sz="6" w:space="0" w:color="000000"/>
                  </w:tcBorders>
                  <w:noWrap w:val="0"/>
                  <w:vAlign w:val="center"/>
                </w:tcPr>
                <w:p w14:paraId="38ED91A1">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合理布局，做好设施的维护和运行管理</w:t>
                  </w:r>
                </w:p>
              </w:tc>
            </w:tr>
            <w:tr w14:paraId="261C068E">
              <w:tblPrEx>
                <w:tblW w:w="4970" w:type="pct"/>
                <w:jc w:val="center"/>
                <w:tblCellMar>
                  <w:top w:w="0" w:type="dxa"/>
                  <w:left w:w="108" w:type="dxa"/>
                  <w:bottom w:w="0" w:type="dxa"/>
                  <w:right w:w="108" w:type="dxa"/>
                </w:tblCellMar>
              </w:tblPrEx>
              <w:trPr>
                <w:trHeight w:val="369"/>
                <w:jc w:val="center"/>
              </w:trPr>
              <w:tc>
                <w:tcPr>
                  <w:tcW w:w="541" w:type="pct"/>
                  <w:vMerge/>
                  <w:noWrap w:val="0"/>
                  <w:vAlign w:val="center"/>
                </w:tcPr>
                <w:p w14:paraId="0D2F2024">
                  <w:pPr>
                    <w:pStyle w:val="a4"/>
                    <w:bidi w:val="0"/>
                    <w:rPr>
                      <w:rFonts w:ascii="Times New Roman" w:eastAsia="宋体" w:hAnsi="Times New Roman" w:cs="Times New Roman" w:hint="default"/>
                      <w:color w:val="auto"/>
                    </w:rPr>
                  </w:pPr>
                </w:p>
              </w:tc>
              <w:tc>
                <w:tcPr>
                  <w:tcW w:w="437" w:type="pct"/>
                  <w:noWrap w:val="0"/>
                  <w:vAlign w:val="center"/>
                </w:tcPr>
                <w:p w14:paraId="7ED572CC">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噪声</w:t>
                  </w:r>
                </w:p>
              </w:tc>
              <w:tc>
                <w:tcPr>
                  <w:tcW w:w="849" w:type="pct"/>
                  <w:noWrap w:val="0"/>
                  <w:vAlign w:val="center"/>
                </w:tcPr>
                <w:p w14:paraId="78682664">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升压站</w:t>
                  </w:r>
                </w:p>
              </w:tc>
              <w:tc>
                <w:tcPr>
                  <w:tcW w:w="986" w:type="pct"/>
                  <w:tcBorders>
                    <w:top w:val="single" w:sz="6" w:space="0" w:color="000000"/>
                    <w:bottom w:val="single" w:sz="6" w:space="0" w:color="000000"/>
                  </w:tcBorders>
                  <w:noWrap w:val="0"/>
                  <w:vAlign w:val="center"/>
                </w:tcPr>
                <w:p w14:paraId="10255CF3">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等效声级</w:t>
                  </w:r>
                </w:p>
              </w:tc>
              <w:tc>
                <w:tcPr>
                  <w:tcW w:w="2186" w:type="pct"/>
                  <w:noWrap w:val="0"/>
                  <w:vAlign w:val="center"/>
                </w:tcPr>
                <w:p w14:paraId="61513D74">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rPr>
                    <w:t>采用低噪声设备</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lang w:val="en-US" w:eastAsia="zh-CN"/>
                    </w:rPr>
                    <w:t>合理布局</w:t>
                  </w:r>
                </w:p>
              </w:tc>
            </w:tr>
            <w:tr w14:paraId="3D809579">
              <w:tblPrEx>
                <w:tblW w:w="4970" w:type="pct"/>
                <w:jc w:val="center"/>
                <w:tblCellMar>
                  <w:top w:w="0" w:type="dxa"/>
                  <w:left w:w="108" w:type="dxa"/>
                  <w:bottom w:w="0" w:type="dxa"/>
                  <w:right w:w="108" w:type="dxa"/>
                </w:tblCellMar>
              </w:tblPrEx>
              <w:trPr>
                <w:trHeight w:val="369"/>
                <w:jc w:val="center"/>
              </w:trPr>
              <w:tc>
                <w:tcPr>
                  <w:tcW w:w="541" w:type="pct"/>
                  <w:vMerge/>
                  <w:noWrap w:val="0"/>
                  <w:vAlign w:val="center"/>
                </w:tcPr>
                <w:p w14:paraId="3B34EFA5">
                  <w:pPr>
                    <w:pStyle w:val="a4"/>
                    <w:bidi w:val="0"/>
                    <w:rPr>
                      <w:rFonts w:ascii="Times New Roman" w:eastAsia="宋体" w:hAnsi="Times New Roman" w:cs="Times New Roman" w:hint="default"/>
                      <w:color w:val="auto"/>
                    </w:rPr>
                  </w:pPr>
                </w:p>
              </w:tc>
              <w:tc>
                <w:tcPr>
                  <w:tcW w:w="437" w:type="pct"/>
                  <w:noWrap w:val="0"/>
                  <w:vAlign w:val="center"/>
                </w:tcPr>
                <w:p w14:paraId="6A680405">
                  <w:pPr>
                    <w:pStyle w:val="a4"/>
                    <w:bidi w:val="0"/>
                    <w:rPr>
                      <w:rFonts w:ascii="Times New Roman" w:eastAsia="宋体" w:hAnsi="Times New Roman" w:cs="Times New Roman" w:hint="default"/>
                      <w:color w:val="auto"/>
                      <w:lang w:val="en-US" w:eastAsia="zh-CN"/>
                    </w:rPr>
                  </w:pPr>
                  <w:r>
                    <w:rPr>
                      <w:rFonts w:cs="Times New Roman" w:hint="eastAsia"/>
                      <w:color w:val="auto"/>
                      <w:lang w:val="en-US" w:eastAsia="zh-CN"/>
                    </w:rPr>
                    <w:t>废气</w:t>
                  </w:r>
                </w:p>
              </w:tc>
              <w:tc>
                <w:tcPr>
                  <w:tcW w:w="849" w:type="pct"/>
                  <w:noWrap w:val="0"/>
                  <w:vAlign w:val="center"/>
                </w:tcPr>
                <w:p w14:paraId="053D7D81">
                  <w:pPr>
                    <w:pStyle w:val="a4"/>
                    <w:bidi w:val="0"/>
                    <w:rPr>
                      <w:rFonts w:ascii="Times New Roman" w:eastAsia="宋体" w:hAnsi="Times New Roman" w:cs="Times New Roman" w:hint="default"/>
                      <w:color w:val="auto"/>
                      <w:lang w:val="en-US" w:eastAsia="zh-CN"/>
                    </w:rPr>
                  </w:pPr>
                  <w:r>
                    <w:rPr>
                      <w:rFonts w:cs="Times New Roman" w:hint="eastAsia"/>
                      <w:color w:val="auto"/>
                      <w:lang w:val="en-US" w:eastAsia="zh-CN"/>
                    </w:rPr>
                    <w:t>综合楼厨房</w:t>
                  </w:r>
                </w:p>
              </w:tc>
              <w:tc>
                <w:tcPr>
                  <w:tcW w:w="986" w:type="pct"/>
                  <w:tcBorders>
                    <w:top w:val="single" w:sz="6" w:space="0" w:color="000000"/>
                    <w:bottom w:val="single" w:sz="6" w:space="0" w:color="000000"/>
                  </w:tcBorders>
                  <w:noWrap w:val="0"/>
                  <w:vAlign w:val="center"/>
                </w:tcPr>
                <w:p w14:paraId="4709172A">
                  <w:pPr>
                    <w:pStyle w:val="a4"/>
                    <w:bidi w:val="0"/>
                    <w:rPr>
                      <w:rFonts w:ascii="Times New Roman" w:eastAsia="宋体" w:hAnsi="Times New Roman" w:cs="Times New Roman" w:hint="default"/>
                      <w:color w:val="auto"/>
                      <w:lang w:val="en-US" w:eastAsia="zh-CN"/>
                    </w:rPr>
                  </w:pPr>
                  <w:r>
                    <w:rPr>
                      <w:rFonts w:cs="Times New Roman" w:hint="eastAsia"/>
                      <w:color w:val="auto"/>
                      <w:lang w:val="en-US" w:eastAsia="zh-CN"/>
                    </w:rPr>
                    <w:t>食堂油烟</w:t>
                  </w:r>
                </w:p>
              </w:tc>
              <w:tc>
                <w:tcPr>
                  <w:tcW w:w="2186" w:type="pct"/>
                  <w:noWrap w:val="0"/>
                  <w:vAlign w:val="center"/>
                </w:tcPr>
                <w:p w14:paraId="22BCC838">
                  <w:pPr>
                    <w:pStyle w:val="a4"/>
                    <w:bidi w:val="0"/>
                    <w:rPr>
                      <w:rFonts w:ascii="Times New Roman" w:eastAsia="宋体" w:hAnsi="Times New Roman" w:cs="Times New Roman" w:hint="default"/>
                      <w:color w:val="auto"/>
                      <w:lang w:val="en-US"/>
                    </w:rPr>
                  </w:pPr>
                  <w:r>
                    <w:rPr>
                      <w:rFonts w:ascii="Times New Roman" w:eastAsia="宋体" w:hAnsi="Times New Roman" w:cs="Times New Roman" w:hint="default"/>
                      <w:color w:val="auto"/>
                    </w:rPr>
                    <w:t>采用</w:t>
                  </w:r>
                  <w:r>
                    <w:rPr>
                      <w:rFonts w:ascii="Times New Roman" w:hAnsi="Times New Roman" w:cs="Times New Roman" w:hint="eastAsia"/>
                      <w:color w:val="auto"/>
                      <w:lang w:val="en-US" w:eastAsia="zh-CN"/>
                    </w:rPr>
                    <w:t>油烟净化器处理后排放</w:t>
                  </w:r>
                </w:p>
              </w:tc>
            </w:tr>
            <w:tr w14:paraId="08289217">
              <w:tblPrEx>
                <w:tblW w:w="4970" w:type="pct"/>
                <w:jc w:val="center"/>
                <w:tblCellMar>
                  <w:top w:w="0" w:type="dxa"/>
                  <w:left w:w="108" w:type="dxa"/>
                  <w:bottom w:w="0" w:type="dxa"/>
                  <w:right w:w="108" w:type="dxa"/>
                </w:tblCellMar>
              </w:tblPrEx>
              <w:trPr>
                <w:trHeight w:val="364"/>
                <w:jc w:val="center"/>
              </w:trPr>
              <w:tc>
                <w:tcPr>
                  <w:tcW w:w="541" w:type="pct"/>
                  <w:vMerge/>
                  <w:noWrap w:val="0"/>
                  <w:vAlign w:val="center"/>
                </w:tcPr>
                <w:p w14:paraId="33D1B8FD">
                  <w:pPr>
                    <w:pStyle w:val="a4"/>
                    <w:bidi w:val="0"/>
                    <w:rPr>
                      <w:rFonts w:ascii="Times New Roman" w:eastAsia="宋体" w:hAnsi="Times New Roman" w:cs="Times New Roman" w:hint="default"/>
                      <w:color w:val="auto"/>
                    </w:rPr>
                  </w:pPr>
                </w:p>
              </w:tc>
              <w:tc>
                <w:tcPr>
                  <w:tcW w:w="437" w:type="pct"/>
                  <w:noWrap w:val="0"/>
                  <w:vAlign w:val="center"/>
                </w:tcPr>
                <w:p w14:paraId="6F1DDFED">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废水</w:t>
                  </w:r>
                </w:p>
              </w:tc>
              <w:tc>
                <w:tcPr>
                  <w:tcW w:w="849" w:type="pct"/>
                  <w:noWrap w:val="0"/>
                  <w:vAlign w:val="center"/>
                </w:tcPr>
                <w:p w14:paraId="510B9EE7">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日常生活</w:t>
                  </w:r>
                </w:p>
              </w:tc>
              <w:tc>
                <w:tcPr>
                  <w:tcW w:w="986" w:type="pct"/>
                  <w:tcBorders>
                    <w:top w:val="single" w:sz="6" w:space="0" w:color="000000"/>
                  </w:tcBorders>
                  <w:noWrap w:val="0"/>
                  <w:vAlign w:val="center"/>
                </w:tcPr>
                <w:p w14:paraId="03238B86">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pH、COD</w:t>
                  </w:r>
                  <w:r>
                    <w:rPr>
                      <w:rFonts w:ascii="Times New Roman" w:eastAsia="宋体" w:hAnsi="Times New Roman" w:cs="Times New Roman" w:hint="default"/>
                      <w:color w:val="auto"/>
                      <w:vertAlign w:val="subscript"/>
                      <w:lang w:val="en-US" w:eastAsia="zh-CN"/>
                    </w:rPr>
                    <w:t>C</w:t>
                  </w:r>
                  <w:r>
                    <w:rPr>
                      <w:rFonts w:ascii="Times New Roman" w:eastAsia="宋体" w:hAnsi="Times New Roman" w:cs="Times New Roman" w:hint="default"/>
                      <w:color w:val="auto"/>
                      <w:lang w:val="en-US" w:eastAsia="zh-CN"/>
                    </w:rPr>
                    <w:t>r、BOD</w:t>
                  </w:r>
                  <w:r>
                    <w:rPr>
                      <w:rFonts w:ascii="Times New Roman" w:eastAsia="宋体" w:hAnsi="Times New Roman" w:cs="Times New Roman" w:hint="default"/>
                      <w:color w:val="auto"/>
                      <w:vertAlign w:val="subscript"/>
                      <w:lang w:val="en-US" w:eastAsia="zh-CN"/>
                    </w:rPr>
                    <w:t>5</w:t>
                  </w:r>
                  <w:r>
                    <w:rPr>
                      <w:rFonts w:ascii="Times New Roman" w:eastAsia="宋体" w:hAnsi="Times New Roman" w:cs="Times New Roman" w:hint="default"/>
                      <w:color w:val="auto"/>
                      <w:lang w:val="en-US" w:eastAsia="zh-CN"/>
                    </w:rPr>
                    <w:t>、SS、氨氮、总磷、总氮</w:t>
                  </w:r>
                  <w:r>
                    <w:rPr>
                      <w:rFonts w:cs="Times New Roman" w:hint="eastAsia"/>
                      <w:color w:val="auto"/>
                      <w:lang w:val="en-US" w:eastAsia="zh-CN"/>
                    </w:rPr>
                    <w:t>、动植物油</w:t>
                  </w:r>
                </w:p>
              </w:tc>
              <w:tc>
                <w:tcPr>
                  <w:tcW w:w="2186" w:type="pct"/>
                  <w:noWrap w:val="0"/>
                  <w:vAlign w:val="center"/>
                </w:tcPr>
                <w:p w14:paraId="3D9D028F">
                  <w:pPr>
                    <w:pStyle w:val="a4"/>
                    <w:bidi w:val="0"/>
                    <w:rPr>
                      <w:rFonts w:ascii="Times New Roman" w:eastAsia="宋体" w:hAnsi="Times New Roman" w:cs="Times New Roman" w:hint="default"/>
                      <w:color w:val="auto"/>
                    </w:rPr>
                  </w:pPr>
                  <w:r>
                    <w:rPr>
                      <w:rFonts w:cs="Times New Roman" w:hint="eastAsia"/>
                      <w:color w:val="auto"/>
                      <w:lang w:val="en-US" w:eastAsia="zh-CN"/>
                    </w:rPr>
                    <w:t>食堂废水经隔油处理后和</w:t>
                  </w:r>
                  <w:r>
                    <w:rPr>
                      <w:rFonts w:ascii="Times New Roman" w:eastAsia="宋体" w:hAnsi="Times New Roman" w:cs="Times New Roman" w:hint="default"/>
                      <w:color w:val="auto"/>
                    </w:rPr>
                    <w:t>生活污水经化粪池沉淀，经地埋式一体化污水处理设备处理后作为厂区地面抑尘、绿化使用，不外排</w:t>
                  </w:r>
                </w:p>
              </w:tc>
            </w:tr>
            <w:tr w14:paraId="317CA312">
              <w:tblPrEx>
                <w:tblW w:w="4970" w:type="pct"/>
                <w:jc w:val="center"/>
                <w:tblCellMar>
                  <w:top w:w="0" w:type="dxa"/>
                  <w:left w:w="108" w:type="dxa"/>
                  <w:bottom w:w="0" w:type="dxa"/>
                  <w:right w:w="108" w:type="dxa"/>
                </w:tblCellMar>
              </w:tblPrEx>
              <w:trPr>
                <w:trHeight w:val="796"/>
                <w:jc w:val="center"/>
              </w:trPr>
              <w:tc>
                <w:tcPr>
                  <w:tcW w:w="541" w:type="pct"/>
                  <w:vMerge/>
                  <w:noWrap w:val="0"/>
                  <w:vAlign w:val="center"/>
                </w:tcPr>
                <w:p w14:paraId="65D1EB04">
                  <w:pPr>
                    <w:pStyle w:val="a4"/>
                    <w:bidi w:val="0"/>
                    <w:rPr>
                      <w:rFonts w:ascii="Times New Roman" w:eastAsia="宋体" w:hAnsi="Times New Roman" w:cs="Times New Roman" w:hint="default"/>
                      <w:color w:val="auto"/>
                    </w:rPr>
                  </w:pPr>
                </w:p>
              </w:tc>
              <w:tc>
                <w:tcPr>
                  <w:tcW w:w="437" w:type="pct"/>
                  <w:vMerge w:val="restart"/>
                  <w:noWrap w:val="0"/>
                  <w:vAlign w:val="center"/>
                </w:tcPr>
                <w:p w14:paraId="481FF072">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固废</w:t>
                  </w:r>
                </w:p>
              </w:tc>
              <w:tc>
                <w:tcPr>
                  <w:tcW w:w="849" w:type="pct"/>
                  <w:noWrap w:val="0"/>
                  <w:vAlign w:val="center"/>
                </w:tcPr>
                <w:p w14:paraId="79F59CC3">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生活垃圾</w:t>
                  </w:r>
                </w:p>
              </w:tc>
              <w:tc>
                <w:tcPr>
                  <w:tcW w:w="986" w:type="pct"/>
                  <w:noWrap w:val="0"/>
                  <w:vAlign w:val="center"/>
                </w:tcPr>
                <w:p w14:paraId="67B8A969">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生活垃圾</w:t>
                  </w:r>
                </w:p>
              </w:tc>
              <w:tc>
                <w:tcPr>
                  <w:tcW w:w="2186" w:type="pct"/>
                  <w:noWrap w:val="0"/>
                  <w:vAlign w:val="center"/>
                </w:tcPr>
                <w:p w14:paraId="709DA7A7">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统一收集，定期清运至当地的垃圾收集点交由环卫部门处置</w:t>
                  </w:r>
                </w:p>
              </w:tc>
            </w:tr>
            <w:tr w14:paraId="75221062">
              <w:tblPrEx>
                <w:tblW w:w="4970" w:type="pct"/>
                <w:jc w:val="center"/>
                <w:tblCellMar>
                  <w:top w:w="0" w:type="dxa"/>
                  <w:left w:w="108" w:type="dxa"/>
                  <w:bottom w:w="0" w:type="dxa"/>
                  <w:right w:w="108" w:type="dxa"/>
                </w:tblCellMar>
              </w:tblPrEx>
              <w:trPr>
                <w:trHeight w:val="796"/>
                <w:jc w:val="center"/>
              </w:trPr>
              <w:tc>
                <w:tcPr>
                  <w:tcW w:w="541" w:type="pct"/>
                  <w:vMerge/>
                  <w:noWrap w:val="0"/>
                  <w:vAlign w:val="center"/>
                </w:tcPr>
                <w:p w14:paraId="2BD3D1B1">
                  <w:pPr>
                    <w:pStyle w:val="a4"/>
                    <w:bidi w:val="0"/>
                    <w:rPr>
                      <w:rFonts w:ascii="Times New Roman" w:eastAsia="宋体" w:hAnsi="Times New Roman" w:cs="Times New Roman" w:hint="default"/>
                      <w:color w:val="auto"/>
                    </w:rPr>
                  </w:pPr>
                </w:p>
              </w:tc>
              <w:tc>
                <w:tcPr>
                  <w:tcW w:w="437" w:type="pct"/>
                  <w:vMerge/>
                  <w:noWrap w:val="0"/>
                  <w:vAlign w:val="center"/>
                </w:tcPr>
                <w:p w14:paraId="75D12833">
                  <w:pPr>
                    <w:pStyle w:val="a4"/>
                    <w:bidi w:val="0"/>
                    <w:rPr>
                      <w:rFonts w:ascii="Times New Roman" w:eastAsia="宋体" w:hAnsi="Times New Roman" w:cs="Times New Roman" w:hint="default"/>
                      <w:color w:val="auto"/>
                      <w:lang w:val="en-US" w:eastAsia="zh-CN"/>
                    </w:rPr>
                  </w:pPr>
                </w:p>
              </w:tc>
              <w:tc>
                <w:tcPr>
                  <w:tcW w:w="849" w:type="pct"/>
                  <w:noWrap w:val="0"/>
                  <w:vAlign w:val="center"/>
                </w:tcPr>
                <w:p w14:paraId="49CCF2F0">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一般固废</w:t>
                  </w:r>
                </w:p>
              </w:tc>
              <w:tc>
                <w:tcPr>
                  <w:tcW w:w="986" w:type="pct"/>
                  <w:noWrap w:val="0"/>
                  <w:vAlign w:val="center"/>
                </w:tcPr>
                <w:p w14:paraId="7FB1E9E0">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废锂电池</w:t>
                  </w:r>
                </w:p>
              </w:tc>
              <w:tc>
                <w:tcPr>
                  <w:tcW w:w="2186" w:type="pct"/>
                  <w:noWrap w:val="0"/>
                  <w:vAlign w:val="center"/>
                </w:tcPr>
                <w:p w14:paraId="76D029B7">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物资公司回收梯次利用</w:t>
                  </w:r>
                </w:p>
              </w:tc>
            </w:tr>
            <w:tr w14:paraId="67843D28">
              <w:tblPrEx>
                <w:tblW w:w="4970" w:type="pct"/>
                <w:jc w:val="center"/>
                <w:tblCellMar>
                  <w:top w:w="0" w:type="dxa"/>
                  <w:left w:w="108" w:type="dxa"/>
                  <w:bottom w:w="0" w:type="dxa"/>
                  <w:right w:w="108" w:type="dxa"/>
                </w:tblCellMar>
              </w:tblPrEx>
              <w:trPr>
                <w:trHeight w:val="796"/>
                <w:jc w:val="center"/>
              </w:trPr>
              <w:tc>
                <w:tcPr>
                  <w:tcW w:w="541" w:type="pct"/>
                  <w:vMerge/>
                  <w:noWrap w:val="0"/>
                  <w:vAlign w:val="center"/>
                </w:tcPr>
                <w:p w14:paraId="069F1EF1">
                  <w:pPr>
                    <w:pStyle w:val="a4"/>
                    <w:bidi w:val="0"/>
                    <w:rPr>
                      <w:rFonts w:ascii="Times New Roman" w:eastAsia="宋体" w:hAnsi="Times New Roman" w:cs="Times New Roman" w:hint="default"/>
                      <w:color w:val="auto"/>
                    </w:rPr>
                  </w:pPr>
                </w:p>
              </w:tc>
              <w:tc>
                <w:tcPr>
                  <w:tcW w:w="437" w:type="pct"/>
                  <w:vMerge/>
                  <w:noWrap w:val="0"/>
                  <w:vAlign w:val="center"/>
                </w:tcPr>
                <w:p w14:paraId="0C2D7801">
                  <w:pPr>
                    <w:pStyle w:val="a4"/>
                    <w:bidi w:val="0"/>
                    <w:rPr>
                      <w:rFonts w:ascii="Times New Roman" w:eastAsia="宋体" w:hAnsi="Times New Roman" w:cs="Times New Roman" w:hint="default"/>
                      <w:color w:val="auto"/>
                      <w:lang w:val="en-US" w:eastAsia="zh-CN"/>
                    </w:rPr>
                  </w:pPr>
                </w:p>
              </w:tc>
              <w:tc>
                <w:tcPr>
                  <w:tcW w:w="849" w:type="pct"/>
                  <w:noWrap w:val="0"/>
                  <w:vAlign w:val="center"/>
                </w:tcPr>
                <w:p w14:paraId="33DCDEB5">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危险废物</w:t>
                  </w:r>
                </w:p>
              </w:tc>
              <w:tc>
                <w:tcPr>
                  <w:tcW w:w="986" w:type="pct"/>
                  <w:noWrap w:val="0"/>
                  <w:vAlign w:val="center"/>
                </w:tcPr>
                <w:p w14:paraId="099487EF">
                  <w:pPr>
                    <w:pStyle w:val="a4"/>
                    <w:bidi w:val="0"/>
                    <w:rPr>
                      <w:rFonts w:ascii="Times New Roman" w:eastAsia="宋体" w:hAnsi="Times New Roman" w:cs="Times New Roman" w:hint="default"/>
                      <w:color w:val="auto"/>
                      <w:lang w:val="en-US"/>
                    </w:rPr>
                  </w:pPr>
                  <w:r>
                    <w:rPr>
                      <w:rFonts w:ascii="Times New Roman" w:eastAsia="宋体" w:hAnsi="Times New Roman" w:cs="Times New Roman" w:hint="default"/>
                      <w:color w:val="auto"/>
                    </w:rPr>
                    <w:t>废</w:t>
                  </w:r>
                  <w:r>
                    <w:rPr>
                      <w:rFonts w:ascii="Times New Roman" w:eastAsia="宋体" w:hAnsi="Times New Roman" w:cs="Times New Roman" w:hint="default"/>
                      <w:color w:val="auto"/>
                      <w:lang w:val="en-US" w:eastAsia="zh-CN"/>
                    </w:rPr>
                    <w:t>变压器</w:t>
                  </w:r>
                  <w:r>
                    <w:rPr>
                      <w:rFonts w:ascii="Times New Roman" w:eastAsia="宋体" w:hAnsi="Times New Roman" w:cs="Times New Roman" w:hint="default"/>
                      <w:color w:val="auto"/>
                    </w:rPr>
                    <w:t>油</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lang w:val="en-US" w:eastAsia="zh-CN"/>
                    </w:rPr>
                    <w:t>废油桶、含油抹布、废铅蓄电池</w:t>
                  </w:r>
                </w:p>
              </w:tc>
              <w:tc>
                <w:tcPr>
                  <w:tcW w:w="2186" w:type="pct"/>
                  <w:noWrap w:val="0"/>
                  <w:vAlign w:val="center"/>
                </w:tcPr>
                <w:p w14:paraId="1C880979">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暂存危废间，委托资质单位处置</w:t>
                  </w:r>
                </w:p>
              </w:tc>
            </w:tr>
            <w:tr w14:paraId="44557C4C">
              <w:tblPrEx>
                <w:tblW w:w="4970" w:type="pct"/>
                <w:jc w:val="center"/>
                <w:tblCellMar>
                  <w:top w:w="0" w:type="dxa"/>
                  <w:left w:w="108" w:type="dxa"/>
                  <w:bottom w:w="0" w:type="dxa"/>
                  <w:right w:w="108" w:type="dxa"/>
                </w:tblCellMar>
              </w:tblPrEx>
              <w:trPr>
                <w:trHeight w:val="796"/>
                <w:jc w:val="center"/>
              </w:trPr>
              <w:tc>
                <w:tcPr>
                  <w:tcW w:w="541" w:type="pct"/>
                  <w:vMerge w:val="restart"/>
                  <w:noWrap w:val="0"/>
                  <w:vAlign w:val="center"/>
                </w:tcPr>
                <w:p w14:paraId="77DB090A">
                  <w:pPr>
                    <w:pStyle w:val="a4"/>
                    <w:bidi w:val="0"/>
                    <w:rPr>
                      <w:rFonts w:ascii="Times New Roman" w:eastAsia="宋体" w:hAnsi="Times New Roman" w:cs="Times New Roman" w:hint="default"/>
                      <w:color w:val="auto"/>
                      <w:lang w:val="en-US" w:eastAsia="zh-CN"/>
                    </w:rPr>
                  </w:pPr>
                  <w:r>
                    <w:rPr>
                      <w:rFonts w:cs="Times New Roman" w:hint="eastAsia"/>
                      <w:color w:val="auto"/>
                      <w:lang w:val="en-US" w:eastAsia="zh-CN"/>
                    </w:rPr>
                    <w:t>服务期满</w:t>
                  </w:r>
                </w:p>
              </w:tc>
              <w:tc>
                <w:tcPr>
                  <w:tcW w:w="437" w:type="pct"/>
                  <w:vMerge w:val="restart"/>
                  <w:noWrap w:val="0"/>
                  <w:vAlign w:val="center"/>
                </w:tcPr>
                <w:p w14:paraId="1D52B6F2">
                  <w:pPr>
                    <w:pStyle w:val="a4"/>
                    <w:bidi w:val="0"/>
                    <w:rPr>
                      <w:rFonts w:ascii="Times New Roman" w:eastAsia="宋体" w:hAnsi="Times New Roman" w:cs="Times New Roman" w:hint="eastAsia"/>
                      <w:color w:val="auto"/>
                      <w:kern w:val="2"/>
                      <w:sz w:val="21"/>
                      <w:szCs w:val="24"/>
                      <w:lang w:val="en-US" w:eastAsia="zh-CN" w:bidi="ar-SA"/>
                    </w:rPr>
                  </w:pPr>
                  <w:r>
                    <w:rPr>
                      <w:rFonts w:cs="Times New Roman" w:hint="eastAsia"/>
                      <w:color w:val="auto"/>
                      <w:lang w:val="en-US" w:eastAsia="zh-CN"/>
                    </w:rPr>
                    <w:t>固废</w:t>
                  </w:r>
                </w:p>
              </w:tc>
              <w:tc>
                <w:tcPr>
                  <w:tcW w:w="849" w:type="pct"/>
                  <w:noWrap w:val="0"/>
                  <w:vAlign w:val="center"/>
                </w:tcPr>
                <w:p w14:paraId="53D0460C">
                  <w:pPr>
                    <w:pStyle w:val="a4"/>
                    <w:bidi w:val="0"/>
                    <w:rPr>
                      <w:rFonts w:ascii="Times New Roman" w:eastAsia="宋体" w:hAnsi="Times New Roman" w:cs="Times New Roman" w:hint="eastAsia"/>
                      <w:color w:val="auto"/>
                      <w:kern w:val="2"/>
                      <w:sz w:val="21"/>
                      <w:szCs w:val="24"/>
                      <w:lang w:val="en-US" w:eastAsia="zh-CN" w:bidi="ar-SA"/>
                    </w:rPr>
                  </w:pPr>
                  <w:r>
                    <w:rPr>
                      <w:rFonts w:cs="Times New Roman" w:hint="eastAsia"/>
                      <w:color w:val="auto"/>
                      <w:lang w:val="en-US" w:eastAsia="zh-CN"/>
                    </w:rPr>
                    <w:t>一般固废</w:t>
                  </w:r>
                </w:p>
              </w:tc>
              <w:tc>
                <w:tcPr>
                  <w:tcW w:w="986" w:type="pct"/>
                  <w:noWrap w:val="0"/>
                  <w:vAlign w:val="center"/>
                </w:tcPr>
                <w:p w14:paraId="73170710">
                  <w:pPr>
                    <w:pStyle w:val="a4"/>
                    <w:bidi w:val="0"/>
                    <w:rPr>
                      <w:rFonts w:ascii="Times New Roman" w:eastAsia="宋体" w:hAnsi="Times New Roman" w:cs="Times New Roman" w:hint="default"/>
                      <w:color w:val="auto"/>
                      <w:kern w:val="2"/>
                      <w:sz w:val="21"/>
                      <w:szCs w:val="24"/>
                      <w:lang w:val="en-US" w:eastAsia="zh-CN" w:bidi="ar-SA"/>
                    </w:rPr>
                  </w:pPr>
                  <w:r>
                    <w:rPr>
                      <w:rFonts w:ascii="Times New Roman" w:eastAsia="宋体" w:hAnsi="Times New Roman" w:cs="Times New Roman" w:hint="default"/>
                      <w:color w:val="auto"/>
                      <w:lang w:val="en-US" w:eastAsia="zh-CN"/>
                    </w:rPr>
                    <w:t>废锂电池</w:t>
                  </w:r>
                  <w:r>
                    <w:rPr>
                      <w:rFonts w:ascii="Times New Roman" w:hAnsi="Times New Roman" w:cs="Times New Roman" w:hint="eastAsia"/>
                      <w:color w:val="auto"/>
                      <w:lang w:val="en-US" w:eastAsia="zh-CN"/>
                    </w:rPr>
                    <w:t>、废设备</w:t>
                  </w:r>
                </w:p>
              </w:tc>
              <w:tc>
                <w:tcPr>
                  <w:tcW w:w="2186" w:type="pct"/>
                  <w:noWrap w:val="0"/>
                  <w:vAlign w:val="center"/>
                </w:tcPr>
                <w:p w14:paraId="41141444">
                  <w:pPr>
                    <w:pStyle w:val="a4"/>
                    <w:bidi w:val="0"/>
                    <w:rPr>
                      <w:rFonts w:ascii="Times New Roman" w:eastAsia="宋体" w:hAnsi="Times New Roman" w:cs="Times New Roman" w:hint="default"/>
                      <w:color w:val="auto"/>
                      <w:kern w:val="2"/>
                      <w:sz w:val="21"/>
                      <w:szCs w:val="24"/>
                      <w:lang w:val="en-US" w:eastAsia="zh-CN" w:bidi="ar-SA"/>
                    </w:rPr>
                  </w:pPr>
                  <w:r>
                    <w:rPr>
                      <w:rFonts w:ascii="Times New Roman" w:eastAsia="宋体" w:hAnsi="Times New Roman" w:cs="Times New Roman" w:hint="default"/>
                      <w:color w:val="auto"/>
                      <w:lang w:val="en-US" w:eastAsia="zh-CN"/>
                    </w:rPr>
                    <w:t>物资公司回收</w:t>
                  </w:r>
                  <w:r>
                    <w:rPr>
                      <w:rFonts w:ascii="Times New Roman" w:hAnsi="Times New Roman" w:cs="Times New Roman" w:hint="eastAsia"/>
                      <w:color w:val="auto"/>
                      <w:lang w:val="en-US" w:eastAsia="zh-CN"/>
                    </w:rPr>
                    <w:t>利用或</w:t>
                  </w:r>
                  <w:r>
                    <w:rPr>
                      <w:rFonts w:ascii="Times New Roman" w:eastAsia="宋体" w:hAnsi="Times New Roman" w:cs="Times New Roman" w:hint="default"/>
                      <w:color w:val="auto"/>
                      <w:lang w:val="en-US" w:eastAsia="zh-CN"/>
                    </w:rPr>
                    <w:t>梯次利用</w:t>
                  </w:r>
                </w:p>
              </w:tc>
            </w:tr>
            <w:tr w14:paraId="429EF256">
              <w:tblPrEx>
                <w:tblW w:w="4970" w:type="pct"/>
                <w:jc w:val="center"/>
                <w:tblCellMar>
                  <w:top w:w="0" w:type="dxa"/>
                  <w:left w:w="108" w:type="dxa"/>
                  <w:bottom w:w="0" w:type="dxa"/>
                  <w:right w:w="108" w:type="dxa"/>
                </w:tblCellMar>
              </w:tblPrEx>
              <w:trPr>
                <w:trHeight w:val="796"/>
                <w:jc w:val="center"/>
              </w:trPr>
              <w:tc>
                <w:tcPr>
                  <w:tcW w:w="541" w:type="pct"/>
                  <w:vMerge/>
                  <w:noWrap w:val="0"/>
                  <w:vAlign w:val="center"/>
                </w:tcPr>
                <w:p w14:paraId="4F6EF7F2">
                  <w:pPr>
                    <w:pStyle w:val="a4"/>
                    <w:bidi w:val="0"/>
                    <w:rPr>
                      <w:rFonts w:ascii="Times New Roman" w:eastAsia="宋体" w:hAnsi="Times New Roman" w:cs="Times New Roman" w:hint="default"/>
                      <w:color w:val="auto"/>
                      <w:lang w:val="en-US" w:eastAsia="zh-CN"/>
                    </w:rPr>
                  </w:pPr>
                </w:p>
              </w:tc>
              <w:tc>
                <w:tcPr>
                  <w:tcW w:w="437" w:type="pct"/>
                  <w:vMerge/>
                  <w:noWrap w:val="0"/>
                  <w:vAlign w:val="center"/>
                </w:tcPr>
                <w:p w14:paraId="2C2E3EAE">
                  <w:pPr>
                    <w:pStyle w:val="a4"/>
                    <w:bidi w:val="0"/>
                    <w:rPr>
                      <w:rFonts w:ascii="Times New Roman" w:eastAsia="宋体" w:hAnsi="Times New Roman" w:cs="Times New Roman" w:hint="default"/>
                      <w:color w:val="auto"/>
                      <w:kern w:val="2"/>
                      <w:sz w:val="21"/>
                      <w:szCs w:val="24"/>
                      <w:lang w:val="en-US" w:eastAsia="zh-CN" w:bidi="ar-SA"/>
                    </w:rPr>
                  </w:pPr>
                </w:p>
              </w:tc>
              <w:tc>
                <w:tcPr>
                  <w:tcW w:w="849" w:type="pct"/>
                  <w:noWrap w:val="0"/>
                  <w:vAlign w:val="center"/>
                </w:tcPr>
                <w:p w14:paraId="62372FDB">
                  <w:pPr>
                    <w:pStyle w:val="a4"/>
                    <w:bidi w:val="0"/>
                    <w:rPr>
                      <w:rFonts w:ascii="Times New Roman" w:eastAsia="宋体" w:hAnsi="Times New Roman" w:cs="Times New Roman" w:hint="default"/>
                      <w:color w:val="auto"/>
                      <w:kern w:val="2"/>
                      <w:sz w:val="21"/>
                      <w:szCs w:val="24"/>
                      <w:lang w:val="en-US" w:eastAsia="zh-CN" w:bidi="ar-SA"/>
                    </w:rPr>
                  </w:pPr>
                  <w:r>
                    <w:rPr>
                      <w:rFonts w:cs="Times New Roman" w:hint="eastAsia"/>
                      <w:color w:val="auto"/>
                      <w:lang w:val="en-US" w:eastAsia="zh-CN"/>
                    </w:rPr>
                    <w:t>危险废物</w:t>
                  </w:r>
                </w:p>
              </w:tc>
              <w:tc>
                <w:tcPr>
                  <w:tcW w:w="986" w:type="pct"/>
                  <w:noWrap w:val="0"/>
                  <w:vAlign w:val="center"/>
                </w:tcPr>
                <w:p w14:paraId="02D62DFD">
                  <w:pPr>
                    <w:pStyle w:val="a4"/>
                    <w:bidi w:val="0"/>
                    <w:rPr>
                      <w:rFonts w:ascii="Times New Roman" w:eastAsia="宋体" w:hAnsi="Times New Roman" w:cs="Times New Roman" w:hint="eastAsia"/>
                      <w:color w:val="auto"/>
                      <w:kern w:val="2"/>
                      <w:sz w:val="21"/>
                      <w:szCs w:val="24"/>
                      <w:lang w:val="en-US" w:eastAsia="zh-CN" w:bidi="ar-SA"/>
                    </w:rPr>
                  </w:pPr>
                  <w:r>
                    <w:rPr>
                      <w:rFonts w:cs="Times New Roman" w:hint="eastAsia"/>
                      <w:color w:val="auto"/>
                      <w:lang w:val="en-US" w:eastAsia="zh-CN"/>
                    </w:rPr>
                    <w:t>废油、废电解液</w:t>
                  </w:r>
                </w:p>
              </w:tc>
              <w:tc>
                <w:tcPr>
                  <w:tcW w:w="2186" w:type="pct"/>
                  <w:noWrap w:val="0"/>
                  <w:vAlign w:val="center"/>
                </w:tcPr>
                <w:p w14:paraId="48FB9BC4">
                  <w:pPr>
                    <w:pStyle w:val="a4"/>
                    <w:bidi w:val="0"/>
                    <w:rPr>
                      <w:rFonts w:ascii="Times New Roman" w:eastAsia="宋体" w:hAnsi="Times New Roman" w:cs="Times New Roman" w:hint="default"/>
                      <w:color w:val="auto"/>
                      <w:kern w:val="2"/>
                      <w:sz w:val="21"/>
                      <w:szCs w:val="24"/>
                      <w:lang w:val="en-US" w:eastAsia="zh-CN" w:bidi="ar-SA"/>
                    </w:rPr>
                  </w:pPr>
                  <w:r>
                    <w:rPr>
                      <w:rFonts w:ascii="Times New Roman" w:eastAsia="宋体" w:hAnsi="Times New Roman" w:cs="Times New Roman" w:hint="default"/>
                      <w:color w:val="auto"/>
                      <w:lang w:val="en-US" w:eastAsia="zh-CN"/>
                    </w:rPr>
                    <w:t>委托资质单位处置</w:t>
                  </w:r>
                  <w:r>
                    <w:rPr>
                      <w:rFonts w:ascii="Times New Roman" w:hAnsi="Times New Roman" w:cs="Times New Roman" w:hint="eastAsia"/>
                      <w:color w:val="auto"/>
                      <w:lang w:val="en-US" w:eastAsia="zh-CN"/>
                    </w:rPr>
                    <w:t>或回收再利用</w:t>
                  </w:r>
                </w:p>
              </w:tc>
            </w:tr>
          </w:tbl>
          <w:p w14:paraId="51F6EC5A">
            <w:pPr>
              <w:rPr>
                <w:rFonts w:ascii="Times New Roman" w:eastAsia="宋体" w:hAnsi="Times New Roman" w:cs="Times New Roman" w:hint="default"/>
                <w:bCs/>
                <w:color w:val="auto"/>
                <w:szCs w:val="21"/>
                <w:highlight w:val="none"/>
              </w:rPr>
            </w:pPr>
          </w:p>
        </w:tc>
      </w:tr>
      <w:tr w14:paraId="025B5748">
        <w:tblPrEx>
          <w:tblW w:w="0" w:type="auto"/>
          <w:jc w:val="center"/>
          <w:tblCellMar>
            <w:top w:w="0" w:type="dxa"/>
            <w:left w:w="28" w:type="dxa"/>
            <w:bottom w:w="0" w:type="dxa"/>
            <w:right w:w="28" w:type="dxa"/>
          </w:tblCellMar>
        </w:tblPrEx>
        <w:trPr>
          <w:trHeight w:val="7399"/>
          <w:jc w:val="center"/>
        </w:trPr>
        <w:tc>
          <w:tcPr>
            <w:tcW w:w="766" w:type="dxa"/>
            <w:vAlign w:val="center"/>
          </w:tcPr>
          <w:p w14:paraId="66EF7B0F">
            <w:pPr>
              <w:pStyle w:val="NormalWeb"/>
              <w:adjustRightInd w:val="0"/>
              <w:snapToGrid w:val="0"/>
              <w:spacing w:before="0" w:beforeAutospacing="0" w:after="0" w:afterAutospacing="0"/>
              <w:jc w:val="center"/>
              <w:rPr>
                <w:rFonts w:ascii="Times New Roman" w:eastAsia="宋体" w:hAnsi="Times New Roman" w:cs="Times New Roman" w:hint="default"/>
                <w:color w:val="auto"/>
                <w:sz w:val="21"/>
                <w:szCs w:val="21"/>
                <w:highlight w:val="none"/>
              </w:rPr>
            </w:pPr>
            <w:r>
              <w:rPr>
                <w:rFonts w:ascii="Times New Roman" w:eastAsia="宋体" w:hAnsi="Times New Roman" w:cs="Times New Roman" w:hint="default"/>
                <w:bCs/>
                <w:color w:val="auto"/>
                <w:kern w:val="2"/>
                <w:szCs w:val="21"/>
                <w:highlight w:val="none"/>
              </w:rPr>
              <w:t>与项目有关的原有环境污染问题</w:t>
            </w:r>
          </w:p>
        </w:tc>
        <w:tc>
          <w:tcPr>
            <w:tcW w:w="8134" w:type="dxa"/>
          </w:tcPr>
          <w:p w14:paraId="7C27E6D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eastAsia="宋体" w:hAnsi="Times New Roman" w:cs="Times New Roman" w:hint="default"/>
                <w:b/>
                <w:bCs/>
                <w:color w:val="auto"/>
                <w:sz w:val="24"/>
                <w:szCs w:val="24"/>
                <w:highlight w:val="none"/>
                <w:lang w:val="en-US" w:eastAsia="zh-CN"/>
              </w:rPr>
            </w:pPr>
            <w:r>
              <w:rPr>
                <w:rFonts w:ascii="Times New Roman" w:eastAsia="宋体" w:hAnsi="Times New Roman" w:cs="Times New Roman" w:hint="default"/>
                <w:b/>
                <w:bCs/>
                <w:color w:val="auto"/>
                <w:sz w:val="24"/>
                <w:szCs w:val="24"/>
                <w:highlight w:val="none"/>
                <w:lang w:val="en-US" w:eastAsia="zh-CN"/>
              </w:rPr>
              <w:t>原有环境污染问题</w:t>
            </w:r>
          </w:p>
          <w:p w14:paraId="00EDA04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经现场调查，为新建项目用地为</w:t>
            </w:r>
            <w:r>
              <w:rPr>
                <w:rFonts w:ascii="Times New Roman" w:eastAsia="宋体" w:hAnsi="Times New Roman" w:cs="Times New Roman" w:hint="default"/>
                <w:bCs w:val="0"/>
                <w:color w:val="auto"/>
                <w:kern w:val="2"/>
                <w:sz w:val="24"/>
                <w:szCs w:val="24"/>
                <w:highlight w:val="none"/>
                <w:lang w:val="en-US" w:eastAsia="zh-CN" w:bidi="ar-SA"/>
              </w:rPr>
              <w:t>公用设施用地（供电用地）现状为荒地</w:t>
            </w:r>
            <w:r>
              <w:rPr>
                <w:rFonts w:ascii="Times New Roman" w:eastAsia="宋体" w:hAnsi="Times New Roman" w:cs="Times New Roman" w:hint="default"/>
                <w:color w:val="auto"/>
                <w:sz w:val="24"/>
                <w:szCs w:val="24"/>
                <w:highlight w:val="none"/>
                <w:lang w:val="en-US" w:eastAsia="zh-CN"/>
              </w:rPr>
              <w:t>，无原有遗留环境污染问题</w:t>
            </w:r>
          </w:p>
          <w:p w14:paraId="5CAFC2F5">
            <w:pPr>
              <w:keepNext w:val="0"/>
              <w:keepLines w:val="0"/>
              <w:suppressLineNumbers w:val="0"/>
              <w:spacing w:before="0" w:beforeAutospacing="0" w:after="0" w:afterAutospacing="0" w:line="360" w:lineRule="auto"/>
              <w:ind w:left="0" w:right="0" w:firstLine="420" w:firstLineChars="200"/>
              <w:rPr>
                <w:rFonts w:ascii="Times New Roman" w:eastAsia="宋体" w:hAnsi="Times New Roman" w:cs="Times New Roman" w:hint="default"/>
                <w:color w:val="auto"/>
              </w:rPr>
            </w:pPr>
          </w:p>
        </w:tc>
      </w:tr>
    </w:tbl>
    <w:p w14:paraId="09F16C31">
      <w:pPr>
        <w:pStyle w:val="lh--"/>
        <w:rPr>
          <w:rFonts w:ascii="Times New Roman" w:eastAsia="宋体" w:hAnsi="Times New Roman" w:cs="Times New Roman" w:hint="default"/>
          <w:snapToGrid w:val="0"/>
          <w:color w:val="auto"/>
          <w:highlight w:val="none"/>
        </w:rPr>
        <w:sectPr>
          <w:pgSz w:w="11906" w:h="16838"/>
          <w:pgMar w:top="1701" w:right="1531" w:bottom="1701" w:left="1531" w:header="851" w:footer="851" w:gutter="0"/>
          <w:pgBorders>
            <w:top w:val="none" w:sz="0" w:space="0" w:color="auto"/>
            <w:left w:val="none" w:sz="0" w:space="0" w:color="auto"/>
            <w:bottom w:val="none" w:sz="0" w:space="0" w:color="auto"/>
            <w:right w:val="none" w:sz="0" w:space="0" w:color="auto"/>
          </w:pgBorders>
          <w:pgNumType w:fmt="decimal"/>
          <w:cols w:num="1" w:space="720"/>
          <w:docGrid w:type="lines" w:linePitch="312" w:charSpace="0"/>
        </w:sectPr>
      </w:pPr>
    </w:p>
    <w:p w14:paraId="2CCFFA81">
      <w:pPr>
        <w:pStyle w:val="NormalWeb"/>
        <w:spacing w:before="0" w:beforeAutospacing="0" w:after="0" w:afterAutospacing="0" w:line="480" w:lineRule="auto"/>
        <w:jc w:val="center"/>
        <w:outlineLvl w:val="0"/>
        <w:rPr>
          <w:rFonts w:ascii="Times New Roman" w:eastAsia="宋体" w:hAnsi="Times New Roman" w:cs="Times New Roman" w:hint="default"/>
          <w:snapToGrid w:val="0"/>
          <w:color w:val="auto"/>
          <w:sz w:val="30"/>
          <w:szCs w:val="30"/>
          <w:highlight w:val="none"/>
        </w:rPr>
      </w:pPr>
      <w:r>
        <w:rPr>
          <w:rFonts w:ascii="Times New Roman" w:eastAsia="宋体" w:hAnsi="Times New Roman" w:cs="Times New Roman" w:hint="default"/>
          <w:snapToGrid w:val="0"/>
          <w:color w:val="auto"/>
          <w:sz w:val="30"/>
          <w:szCs w:val="30"/>
          <w:highlight w:val="none"/>
        </w:rPr>
        <w:t>三、区域环境质量现状、环境保护目标及评价标准</w:t>
      </w:r>
    </w:p>
    <w:tbl>
      <w:tblPr>
        <w:tblStyle w:val="TableNormal"/>
        <w:tblW w:w="906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108" w:type="dxa"/>
          <w:bottom w:w="0" w:type="dxa"/>
          <w:right w:w="108" w:type="dxa"/>
        </w:tblCellMar>
      </w:tblPr>
      <w:tblGrid>
        <w:gridCol w:w="456"/>
        <w:gridCol w:w="8605"/>
      </w:tblGrid>
      <w:tr w14:paraId="197444EA">
        <w:tblPrEx>
          <w:tblW w:w="906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108" w:type="dxa"/>
            <w:bottom w:w="0" w:type="dxa"/>
            <w:right w:w="108" w:type="dxa"/>
          </w:tblCellMar>
        </w:tblPrEx>
        <w:trPr>
          <w:trHeight w:val="1264"/>
          <w:jc w:val="center"/>
        </w:trPr>
        <w:tc>
          <w:tcPr>
            <w:tcW w:w="454" w:type="dxa"/>
            <w:vAlign w:val="center"/>
          </w:tcPr>
          <w:p w14:paraId="0DB7D493">
            <w:pPr>
              <w:adjustRightInd w:val="0"/>
              <w:snapToGrid w:val="0"/>
              <w:jc w:val="center"/>
              <w:rPr>
                <w:rFonts w:ascii="Times New Roman" w:eastAsia="宋体" w:hAnsi="Times New Roman" w:cs="Times New Roman" w:hint="default"/>
                <w:color w:val="auto"/>
                <w:kern w:val="0"/>
                <w:sz w:val="24"/>
                <w:szCs w:val="21"/>
                <w:highlight w:val="none"/>
              </w:rPr>
            </w:pPr>
            <w:r>
              <w:rPr>
                <w:rFonts w:ascii="Times New Roman" w:eastAsia="宋体" w:hAnsi="Times New Roman" w:cs="Times New Roman" w:hint="default"/>
                <w:color w:val="auto"/>
                <w:kern w:val="0"/>
                <w:sz w:val="24"/>
                <w:szCs w:val="21"/>
                <w:highlight w:val="none"/>
              </w:rPr>
              <w:t>区域</w:t>
            </w:r>
          </w:p>
          <w:p w14:paraId="77F2835E">
            <w:pPr>
              <w:adjustRightInd w:val="0"/>
              <w:snapToGrid w:val="0"/>
              <w:jc w:val="center"/>
              <w:rPr>
                <w:rFonts w:ascii="Times New Roman" w:eastAsia="宋体" w:hAnsi="Times New Roman" w:cs="Times New Roman" w:hint="default"/>
                <w:color w:val="auto"/>
                <w:kern w:val="0"/>
                <w:sz w:val="24"/>
                <w:szCs w:val="21"/>
                <w:highlight w:val="none"/>
              </w:rPr>
            </w:pPr>
            <w:r>
              <w:rPr>
                <w:rFonts w:ascii="Times New Roman" w:eastAsia="宋体" w:hAnsi="Times New Roman" w:cs="Times New Roman" w:hint="default"/>
                <w:color w:val="auto"/>
                <w:kern w:val="0"/>
                <w:sz w:val="24"/>
                <w:szCs w:val="21"/>
                <w:highlight w:val="none"/>
              </w:rPr>
              <w:t>环境</w:t>
            </w:r>
          </w:p>
          <w:p w14:paraId="2C98E849">
            <w:pPr>
              <w:adjustRightInd w:val="0"/>
              <w:snapToGrid w:val="0"/>
              <w:jc w:val="center"/>
              <w:rPr>
                <w:rFonts w:ascii="Times New Roman" w:eastAsia="宋体" w:hAnsi="Times New Roman" w:cs="Times New Roman" w:hint="default"/>
                <w:color w:val="auto"/>
                <w:kern w:val="0"/>
                <w:sz w:val="24"/>
                <w:szCs w:val="21"/>
                <w:highlight w:val="none"/>
              </w:rPr>
            </w:pPr>
            <w:r>
              <w:rPr>
                <w:rFonts w:ascii="Times New Roman" w:eastAsia="宋体" w:hAnsi="Times New Roman" w:cs="Times New Roman" w:hint="default"/>
                <w:color w:val="auto"/>
                <w:kern w:val="0"/>
                <w:sz w:val="24"/>
                <w:szCs w:val="21"/>
                <w:highlight w:val="none"/>
              </w:rPr>
              <w:t>质量</w:t>
            </w:r>
          </w:p>
          <w:p w14:paraId="688B7B4A">
            <w:pPr>
              <w:adjustRightInd w:val="0"/>
              <w:snapToGrid w:val="0"/>
              <w:jc w:val="center"/>
              <w:rPr>
                <w:rFonts w:ascii="Times New Roman" w:eastAsia="宋体" w:hAnsi="Times New Roman" w:cs="Times New Roman" w:hint="default"/>
                <w:color w:val="auto"/>
                <w:kern w:val="0"/>
                <w:sz w:val="24"/>
                <w:szCs w:val="21"/>
                <w:highlight w:val="none"/>
              </w:rPr>
            </w:pPr>
            <w:r>
              <w:rPr>
                <w:rFonts w:ascii="Times New Roman" w:eastAsia="宋体" w:hAnsi="Times New Roman" w:cs="Times New Roman" w:hint="default"/>
                <w:color w:val="auto"/>
                <w:kern w:val="0"/>
                <w:sz w:val="24"/>
                <w:szCs w:val="21"/>
                <w:highlight w:val="none"/>
              </w:rPr>
              <w:t>现状</w:t>
            </w:r>
          </w:p>
        </w:tc>
        <w:tc>
          <w:tcPr>
            <w:tcW w:w="8607" w:type="dxa"/>
            <w:vAlign w:val="center"/>
          </w:tcPr>
          <w:p w14:paraId="2EF7E502">
            <w:pPr>
              <w:pStyle w:val="TableText"/>
              <w:spacing w:before="41" w:line="219" w:lineRule="auto"/>
              <w:ind w:left="593"/>
              <w:rPr>
                <w:rFonts w:ascii="Times New Roman" w:eastAsia="宋体" w:hAnsi="Times New Roman" w:cs="Times New Roman" w:hint="default"/>
                <w:color w:val="auto"/>
              </w:rPr>
            </w:pPr>
            <w:r>
              <w:rPr>
                <w:rFonts w:ascii="Times New Roman" w:eastAsia="宋体" w:hAnsi="Times New Roman" w:cs="Times New Roman" w:hint="default"/>
                <w:b/>
                <w:bCs/>
                <w:color w:val="auto"/>
                <w:spacing w:val="-4"/>
              </w:rPr>
              <w:t>1</w:t>
            </w:r>
            <w:r>
              <w:rPr>
                <w:rFonts w:ascii="Times New Roman" w:eastAsia="宋体" w:hAnsi="Times New Roman" w:cs="Times New Roman" w:hint="default"/>
                <w:b/>
                <w:bCs/>
                <w:color w:val="auto"/>
                <w:spacing w:val="-30"/>
              </w:rPr>
              <w:t xml:space="preserve"> </w:t>
            </w:r>
            <w:r>
              <w:rPr>
                <w:rFonts w:ascii="Times New Roman" w:eastAsia="宋体" w:hAnsi="Times New Roman" w:cs="Times New Roman" w:hint="default"/>
                <w:color w:val="auto"/>
                <w:spacing w:val="-4"/>
                <w14:textOutline w14:w="4358" w14:cap="sq">
                  <w14:solidFill>
                    <w14:srgbClr w14:val="000000"/>
                  </w14:solidFill>
                  <w14:bevel/>
                </w14:textOutline>
              </w:rPr>
              <w:t>、环境空气质量现状</w:t>
            </w:r>
          </w:p>
          <w:p w14:paraId="64E69FC9">
            <w:pPr>
              <w:pStyle w:val="TableText"/>
              <w:spacing w:before="181" w:line="359" w:lineRule="auto"/>
              <w:ind w:left="106" w:right="50" w:firstLine="481"/>
              <w:jc w:val="both"/>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spacing w:val="2"/>
              </w:rPr>
              <w:t>本项目位于承德市围场满族蒙古族自治县，根据《202</w:t>
            </w:r>
            <w:r>
              <w:rPr>
                <w:rFonts w:ascii="Times New Roman" w:hAnsi="Times New Roman" w:cs="Times New Roman" w:hint="eastAsia"/>
                <w:color w:val="auto"/>
                <w:spacing w:val="2"/>
                <w:lang w:val="en-US" w:eastAsia="zh-CN"/>
              </w:rPr>
              <w:t>3</w:t>
            </w:r>
            <w:r>
              <w:rPr>
                <w:rFonts w:ascii="Times New Roman" w:eastAsia="宋体" w:hAnsi="Times New Roman" w:cs="Times New Roman" w:hint="default"/>
                <w:color w:val="auto"/>
                <w:spacing w:val="2"/>
              </w:rPr>
              <w:t>年承</w:t>
            </w:r>
            <w:r>
              <w:rPr>
                <w:rFonts w:ascii="Times New Roman" w:eastAsia="宋体" w:hAnsi="Times New Roman" w:cs="Times New Roman" w:hint="default"/>
                <w:color w:val="auto"/>
                <w:spacing w:val="1"/>
              </w:rPr>
              <w:t>德市生态环境状</w:t>
            </w:r>
            <w:r>
              <w:rPr>
                <w:rFonts w:ascii="Times New Roman" w:eastAsia="宋体" w:hAnsi="Times New Roman" w:cs="Times New Roman" w:hint="default"/>
                <w:color w:val="auto"/>
                <w:spacing w:val="-3"/>
              </w:rPr>
              <w:t>况公报》中围场满族蒙古族自治县大气常规污染物中的</w:t>
            </w:r>
            <w:r>
              <w:rPr>
                <w:rFonts w:ascii="Times New Roman" w:eastAsia="宋体" w:hAnsi="Times New Roman" w:cs="Times New Roman" w:hint="default"/>
                <w:color w:val="auto"/>
                <w:spacing w:val="-3"/>
                <w:lang w:val="en-US" w:eastAsia="zh-CN"/>
              </w:rPr>
              <w:t>PM</w:t>
            </w:r>
            <w:r>
              <w:rPr>
                <w:rFonts w:ascii="Times New Roman" w:eastAsia="宋体" w:hAnsi="Times New Roman" w:cs="Times New Roman" w:hint="default"/>
                <w:color w:val="auto"/>
                <w:spacing w:val="-3"/>
                <w:position w:val="-1"/>
                <w:sz w:val="15"/>
                <w:szCs w:val="15"/>
              </w:rPr>
              <w:t>10</w:t>
            </w:r>
            <w:r>
              <w:rPr>
                <w:rFonts w:ascii="Times New Roman" w:eastAsia="宋体" w:hAnsi="Times New Roman" w:cs="Times New Roman" w:hint="default"/>
                <w:color w:val="auto"/>
                <w:spacing w:val="-13"/>
                <w:position w:val="-1"/>
                <w:sz w:val="15"/>
                <w:szCs w:val="15"/>
              </w:rPr>
              <w:t xml:space="preserve"> </w:t>
            </w:r>
            <w:r>
              <w:rPr>
                <w:rFonts w:ascii="Times New Roman" w:eastAsia="宋体" w:hAnsi="Times New Roman" w:cs="Times New Roman" w:hint="default"/>
                <w:color w:val="auto"/>
                <w:spacing w:val="-3"/>
              </w:rPr>
              <w:t>、PM</w:t>
            </w:r>
            <w:r>
              <w:rPr>
                <w:rFonts w:ascii="Times New Roman" w:eastAsia="宋体" w:hAnsi="Times New Roman" w:cs="Times New Roman" w:hint="default"/>
                <w:color w:val="auto"/>
                <w:spacing w:val="-3"/>
                <w:position w:val="-1"/>
                <w:sz w:val="15"/>
                <w:szCs w:val="15"/>
              </w:rPr>
              <w:t>2.5</w:t>
            </w:r>
            <w:r>
              <w:rPr>
                <w:rFonts w:ascii="Times New Roman" w:eastAsia="宋体" w:hAnsi="Times New Roman" w:cs="Times New Roman" w:hint="default"/>
                <w:color w:val="auto"/>
                <w:spacing w:val="-12"/>
                <w:position w:val="-1"/>
                <w:sz w:val="15"/>
                <w:szCs w:val="15"/>
              </w:rPr>
              <w:t xml:space="preserve"> </w:t>
            </w:r>
            <w:r>
              <w:rPr>
                <w:rFonts w:ascii="Times New Roman" w:eastAsia="宋体" w:hAnsi="Times New Roman" w:cs="Times New Roman" w:hint="default"/>
                <w:color w:val="auto"/>
                <w:spacing w:val="-3"/>
              </w:rPr>
              <w:t>、SO</w:t>
            </w:r>
            <w:r>
              <w:rPr>
                <w:rFonts w:ascii="Times New Roman" w:eastAsia="宋体" w:hAnsi="Times New Roman" w:cs="Times New Roman" w:hint="default"/>
                <w:color w:val="auto"/>
                <w:spacing w:val="-3"/>
                <w:position w:val="-1"/>
                <w:sz w:val="15"/>
                <w:szCs w:val="15"/>
              </w:rPr>
              <w:t>2</w:t>
            </w:r>
            <w:r>
              <w:rPr>
                <w:rFonts w:ascii="Times New Roman" w:eastAsia="宋体" w:hAnsi="Times New Roman" w:cs="Times New Roman" w:hint="default"/>
                <w:color w:val="auto"/>
                <w:spacing w:val="-13"/>
                <w:position w:val="-1"/>
                <w:sz w:val="15"/>
                <w:szCs w:val="15"/>
              </w:rPr>
              <w:t xml:space="preserve"> </w:t>
            </w:r>
            <w:r>
              <w:rPr>
                <w:rFonts w:ascii="Times New Roman" w:eastAsia="宋体" w:hAnsi="Times New Roman" w:cs="Times New Roman" w:hint="default"/>
                <w:color w:val="auto"/>
                <w:spacing w:val="-3"/>
              </w:rPr>
              <w:t>、NO</w:t>
            </w:r>
            <w:r>
              <w:rPr>
                <w:rFonts w:ascii="Times New Roman" w:eastAsia="宋体" w:hAnsi="Times New Roman" w:cs="Times New Roman" w:hint="default"/>
                <w:color w:val="auto"/>
                <w:spacing w:val="-3"/>
                <w:position w:val="-1"/>
                <w:sz w:val="15"/>
                <w:szCs w:val="15"/>
              </w:rPr>
              <w:t>2</w:t>
            </w:r>
            <w:r>
              <w:rPr>
                <w:rFonts w:ascii="Times New Roman" w:eastAsia="宋体" w:hAnsi="Times New Roman" w:cs="Times New Roman" w:hint="default"/>
                <w:color w:val="auto"/>
                <w:spacing w:val="-3"/>
              </w:rPr>
              <w:t>、</w:t>
            </w:r>
            <w:r>
              <w:rPr>
                <w:rFonts w:ascii="Times New Roman" w:eastAsia="宋体" w:hAnsi="Times New Roman" w:cs="Times New Roman" w:hint="default"/>
                <w:color w:val="auto"/>
                <w:spacing w:val="-1"/>
              </w:rPr>
              <w:t>CO、O</w:t>
            </w:r>
            <w:r>
              <w:rPr>
                <w:rFonts w:ascii="Times New Roman" w:eastAsia="宋体" w:hAnsi="Times New Roman" w:cs="Times New Roman" w:hint="default"/>
                <w:color w:val="auto"/>
                <w:spacing w:val="-1"/>
                <w:position w:val="-1"/>
                <w:sz w:val="15"/>
                <w:szCs w:val="15"/>
              </w:rPr>
              <w:t>3</w:t>
            </w:r>
            <w:r>
              <w:rPr>
                <w:rFonts w:ascii="Times New Roman" w:eastAsia="宋体" w:hAnsi="Times New Roman" w:cs="Times New Roman" w:hint="default"/>
                <w:color w:val="auto"/>
                <w:spacing w:val="11"/>
                <w:position w:val="-1"/>
                <w:sz w:val="15"/>
                <w:szCs w:val="15"/>
              </w:rPr>
              <w:t xml:space="preserve"> </w:t>
            </w:r>
            <w:r>
              <w:rPr>
                <w:rFonts w:ascii="Times New Roman" w:eastAsia="宋体" w:hAnsi="Times New Roman" w:cs="Times New Roman" w:hint="default"/>
                <w:color w:val="auto"/>
                <w:spacing w:val="-1"/>
              </w:rPr>
              <w:t>现状监测统计资料，说明建设项目拟建地区的环境</w:t>
            </w:r>
            <w:r>
              <w:rPr>
                <w:rFonts w:ascii="Times New Roman" w:eastAsia="宋体" w:hAnsi="Times New Roman" w:cs="Times New Roman" w:hint="default"/>
                <w:color w:val="auto"/>
                <w:spacing w:val="-2"/>
              </w:rPr>
              <w:t>空气质量，监测结果见</w:t>
            </w:r>
            <w:r>
              <w:rPr>
                <w:rFonts w:ascii="Times New Roman" w:eastAsia="宋体" w:hAnsi="Times New Roman" w:cs="Times New Roman" w:hint="default"/>
                <w:color w:val="auto"/>
                <w:spacing w:val="-2"/>
                <w:lang w:val="en-US" w:eastAsia="zh-CN"/>
              </w:rPr>
              <w:t>表</w:t>
            </w:r>
          </w:p>
          <w:p w14:paraId="2B83717F">
            <w:pPr>
              <w:pStyle w:val="TableText"/>
              <w:spacing w:before="176" w:line="222" w:lineRule="auto"/>
              <w:ind w:left="2680"/>
              <w:rPr>
                <w:rFonts w:ascii="Times New Roman" w:eastAsia="宋体" w:hAnsi="Times New Roman" w:cs="Times New Roman" w:hint="default"/>
                <w:color w:val="auto"/>
                <w:sz w:val="20"/>
                <w:szCs w:val="20"/>
              </w:rPr>
            </w:pPr>
            <w:r>
              <w:rPr>
                <w:rFonts w:ascii="Times New Roman" w:eastAsia="宋体" w:hAnsi="Times New Roman" w:cs="Times New Roman" w:hint="default"/>
                <w:color w:val="auto"/>
                <w:spacing w:val="7"/>
                <w:sz w:val="20"/>
                <w:szCs w:val="20"/>
                <w14:textOutline w14:w="3795" w14:cap="sq">
                  <w14:solidFill>
                    <w14:srgbClr w14:val="000000"/>
                  </w14:solidFill>
                  <w14:bevel/>
                </w14:textOutline>
              </w:rPr>
              <w:t>表</w:t>
            </w:r>
            <w:r>
              <w:rPr>
                <w:rFonts w:ascii="Times New Roman" w:eastAsia="宋体" w:hAnsi="Times New Roman" w:cs="Times New Roman" w:hint="default"/>
                <w:color w:val="auto"/>
                <w:spacing w:val="-42"/>
                <w:sz w:val="20"/>
                <w:szCs w:val="20"/>
              </w:rPr>
              <w:t xml:space="preserve"> </w:t>
            </w:r>
            <w:r>
              <w:rPr>
                <w:rFonts w:ascii="Times New Roman" w:eastAsia="宋体" w:hAnsi="Times New Roman" w:cs="Times New Roman" w:hint="default"/>
                <w:b/>
                <w:bCs/>
                <w:color w:val="auto"/>
                <w:spacing w:val="7"/>
                <w:sz w:val="20"/>
                <w:szCs w:val="20"/>
              </w:rPr>
              <w:t xml:space="preserve">3-1     </w:t>
            </w:r>
            <w:r>
              <w:rPr>
                <w:rFonts w:ascii="Times New Roman" w:eastAsia="宋体" w:hAnsi="Times New Roman" w:cs="Times New Roman" w:hint="default"/>
                <w:color w:val="auto"/>
                <w:spacing w:val="7"/>
                <w:sz w:val="20"/>
                <w:szCs w:val="20"/>
                <w14:textOutline w14:w="3795" w14:cap="sq">
                  <w14:solidFill>
                    <w14:srgbClr w14:val="000000"/>
                  </w14:solidFill>
                  <w14:bevel/>
                </w14:textOutline>
              </w:rPr>
              <w:t>区域空气质量现状及评价表</w:t>
            </w:r>
          </w:p>
          <w:tbl>
            <w:tblPr>
              <w:tblStyle w:val="TableNormal0"/>
              <w:tblW w:w="499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934"/>
              <w:gridCol w:w="3008"/>
              <w:gridCol w:w="1108"/>
              <w:gridCol w:w="1108"/>
              <w:gridCol w:w="1108"/>
              <w:gridCol w:w="1111"/>
            </w:tblGrid>
            <w:tr w14:paraId="0BCD182D">
              <w:tblPrEx>
                <w:tblW w:w="499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688"/>
              </w:trPr>
              <w:tc>
                <w:tcPr>
                  <w:tcW w:w="557" w:type="pct"/>
                  <w:tcBorders>
                    <w:tl2br w:val="nil"/>
                    <w:tr2bl w:val="nil"/>
                  </w:tcBorders>
                  <w:vAlign w:val="center"/>
                </w:tcPr>
                <w:p w14:paraId="16A10023">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rPr>
                    <w:t>污染物</w:t>
                  </w:r>
                </w:p>
              </w:tc>
              <w:tc>
                <w:tcPr>
                  <w:tcW w:w="1794" w:type="pct"/>
                  <w:tcBorders>
                    <w:tl2br w:val="nil"/>
                    <w:tr2bl w:val="nil"/>
                  </w:tcBorders>
                  <w:vAlign w:val="center"/>
                </w:tcPr>
                <w:p w14:paraId="1B1C9580">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lang w:eastAsia="zh-CN"/>
                    </w:rPr>
                    <w:t>年度</w:t>
                  </w:r>
                  <w:r>
                    <w:rPr>
                      <w:rFonts w:ascii="Times New Roman" w:eastAsia="宋体" w:hAnsi="Times New Roman" w:cs="Times New Roman" w:hint="default"/>
                      <w:color w:val="auto"/>
                      <w:spacing w:val="8"/>
                      <w:sz w:val="21"/>
                      <w:szCs w:val="21"/>
                    </w:rPr>
                    <w:t>评价指标</w:t>
                  </w:r>
                </w:p>
              </w:tc>
              <w:tc>
                <w:tcPr>
                  <w:tcW w:w="661" w:type="pct"/>
                  <w:tcBorders>
                    <w:tl2br w:val="nil"/>
                    <w:tr2bl w:val="nil"/>
                  </w:tcBorders>
                  <w:vAlign w:val="center"/>
                </w:tcPr>
                <w:p w14:paraId="5E4E7B91">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rPr>
                    <w:t>现状浓度</w:t>
                  </w:r>
                  <w:r>
                    <w:rPr>
                      <w:rFonts w:ascii="Times New Roman" w:eastAsia="宋体" w:hAnsi="Times New Roman" w:cs="Times New Roman" w:hint="default"/>
                      <w:color w:val="auto"/>
                      <w:spacing w:val="8"/>
                      <w:sz w:val="21"/>
                      <w:szCs w:val="21"/>
                      <w:lang w:eastAsia="zh-CN"/>
                    </w:rPr>
                    <w:t>（</w:t>
                  </w:r>
                  <w:r>
                    <w:rPr>
                      <w:rFonts w:ascii="Times New Roman" w:eastAsia="宋体" w:hAnsi="Times New Roman" w:cs="Times New Roman" w:hint="default"/>
                      <w:color w:val="auto"/>
                      <w:spacing w:val="8"/>
                      <w:sz w:val="21"/>
                      <w:szCs w:val="21"/>
                    </w:rPr>
                    <w:t>μg/m</w:t>
                  </w:r>
                  <w:r>
                    <w:rPr>
                      <w:rFonts w:ascii="Times New Roman" w:eastAsia="宋体" w:hAnsi="Times New Roman" w:cs="Times New Roman" w:hint="default"/>
                      <w:color w:val="auto"/>
                      <w:spacing w:val="8"/>
                      <w:sz w:val="21"/>
                      <w:szCs w:val="21"/>
                      <w:vertAlign w:val="superscript"/>
                    </w:rPr>
                    <w:t>3</w:t>
                  </w:r>
                  <w:r>
                    <w:rPr>
                      <w:rFonts w:ascii="Times New Roman" w:eastAsia="宋体" w:hAnsi="Times New Roman" w:cs="Times New Roman" w:hint="default"/>
                      <w:color w:val="auto"/>
                      <w:spacing w:val="8"/>
                      <w:sz w:val="21"/>
                      <w:szCs w:val="21"/>
                    </w:rPr>
                    <w:t>）</w:t>
                  </w:r>
                </w:p>
              </w:tc>
              <w:tc>
                <w:tcPr>
                  <w:tcW w:w="661" w:type="pct"/>
                  <w:tcBorders>
                    <w:tl2br w:val="nil"/>
                    <w:tr2bl w:val="nil"/>
                  </w:tcBorders>
                  <w:vAlign w:val="center"/>
                </w:tcPr>
                <w:p w14:paraId="6DD726E6">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rPr>
                    <w:t xml:space="preserve">标准值  </w:t>
                  </w:r>
                  <w:r>
                    <w:rPr>
                      <w:rFonts w:ascii="Times New Roman" w:eastAsia="宋体" w:hAnsi="Times New Roman" w:cs="Times New Roman" w:hint="default"/>
                      <w:color w:val="auto"/>
                      <w:spacing w:val="8"/>
                      <w:sz w:val="21"/>
                      <w:szCs w:val="21"/>
                      <w:lang w:eastAsia="zh-CN"/>
                    </w:rPr>
                    <w:t>（</w:t>
                  </w:r>
                  <w:r>
                    <w:rPr>
                      <w:rFonts w:ascii="Times New Roman" w:eastAsia="宋体" w:hAnsi="Times New Roman" w:cs="Times New Roman" w:hint="default"/>
                      <w:color w:val="auto"/>
                      <w:spacing w:val="8"/>
                      <w:sz w:val="21"/>
                      <w:szCs w:val="21"/>
                    </w:rPr>
                    <w:t>μg/m</w:t>
                  </w:r>
                  <w:r>
                    <w:rPr>
                      <w:rFonts w:ascii="Times New Roman" w:eastAsia="宋体" w:hAnsi="Times New Roman" w:cs="Times New Roman" w:hint="default"/>
                      <w:color w:val="auto"/>
                      <w:spacing w:val="8"/>
                      <w:sz w:val="21"/>
                      <w:szCs w:val="21"/>
                      <w:vertAlign w:val="superscript"/>
                    </w:rPr>
                    <w:t>3</w:t>
                  </w:r>
                  <w:r>
                    <w:rPr>
                      <w:rFonts w:ascii="Times New Roman" w:eastAsia="宋体" w:hAnsi="Times New Roman" w:cs="Times New Roman" w:hint="default"/>
                      <w:color w:val="auto"/>
                      <w:spacing w:val="8"/>
                      <w:sz w:val="21"/>
                      <w:szCs w:val="21"/>
                    </w:rPr>
                    <w:t>）</w:t>
                  </w:r>
                </w:p>
              </w:tc>
              <w:tc>
                <w:tcPr>
                  <w:tcW w:w="661" w:type="pct"/>
                  <w:tcBorders>
                    <w:tl2br w:val="nil"/>
                    <w:tr2bl w:val="nil"/>
                  </w:tcBorders>
                  <w:vAlign w:val="center"/>
                </w:tcPr>
                <w:p w14:paraId="653E8971">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rPr>
                    <w:t>占标率（%）</w:t>
                  </w:r>
                </w:p>
              </w:tc>
              <w:tc>
                <w:tcPr>
                  <w:tcW w:w="662" w:type="pct"/>
                  <w:tcBorders>
                    <w:tl2br w:val="nil"/>
                    <w:tr2bl w:val="nil"/>
                  </w:tcBorders>
                  <w:vAlign w:val="center"/>
                </w:tcPr>
                <w:p w14:paraId="239AE094">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rPr>
                    <w:t>达标情况</w:t>
                  </w:r>
                </w:p>
              </w:tc>
            </w:tr>
            <w:tr w14:paraId="267EBE3B">
              <w:tblPrEx>
                <w:tblW w:w="4996" w:type="pct"/>
                <w:tblInd w:w="0" w:type="dxa"/>
                <w:tblCellMar>
                  <w:top w:w="0" w:type="dxa"/>
                  <w:left w:w="0" w:type="dxa"/>
                  <w:bottom w:w="0" w:type="dxa"/>
                  <w:right w:w="0" w:type="dxa"/>
                </w:tblCellMar>
              </w:tblPrEx>
              <w:trPr>
                <w:trHeight w:val="404"/>
              </w:trPr>
              <w:tc>
                <w:tcPr>
                  <w:tcW w:w="557" w:type="pct"/>
                  <w:tcBorders>
                    <w:tl2br w:val="nil"/>
                    <w:tr2bl w:val="nil"/>
                  </w:tcBorders>
                  <w:vAlign w:val="center"/>
                </w:tcPr>
                <w:p w14:paraId="2AFC4D41">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rPr>
                    <w:t>PM</w:t>
                  </w:r>
                  <w:r>
                    <w:rPr>
                      <w:rFonts w:ascii="Times New Roman" w:eastAsia="宋体" w:hAnsi="Times New Roman" w:cs="Times New Roman" w:hint="default"/>
                      <w:color w:val="auto"/>
                      <w:spacing w:val="8"/>
                      <w:sz w:val="21"/>
                      <w:szCs w:val="21"/>
                      <w:vertAlign w:val="subscript"/>
                    </w:rPr>
                    <w:t>2.5</w:t>
                  </w:r>
                </w:p>
              </w:tc>
              <w:tc>
                <w:tcPr>
                  <w:tcW w:w="1794" w:type="pct"/>
                  <w:tcBorders>
                    <w:tl2br w:val="nil"/>
                    <w:tr2bl w:val="nil"/>
                  </w:tcBorders>
                  <w:vAlign w:val="center"/>
                </w:tcPr>
                <w:p w14:paraId="0408131C">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rPr>
                    <w:t>年平均质量浓度</w:t>
                  </w:r>
                </w:p>
              </w:tc>
              <w:tc>
                <w:tcPr>
                  <w:tcW w:w="661" w:type="pct"/>
                  <w:tcBorders>
                    <w:tl2br w:val="nil"/>
                    <w:tr2bl w:val="nil"/>
                  </w:tcBorders>
                  <w:vAlign w:val="center"/>
                </w:tcPr>
                <w:p w14:paraId="322A2511">
                  <w:pPr>
                    <w:pStyle w:val="TableText"/>
                    <w:spacing w:before="101" w:line="228" w:lineRule="auto"/>
                    <w:jc w:val="center"/>
                    <w:rPr>
                      <w:rFonts w:ascii="Times New Roman" w:eastAsia="宋体" w:hAnsi="Times New Roman" w:cs="Times New Roman" w:hint="default"/>
                      <w:color w:val="auto"/>
                      <w:spacing w:val="8"/>
                      <w:sz w:val="21"/>
                      <w:szCs w:val="21"/>
                      <w:lang w:val="en-US" w:eastAsia="zh-CN"/>
                    </w:rPr>
                  </w:pPr>
                  <w:r>
                    <w:rPr>
                      <w:rFonts w:ascii="Times New Roman" w:eastAsia="宋体" w:hAnsi="Times New Roman" w:cs="Times New Roman" w:hint="default"/>
                      <w:color w:val="auto"/>
                      <w:spacing w:val="8"/>
                      <w:sz w:val="21"/>
                      <w:szCs w:val="21"/>
                      <w:lang w:val="en-US" w:eastAsia="zh-CN"/>
                    </w:rPr>
                    <w:t>18</w:t>
                  </w:r>
                </w:p>
              </w:tc>
              <w:tc>
                <w:tcPr>
                  <w:tcW w:w="661" w:type="pct"/>
                  <w:tcBorders>
                    <w:tl2br w:val="nil"/>
                    <w:tr2bl w:val="nil"/>
                  </w:tcBorders>
                  <w:vAlign w:val="center"/>
                </w:tcPr>
                <w:p w14:paraId="0B6D2A97">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rPr>
                    <w:t>35</w:t>
                  </w:r>
                </w:p>
              </w:tc>
              <w:tc>
                <w:tcPr>
                  <w:tcW w:w="661" w:type="pct"/>
                  <w:tcBorders>
                    <w:tl2br w:val="nil"/>
                    <w:tr2bl w:val="nil"/>
                  </w:tcBorders>
                  <w:vAlign w:val="center"/>
                </w:tcPr>
                <w:p w14:paraId="3ECCC849">
                  <w:pPr>
                    <w:pStyle w:val="TableText"/>
                    <w:spacing w:before="101" w:line="228" w:lineRule="auto"/>
                    <w:jc w:val="center"/>
                    <w:rPr>
                      <w:rFonts w:ascii="Times New Roman" w:eastAsia="宋体" w:hAnsi="Times New Roman" w:cs="Times New Roman" w:hint="default"/>
                      <w:color w:val="auto"/>
                      <w:spacing w:val="8"/>
                      <w:sz w:val="21"/>
                      <w:szCs w:val="21"/>
                      <w:lang w:val="en-US" w:eastAsia="zh-CN"/>
                    </w:rPr>
                  </w:pPr>
                  <w:r>
                    <w:rPr>
                      <w:rFonts w:ascii="Times New Roman" w:eastAsia="宋体" w:hAnsi="Times New Roman" w:cs="Times New Roman" w:hint="default"/>
                      <w:color w:val="auto"/>
                      <w:spacing w:val="8"/>
                      <w:sz w:val="21"/>
                      <w:szCs w:val="21"/>
                    </w:rPr>
                    <w:t>54</w:t>
                  </w:r>
                  <w:r>
                    <w:rPr>
                      <w:rFonts w:ascii="Times New Roman" w:eastAsia="宋体" w:hAnsi="Times New Roman" w:cs="Times New Roman" w:hint="default"/>
                      <w:color w:val="auto"/>
                      <w:spacing w:val="8"/>
                      <w:sz w:val="21"/>
                      <w:szCs w:val="21"/>
                      <w:lang w:val="en-US" w:eastAsia="zh-CN"/>
                    </w:rPr>
                    <w:t>.73</w:t>
                  </w:r>
                </w:p>
              </w:tc>
              <w:tc>
                <w:tcPr>
                  <w:tcW w:w="662" w:type="pct"/>
                  <w:tcBorders>
                    <w:tl2br w:val="nil"/>
                    <w:tr2bl w:val="nil"/>
                  </w:tcBorders>
                  <w:vAlign w:val="center"/>
                </w:tcPr>
                <w:p w14:paraId="38ADC31B">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rPr>
                    <w:t>达标</w:t>
                  </w:r>
                </w:p>
              </w:tc>
            </w:tr>
            <w:tr w14:paraId="6FAED0B0">
              <w:tblPrEx>
                <w:tblW w:w="4996" w:type="pct"/>
                <w:tblInd w:w="0" w:type="dxa"/>
                <w:tblCellMar>
                  <w:top w:w="0" w:type="dxa"/>
                  <w:left w:w="0" w:type="dxa"/>
                  <w:bottom w:w="0" w:type="dxa"/>
                  <w:right w:w="0" w:type="dxa"/>
                </w:tblCellMar>
              </w:tblPrEx>
              <w:trPr>
                <w:trHeight w:val="405"/>
              </w:trPr>
              <w:tc>
                <w:tcPr>
                  <w:tcW w:w="557" w:type="pct"/>
                  <w:tcBorders>
                    <w:tl2br w:val="nil"/>
                    <w:tr2bl w:val="nil"/>
                  </w:tcBorders>
                  <w:vAlign w:val="center"/>
                </w:tcPr>
                <w:p w14:paraId="2EA431F6">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rPr>
                    <w:t>PM</w:t>
                  </w:r>
                  <w:r>
                    <w:rPr>
                      <w:rFonts w:ascii="Times New Roman" w:eastAsia="宋体" w:hAnsi="Times New Roman" w:cs="Times New Roman" w:hint="default"/>
                      <w:color w:val="auto"/>
                      <w:spacing w:val="8"/>
                      <w:sz w:val="21"/>
                      <w:szCs w:val="21"/>
                      <w:vertAlign w:val="subscript"/>
                    </w:rPr>
                    <w:t>10</w:t>
                  </w:r>
                </w:p>
              </w:tc>
              <w:tc>
                <w:tcPr>
                  <w:tcW w:w="1794" w:type="pct"/>
                  <w:tcBorders>
                    <w:tl2br w:val="nil"/>
                    <w:tr2bl w:val="nil"/>
                  </w:tcBorders>
                  <w:vAlign w:val="center"/>
                </w:tcPr>
                <w:p w14:paraId="092CED11">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rPr>
                    <w:t>年平均质量浓度</w:t>
                  </w:r>
                </w:p>
              </w:tc>
              <w:tc>
                <w:tcPr>
                  <w:tcW w:w="661" w:type="pct"/>
                  <w:tcBorders>
                    <w:tl2br w:val="nil"/>
                    <w:tr2bl w:val="nil"/>
                  </w:tcBorders>
                  <w:vAlign w:val="center"/>
                </w:tcPr>
                <w:p w14:paraId="1C0BCA72">
                  <w:pPr>
                    <w:pStyle w:val="TableText"/>
                    <w:spacing w:before="101" w:line="228" w:lineRule="auto"/>
                    <w:jc w:val="center"/>
                    <w:rPr>
                      <w:rFonts w:ascii="Times New Roman" w:eastAsia="宋体" w:hAnsi="Times New Roman" w:cs="Times New Roman" w:hint="default"/>
                      <w:color w:val="auto"/>
                      <w:spacing w:val="8"/>
                      <w:sz w:val="21"/>
                      <w:szCs w:val="21"/>
                      <w:lang w:val="en-US" w:eastAsia="zh-CN"/>
                    </w:rPr>
                  </w:pPr>
                  <w:r>
                    <w:rPr>
                      <w:rFonts w:ascii="Times New Roman" w:eastAsia="宋体" w:hAnsi="Times New Roman" w:cs="Times New Roman" w:hint="default"/>
                      <w:color w:val="auto"/>
                      <w:spacing w:val="8"/>
                      <w:sz w:val="21"/>
                      <w:szCs w:val="21"/>
                      <w:lang w:val="en-US" w:eastAsia="zh-CN"/>
                    </w:rPr>
                    <w:t>42</w:t>
                  </w:r>
                </w:p>
              </w:tc>
              <w:tc>
                <w:tcPr>
                  <w:tcW w:w="661" w:type="pct"/>
                  <w:tcBorders>
                    <w:tl2br w:val="nil"/>
                    <w:tr2bl w:val="nil"/>
                  </w:tcBorders>
                  <w:vAlign w:val="center"/>
                </w:tcPr>
                <w:p w14:paraId="0BBE2153">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rPr>
                    <w:t>70</w:t>
                  </w:r>
                </w:p>
              </w:tc>
              <w:tc>
                <w:tcPr>
                  <w:tcW w:w="661" w:type="pct"/>
                  <w:tcBorders>
                    <w:tl2br w:val="nil"/>
                    <w:tr2bl w:val="nil"/>
                  </w:tcBorders>
                  <w:vAlign w:val="center"/>
                </w:tcPr>
                <w:p w14:paraId="5D1983BA">
                  <w:pPr>
                    <w:pStyle w:val="TableText"/>
                    <w:spacing w:before="101" w:line="228" w:lineRule="auto"/>
                    <w:jc w:val="center"/>
                    <w:rPr>
                      <w:rFonts w:ascii="Times New Roman" w:eastAsia="宋体" w:hAnsi="Times New Roman" w:cs="Times New Roman" w:hint="default"/>
                      <w:color w:val="auto"/>
                      <w:spacing w:val="8"/>
                      <w:sz w:val="21"/>
                      <w:szCs w:val="21"/>
                      <w:lang w:val="en-US" w:eastAsia="zh-CN"/>
                    </w:rPr>
                  </w:pPr>
                  <w:r>
                    <w:rPr>
                      <w:rFonts w:ascii="Times New Roman" w:eastAsia="宋体" w:hAnsi="Times New Roman" w:cs="Times New Roman" w:hint="default"/>
                      <w:color w:val="auto"/>
                      <w:spacing w:val="8"/>
                      <w:sz w:val="21"/>
                      <w:szCs w:val="21"/>
                    </w:rPr>
                    <w:t>6</w:t>
                  </w:r>
                  <w:r>
                    <w:rPr>
                      <w:rFonts w:ascii="Times New Roman" w:eastAsia="宋体" w:hAnsi="Times New Roman" w:cs="Times New Roman" w:hint="default"/>
                      <w:color w:val="auto"/>
                      <w:spacing w:val="8"/>
                      <w:sz w:val="21"/>
                      <w:szCs w:val="21"/>
                      <w:lang w:val="en-US" w:eastAsia="zh-CN"/>
                    </w:rPr>
                    <w:t>0.00</w:t>
                  </w:r>
                </w:p>
              </w:tc>
              <w:tc>
                <w:tcPr>
                  <w:tcW w:w="662" w:type="pct"/>
                  <w:tcBorders>
                    <w:tl2br w:val="nil"/>
                    <w:tr2bl w:val="nil"/>
                  </w:tcBorders>
                  <w:vAlign w:val="center"/>
                </w:tcPr>
                <w:p w14:paraId="2DDD696D">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rPr>
                    <w:t>达标</w:t>
                  </w:r>
                </w:p>
              </w:tc>
            </w:tr>
            <w:tr w14:paraId="10BDCF9F">
              <w:tblPrEx>
                <w:tblW w:w="4996" w:type="pct"/>
                <w:tblInd w:w="0" w:type="dxa"/>
                <w:tblCellMar>
                  <w:top w:w="0" w:type="dxa"/>
                  <w:left w:w="0" w:type="dxa"/>
                  <w:bottom w:w="0" w:type="dxa"/>
                  <w:right w:w="0" w:type="dxa"/>
                </w:tblCellMar>
              </w:tblPrEx>
              <w:trPr>
                <w:trHeight w:val="405"/>
              </w:trPr>
              <w:tc>
                <w:tcPr>
                  <w:tcW w:w="557" w:type="pct"/>
                  <w:tcBorders>
                    <w:tl2br w:val="nil"/>
                    <w:tr2bl w:val="nil"/>
                  </w:tcBorders>
                  <w:vAlign w:val="center"/>
                </w:tcPr>
                <w:p w14:paraId="38E751DC">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rPr>
                    <w:t>SO</w:t>
                  </w:r>
                  <w:r>
                    <w:rPr>
                      <w:rFonts w:ascii="Times New Roman" w:eastAsia="宋体" w:hAnsi="Times New Roman" w:cs="Times New Roman" w:hint="default"/>
                      <w:color w:val="auto"/>
                      <w:spacing w:val="8"/>
                      <w:sz w:val="21"/>
                      <w:szCs w:val="21"/>
                      <w:vertAlign w:val="subscript"/>
                    </w:rPr>
                    <w:t>2</w:t>
                  </w:r>
                </w:p>
              </w:tc>
              <w:tc>
                <w:tcPr>
                  <w:tcW w:w="1794" w:type="pct"/>
                  <w:tcBorders>
                    <w:tl2br w:val="nil"/>
                    <w:tr2bl w:val="nil"/>
                  </w:tcBorders>
                  <w:vAlign w:val="center"/>
                </w:tcPr>
                <w:p w14:paraId="0B26529A">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rPr>
                    <w:t>年平均质量浓度</w:t>
                  </w:r>
                </w:p>
              </w:tc>
              <w:tc>
                <w:tcPr>
                  <w:tcW w:w="661" w:type="pct"/>
                  <w:tcBorders>
                    <w:tl2br w:val="nil"/>
                    <w:tr2bl w:val="nil"/>
                  </w:tcBorders>
                  <w:vAlign w:val="center"/>
                </w:tcPr>
                <w:p w14:paraId="7DBB34A5">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rPr>
                    <w:t>9</w:t>
                  </w:r>
                </w:p>
              </w:tc>
              <w:tc>
                <w:tcPr>
                  <w:tcW w:w="661" w:type="pct"/>
                  <w:tcBorders>
                    <w:tl2br w:val="nil"/>
                    <w:tr2bl w:val="nil"/>
                  </w:tcBorders>
                  <w:vAlign w:val="center"/>
                </w:tcPr>
                <w:p w14:paraId="56B03BF6">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rPr>
                    <w:t>60</w:t>
                  </w:r>
                </w:p>
              </w:tc>
              <w:tc>
                <w:tcPr>
                  <w:tcW w:w="661" w:type="pct"/>
                  <w:tcBorders>
                    <w:tl2br w:val="nil"/>
                    <w:tr2bl w:val="nil"/>
                  </w:tcBorders>
                  <w:vAlign w:val="center"/>
                </w:tcPr>
                <w:p w14:paraId="451CE6AF">
                  <w:pPr>
                    <w:pStyle w:val="TableText"/>
                    <w:spacing w:before="101" w:line="228" w:lineRule="auto"/>
                    <w:jc w:val="center"/>
                    <w:rPr>
                      <w:rFonts w:ascii="Times New Roman" w:eastAsia="宋体" w:hAnsi="Times New Roman" w:cs="Times New Roman" w:hint="default"/>
                      <w:color w:val="auto"/>
                      <w:spacing w:val="8"/>
                      <w:sz w:val="21"/>
                      <w:szCs w:val="21"/>
                      <w:lang w:val="en-US"/>
                    </w:rPr>
                  </w:pPr>
                  <w:r>
                    <w:rPr>
                      <w:rFonts w:ascii="Times New Roman" w:eastAsia="宋体" w:hAnsi="Times New Roman" w:cs="Times New Roman" w:hint="default"/>
                      <w:color w:val="auto"/>
                      <w:spacing w:val="8"/>
                      <w:sz w:val="21"/>
                      <w:szCs w:val="21"/>
                    </w:rPr>
                    <w:t>6</w:t>
                  </w:r>
                  <w:r>
                    <w:rPr>
                      <w:rFonts w:ascii="Times New Roman" w:eastAsia="宋体" w:hAnsi="Times New Roman" w:cs="Times New Roman" w:hint="default"/>
                      <w:color w:val="auto"/>
                      <w:spacing w:val="8"/>
                      <w:sz w:val="21"/>
                      <w:szCs w:val="21"/>
                      <w:lang w:val="en-US" w:eastAsia="zh-CN"/>
                    </w:rPr>
                    <w:t>0.00</w:t>
                  </w:r>
                </w:p>
              </w:tc>
              <w:tc>
                <w:tcPr>
                  <w:tcW w:w="662" w:type="pct"/>
                  <w:tcBorders>
                    <w:tl2br w:val="nil"/>
                    <w:tr2bl w:val="nil"/>
                  </w:tcBorders>
                  <w:vAlign w:val="center"/>
                </w:tcPr>
                <w:p w14:paraId="5A3D84CA">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rPr>
                    <w:t>达标</w:t>
                  </w:r>
                </w:p>
              </w:tc>
            </w:tr>
            <w:tr w14:paraId="50032D2D">
              <w:tblPrEx>
                <w:tblW w:w="4996" w:type="pct"/>
                <w:tblInd w:w="0" w:type="dxa"/>
                <w:tblCellMar>
                  <w:top w:w="0" w:type="dxa"/>
                  <w:left w:w="0" w:type="dxa"/>
                  <w:bottom w:w="0" w:type="dxa"/>
                  <w:right w:w="0" w:type="dxa"/>
                </w:tblCellMar>
              </w:tblPrEx>
              <w:trPr>
                <w:trHeight w:val="405"/>
              </w:trPr>
              <w:tc>
                <w:tcPr>
                  <w:tcW w:w="557" w:type="pct"/>
                  <w:tcBorders>
                    <w:tl2br w:val="nil"/>
                    <w:tr2bl w:val="nil"/>
                  </w:tcBorders>
                  <w:vAlign w:val="center"/>
                </w:tcPr>
                <w:p w14:paraId="1ED1C4A0">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rPr>
                    <w:t>NO2</w:t>
                  </w:r>
                </w:p>
              </w:tc>
              <w:tc>
                <w:tcPr>
                  <w:tcW w:w="1794" w:type="pct"/>
                  <w:tcBorders>
                    <w:tl2br w:val="nil"/>
                    <w:tr2bl w:val="nil"/>
                  </w:tcBorders>
                  <w:vAlign w:val="center"/>
                </w:tcPr>
                <w:p w14:paraId="3BD40AA7">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rPr>
                    <w:t>年平均质量浓度</w:t>
                  </w:r>
                </w:p>
              </w:tc>
              <w:tc>
                <w:tcPr>
                  <w:tcW w:w="661" w:type="pct"/>
                  <w:tcBorders>
                    <w:tl2br w:val="nil"/>
                    <w:tr2bl w:val="nil"/>
                  </w:tcBorders>
                  <w:vAlign w:val="center"/>
                </w:tcPr>
                <w:p w14:paraId="3B3C0F2A">
                  <w:pPr>
                    <w:pStyle w:val="TableText"/>
                    <w:spacing w:before="101" w:line="228" w:lineRule="auto"/>
                    <w:jc w:val="center"/>
                    <w:rPr>
                      <w:rFonts w:ascii="Times New Roman" w:eastAsia="宋体" w:hAnsi="Times New Roman" w:cs="Times New Roman" w:hint="default"/>
                      <w:color w:val="auto"/>
                      <w:spacing w:val="8"/>
                      <w:sz w:val="21"/>
                      <w:szCs w:val="21"/>
                      <w:lang w:val="en-US" w:eastAsia="zh-CN"/>
                    </w:rPr>
                  </w:pPr>
                  <w:r>
                    <w:rPr>
                      <w:rFonts w:ascii="Times New Roman" w:eastAsia="宋体" w:hAnsi="Times New Roman" w:cs="Times New Roman" w:hint="default"/>
                      <w:color w:val="auto"/>
                      <w:spacing w:val="8"/>
                      <w:sz w:val="21"/>
                      <w:szCs w:val="21"/>
                      <w:lang w:val="en-US" w:eastAsia="zh-CN"/>
                    </w:rPr>
                    <w:t>17</w:t>
                  </w:r>
                </w:p>
              </w:tc>
              <w:tc>
                <w:tcPr>
                  <w:tcW w:w="661" w:type="pct"/>
                  <w:tcBorders>
                    <w:tl2br w:val="nil"/>
                    <w:tr2bl w:val="nil"/>
                  </w:tcBorders>
                  <w:vAlign w:val="center"/>
                </w:tcPr>
                <w:p w14:paraId="05EA7003">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rPr>
                    <w:t>40</w:t>
                  </w:r>
                </w:p>
              </w:tc>
              <w:tc>
                <w:tcPr>
                  <w:tcW w:w="661" w:type="pct"/>
                  <w:tcBorders>
                    <w:tl2br w:val="nil"/>
                    <w:tr2bl w:val="nil"/>
                  </w:tcBorders>
                  <w:vAlign w:val="center"/>
                </w:tcPr>
                <w:p w14:paraId="146A65CD">
                  <w:pPr>
                    <w:pStyle w:val="TableText"/>
                    <w:spacing w:before="101" w:line="228" w:lineRule="auto"/>
                    <w:jc w:val="center"/>
                    <w:rPr>
                      <w:rFonts w:ascii="Times New Roman" w:eastAsia="宋体" w:hAnsi="Times New Roman" w:cs="Times New Roman" w:hint="default"/>
                      <w:color w:val="auto"/>
                      <w:spacing w:val="8"/>
                      <w:sz w:val="21"/>
                      <w:szCs w:val="21"/>
                      <w:lang w:val="en-US" w:eastAsia="zh-CN"/>
                    </w:rPr>
                  </w:pPr>
                  <w:r>
                    <w:rPr>
                      <w:rFonts w:ascii="Times New Roman" w:eastAsia="宋体" w:hAnsi="Times New Roman" w:cs="Times New Roman" w:hint="default"/>
                      <w:color w:val="auto"/>
                      <w:spacing w:val="8"/>
                      <w:sz w:val="21"/>
                      <w:szCs w:val="21"/>
                    </w:rPr>
                    <w:t>4</w:t>
                  </w:r>
                  <w:r>
                    <w:rPr>
                      <w:rFonts w:ascii="Times New Roman" w:eastAsia="宋体" w:hAnsi="Times New Roman" w:cs="Times New Roman" w:hint="default"/>
                      <w:color w:val="auto"/>
                      <w:spacing w:val="8"/>
                      <w:sz w:val="21"/>
                      <w:szCs w:val="21"/>
                      <w:lang w:val="en-US" w:eastAsia="zh-CN"/>
                    </w:rPr>
                    <w:t>2.50</w:t>
                  </w:r>
                </w:p>
              </w:tc>
              <w:tc>
                <w:tcPr>
                  <w:tcW w:w="662" w:type="pct"/>
                  <w:tcBorders>
                    <w:tl2br w:val="nil"/>
                    <w:tr2bl w:val="nil"/>
                  </w:tcBorders>
                  <w:vAlign w:val="center"/>
                </w:tcPr>
                <w:p w14:paraId="487C972B">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rPr>
                    <w:t>达标</w:t>
                  </w:r>
                </w:p>
              </w:tc>
            </w:tr>
            <w:tr w14:paraId="4DB6163E">
              <w:tblPrEx>
                <w:tblW w:w="4996" w:type="pct"/>
                <w:tblInd w:w="0" w:type="dxa"/>
                <w:tblCellMar>
                  <w:top w:w="0" w:type="dxa"/>
                  <w:left w:w="0" w:type="dxa"/>
                  <w:bottom w:w="0" w:type="dxa"/>
                  <w:right w:w="0" w:type="dxa"/>
                </w:tblCellMar>
              </w:tblPrEx>
              <w:trPr>
                <w:trHeight w:val="405"/>
              </w:trPr>
              <w:tc>
                <w:tcPr>
                  <w:tcW w:w="557" w:type="pct"/>
                  <w:tcBorders>
                    <w:tl2br w:val="nil"/>
                    <w:tr2bl w:val="nil"/>
                  </w:tcBorders>
                  <w:vAlign w:val="center"/>
                </w:tcPr>
                <w:p w14:paraId="0E18FB66">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rPr>
                    <w:t>CO</w:t>
                  </w:r>
                </w:p>
              </w:tc>
              <w:tc>
                <w:tcPr>
                  <w:tcW w:w="1794" w:type="pct"/>
                  <w:tcBorders>
                    <w:tl2br w:val="nil"/>
                    <w:tr2bl w:val="nil"/>
                  </w:tcBorders>
                  <w:vAlign w:val="center"/>
                </w:tcPr>
                <w:p w14:paraId="0EE8DB36">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rPr>
                    <w:t>第</w:t>
                  </w:r>
                  <w:r>
                    <w:rPr>
                      <w:rFonts w:ascii="Times New Roman" w:eastAsia="宋体" w:hAnsi="Times New Roman" w:cs="Times New Roman" w:hint="default"/>
                      <w:color w:val="auto"/>
                      <w:spacing w:val="8"/>
                      <w:sz w:val="21"/>
                      <w:szCs w:val="21"/>
                      <w:lang w:val="en-US" w:eastAsia="zh-CN"/>
                    </w:rPr>
                    <w:t>90</w:t>
                  </w:r>
                  <w:r>
                    <w:rPr>
                      <w:rFonts w:ascii="Times New Roman" w:eastAsia="宋体" w:hAnsi="Times New Roman" w:cs="Times New Roman" w:hint="default"/>
                      <w:color w:val="auto"/>
                      <w:spacing w:val="8"/>
                      <w:sz w:val="21"/>
                      <w:szCs w:val="21"/>
                    </w:rPr>
                    <w:t>百分位数日平均质量浓度</w:t>
                  </w:r>
                </w:p>
              </w:tc>
              <w:tc>
                <w:tcPr>
                  <w:tcW w:w="661" w:type="pct"/>
                  <w:tcBorders>
                    <w:tl2br w:val="nil"/>
                    <w:tr2bl w:val="nil"/>
                  </w:tcBorders>
                  <w:vAlign w:val="center"/>
                </w:tcPr>
                <w:p w14:paraId="40F763C0">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lang w:val="en-US" w:eastAsia="zh-CN"/>
                    </w:rPr>
                    <w:t>8</w:t>
                  </w:r>
                  <w:r>
                    <w:rPr>
                      <w:rFonts w:ascii="Times New Roman" w:eastAsia="宋体" w:hAnsi="Times New Roman" w:cs="Times New Roman" w:hint="default"/>
                      <w:color w:val="auto"/>
                      <w:spacing w:val="8"/>
                      <w:sz w:val="21"/>
                      <w:szCs w:val="21"/>
                    </w:rPr>
                    <w:t>00</w:t>
                  </w:r>
                </w:p>
              </w:tc>
              <w:tc>
                <w:tcPr>
                  <w:tcW w:w="661" w:type="pct"/>
                  <w:tcBorders>
                    <w:tl2br w:val="nil"/>
                    <w:tr2bl w:val="nil"/>
                  </w:tcBorders>
                  <w:vAlign w:val="center"/>
                </w:tcPr>
                <w:p w14:paraId="38D4BBC1">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rPr>
                    <w:t>4000</w:t>
                  </w:r>
                </w:p>
              </w:tc>
              <w:tc>
                <w:tcPr>
                  <w:tcW w:w="661" w:type="pct"/>
                  <w:tcBorders>
                    <w:tl2br w:val="nil"/>
                    <w:tr2bl w:val="nil"/>
                  </w:tcBorders>
                  <w:vAlign w:val="center"/>
                </w:tcPr>
                <w:p w14:paraId="467D26B9">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lang w:val="en-US" w:eastAsia="zh-CN"/>
                    </w:rPr>
                    <w:t>2</w:t>
                  </w:r>
                  <w:r>
                    <w:rPr>
                      <w:rFonts w:ascii="Times New Roman" w:eastAsia="宋体" w:hAnsi="Times New Roman" w:cs="Times New Roman" w:hint="default"/>
                      <w:color w:val="auto"/>
                      <w:spacing w:val="8"/>
                      <w:sz w:val="21"/>
                      <w:szCs w:val="21"/>
                    </w:rPr>
                    <w:t>0.00</w:t>
                  </w:r>
                </w:p>
              </w:tc>
              <w:tc>
                <w:tcPr>
                  <w:tcW w:w="662" w:type="pct"/>
                  <w:tcBorders>
                    <w:tl2br w:val="nil"/>
                    <w:tr2bl w:val="nil"/>
                  </w:tcBorders>
                  <w:vAlign w:val="center"/>
                </w:tcPr>
                <w:p w14:paraId="512539C0">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rPr>
                    <w:t>达标</w:t>
                  </w:r>
                </w:p>
              </w:tc>
            </w:tr>
            <w:tr w14:paraId="539B250C">
              <w:tblPrEx>
                <w:tblW w:w="4996" w:type="pct"/>
                <w:tblInd w:w="0" w:type="dxa"/>
                <w:tblCellMar>
                  <w:top w:w="0" w:type="dxa"/>
                  <w:left w:w="0" w:type="dxa"/>
                  <w:bottom w:w="0" w:type="dxa"/>
                  <w:right w:w="0" w:type="dxa"/>
                </w:tblCellMar>
              </w:tblPrEx>
              <w:trPr>
                <w:trHeight w:val="428"/>
              </w:trPr>
              <w:tc>
                <w:tcPr>
                  <w:tcW w:w="557" w:type="pct"/>
                  <w:tcBorders>
                    <w:tl2br w:val="nil"/>
                    <w:tr2bl w:val="nil"/>
                  </w:tcBorders>
                  <w:vAlign w:val="center"/>
                </w:tcPr>
                <w:p w14:paraId="64759C57">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rPr>
                    <w:t>O</w:t>
                  </w:r>
                  <w:r>
                    <w:rPr>
                      <w:rFonts w:ascii="Times New Roman" w:eastAsia="宋体" w:hAnsi="Times New Roman" w:cs="Times New Roman" w:hint="default"/>
                      <w:color w:val="auto"/>
                      <w:spacing w:val="8"/>
                      <w:sz w:val="21"/>
                      <w:szCs w:val="21"/>
                      <w:vertAlign w:val="subscript"/>
                    </w:rPr>
                    <w:t>3</w:t>
                  </w:r>
                </w:p>
              </w:tc>
              <w:tc>
                <w:tcPr>
                  <w:tcW w:w="1794" w:type="pct"/>
                  <w:tcBorders>
                    <w:tl2br w:val="nil"/>
                    <w:tr2bl w:val="nil"/>
                  </w:tcBorders>
                  <w:vAlign w:val="center"/>
                </w:tcPr>
                <w:p w14:paraId="19B5B353">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rPr>
                    <w:t>第</w:t>
                  </w:r>
                  <w:r>
                    <w:rPr>
                      <w:rFonts w:ascii="Times New Roman" w:eastAsia="宋体" w:hAnsi="Times New Roman" w:cs="Times New Roman" w:hint="default"/>
                      <w:color w:val="auto"/>
                      <w:spacing w:val="8"/>
                      <w:sz w:val="21"/>
                      <w:szCs w:val="21"/>
                      <w:lang w:val="en-US" w:eastAsia="zh-CN"/>
                    </w:rPr>
                    <w:t>90</w:t>
                  </w:r>
                  <w:r>
                    <w:rPr>
                      <w:rFonts w:ascii="Times New Roman" w:eastAsia="宋体" w:hAnsi="Times New Roman" w:cs="Times New Roman" w:hint="default"/>
                      <w:color w:val="auto"/>
                      <w:spacing w:val="8"/>
                      <w:sz w:val="21"/>
                      <w:szCs w:val="21"/>
                    </w:rPr>
                    <w:t>百分位数平均质量浓度</w:t>
                  </w:r>
                </w:p>
              </w:tc>
              <w:tc>
                <w:tcPr>
                  <w:tcW w:w="661" w:type="pct"/>
                  <w:tcBorders>
                    <w:tl2br w:val="nil"/>
                    <w:tr2bl w:val="nil"/>
                  </w:tcBorders>
                  <w:vAlign w:val="center"/>
                </w:tcPr>
                <w:p w14:paraId="5FD84617">
                  <w:pPr>
                    <w:pStyle w:val="TableText"/>
                    <w:spacing w:before="101" w:line="228" w:lineRule="auto"/>
                    <w:jc w:val="center"/>
                    <w:rPr>
                      <w:rFonts w:ascii="Times New Roman" w:eastAsia="宋体" w:hAnsi="Times New Roman" w:cs="Times New Roman" w:hint="default"/>
                      <w:color w:val="auto"/>
                      <w:spacing w:val="8"/>
                      <w:sz w:val="21"/>
                      <w:szCs w:val="21"/>
                      <w:lang w:val="en-US" w:eastAsia="zh-CN"/>
                    </w:rPr>
                  </w:pPr>
                  <w:r>
                    <w:rPr>
                      <w:rFonts w:ascii="Times New Roman" w:eastAsia="宋体" w:hAnsi="Times New Roman" w:cs="Times New Roman" w:hint="default"/>
                      <w:color w:val="auto"/>
                      <w:spacing w:val="8"/>
                      <w:sz w:val="21"/>
                      <w:szCs w:val="21"/>
                      <w:lang w:val="en-US" w:eastAsia="zh-CN"/>
                    </w:rPr>
                    <w:t>131</w:t>
                  </w:r>
                </w:p>
              </w:tc>
              <w:tc>
                <w:tcPr>
                  <w:tcW w:w="661" w:type="pct"/>
                  <w:tcBorders>
                    <w:tl2br w:val="nil"/>
                    <w:tr2bl w:val="nil"/>
                  </w:tcBorders>
                  <w:vAlign w:val="center"/>
                </w:tcPr>
                <w:p w14:paraId="2747AA06">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rPr>
                    <w:t>160</w:t>
                  </w:r>
                </w:p>
              </w:tc>
              <w:tc>
                <w:tcPr>
                  <w:tcW w:w="661" w:type="pct"/>
                  <w:tcBorders>
                    <w:tl2br w:val="nil"/>
                    <w:tr2bl w:val="nil"/>
                  </w:tcBorders>
                  <w:vAlign w:val="center"/>
                </w:tcPr>
                <w:p w14:paraId="251839B9">
                  <w:pPr>
                    <w:pStyle w:val="TableText"/>
                    <w:spacing w:before="101" w:line="228" w:lineRule="auto"/>
                    <w:jc w:val="center"/>
                    <w:rPr>
                      <w:rFonts w:ascii="Times New Roman" w:eastAsia="宋体" w:hAnsi="Times New Roman" w:cs="Times New Roman" w:hint="default"/>
                      <w:color w:val="auto"/>
                      <w:spacing w:val="8"/>
                      <w:sz w:val="21"/>
                      <w:szCs w:val="21"/>
                      <w:lang w:val="en-US" w:eastAsia="zh-CN"/>
                    </w:rPr>
                  </w:pPr>
                  <w:r>
                    <w:rPr>
                      <w:rFonts w:ascii="Times New Roman" w:eastAsia="宋体" w:hAnsi="Times New Roman" w:cs="Times New Roman" w:hint="default"/>
                      <w:color w:val="auto"/>
                      <w:spacing w:val="8"/>
                      <w:sz w:val="21"/>
                      <w:szCs w:val="21"/>
                      <w:lang w:val="en-US" w:eastAsia="zh-CN"/>
                    </w:rPr>
                    <w:t>81.36</w:t>
                  </w:r>
                </w:p>
              </w:tc>
              <w:tc>
                <w:tcPr>
                  <w:tcW w:w="662" w:type="pct"/>
                  <w:tcBorders>
                    <w:tl2br w:val="nil"/>
                    <w:tr2bl w:val="nil"/>
                  </w:tcBorders>
                  <w:vAlign w:val="center"/>
                </w:tcPr>
                <w:p w14:paraId="5138832C">
                  <w:pPr>
                    <w:pStyle w:val="TableText"/>
                    <w:spacing w:before="101" w:line="228" w:lineRule="auto"/>
                    <w:jc w:val="center"/>
                    <w:rPr>
                      <w:rFonts w:ascii="Times New Roman" w:eastAsia="宋体" w:hAnsi="Times New Roman" w:cs="Times New Roman" w:hint="default"/>
                      <w:color w:val="auto"/>
                      <w:spacing w:val="8"/>
                      <w:sz w:val="21"/>
                      <w:szCs w:val="21"/>
                    </w:rPr>
                  </w:pPr>
                  <w:r>
                    <w:rPr>
                      <w:rFonts w:ascii="Times New Roman" w:eastAsia="宋体" w:hAnsi="Times New Roman" w:cs="Times New Roman" w:hint="default"/>
                      <w:color w:val="auto"/>
                      <w:spacing w:val="8"/>
                      <w:sz w:val="21"/>
                      <w:szCs w:val="21"/>
                    </w:rPr>
                    <w:t>达标</w:t>
                  </w:r>
                </w:p>
              </w:tc>
            </w:tr>
          </w:tbl>
          <w:p w14:paraId="7AF02660">
            <w:pPr>
              <w:pStyle w:val="TableText"/>
              <w:spacing w:before="181" w:line="359" w:lineRule="auto"/>
              <w:ind w:left="106" w:right="50" w:firstLine="481"/>
              <w:jc w:val="both"/>
              <w:rPr>
                <w:rFonts w:ascii="Times New Roman" w:eastAsia="宋体" w:hAnsi="Times New Roman" w:cs="Times New Roman" w:hint="default"/>
                <w:color w:val="auto"/>
                <w:spacing w:val="2"/>
              </w:rPr>
            </w:pPr>
            <w:r>
              <w:rPr>
                <w:rFonts w:ascii="Times New Roman" w:eastAsia="宋体" w:hAnsi="Times New Roman" w:cs="Times New Roman" w:hint="default"/>
                <w:color w:val="auto"/>
                <w:spacing w:val="2"/>
              </w:rPr>
              <w:t>由上表可知，项目所在地围场满族蒙古族自治县环境空气中PM</w:t>
            </w:r>
            <w:r>
              <w:rPr>
                <w:rFonts w:ascii="Times New Roman" w:eastAsia="宋体" w:hAnsi="Times New Roman" w:cs="Times New Roman" w:hint="default"/>
                <w:color w:val="auto"/>
                <w:spacing w:val="2"/>
                <w:vertAlign w:val="subscript"/>
              </w:rPr>
              <w:t>10</w:t>
            </w:r>
            <w:r>
              <w:rPr>
                <w:rFonts w:ascii="Times New Roman" w:eastAsia="宋体" w:hAnsi="Times New Roman" w:cs="Times New Roman" w:hint="default"/>
                <w:color w:val="auto"/>
                <w:spacing w:val="2"/>
              </w:rPr>
              <w:t>、PM</w:t>
            </w:r>
            <w:r>
              <w:rPr>
                <w:rFonts w:ascii="Times New Roman" w:eastAsia="宋体" w:hAnsi="Times New Roman" w:cs="Times New Roman" w:hint="default"/>
                <w:color w:val="auto"/>
                <w:spacing w:val="2"/>
                <w:vertAlign w:val="subscript"/>
              </w:rPr>
              <w:t>2.5</w:t>
            </w:r>
            <w:r>
              <w:rPr>
                <w:rFonts w:ascii="Times New Roman" w:eastAsia="宋体" w:hAnsi="Times New Roman" w:cs="Times New Roman" w:hint="default"/>
                <w:color w:val="auto"/>
                <w:spacing w:val="2"/>
              </w:rPr>
              <w:t>、SO</w:t>
            </w:r>
            <w:r>
              <w:rPr>
                <w:rFonts w:ascii="Times New Roman" w:eastAsia="宋体" w:hAnsi="Times New Roman" w:cs="Times New Roman" w:hint="default"/>
                <w:color w:val="auto"/>
                <w:spacing w:val="2"/>
                <w:vertAlign w:val="subscript"/>
              </w:rPr>
              <w:t>2</w:t>
            </w:r>
            <w:r>
              <w:rPr>
                <w:rFonts w:ascii="Times New Roman" w:eastAsia="宋体" w:hAnsi="Times New Roman" w:cs="Times New Roman" w:hint="default"/>
                <w:color w:val="auto"/>
                <w:spacing w:val="2"/>
              </w:rPr>
              <w:t>、NO</w:t>
            </w:r>
            <w:r>
              <w:rPr>
                <w:rFonts w:ascii="Times New Roman" w:eastAsia="宋体" w:hAnsi="Times New Roman" w:cs="Times New Roman" w:hint="default"/>
                <w:color w:val="auto"/>
                <w:spacing w:val="2"/>
                <w:vertAlign w:val="subscript"/>
              </w:rPr>
              <w:t>2</w:t>
            </w:r>
            <w:r>
              <w:rPr>
                <w:rFonts w:ascii="Times New Roman" w:eastAsia="宋体" w:hAnsi="Times New Roman" w:cs="Times New Roman" w:hint="default"/>
                <w:color w:val="auto"/>
                <w:spacing w:val="2"/>
              </w:rPr>
              <w:t>、O</w:t>
            </w:r>
            <w:r>
              <w:rPr>
                <w:rFonts w:ascii="Times New Roman" w:eastAsia="宋体" w:hAnsi="Times New Roman" w:cs="Times New Roman" w:hint="default"/>
                <w:color w:val="auto"/>
                <w:spacing w:val="2"/>
                <w:vertAlign w:val="subscript"/>
              </w:rPr>
              <w:t>3</w:t>
            </w:r>
            <w:r>
              <w:rPr>
                <w:rFonts w:ascii="Times New Roman" w:eastAsia="宋体" w:hAnsi="Times New Roman" w:cs="Times New Roman" w:hint="default"/>
                <w:color w:val="auto"/>
                <w:spacing w:val="2"/>
              </w:rPr>
              <w:t>和CO均满足《环境空气质量标准》（GB3095-2012）二级标准值。环境空气质量</w:t>
            </w:r>
            <w:r>
              <w:rPr>
                <w:rFonts w:ascii="Times New Roman" w:eastAsia="宋体" w:hAnsi="Times New Roman" w:cs="Times New Roman" w:hint="default"/>
                <w:color w:val="auto"/>
                <w:spacing w:val="2"/>
                <w:lang w:val="en-US" w:eastAsia="zh-CN"/>
              </w:rPr>
              <w:t>属于</w:t>
            </w:r>
            <w:r>
              <w:rPr>
                <w:rFonts w:ascii="Times New Roman" w:eastAsia="宋体" w:hAnsi="Times New Roman" w:cs="Times New Roman" w:hint="default"/>
                <w:color w:val="auto"/>
                <w:spacing w:val="2"/>
              </w:rPr>
              <w:t>达标区。</w:t>
            </w:r>
          </w:p>
          <w:p w14:paraId="77CC16E0">
            <w:pPr>
              <w:pStyle w:val="1"/>
              <w:spacing w:line="360" w:lineRule="auto"/>
              <w:ind w:firstLine="482"/>
              <w:jc w:val="left"/>
              <w:rPr>
                <w:rFonts w:ascii="Times New Roman" w:eastAsia="宋体" w:hAnsi="Times New Roman" w:cs="Times New Roman" w:hint="default"/>
                <w:b/>
                <w:bCs/>
                <w:color w:val="auto"/>
                <w:sz w:val="24"/>
                <w:szCs w:val="24"/>
                <w:lang w:val="en-US" w:eastAsia="zh-CN"/>
              </w:rPr>
            </w:pPr>
            <w:r>
              <w:rPr>
                <w:rFonts w:ascii="Times New Roman" w:eastAsia="宋体" w:hAnsi="Times New Roman" w:cs="Times New Roman" w:hint="default"/>
                <w:b/>
                <w:bCs/>
                <w:color w:val="auto"/>
                <w:sz w:val="24"/>
                <w:szCs w:val="24"/>
                <w:lang w:val="en-US" w:eastAsia="zh-CN"/>
              </w:rPr>
              <w:t>2、地表水环境质量现状</w:t>
            </w:r>
          </w:p>
          <w:p w14:paraId="09ACE682">
            <w:pPr>
              <w:pStyle w:val="TableText"/>
              <w:spacing w:before="180" w:line="359" w:lineRule="auto"/>
              <w:ind w:left="108" w:right="40" w:firstLine="485"/>
              <w:rPr>
                <w:rFonts w:ascii="Times New Roman" w:eastAsia="宋体" w:hAnsi="Times New Roman" w:cs="Times New Roman" w:hint="default"/>
                <w:color w:val="auto"/>
                <w:spacing w:val="-1"/>
              </w:rPr>
            </w:pPr>
            <w:r>
              <w:rPr>
                <w:rFonts w:ascii="Times New Roman" w:hAnsi="Times New Roman" w:cs="Times New Roman" w:hint="eastAsia"/>
                <w:color w:val="auto"/>
                <w:spacing w:val="-1"/>
                <w:lang w:val="en-US" w:eastAsia="zh-CN"/>
              </w:rPr>
              <w:t>本项目最近1km的</w:t>
            </w:r>
            <w:r>
              <w:rPr>
                <w:rFonts w:ascii="Times New Roman" w:eastAsia="宋体" w:hAnsi="Times New Roman" w:cs="Times New Roman" w:hint="default"/>
                <w:color w:val="auto"/>
                <w:spacing w:val="-1"/>
              </w:rPr>
              <w:t>蚁蚂吐河位于滦河流域，属于伊逊河一级支流，根据《202</w:t>
            </w:r>
            <w:r>
              <w:rPr>
                <w:rFonts w:ascii="Times New Roman" w:hAnsi="Times New Roman" w:cs="Times New Roman" w:hint="eastAsia"/>
                <w:color w:val="auto"/>
                <w:spacing w:val="-1"/>
                <w:lang w:val="en-US" w:eastAsia="zh-CN"/>
              </w:rPr>
              <w:t>3</w:t>
            </w:r>
            <w:r>
              <w:rPr>
                <w:rFonts w:ascii="Times New Roman" w:eastAsia="宋体" w:hAnsi="Times New Roman" w:cs="Times New Roman" w:hint="default"/>
                <w:color w:val="auto"/>
                <w:spacing w:val="-1"/>
              </w:rPr>
              <w:t>年承德市生态环境状况公报》，伊逊河共布设地表水常规监测断面2个，根据202</w:t>
            </w:r>
            <w:r>
              <w:rPr>
                <w:rFonts w:ascii="Times New Roman" w:hAnsi="Times New Roman" w:cs="Times New Roman" w:hint="eastAsia"/>
                <w:color w:val="auto"/>
                <w:spacing w:val="-1"/>
                <w:lang w:val="en-US" w:eastAsia="zh-CN"/>
              </w:rPr>
              <w:t>3</w:t>
            </w:r>
            <w:r>
              <w:rPr>
                <w:rFonts w:ascii="Times New Roman" w:eastAsia="宋体" w:hAnsi="Times New Roman" w:cs="Times New Roman" w:hint="default"/>
                <w:color w:val="auto"/>
                <w:spacing w:val="-1"/>
              </w:rPr>
              <w:t>年监测结果显示，202</w:t>
            </w:r>
            <w:r>
              <w:rPr>
                <w:rFonts w:ascii="Times New Roman" w:hAnsi="Times New Roman" w:cs="Times New Roman" w:hint="eastAsia"/>
                <w:color w:val="auto"/>
                <w:spacing w:val="-1"/>
                <w:lang w:val="en-US" w:eastAsia="zh-CN"/>
              </w:rPr>
              <w:t>3年</w:t>
            </w:r>
            <w:r>
              <w:rPr>
                <w:rFonts w:ascii="Times New Roman" w:eastAsia="宋体" w:hAnsi="Times New Roman" w:cs="Times New Roman" w:hint="default"/>
                <w:color w:val="auto"/>
                <w:spacing w:val="-1"/>
              </w:rPr>
              <w:t>唐三营断面水质类别为Ⅲ类、李台断面水质类别为</w:t>
            </w:r>
            <w:r>
              <w:rPr>
                <w:rFonts w:ascii="Times New Roman" w:hAnsi="Times New Roman" w:cs="Times New Roman" w:hint="eastAsia"/>
                <w:color w:val="auto"/>
                <w:spacing w:val="-1"/>
                <w:lang w:val="en-US" w:eastAsia="zh-CN"/>
              </w:rPr>
              <w:t>Ⅱ</w:t>
            </w:r>
            <w:r>
              <w:rPr>
                <w:rFonts w:ascii="Times New Roman" w:eastAsia="宋体" w:hAnsi="Times New Roman" w:cs="Times New Roman" w:hint="default"/>
                <w:color w:val="auto"/>
                <w:spacing w:val="-1"/>
              </w:rPr>
              <w:t>类，伊逊河流域水质状况为优。</w:t>
            </w:r>
            <w:r>
              <w:rPr>
                <w:rFonts w:ascii="Times New Roman" w:hAnsi="Times New Roman" w:cs="Times New Roman" w:hint="eastAsia"/>
                <w:color w:val="auto"/>
                <w:spacing w:val="-1"/>
                <w:lang w:val="en-US" w:eastAsia="zh-CN"/>
              </w:rPr>
              <w:t>与</w:t>
            </w:r>
            <w:r>
              <w:rPr>
                <w:rFonts w:ascii="Times New Roman" w:eastAsia="宋体" w:hAnsi="Times New Roman" w:cs="Times New Roman" w:hint="default"/>
                <w:color w:val="auto"/>
                <w:spacing w:val="-1"/>
              </w:rPr>
              <w:t>202</w:t>
            </w:r>
            <w:r>
              <w:rPr>
                <w:rFonts w:ascii="Times New Roman" w:hAnsi="Times New Roman" w:cs="Times New Roman" w:hint="eastAsia"/>
                <w:color w:val="auto"/>
                <w:spacing w:val="-1"/>
                <w:lang w:val="en-US" w:eastAsia="zh-CN"/>
              </w:rPr>
              <w:t>2</w:t>
            </w:r>
            <w:r>
              <w:rPr>
                <w:rFonts w:ascii="Times New Roman" w:eastAsia="宋体" w:hAnsi="Times New Roman" w:cs="Times New Roman" w:hint="default"/>
                <w:color w:val="auto"/>
                <w:spacing w:val="-1"/>
              </w:rPr>
              <w:t>年水质无明显变化。</w:t>
            </w:r>
          </w:p>
          <w:p w14:paraId="6714340A">
            <w:pPr>
              <w:pStyle w:val="TableText"/>
              <w:spacing w:before="180" w:line="359" w:lineRule="auto"/>
              <w:ind w:left="108" w:right="40" w:firstLine="485"/>
              <w:rPr>
                <w:rFonts w:ascii="Times New Roman" w:eastAsia="宋体" w:hAnsi="Times New Roman" w:cs="Times New Roman" w:hint="default"/>
                <w:color w:val="auto"/>
                <w:spacing w:val="-1"/>
              </w:rPr>
            </w:pPr>
            <w:r>
              <w:rPr>
                <w:rFonts w:ascii="Times New Roman" w:eastAsia="宋体" w:hAnsi="Times New Roman" w:cs="Times New Roman" w:hint="default"/>
                <w:color w:val="auto"/>
                <w:spacing w:val="-1"/>
              </w:rPr>
              <w:t>本项目所在区域不涉及地表水系。项目施工期施工废水产生量较少，水质简单，主要回用于施工场地及泼洒抑尘；运营期</w:t>
            </w:r>
            <w:r>
              <w:rPr>
                <w:rFonts w:ascii="Times New Roman" w:eastAsia="宋体" w:hAnsi="Times New Roman" w:cs="Times New Roman" w:hint="default"/>
                <w:color w:val="auto"/>
                <w:spacing w:val="-1"/>
                <w:lang w:val="en-US" w:eastAsia="zh-CN"/>
              </w:rPr>
              <w:t>生活污水</w:t>
            </w:r>
            <w:r>
              <w:rPr>
                <w:rFonts w:ascii="Times New Roman" w:eastAsia="宋体" w:hAnsi="Times New Roman" w:cs="Times New Roman" w:hint="default"/>
                <w:color w:val="auto"/>
                <w:spacing w:val="-1"/>
              </w:rPr>
              <w:t>经处理后用作</w:t>
            </w:r>
            <w:r>
              <w:rPr>
                <w:rFonts w:ascii="Times New Roman" w:eastAsia="宋体" w:hAnsi="Times New Roman" w:cs="Times New Roman" w:hint="default"/>
                <w:color w:val="auto"/>
                <w:spacing w:val="-1"/>
                <w:lang w:val="en-US" w:eastAsia="zh-CN"/>
              </w:rPr>
              <w:t>绿化和抑尘</w:t>
            </w:r>
            <w:r>
              <w:rPr>
                <w:rFonts w:ascii="Times New Roman" w:eastAsia="宋体" w:hAnsi="Times New Roman" w:cs="Times New Roman" w:hint="default"/>
                <w:color w:val="auto"/>
                <w:spacing w:val="-1"/>
              </w:rPr>
              <w:t>不外排，不会对周边地表水系产生影响。</w:t>
            </w:r>
          </w:p>
          <w:p w14:paraId="1F4C1DAB">
            <w:pPr>
              <w:pStyle w:val="1"/>
              <w:spacing w:line="360" w:lineRule="auto"/>
              <w:ind w:firstLine="482"/>
              <w:jc w:val="left"/>
              <w:rPr>
                <w:rFonts w:ascii="Times New Roman" w:eastAsia="宋体" w:hAnsi="Times New Roman" w:cs="Times New Roman" w:hint="default"/>
                <w:b/>
                <w:bCs/>
                <w:color w:val="auto"/>
                <w:sz w:val="24"/>
                <w:szCs w:val="24"/>
                <w:lang w:val="en-US" w:eastAsia="zh-CN"/>
              </w:rPr>
            </w:pPr>
            <w:r>
              <w:rPr>
                <w:rFonts w:ascii="Times New Roman" w:eastAsia="宋体" w:hAnsi="Times New Roman" w:cs="Times New Roman" w:hint="default"/>
                <w:b/>
                <w:bCs/>
                <w:color w:val="auto"/>
                <w:sz w:val="24"/>
                <w:szCs w:val="24"/>
                <w:lang w:val="en-US" w:eastAsia="zh-CN"/>
              </w:rPr>
              <w:t>3 、地下水环境</w:t>
            </w:r>
          </w:p>
          <w:p w14:paraId="1309A177">
            <w:pPr>
              <w:pStyle w:val="1"/>
              <w:spacing w:line="360" w:lineRule="auto"/>
              <w:ind w:firstLine="482"/>
              <w:jc w:val="left"/>
              <w:rPr>
                <w:rFonts w:hint="eastAsia"/>
                <w:b w:val="0"/>
                <w:color w:val="auto"/>
                <w:sz w:val="24"/>
                <w:szCs w:val="24"/>
                <w:lang w:val="en-US" w:eastAsia="zh-CN"/>
              </w:rPr>
            </w:pPr>
            <w:r>
              <w:rPr>
                <w:rFonts w:hint="default"/>
                <w:b w:val="0"/>
                <w:color w:val="auto"/>
                <w:sz w:val="24"/>
                <w:szCs w:val="24"/>
                <w:lang w:val="en-US" w:eastAsia="zh-CN"/>
              </w:rPr>
              <w:t>本项目重点考虑</w:t>
            </w:r>
            <w:r>
              <w:rPr>
                <w:rFonts w:hint="eastAsia"/>
                <w:b w:val="0"/>
                <w:color w:val="auto"/>
                <w:sz w:val="24"/>
                <w:szCs w:val="24"/>
                <w:lang w:val="en-US" w:eastAsia="zh-CN"/>
              </w:rPr>
              <w:t>变压器油及液流电池电解液</w:t>
            </w:r>
            <w:r>
              <w:rPr>
                <w:rFonts w:hint="default"/>
                <w:b w:val="0"/>
                <w:color w:val="auto"/>
                <w:sz w:val="24"/>
                <w:szCs w:val="24"/>
                <w:lang w:val="en-US" w:eastAsia="zh-CN"/>
              </w:rPr>
              <w:t>事故状态下发生泄漏，</w:t>
            </w:r>
            <w:r>
              <w:rPr>
                <w:rFonts w:hint="eastAsia"/>
                <w:b w:val="0"/>
                <w:color w:val="auto"/>
                <w:sz w:val="24"/>
                <w:szCs w:val="24"/>
                <w:lang w:val="en-US" w:eastAsia="zh-CN"/>
              </w:rPr>
              <w:t>废液</w:t>
            </w:r>
            <w:r>
              <w:rPr>
                <w:rFonts w:hint="default"/>
                <w:b w:val="0"/>
                <w:color w:val="auto"/>
                <w:sz w:val="24"/>
                <w:szCs w:val="24"/>
                <w:lang w:val="en-US" w:eastAsia="zh-CN"/>
              </w:rPr>
              <w:t>渗入地下，将对土壤及地下水产生影响</w:t>
            </w:r>
            <w:r>
              <w:rPr>
                <w:rFonts w:hint="eastAsia"/>
                <w:b w:val="0"/>
                <w:color w:val="auto"/>
                <w:sz w:val="24"/>
                <w:szCs w:val="24"/>
                <w:lang w:val="en-US" w:eastAsia="zh-CN"/>
              </w:rPr>
              <w:t>。</w:t>
            </w:r>
          </w:p>
          <w:p w14:paraId="78618379">
            <w:pPr>
              <w:pStyle w:val="1"/>
              <w:spacing w:line="360" w:lineRule="auto"/>
              <w:ind w:firstLine="482"/>
              <w:jc w:val="left"/>
              <w:rPr>
                <w:rFonts w:hint="default"/>
                <w:b/>
                <w:bCs/>
                <w:color w:val="auto"/>
                <w:sz w:val="24"/>
                <w:szCs w:val="24"/>
                <w:lang w:val="en-US" w:eastAsia="zh-CN"/>
              </w:rPr>
            </w:pPr>
            <w:r>
              <w:rPr>
                <w:rFonts w:hint="default"/>
                <w:b/>
                <w:bCs/>
                <w:color w:val="auto"/>
                <w:sz w:val="24"/>
                <w:szCs w:val="24"/>
                <w:lang w:val="en-US" w:eastAsia="zh-CN"/>
              </w:rPr>
              <w:t>3.1 监测布点</w:t>
            </w:r>
          </w:p>
          <w:p w14:paraId="52B4165B">
            <w:pPr>
              <w:pStyle w:val="1"/>
              <w:spacing w:line="360" w:lineRule="auto"/>
              <w:ind w:firstLine="482"/>
              <w:jc w:val="left"/>
              <w:rPr>
                <w:color w:val="auto"/>
              </w:rPr>
            </w:pPr>
            <w:r>
              <w:rPr>
                <w:rFonts w:hint="eastAsia"/>
                <w:b w:val="0"/>
                <w:color w:val="auto"/>
                <w:sz w:val="24"/>
                <w:szCs w:val="24"/>
                <w:lang w:val="en-US" w:eastAsia="zh-CN"/>
              </w:rPr>
              <w:t>为了解该地区地下水环境现状，本项目委托河北承普环境检测有限公司2024年5月8日至2024年5月15日</w:t>
            </w:r>
            <w:r>
              <w:rPr>
                <w:rFonts w:ascii="Times New Roman" w:eastAsia="宋体" w:hAnsi="Times New Roman" w:cs="Times New Roman" w:hint="eastAsia"/>
                <w:b w:val="0"/>
                <w:color w:val="auto"/>
                <w:sz w:val="24"/>
                <w:szCs w:val="24"/>
                <w:lang w:val="en-US" w:eastAsia="zh-CN"/>
              </w:rPr>
              <w:t>进行地下水采样及检测，检测报告：承普检字（2024）第558号号，地下水监测点位于厂区西侧，半截塔村北现有地下水井。</w:t>
            </w:r>
          </w:p>
          <w:p w14:paraId="1242E9BF">
            <w:pPr>
              <w:pStyle w:val="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eastAsia"/>
                <w:color w:val="auto"/>
                <w:sz w:val="24"/>
                <w:szCs w:val="24"/>
                <w:lang w:val="en-US" w:eastAsia="zh-CN"/>
              </w:rPr>
              <w:t>3.2监测因子</w:t>
            </w:r>
          </w:p>
          <w:p w14:paraId="55FE330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eastAsia="宋体" w:hAnsi="Times New Roman" w:cs="Times New Roman" w:hint="default"/>
                <w:color w:val="auto"/>
                <w:sz w:val="24"/>
                <w:szCs w:val="24"/>
                <w:highlight w:val="none"/>
                <w:lang w:eastAsia="zh-CN"/>
              </w:rPr>
            </w:pPr>
            <w:r>
              <w:rPr>
                <w:rFonts w:ascii="Times New Roman" w:hAnsi="Times New Roman" w:cs="Times New Roman" w:hint="default"/>
                <w:color w:val="auto"/>
                <w:sz w:val="24"/>
                <w:szCs w:val="24"/>
                <w:highlight w:val="none"/>
              </w:rPr>
              <w:t>根据项目工程分析结果，本次工作监测因子如下</w:t>
            </w:r>
            <w:r>
              <w:rPr>
                <w:rFonts w:ascii="Times New Roman" w:hAnsi="Times New Roman" w:cs="Times New Roman" w:hint="default"/>
                <w:color w:val="auto"/>
                <w:sz w:val="24"/>
                <w:szCs w:val="24"/>
                <w:highlight w:val="none"/>
                <w:lang w:eastAsia="zh-CN"/>
              </w:rPr>
              <w:t>：</w:t>
            </w:r>
          </w:p>
          <w:p w14:paraId="0345958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hint="default"/>
                <w:color w:val="auto"/>
                <w:sz w:val="24"/>
                <w:szCs w:val="24"/>
                <w:highlight w:val="none"/>
              </w:rPr>
            </w:pPr>
            <w:r>
              <w:rPr>
                <w:rFonts w:ascii="Times New Roman" w:hAnsi="Times New Roman" w:cs="Times New Roman" w:hint="default"/>
                <w:color w:val="auto"/>
                <w:sz w:val="24"/>
                <w:szCs w:val="24"/>
                <w:highlight w:val="none"/>
              </w:rPr>
              <w:t>八大离子：</w:t>
            </w:r>
            <w:r>
              <w:rPr>
                <w:rFonts w:ascii="Times New Roman" w:hAnsi="Times New Roman" w:cs="Times New Roman" w:hint="default"/>
                <w:color w:val="auto"/>
                <w:sz w:val="24"/>
                <w:szCs w:val="21"/>
                <w:highlight w:val="none"/>
              </w:rPr>
              <w:t>K</w:t>
            </w:r>
            <w:r>
              <w:rPr>
                <w:rFonts w:ascii="Times New Roman" w:hAnsi="Times New Roman" w:cs="Times New Roman" w:hint="default"/>
                <w:color w:val="auto"/>
                <w:sz w:val="24"/>
                <w:szCs w:val="21"/>
                <w:highlight w:val="none"/>
                <w:vertAlign w:val="superscript"/>
              </w:rPr>
              <w:t>+</w:t>
            </w:r>
            <w:r>
              <w:rPr>
                <w:rFonts w:ascii="Times New Roman" w:hAnsi="Times New Roman" w:cs="Times New Roman" w:hint="default"/>
                <w:color w:val="auto"/>
                <w:sz w:val="24"/>
                <w:szCs w:val="21"/>
                <w:highlight w:val="none"/>
              </w:rPr>
              <w:t>、Na</w:t>
            </w:r>
            <w:r>
              <w:rPr>
                <w:rFonts w:ascii="Times New Roman" w:hAnsi="Times New Roman" w:cs="Times New Roman" w:hint="default"/>
                <w:color w:val="auto"/>
                <w:sz w:val="24"/>
                <w:szCs w:val="21"/>
                <w:highlight w:val="none"/>
                <w:vertAlign w:val="superscript"/>
              </w:rPr>
              <w:t>+</w:t>
            </w:r>
            <w:r>
              <w:rPr>
                <w:rFonts w:ascii="Times New Roman" w:hAnsi="Times New Roman" w:cs="Times New Roman" w:hint="default"/>
                <w:color w:val="auto"/>
                <w:sz w:val="24"/>
                <w:szCs w:val="21"/>
                <w:highlight w:val="none"/>
              </w:rPr>
              <w:t>、Ca</w:t>
            </w:r>
            <w:r>
              <w:rPr>
                <w:rFonts w:ascii="Times New Roman" w:hAnsi="Times New Roman" w:cs="Times New Roman" w:hint="default"/>
                <w:color w:val="auto"/>
                <w:sz w:val="24"/>
                <w:szCs w:val="21"/>
                <w:highlight w:val="none"/>
                <w:vertAlign w:val="superscript"/>
              </w:rPr>
              <w:t>2+</w:t>
            </w:r>
            <w:r>
              <w:rPr>
                <w:rFonts w:ascii="Times New Roman" w:hAnsi="Times New Roman" w:cs="Times New Roman" w:hint="default"/>
                <w:color w:val="auto"/>
                <w:sz w:val="24"/>
                <w:szCs w:val="21"/>
                <w:highlight w:val="none"/>
              </w:rPr>
              <w:t>、Mg</w:t>
            </w:r>
            <w:r>
              <w:rPr>
                <w:rFonts w:ascii="Times New Roman" w:hAnsi="Times New Roman" w:cs="Times New Roman" w:hint="default"/>
                <w:color w:val="auto"/>
                <w:sz w:val="24"/>
                <w:szCs w:val="21"/>
                <w:highlight w:val="none"/>
                <w:vertAlign w:val="superscript"/>
              </w:rPr>
              <w:t>2+</w:t>
            </w:r>
            <w:r>
              <w:rPr>
                <w:rFonts w:ascii="Times New Roman" w:hAnsi="Times New Roman" w:cs="Times New Roman" w:hint="default"/>
                <w:color w:val="auto"/>
                <w:sz w:val="24"/>
                <w:szCs w:val="21"/>
                <w:highlight w:val="none"/>
              </w:rPr>
              <w:t>、CO</w:t>
            </w:r>
            <w:r>
              <w:rPr>
                <w:rFonts w:ascii="Times New Roman" w:hAnsi="Times New Roman" w:cs="Times New Roman" w:hint="default"/>
                <w:color w:val="auto"/>
                <w:sz w:val="24"/>
                <w:szCs w:val="21"/>
                <w:highlight w:val="none"/>
                <w:vertAlign w:val="subscript"/>
              </w:rPr>
              <w:t>3</w:t>
            </w:r>
            <w:r>
              <w:rPr>
                <w:rFonts w:ascii="Times New Roman" w:hAnsi="Times New Roman" w:cs="Times New Roman" w:hint="default"/>
                <w:color w:val="auto"/>
                <w:sz w:val="24"/>
                <w:szCs w:val="21"/>
                <w:highlight w:val="none"/>
                <w:vertAlign w:val="superscript"/>
              </w:rPr>
              <w:t>2-</w:t>
            </w:r>
            <w:r>
              <w:rPr>
                <w:rFonts w:ascii="Times New Roman" w:hAnsi="Times New Roman" w:cs="Times New Roman" w:hint="default"/>
                <w:color w:val="auto"/>
                <w:sz w:val="24"/>
                <w:szCs w:val="21"/>
                <w:highlight w:val="none"/>
              </w:rPr>
              <w:t>、HCO</w:t>
            </w:r>
            <w:r>
              <w:rPr>
                <w:rFonts w:ascii="Times New Roman" w:hAnsi="Times New Roman" w:cs="Times New Roman" w:hint="default"/>
                <w:color w:val="auto"/>
                <w:sz w:val="24"/>
                <w:szCs w:val="21"/>
                <w:highlight w:val="none"/>
                <w:vertAlign w:val="subscript"/>
              </w:rPr>
              <w:t>3</w:t>
            </w:r>
            <w:r>
              <w:rPr>
                <w:rFonts w:ascii="Times New Roman" w:hAnsi="Times New Roman" w:cs="Times New Roman" w:hint="default"/>
                <w:color w:val="auto"/>
                <w:sz w:val="24"/>
                <w:szCs w:val="21"/>
                <w:highlight w:val="none"/>
                <w:vertAlign w:val="superscript"/>
              </w:rPr>
              <w:t>-</w:t>
            </w:r>
            <w:r>
              <w:rPr>
                <w:rFonts w:ascii="Times New Roman" w:hAnsi="Times New Roman" w:cs="Times New Roman" w:hint="default"/>
                <w:color w:val="auto"/>
                <w:sz w:val="24"/>
                <w:szCs w:val="21"/>
                <w:highlight w:val="none"/>
              </w:rPr>
              <w:t>、Cl</w:t>
            </w:r>
            <w:r>
              <w:rPr>
                <w:rFonts w:ascii="Times New Roman" w:hAnsi="Times New Roman" w:cs="Times New Roman" w:hint="default"/>
                <w:color w:val="auto"/>
                <w:sz w:val="24"/>
                <w:szCs w:val="21"/>
                <w:highlight w:val="none"/>
                <w:vertAlign w:val="superscript"/>
              </w:rPr>
              <w:t>-</w:t>
            </w:r>
            <w:r>
              <w:rPr>
                <w:rFonts w:ascii="Times New Roman" w:hAnsi="Times New Roman" w:cs="Times New Roman" w:hint="default"/>
                <w:color w:val="auto"/>
                <w:sz w:val="24"/>
                <w:szCs w:val="21"/>
                <w:highlight w:val="none"/>
              </w:rPr>
              <w:t>、SO</w:t>
            </w:r>
            <w:r>
              <w:rPr>
                <w:rFonts w:ascii="Times New Roman" w:hAnsi="Times New Roman" w:cs="Times New Roman" w:hint="default"/>
                <w:color w:val="auto"/>
                <w:sz w:val="24"/>
                <w:szCs w:val="21"/>
                <w:highlight w:val="none"/>
                <w:vertAlign w:val="subscript"/>
              </w:rPr>
              <w:t>4</w:t>
            </w:r>
            <w:r>
              <w:rPr>
                <w:rFonts w:ascii="Times New Roman" w:hAnsi="Times New Roman" w:cs="Times New Roman" w:hint="default"/>
                <w:color w:val="auto"/>
                <w:sz w:val="24"/>
                <w:szCs w:val="21"/>
                <w:highlight w:val="none"/>
                <w:vertAlign w:val="superscript"/>
              </w:rPr>
              <w:t>2-</w:t>
            </w:r>
            <w:r>
              <w:rPr>
                <w:rFonts w:ascii="Times New Roman" w:hAnsi="Times New Roman" w:cs="Times New Roman" w:hint="default"/>
                <w:color w:val="auto"/>
                <w:sz w:val="24"/>
                <w:szCs w:val="24"/>
                <w:highlight w:val="none"/>
              </w:rPr>
              <w:t>；</w:t>
            </w:r>
          </w:p>
          <w:p w14:paraId="2E37441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eastAsia="宋体" w:hAnsi="Times New Roman" w:cs="Times New Roman" w:hint="eastAsia"/>
                <w:color w:val="auto"/>
                <w:sz w:val="24"/>
                <w:szCs w:val="28"/>
                <w:highlight w:val="none"/>
                <w:lang w:eastAsia="zh-CN"/>
              </w:rPr>
            </w:pPr>
            <w:r>
              <w:rPr>
                <w:rFonts w:ascii="Times New Roman" w:hAnsi="Times New Roman" w:cs="Times New Roman" w:hint="default"/>
                <w:color w:val="auto"/>
                <w:sz w:val="24"/>
                <w:szCs w:val="24"/>
                <w:highlight w:val="none"/>
              </w:rPr>
              <w:t>基本水质因子</w:t>
            </w:r>
            <w:r>
              <w:rPr>
                <w:rFonts w:ascii="Times New Roman" w:hAnsi="Times New Roman" w:cs="Times New Roman" w:hint="default"/>
                <w:color w:val="auto"/>
                <w:sz w:val="24"/>
                <w:szCs w:val="24"/>
                <w:highlight w:val="none"/>
                <w:lang w:eastAsia="zh-CN"/>
              </w:rPr>
              <w:t>：</w:t>
            </w:r>
            <w:r>
              <w:rPr>
                <w:rFonts w:ascii="Times New Roman" w:hAnsi="Times New Roman" w:cs="Times New Roman" w:hint="default"/>
                <w:color w:val="auto"/>
                <w:sz w:val="24"/>
                <w:szCs w:val="28"/>
                <w:highlight w:val="none"/>
              </w:rPr>
              <w:t>pH、硝酸盐（以N计）、亚硝酸盐（以N计）、挥发性酚类（以苯酚计）、氰化物、砷、汞、铬（六价）、总硬度（以CaCO</w:t>
            </w:r>
            <w:r>
              <w:rPr>
                <w:rFonts w:ascii="Times New Roman" w:hAnsi="Times New Roman" w:cs="Times New Roman" w:hint="default"/>
                <w:color w:val="auto"/>
                <w:sz w:val="24"/>
                <w:szCs w:val="28"/>
                <w:highlight w:val="none"/>
                <w:vertAlign w:val="subscript"/>
              </w:rPr>
              <w:t>3</w:t>
            </w:r>
            <w:r>
              <w:rPr>
                <w:rFonts w:ascii="Times New Roman" w:hAnsi="Times New Roman" w:cs="Times New Roman" w:hint="default"/>
                <w:color w:val="auto"/>
                <w:sz w:val="24"/>
                <w:szCs w:val="28"/>
                <w:highlight w:val="none"/>
              </w:rPr>
              <w:t>计）、铅、氟化物、镉、铁、锰、溶解性总固体、耗氧量（COD</w:t>
            </w:r>
            <w:r>
              <w:rPr>
                <w:rFonts w:ascii="Times New Roman" w:hAnsi="Times New Roman" w:cs="Times New Roman" w:hint="default"/>
                <w:color w:val="auto"/>
                <w:sz w:val="24"/>
                <w:szCs w:val="28"/>
                <w:highlight w:val="none"/>
                <w:vertAlign w:val="subscript"/>
              </w:rPr>
              <w:t>Mn</w:t>
            </w:r>
            <w:r>
              <w:rPr>
                <w:rFonts w:ascii="Times New Roman" w:hAnsi="Times New Roman" w:cs="Times New Roman" w:hint="default"/>
                <w:color w:val="auto"/>
                <w:sz w:val="24"/>
                <w:szCs w:val="28"/>
                <w:highlight w:val="none"/>
              </w:rPr>
              <w:t>法，以O</w:t>
            </w:r>
            <w:r>
              <w:rPr>
                <w:rFonts w:ascii="Times New Roman" w:hAnsi="Times New Roman" w:cs="Times New Roman" w:hint="default"/>
                <w:color w:val="auto"/>
                <w:sz w:val="24"/>
                <w:szCs w:val="28"/>
                <w:highlight w:val="none"/>
                <w:vertAlign w:val="subscript"/>
              </w:rPr>
              <w:t>2</w:t>
            </w:r>
            <w:r>
              <w:rPr>
                <w:rFonts w:ascii="Times New Roman" w:hAnsi="Times New Roman" w:cs="Times New Roman" w:hint="default"/>
                <w:color w:val="auto"/>
                <w:sz w:val="24"/>
                <w:szCs w:val="28"/>
                <w:highlight w:val="none"/>
              </w:rPr>
              <w:t>计）</w:t>
            </w:r>
            <w:r>
              <w:rPr>
                <w:rFonts w:ascii="Times New Roman" w:hAnsi="Times New Roman" w:cs="Times New Roman" w:hint="eastAsia"/>
                <w:color w:val="auto"/>
                <w:sz w:val="24"/>
                <w:szCs w:val="28"/>
                <w:highlight w:val="none"/>
                <w:lang w:eastAsia="zh-CN"/>
              </w:rPr>
              <w:t>。</w:t>
            </w:r>
          </w:p>
          <w:p w14:paraId="3F986D9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eastAsia="宋体" w:hAnsi="Times New Roman" w:cs="Times New Roman" w:hint="default"/>
                <w:bCs/>
                <w:color w:val="auto"/>
                <w:sz w:val="24"/>
                <w:highlight w:val="none"/>
                <w:lang w:eastAsia="zh-CN"/>
              </w:rPr>
            </w:pPr>
            <w:r>
              <w:rPr>
                <w:rFonts w:ascii="Times New Roman" w:hAnsi="Times New Roman" w:cs="Times New Roman" w:hint="default"/>
                <w:color w:val="auto"/>
                <w:sz w:val="24"/>
                <w:szCs w:val="24"/>
                <w:highlight w:val="none"/>
              </w:rPr>
              <w:t>特征监测因子：</w:t>
            </w:r>
            <w:r>
              <w:rPr>
                <w:rFonts w:ascii="Times New Roman" w:hAnsi="Times New Roman" w:cs="Times New Roman" w:hint="eastAsia"/>
                <w:color w:val="auto"/>
                <w:sz w:val="24"/>
                <w:szCs w:val="24"/>
                <w:highlight w:val="none"/>
                <w:lang w:val="en-US" w:eastAsia="zh-CN"/>
              </w:rPr>
              <w:t>钒</w:t>
            </w:r>
            <w:r>
              <w:rPr>
                <w:rFonts w:ascii="Times New Roman" w:hAnsi="Times New Roman" w:cs="Times New Roman" w:hint="eastAsia"/>
                <w:color w:val="auto"/>
                <w:sz w:val="24"/>
                <w:szCs w:val="24"/>
                <w:highlight w:val="none"/>
                <w:lang w:eastAsia="zh-CN"/>
              </w:rPr>
              <w:t>、</w:t>
            </w:r>
            <w:r>
              <w:rPr>
                <w:rFonts w:ascii="Times New Roman" w:hAnsi="Times New Roman" w:cs="Times New Roman" w:hint="eastAsia"/>
                <w:color w:val="auto"/>
                <w:sz w:val="24"/>
                <w:szCs w:val="24"/>
                <w:highlight w:val="none"/>
                <w:lang w:val="en-US" w:eastAsia="zh-CN"/>
              </w:rPr>
              <w:t>石油类</w:t>
            </w:r>
            <w:r>
              <w:rPr>
                <w:rFonts w:ascii="Times New Roman" w:hAnsi="Times New Roman" w:cs="Times New Roman" w:hint="default"/>
                <w:color w:val="auto"/>
                <w:sz w:val="24"/>
                <w:szCs w:val="24"/>
                <w:highlight w:val="none"/>
                <w:lang w:eastAsia="zh-CN"/>
              </w:rPr>
              <w:t>。</w:t>
            </w:r>
          </w:p>
          <w:p w14:paraId="6F93A40B">
            <w:pPr>
              <w:pStyle w:val="1"/>
              <w:spacing w:line="360" w:lineRule="auto"/>
              <w:ind w:firstLine="482"/>
              <w:jc w:val="left"/>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eastAsia"/>
                <w:color w:val="auto"/>
                <w:sz w:val="24"/>
                <w:szCs w:val="24"/>
                <w:lang w:val="en-US" w:eastAsia="zh-CN"/>
              </w:rPr>
              <w:t xml:space="preserve">3.3监测结果 </w:t>
            </w:r>
          </w:p>
          <w:p w14:paraId="3F1D1DE6">
            <w:pPr>
              <w:pStyle w:val="1"/>
              <w:spacing w:line="360" w:lineRule="auto"/>
              <w:jc w:val="center"/>
              <w:rPr>
                <w:rFonts w:eastAsia="宋体" w:hint="default"/>
                <w:b/>
                <w:color w:val="auto"/>
                <w:sz w:val="24"/>
                <w:szCs w:val="21"/>
                <w:lang w:val="en-US" w:eastAsia="zh-CN"/>
              </w:rPr>
            </w:pPr>
            <w:r>
              <w:rPr>
                <w:b/>
                <w:color w:val="auto"/>
                <w:sz w:val="24"/>
                <w:szCs w:val="21"/>
              </w:rPr>
              <w:t>表</w:t>
            </w:r>
            <w:r>
              <w:rPr>
                <w:rFonts w:cs="Times New Roman" w:hint="eastAsia"/>
                <w:b/>
                <w:color w:val="auto"/>
                <w:sz w:val="24"/>
                <w:highlight w:val="none"/>
                <w:lang w:val="en-US" w:eastAsia="zh-CN"/>
              </w:rPr>
              <w:t>3</w:t>
            </w:r>
            <w:r>
              <w:rPr>
                <w:rFonts w:ascii="Times New Roman" w:hAnsi="Times New Roman" w:cs="Times New Roman" w:hint="default"/>
                <w:b/>
                <w:color w:val="auto"/>
                <w:sz w:val="24"/>
                <w:highlight w:val="none"/>
              </w:rPr>
              <w:noBreakHyphen/>
            </w:r>
            <w:r>
              <w:rPr>
                <w:rFonts w:ascii="Times New Roman" w:hAnsi="Times New Roman" w:cs="Times New Roman" w:hint="default"/>
                <w:b/>
                <w:color w:val="auto"/>
                <w:sz w:val="24"/>
                <w:highlight w:val="none"/>
              </w:rPr>
              <w:fldChar w:fldCharType="begin"/>
            </w:r>
            <w:r>
              <w:rPr>
                <w:rFonts w:ascii="Times New Roman" w:hAnsi="Times New Roman" w:cs="Times New Roman" w:hint="default"/>
                <w:b/>
                <w:color w:val="auto"/>
                <w:sz w:val="24"/>
                <w:highlight w:val="none"/>
              </w:rPr>
              <w:instrText xml:space="preserve"> SEQ 表 \* ARABIC \s 2 </w:instrText>
            </w:r>
            <w:r>
              <w:rPr>
                <w:rFonts w:ascii="Times New Roman" w:hAnsi="Times New Roman" w:cs="Times New Roman" w:hint="default"/>
                <w:b/>
                <w:color w:val="auto"/>
                <w:sz w:val="24"/>
                <w:highlight w:val="none"/>
              </w:rPr>
              <w:fldChar w:fldCharType="separate"/>
            </w:r>
            <w:r>
              <w:rPr>
                <w:rFonts w:ascii="Times New Roman" w:hAnsi="Times New Roman" w:cs="Times New Roman" w:hint="default"/>
                <w:b/>
                <w:color w:val="auto"/>
                <w:sz w:val="24"/>
                <w:highlight w:val="none"/>
              </w:rPr>
              <w:t>2</w:t>
            </w:r>
            <w:r>
              <w:rPr>
                <w:rFonts w:ascii="Times New Roman" w:hAnsi="Times New Roman" w:cs="Times New Roman" w:hint="default"/>
                <w:b/>
                <w:color w:val="auto"/>
                <w:sz w:val="24"/>
                <w:highlight w:val="none"/>
              </w:rPr>
              <w:fldChar w:fldCharType="end"/>
            </w:r>
            <w:r>
              <w:rPr>
                <w:b/>
                <w:color w:val="auto"/>
                <w:sz w:val="24"/>
                <w:szCs w:val="21"/>
              </w:rPr>
              <w:t xml:space="preserve"> </w:t>
            </w:r>
            <w:r>
              <w:rPr>
                <w:rFonts w:hint="eastAsia"/>
                <w:b/>
                <w:color w:val="auto"/>
                <w:sz w:val="24"/>
                <w:szCs w:val="21"/>
                <w:lang w:val="en-US" w:eastAsia="zh-CN"/>
              </w:rPr>
              <w:t>地下水监测结果一览表 单位：</w:t>
            </w:r>
            <w:r>
              <w:rPr>
                <w:color w:val="auto"/>
                <w:spacing w:val="-1"/>
                <w:sz w:val="25"/>
                <w:szCs w:val="25"/>
              </w:rPr>
              <w:t>mg/L</w:t>
            </w:r>
            <w:r>
              <w:rPr>
                <w:rFonts w:hint="eastAsia"/>
                <w:color w:val="auto"/>
                <w:spacing w:val="-1"/>
                <w:sz w:val="25"/>
                <w:szCs w:val="25"/>
                <w:lang w:val="en-US" w:eastAsia="zh-CN"/>
              </w:rPr>
              <w:t xml:space="preserve">  pH除外</w:t>
            </w:r>
          </w:p>
          <w:tbl>
            <w:tblPr>
              <w:tblStyle w:val="2"/>
              <w:tblW w:w="497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CellMar>
                <w:top w:w="0" w:type="dxa"/>
                <w:left w:w="108" w:type="dxa"/>
                <w:bottom w:w="0" w:type="dxa"/>
                <w:right w:w="108" w:type="dxa"/>
              </w:tblCellMar>
            </w:tblPr>
            <w:tblGrid>
              <w:gridCol w:w="532"/>
              <w:gridCol w:w="2047"/>
              <w:gridCol w:w="1785"/>
              <w:gridCol w:w="1659"/>
              <w:gridCol w:w="2309"/>
            </w:tblGrid>
            <w:tr w14:paraId="0F69D51E">
              <w:tblPrEx>
                <w:tblW w:w="497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CellMar>
                  <w:top w:w="0" w:type="dxa"/>
                  <w:left w:w="108" w:type="dxa"/>
                  <w:bottom w:w="0" w:type="dxa"/>
                  <w:right w:w="108" w:type="dxa"/>
                </w:tblCellMar>
              </w:tblPrEx>
              <w:trPr>
                <w:trHeight w:val="340"/>
                <w:jc w:val="center"/>
              </w:trPr>
              <w:tc>
                <w:tcPr>
                  <w:tcW w:w="319" w:type="pct"/>
                  <w:tcBorders>
                    <w:tl2br w:val="nil"/>
                    <w:tr2bl w:val="nil"/>
                  </w:tcBorders>
                  <w:shd w:val="clear" w:color="auto" w:fill="auto"/>
                  <w:vAlign w:val="center"/>
                </w:tcPr>
                <w:p w14:paraId="74D9BFA0">
                  <w:pPr>
                    <w:jc w:val="center"/>
                    <w:rPr>
                      <w:rFonts w:ascii="Times New Roman" w:hAnsi="Times New Roman" w:cs="Times New Roman" w:hint="default"/>
                      <w:b/>
                      <w:color w:val="auto"/>
                      <w:sz w:val="21"/>
                      <w:szCs w:val="21"/>
                    </w:rPr>
                  </w:pPr>
                  <w:r>
                    <w:rPr>
                      <w:rFonts w:ascii="Times New Roman" w:hAnsi="Times New Roman" w:cs="Times New Roman" w:hint="default"/>
                      <w:b/>
                      <w:color w:val="auto"/>
                      <w:sz w:val="21"/>
                      <w:szCs w:val="21"/>
                    </w:rPr>
                    <w:t>序号</w:t>
                  </w:r>
                </w:p>
              </w:tc>
              <w:tc>
                <w:tcPr>
                  <w:tcW w:w="1228" w:type="pct"/>
                  <w:tcBorders>
                    <w:tl2br w:val="nil"/>
                    <w:tr2bl w:val="nil"/>
                  </w:tcBorders>
                  <w:shd w:val="clear" w:color="auto" w:fill="auto"/>
                  <w:vAlign w:val="center"/>
                </w:tcPr>
                <w:p w14:paraId="74029F2C">
                  <w:pPr>
                    <w:jc w:val="center"/>
                    <w:rPr>
                      <w:rFonts w:ascii="Times New Roman" w:hAnsi="Times New Roman" w:cs="Times New Roman" w:hint="default"/>
                      <w:b/>
                      <w:color w:val="auto"/>
                      <w:sz w:val="21"/>
                      <w:szCs w:val="21"/>
                    </w:rPr>
                  </w:pPr>
                  <w:r>
                    <w:rPr>
                      <w:rFonts w:ascii="Times New Roman" w:hAnsi="Times New Roman" w:cs="Times New Roman" w:hint="default"/>
                      <w:b/>
                      <w:color w:val="auto"/>
                      <w:sz w:val="21"/>
                      <w:szCs w:val="21"/>
                    </w:rPr>
                    <w:t>检测项目</w:t>
                  </w:r>
                </w:p>
              </w:tc>
              <w:tc>
                <w:tcPr>
                  <w:tcW w:w="1071" w:type="pct"/>
                  <w:tcBorders>
                    <w:tl2br w:val="nil"/>
                    <w:tr2bl w:val="nil"/>
                  </w:tcBorders>
                  <w:shd w:val="clear" w:color="auto" w:fill="auto"/>
                  <w:vAlign w:val="center"/>
                </w:tcPr>
                <w:p w14:paraId="617B0A41">
                  <w:pPr>
                    <w:jc w:val="center"/>
                    <w:rPr>
                      <w:rFonts w:ascii="Times New Roman" w:hAnsi="Times New Roman" w:cs="Times New Roman" w:hint="default"/>
                      <w:b/>
                      <w:color w:val="auto"/>
                      <w:sz w:val="21"/>
                      <w:szCs w:val="21"/>
                    </w:rPr>
                  </w:pPr>
                  <w:r>
                    <w:rPr>
                      <w:rFonts w:ascii="Times New Roman" w:hAnsi="Times New Roman" w:cs="Times New Roman" w:hint="default"/>
                      <w:b/>
                      <w:color w:val="auto"/>
                      <w:sz w:val="21"/>
                      <w:szCs w:val="21"/>
                    </w:rPr>
                    <w:t>检测值</w:t>
                  </w:r>
                </w:p>
              </w:tc>
              <w:tc>
                <w:tcPr>
                  <w:tcW w:w="995" w:type="pct"/>
                  <w:tcBorders>
                    <w:tl2br w:val="nil"/>
                    <w:tr2bl w:val="nil"/>
                  </w:tcBorders>
                  <w:shd w:val="clear" w:color="auto" w:fill="auto"/>
                  <w:vAlign w:val="center"/>
                </w:tcPr>
                <w:p w14:paraId="74A67D71">
                  <w:pPr>
                    <w:jc w:val="center"/>
                    <w:rPr>
                      <w:rFonts w:ascii="Times New Roman" w:eastAsia="宋体" w:hAnsi="Times New Roman" w:cs="Times New Roman" w:hint="default"/>
                      <w:b/>
                      <w:color w:val="auto"/>
                      <w:sz w:val="21"/>
                      <w:szCs w:val="21"/>
                      <w:lang w:val="en-US" w:eastAsia="zh-CN"/>
                    </w:rPr>
                  </w:pPr>
                  <w:r>
                    <w:rPr>
                      <w:rFonts w:ascii="Times New Roman" w:hAnsi="Times New Roman" w:cs="Times New Roman" w:hint="eastAsia"/>
                      <w:b/>
                      <w:color w:val="auto"/>
                      <w:sz w:val="21"/>
                      <w:szCs w:val="21"/>
                      <w:lang w:val="en-US" w:eastAsia="zh-CN"/>
                    </w:rPr>
                    <w:t>限值范围</w:t>
                  </w:r>
                </w:p>
              </w:tc>
              <w:tc>
                <w:tcPr>
                  <w:tcW w:w="1385" w:type="pct"/>
                  <w:tcBorders>
                    <w:tl2br w:val="nil"/>
                    <w:tr2bl w:val="nil"/>
                  </w:tcBorders>
                  <w:shd w:val="clear" w:color="auto" w:fill="auto"/>
                  <w:vAlign w:val="center"/>
                </w:tcPr>
                <w:p w14:paraId="52672B3D">
                  <w:pPr>
                    <w:jc w:val="center"/>
                    <w:rPr>
                      <w:rFonts w:ascii="Times New Roman" w:hAnsi="Times New Roman" w:cs="Times New Roman" w:hint="default"/>
                      <w:b/>
                      <w:color w:val="auto"/>
                      <w:sz w:val="21"/>
                      <w:szCs w:val="21"/>
                      <w:lang w:val="en-US" w:eastAsia="zh-CN"/>
                    </w:rPr>
                  </w:pPr>
                  <w:r>
                    <w:rPr>
                      <w:rFonts w:ascii="Times New Roman" w:hAnsi="Times New Roman" w:cs="Times New Roman" w:hint="eastAsia"/>
                      <w:b/>
                      <w:color w:val="auto"/>
                      <w:sz w:val="21"/>
                      <w:szCs w:val="21"/>
                      <w:lang w:val="en-US" w:eastAsia="zh-CN"/>
                    </w:rPr>
                    <w:t>地下水Ⅲ类水质达标情况</w:t>
                  </w:r>
                </w:p>
              </w:tc>
            </w:tr>
            <w:tr w14:paraId="06A2F01F">
              <w:tblPrEx>
                <w:tblW w:w="4975" w:type="pct"/>
                <w:jc w:val="center"/>
                <w:shd w:val="clear" w:color="auto" w:fill="auto"/>
                <w:tblCellMar>
                  <w:top w:w="0" w:type="dxa"/>
                  <w:left w:w="108" w:type="dxa"/>
                  <w:bottom w:w="0" w:type="dxa"/>
                  <w:right w:w="108" w:type="dxa"/>
                </w:tblCellMar>
              </w:tblPrEx>
              <w:trPr>
                <w:trHeight w:val="340"/>
                <w:jc w:val="center"/>
              </w:trPr>
              <w:tc>
                <w:tcPr>
                  <w:tcW w:w="319" w:type="pct"/>
                  <w:tcBorders>
                    <w:tl2br w:val="nil"/>
                    <w:tr2bl w:val="nil"/>
                  </w:tcBorders>
                  <w:shd w:val="clear" w:color="auto" w:fill="auto"/>
                  <w:vAlign w:val="center"/>
                </w:tcPr>
                <w:p w14:paraId="56F7B0E3">
                  <w:pPr>
                    <w:jc w:val="center"/>
                    <w:rPr>
                      <w:rFonts w:ascii="Times New Roman" w:hAnsi="Times New Roman" w:cs="Times New Roman" w:hint="default"/>
                      <w:color w:val="auto"/>
                      <w:sz w:val="21"/>
                      <w:szCs w:val="21"/>
                    </w:rPr>
                  </w:pPr>
                  <w:r>
                    <w:rPr>
                      <w:rFonts w:ascii="Times New Roman" w:hAnsi="Times New Roman" w:cs="Times New Roman" w:hint="default"/>
                      <w:color w:val="auto"/>
                      <w:sz w:val="21"/>
                      <w:szCs w:val="21"/>
                    </w:rPr>
                    <w:t>1</w:t>
                  </w:r>
                </w:p>
              </w:tc>
              <w:tc>
                <w:tcPr>
                  <w:tcW w:w="1228" w:type="pct"/>
                  <w:tcBorders>
                    <w:tl2br w:val="nil"/>
                    <w:tr2bl w:val="nil"/>
                  </w:tcBorders>
                  <w:shd w:val="clear" w:color="auto" w:fill="auto"/>
                  <w:vAlign w:val="top"/>
                </w:tcPr>
                <w:p w14:paraId="18C9F369">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K</w:t>
                  </w:r>
                  <w:r>
                    <w:rPr>
                      <w:rFonts w:ascii="Times New Roman" w:eastAsia="宋体" w:hAnsi="Times New Roman" w:cs="Times New Roman" w:hint="eastAsia"/>
                      <w:color w:val="auto"/>
                      <w:sz w:val="21"/>
                      <w:szCs w:val="21"/>
                      <w:vertAlign w:val="superscript"/>
                      <w:lang w:val="en-US" w:eastAsia="zh-CN"/>
                    </w:rPr>
                    <w:t>+</w:t>
                  </w:r>
                </w:p>
              </w:tc>
              <w:tc>
                <w:tcPr>
                  <w:tcW w:w="1071" w:type="pct"/>
                  <w:tcBorders>
                    <w:tl2br w:val="nil"/>
                    <w:tr2bl w:val="nil"/>
                  </w:tcBorders>
                  <w:shd w:val="clear" w:color="auto" w:fill="auto"/>
                  <w:vAlign w:val="top"/>
                </w:tcPr>
                <w:p w14:paraId="4F786387">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1.02</w:t>
                  </w:r>
                </w:p>
              </w:tc>
              <w:tc>
                <w:tcPr>
                  <w:tcW w:w="995" w:type="pct"/>
                  <w:tcBorders>
                    <w:tl2br w:val="nil"/>
                    <w:tr2bl w:val="nil"/>
                  </w:tcBorders>
                  <w:shd w:val="clear" w:color="auto" w:fill="auto"/>
                  <w:vAlign w:val="top"/>
                </w:tcPr>
                <w:p w14:paraId="0D96E01A">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w:t>
                  </w:r>
                </w:p>
              </w:tc>
              <w:tc>
                <w:tcPr>
                  <w:tcW w:w="1385" w:type="pct"/>
                  <w:tcBorders>
                    <w:tl2br w:val="nil"/>
                    <w:tr2bl w:val="nil"/>
                  </w:tcBorders>
                  <w:shd w:val="clear" w:color="auto" w:fill="auto"/>
                  <w:vAlign w:val="top"/>
                </w:tcPr>
                <w:p w14:paraId="745E25C5">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w:t>
                  </w:r>
                </w:p>
              </w:tc>
            </w:tr>
            <w:tr w14:paraId="4EF714E1">
              <w:tblPrEx>
                <w:tblW w:w="4975" w:type="pct"/>
                <w:jc w:val="center"/>
                <w:shd w:val="clear" w:color="auto" w:fill="auto"/>
                <w:tblCellMar>
                  <w:top w:w="0" w:type="dxa"/>
                  <w:left w:w="108" w:type="dxa"/>
                  <w:bottom w:w="0" w:type="dxa"/>
                  <w:right w:w="108" w:type="dxa"/>
                </w:tblCellMar>
              </w:tblPrEx>
              <w:trPr>
                <w:trHeight w:val="340"/>
                <w:jc w:val="center"/>
              </w:trPr>
              <w:tc>
                <w:tcPr>
                  <w:tcW w:w="319" w:type="pct"/>
                  <w:tcBorders>
                    <w:tl2br w:val="nil"/>
                    <w:tr2bl w:val="nil"/>
                  </w:tcBorders>
                  <w:shd w:val="clear" w:color="auto" w:fill="auto"/>
                  <w:vAlign w:val="center"/>
                </w:tcPr>
                <w:p w14:paraId="58DAAEF6">
                  <w:pPr>
                    <w:jc w:val="center"/>
                    <w:rPr>
                      <w:rFonts w:ascii="Times New Roman" w:hAnsi="Times New Roman" w:cs="Times New Roman" w:hint="default"/>
                      <w:color w:val="auto"/>
                      <w:sz w:val="21"/>
                      <w:szCs w:val="21"/>
                    </w:rPr>
                  </w:pPr>
                  <w:r>
                    <w:rPr>
                      <w:rFonts w:ascii="Times New Roman" w:hAnsi="Times New Roman" w:cs="Times New Roman" w:hint="default"/>
                      <w:color w:val="auto"/>
                      <w:sz w:val="21"/>
                      <w:szCs w:val="21"/>
                    </w:rPr>
                    <w:t>2</w:t>
                  </w:r>
                </w:p>
              </w:tc>
              <w:tc>
                <w:tcPr>
                  <w:tcW w:w="1228" w:type="pct"/>
                  <w:tcBorders>
                    <w:tl2br w:val="nil"/>
                    <w:tr2bl w:val="nil"/>
                  </w:tcBorders>
                  <w:shd w:val="clear" w:color="auto" w:fill="auto"/>
                  <w:vAlign w:val="top"/>
                </w:tcPr>
                <w:p w14:paraId="1B3E264F">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N</w:t>
                  </w:r>
                  <w:r>
                    <w:rPr>
                      <w:rFonts w:ascii="Times New Roman" w:eastAsia="宋体" w:hAnsi="Times New Roman" w:cs="Times New Roman" w:hint="eastAsia"/>
                      <w:color w:val="auto"/>
                      <w:sz w:val="21"/>
                      <w:szCs w:val="21"/>
                      <w:vertAlign w:val="superscript"/>
                      <w:lang w:val="en-US" w:eastAsia="zh-CN"/>
                    </w:rPr>
                    <w:t>+</w:t>
                  </w:r>
                </w:p>
              </w:tc>
              <w:tc>
                <w:tcPr>
                  <w:tcW w:w="1071" w:type="pct"/>
                  <w:tcBorders>
                    <w:tl2br w:val="nil"/>
                    <w:tr2bl w:val="nil"/>
                  </w:tcBorders>
                  <w:shd w:val="clear" w:color="auto" w:fill="auto"/>
                  <w:vAlign w:val="top"/>
                </w:tcPr>
                <w:p w14:paraId="092CF76D">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11.6</w:t>
                  </w:r>
                </w:p>
              </w:tc>
              <w:tc>
                <w:tcPr>
                  <w:tcW w:w="995" w:type="pct"/>
                  <w:tcBorders>
                    <w:tl2br w:val="nil"/>
                    <w:tr2bl w:val="nil"/>
                  </w:tcBorders>
                  <w:shd w:val="clear" w:color="auto" w:fill="auto"/>
                  <w:vAlign w:val="top"/>
                </w:tcPr>
                <w:p w14:paraId="00A79416">
                  <w:pPr>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lang w:val="en-US" w:eastAsia="zh-CN"/>
                    </w:rPr>
                    <w:t>200</w:t>
                  </w:r>
                </w:p>
              </w:tc>
              <w:tc>
                <w:tcPr>
                  <w:tcW w:w="1385" w:type="pct"/>
                  <w:tcBorders>
                    <w:tl2br w:val="nil"/>
                    <w:tr2bl w:val="nil"/>
                  </w:tcBorders>
                  <w:shd w:val="clear" w:color="auto" w:fill="auto"/>
                  <w:vAlign w:val="top"/>
                </w:tcPr>
                <w:p w14:paraId="03A1F527">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达标</w:t>
                  </w:r>
                </w:p>
              </w:tc>
            </w:tr>
            <w:tr w14:paraId="2174C60B">
              <w:tblPrEx>
                <w:tblW w:w="4975" w:type="pct"/>
                <w:jc w:val="center"/>
                <w:shd w:val="clear" w:color="auto" w:fill="auto"/>
                <w:tblCellMar>
                  <w:top w:w="0" w:type="dxa"/>
                  <w:left w:w="108" w:type="dxa"/>
                  <w:bottom w:w="0" w:type="dxa"/>
                  <w:right w:w="108" w:type="dxa"/>
                </w:tblCellMar>
              </w:tblPrEx>
              <w:trPr>
                <w:trHeight w:val="340"/>
                <w:jc w:val="center"/>
              </w:trPr>
              <w:tc>
                <w:tcPr>
                  <w:tcW w:w="319" w:type="pct"/>
                  <w:tcBorders>
                    <w:tl2br w:val="nil"/>
                    <w:tr2bl w:val="nil"/>
                  </w:tcBorders>
                  <w:shd w:val="clear" w:color="auto" w:fill="auto"/>
                  <w:vAlign w:val="center"/>
                </w:tcPr>
                <w:p w14:paraId="49F80412">
                  <w:pPr>
                    <w:jc w:val="center"/>
                    <w:rPr>
                      <w:rFonts w:ascii="Times New Roman" w:hAnsi="Times New Roman" w:cs="Times New Roman" w:hint="default"/>
                      <w:color w:val="auto"/>
                      <w:sz w:val="21"/>
                      <w:szCs w:val="21"/>
                    </w:rPr>
                  </w:pPr>
                  <w:r>
                    <w:rPr>
                      <w:rFonts w:ascii="Times New Roman" w:hAnsi="Times New Roman" w:cs="Times New Roman" w:hint="default"/>
                      <w:color w:val="auto"/>
                      <w:sz w:val="21"/>
                      <w:szCs w:val="21"/>
                    </w:rPr>
                    <w:t>3</w:t>
                  </w:r>
                </w:p>
              </w:tc>
              <w:tc>
                <w:tcPr>
                  <w:tcW w:w="1228" w:type="pct"/>
                  <w:tcBorders>
                    <w:tl2br w:val="nil"/>
                    <w:tr2bl w:val="nil"/>
                  </w:tcBorders>
                  <w:shd w:val="clear" w:color="auto" w:fill="auto"/>
                  <w:vAlign w:val="top"/>
                </w:tcPr>
                <w:p w14:paraId="6A0497AD">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Ca²</w:t>
                  </w:r>
                  <w:r>
                    <w:rPr>
                      <w:rFonts w:ascii="Times New Roman" w:eastAsia="宋体" w:hAnsi="Times New Roman" w:cs="Times New Roman" w:hint="eastAsia"/>
                      <w:color w:val="auto"/>
                      <w:sz w:val="21"/>
                      <w:szCs w:val="21"/>
                      <w:vertAlign w:val="superscript"/>
                      <w:lang w:val="en-US" w:eastAsia="zh-CN"/>
                    </w:rPr>
                    <w:t>+</w:t>
                  </w:r>
                </w:p>
              </w:tc>
              <w:tc>
                <w:tcPr>
                  <w:tcW w:w="1071" w:type="pct"/>
                  <w:tcBorders>
                    <w:tl2br w:val="nil"/>
                    <w:tr2bl w:val="nil"/>
                  </w:tcBorders>
                  <w:shd w:val="clear" w:color="auto" w:fill="auto"/>
                  <w:vAlign w:val="top"/>
                </w:tcPr>
                <w:p w14:paraId="4E6121F0">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48.6</w:t>
                  </w:r>
                </w:p>
              </w:tc>
              <w:tc>
                <w:tcPr>
                  <w:tcW w:w="995" w:type="pct"/>
                  <w:tcBorders>
                    <w:tl2br w:val="nil"/>
                    <w:tr2bl w:val="nil"/>
                  </w:tcBorders>
                  <w:shd w:val="clear" w:color="auto" w:fill="auto"/>
                  <w:vAlign w:val="top"/>
                </w:tcPr>
                <w:p w14:paraId="683E2DD9">
                  <w:pPr>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lang w:val="en-US" w:eastAsia="zh-CN"/>
                    </w:rPr>
                    <w:t>/</w:t>
                  </w:r>
                </w:p>
              </w:tc>
              <w:tc>
                <w:tcPr>
                  <w:tcW w:w="1385" w:type="pct"/>
                  <w:tcBorders>
                    <w:tl2br w:val="nil"/>
                    <w:tr2bl w:val="nil"/>
                  </w:tcBorders>
                  <w:shd w:val="clear" w:color="auto" w:fill="auto"/>
                  <w:vAlign w:val="top"/>
                </w:tcPr>
                <w:p w14:paraId="7D24D0E0">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w:t>
                  </w:r>
                </w:p>
              </w:tc>
            </w:tr>
            <w:tr w14:paraId="7149A092">
              <w:tblPrEx>
                <w:tblW w:w="4975" w:type="pct"/>
                <w:jc w:val="center"/>
                <w:shd w:val="clear" w:color="auto" w:fill="auto"/>
                <w:tblCellMar>
                  <w:top w:w="0" w:type="dxa"/>
                  <w:left w:w="108" w:type="dxa"/>
                  <w:bottom w:w="0" w:type="dxa"/>
                  <w:right w:w="108" w:type="dxa"/>
                </w:tblCellMar>
              </w:tblPrEx>
              <w:trPr>
                <w:trHeight w:val="340"/>
                <w:jc w:val="center"/>
              </w:trPr>
              <w:tc>
                <w:tcPr>
                  <w:tcW w:w="319" w:type="pct"/>
                  <w:tcBorders>
                    <w:tl2br w:val="nil"/>
                    <w:tr2bl w:val="nil"/>
                  </w:tcBorders>
                  <w:shd w:val="clear" w:color="auto" w:fill="auto"/>
                  <w:vAlign w:val="center"/>
                </w:tcPr>
                <w:p w14:paraId="7EEF03DF">
                  <w:pPr>
                    <w:jc w:val="center"/>
                    <w:rPr>
                      <w:rFonts w:ascii="Times New Roman" w:hAnsi="Times New Roman" w:cs="Times New Roman" w:hint="default"/>
                      <w:color w:val="auto"/>
                      <w:sz w:val="21"/>
                      <w:szCs w:val="21"/>
                    </w:rPr>
                  </w:pPr>
                  <w:r>
                    <w:rPr>
                      <w:rFonts w:ascii="Times New Roman" w:hAnsi="Times New Roman" w:cs="Times New Roman" w:hint="default"/>
                      <w:color w:val="auto"/>
                      <w:sz w:val="21"/>
                      <w:szCs w:val="21"/>
                    </w:rPr>
                    <w:t>4</w:t>
                  </w:r>
                </w:p>
              </w:tc>
              <w:tc>
                <w:tcPr>
                  <w:tcW w:w="1228" w:type="pct"/>
                  <w:tcBorders>
                    <w:tl2br w:val="nil"/>
                    <w:tr2bl w:val="nil"/>
                  </w:tcBorders>
                  <w:shd w:val="clear" w:color="auto" w:fill="auto"/>
                  <w:vAlign w:val="top"/>
                </w:tcPr>
                <w:p w14:paraId="19C44DC3">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Mg²</w:t>
                  </w:r>
                  <w:r>
                    <w:rPr>
                      <w:rFonts w:ascii="Times New Roman" w:eastAsia="宋体" w:hAnsi="Times New Roman" w:cs="Times New Roman" w:hint="eastAsia"/>
                      <w:color w:val="auto"/>
                      <w:sz w:val="21"/>
                      <w:szCs w:val="21"/>
                      <w:vertAlign w:val="superscript"/>
                      <w:lang w:val="en-US" w:eastAsia="zh-CN"/>
                    </w:rPr>
                    <w:t>-</w:t>
                  </w:r>
                </w:p>
              </w:tc>
              <w:tc>
                <w:tcPr>
                  <w:tcW w:w="1071" w:type="pct"/>
                  <w:tcBorders>
                    <w:tl2br w:val="nil"/>
                    <w:tr2bl w:val="nil"/>
                  </w:tcBorders>
                  <w:shd w:val="clear" w:color="auto" w:fill="auto"/>
                  <w:vAlign w:val="top"/>
                </w:tcPr>
                <w:p w14:paraId="107EC0D6">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13.0</w:t>
                  </w:r>
                </w:p>
              </w:tc>
              <w:tc>
                <w:tcPr>
                  <w:tcW w:w="995" w:type="pct"/>
                  <w:tcBorders>
                    <w:tl2br w:val="nil"/>
                    <w:tr2bl w:val="nil"/>
                  </w:tcBorders>
                  <w:shd w:val="clear" w:color="auto" w:fill="auto"/>
                  <w:vAlign w:val="top"/>
                </w:tcPr>
                <w:p w14:paraId="1469031A">
                  <w:pPr>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lang w:val="en-US" w:eastAsia="zh-CN"/>
                    </w:rPr>
                    <w:t>/</w:t>
                  </w:r>
                </w:p>
              </w:tc>
              <w:tc>
                <w:tcPr>
                  <w:tcW w:w="1385" w:type="pct"/>
                  <w:tcBorders>
                    <w:tl2br w:val="nil"/>
                    <w:tr2bl w:val="nil"/>
                  </w:tcBorders>
                  <w:shd w:val="clear" w:color="auto" w:fill="auto"/>
                  <w:vAlign w:val="top"/>
                </w:tcPr>
                <w:p w14:paraId="7BC1A07D">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w:t>
                  </w:r>
                </w:p>
              </w:tc>
            </w:tr>
            <w:tr w14:paraId="5D7BDFDA">
              <w:tblPrEx>
                <w:tblW w:w="4975" w:type="pct"/>
                <w:jc w:val="center"/>
                <w:shd w:val="clear" w:color="auto" w:fill="auto"/>
                <w:tblCellMar>
                  <w:top w:w="0" w:type="dxa"/>
                  <w:left w:w="108" w:type="dxa"/>
                  <w:bottom w:w="0" w:type="dxa"/>
                  <w:right w:w="108" w:type="dxa"/>
                </w:tblCellMar>
              </w:tblPrEx>
              <w:trPr>
                <w:trHeight w:val="340"/>
                <w:jc w:val="center"/>
              </w:trPr>
              <w:tc>
                <w:tcPr>
                  <w:tcW w:w="319" w:type="pct"/>
                  <w:tcBorders>
                    <w:tl2br w:val="nil"/>
                    <w:tr2bl w:val="nil"/>
                  </w:tcBorders>
                  <w:shd w:val="clear" w:color="auto" w:fill="auto"/>
                  <w:vAlign w:val="center"/>
                </w:tcPr>
                <w:p w14:paraId="3646EE62">
                  <w:pPr>
                    <w:jc w:val="center"/>
                    <w:rPr>
                      <w:rFonts w:ascii="Times New Roman" w:hAnsi="Times New Roman" w:cs="Times New Roman" w:hint="default"/>
                      <w:color w:val="auto"/>
                      <w:sz w:val="21"/>
                      <w:szCs w:val="21"/>
                    </w:rPr>
                  </w:pPr>
                  <w:r>
                    <w:rPr>
                      <w:rFonts w:ascii="Times New Roman" w:hAnsi="Times New Roman" w:cs="Times New Roman" w:hint="default"/>
                      <w:color w:val="auto"/>
                      <w:sz w:val="21"/>
                      <w:szCs w:val="21"/>
                    </w:rPr>
                    <w:t>5</w:t>
                  </w:r>
                </w:p>
              </w:tc>
              <w:tc>
                <w:tcPr>
                  <w:tcW w:w="1228" w:type="pct"/>
                  <w:tcBorders>
                    <w:tl2br w:val="nil"/>
                    <w:tr2bl w:val="nil"/>
                  </w:tcBorders>
                  <w:shd w:val="clear" w:color="auto" w:fill="auto"/>
                  <w:vAlign w:val="top"/>
                </w:tcPr>
                <w:p w14:paraId="28F1C56D">
                  <w:pPr>
                    <w:jc w:val="center"/>
                    <w:rPr>
                      <w:rFonts w:ascii="Times New Roman" w:eastAsia="宋体" w:hAnsi="Times New Roman" w:cs="Times New Roman" w:hint="default"/>
                      <w:color w:val="auto"/>
                      <w:sz w:val="21"/>
                      <w:szCs w:val="21"/>
                      <w:vertAlign w:val="superscript"/>
                      <w:lang w:val="en-US" w:eastAsia="zh-CN"/>
                    </w:rPr>
                  </w:pPr>
                  <w:r>
                    <w:rPr>
                      <w:rFonts w:ascii="Times New Roman" w:eastAsia="宋体" w:hAnsi="Times New Roman" w:cs="Times New Roman" w:hint="default"/>
                      <w:color w:val="auto"/>
                      <w:sz w:val="21"/>
                      <w:szCs w:val="21"/>
                      <w:lang w:val="en-US" w:eastAsia="zh-CN"/>
                    </w:rPr>
                    <w:t>CO₃²</w:t>
                  </w:r>
                  <w:r>
                    <w:rPr>
                      <w:rFonts w:ascii="Times New Roman" w:eastAsia="宋体" w:hAnsi="Times New Roman" w:cs="Times New Roman" w:hint="eastAsia"/>
                      <w:color w:val="auto"/>
                      <w:sz w:val="21"/>
                      <w:szCs w:val="21"/>
                      <w:vertAlign w:val="superscript"/>
                      <w:lang w:val="en-US" w:eastAsia="zh-CN"/>
                    </w:rPr>
                    <w:t>-</w:t>
                  </w:r>
                </w:p>
              </w:tc>
              <w:tc>
                <w:tcPr>
                  <w:tcW w:w="1071" w:type="pct"/>
                  <w:tcBorders>
                    <w:tl2br w:val="nil"/>
                    <w:tr2bl w:val="nil"/>
                  </w:tcBorders>
                  <w:shd w:val="clear" w:color="auto" w:fill="auto"/>
                  <w:vAlign w:val="top"/>
                </w:tcPr>
                <w:p w14:paraId="4275FEBE">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5L</w:t>
                  </w:r>
                </w:p>
              </w:tc>
              <w:tc>
                <w:tcPr>
                  <w:tcW w:w="995" w:type="pct"/>
                  <w:tcBorders>
                    <w:tl2br w:val="nil"/>
                    <w:tr2bl w:val="nil"/>
                  </w:tcBorders>
                  <w:shd w:val="clear" w:color="auto" w:fill="auto"/>
                  <w:vAlign w:val="top"/>
                </w:tcPr>
                <w:p w14:paraId="5B5C14C6">
                  <w:pPr>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lang w:val="en-US" w:eastAsia="zh-CN"/>
                    </w:rPr>
                    <w:t>/</w:t>
                  </w:r>
                </w:p>
              </w:tc>
              <w:tc>
                <w:tcPr>
                  <w:tcW w:w="1385" w:type="pct"/>
                  <w:tcBorders>
                    <w:tl2br w:val="nil"/>
                    <w:tr2bl w:val="nil"/>
                  </w:tcBorders>
                  <w:shd w:val="clear" w:color="auto" w:fill="auto"/>
                  <w:vAlign w:val="top"/>
                </w:tcPr>
                <w:p w14:paraId="05A604F0">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w:t>
                  </w:r>
                </w:p>
              </w:tc>
            </w:tr>
            <w:tr w14:paraId="488C42F2">
              <w:tblPrEx>
                <w:tblW w:w="4975" w:type="pct"/>
                <w:jc w:val="center"/>
                <w:shd w:val="clear" w:color="auto" w:fill="auto"/>
                <w:tblCellMar>
                  <w:top w:w="0" w:type="dxa"/>
                  <w:left w:w="108" w:type="dxa"/>
                  <w:bottom w:w="0" w:type="dxa"/>
                  <w:right w:w="108" w:type="dxa"/>
                </w:tblCellMar>
              </w:tblPrEx>
              <w:trPr>
                <w:trHeight w:val="340"/>
                <w:jc w:val="center"/>
              </w:trPr>
              <w:tc>
                <w:tcPr>
                  <w:tcW w:w="319" w:type="pct"/>
                  <w:tcBorders>
                    <w:tl2br w:val="nil"/>
                    <w:tr2bl w:val="nil"/>
                  </w:tcBorders>
                  <w:shd w:val="clear" w:color="auto" w:fill="auto"/>
                  <w:vAlign w:val="center"/>
                </w:tcPr>
                <w:p w14:paraId="40AE4170">
                  <w:pPr>
                    <w:jc w:val="center"/>
                    <w:rPr>
                      <w:rFonts w:ascii="Times New Roman" w:hAnsi="Times New Roman" w:cs="Times New Roman" w:hint="default"/>
                      <w:color w:val="auto"/>
                      <w:sz w:val="21"/>
                      <w:szCs w:val="21"/>
                    </w:rPr>
                  </w:pPr>
                  <w:r>
                    <w:rPr>
                      <w:rFonts w:ascii="Times New Roman" w:hAnsi="Times New Roman" w:cs="Times New Roman" w:hint="default"/>
                      <w:color w:val="auto"/>
                      <w:sz w:val="21"/>
                      <w:szCs w:val="21"/>
                    </w:rPr>
                    <w:t>6</w:t>
                  </w:r>
                </w:p>
              </w:tc>
              <w:tc>
                <w:tcPr>
                  <w:tcW w:w="1228" w:type="pct"/>
                  <w:tcBorders>
                    <w:tl2br w:val="nil"/>
                    <w:tr2bl w:val="nil"/>
                  </w:tcBorders>
                  <w:shd w:val="clear" w:color="auto" w:fill="auto"/>
                  <w:vAlign w:val="top"/>
                </w:tcPr>
                <w:p w14:paraId="2CB0FBBC">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HCO₃</w:t>
                  </w:r>
                  <w:r>
                    <w:rPr>
                      <w:rFonts w:ascii="Times New Roman" w:eastAsia="宋体" w:hAnsi="Times New Roman" w:cs="Times New Roman" w:hint="eastAsia"/>
                      <w:color w:val="auto"/>
                      <w:sz w:val="21"/>
                      <w:szCs w:val="21"/>
                      <w:vertAlign w:val="superscript"/>
                      <w:lang w:val="en-US" w:eastAsia="zh-CN"/>
                    </w:rPr>
                    <w:t>-</w:t>
                  </w:r>
                </w:p>
              </w:tc>
              <w:tc>
                <w:tcPr>
                  <w:tcW w:w="1071" w:type="pct"/>
                  <w:tcBorders>
                    <w:tl2br w:val="nil"/>
                    <w:tr2bl w:val="nil"/>
                  </w:tcBorders>
                  <w:shd w:val="clear" w:color="auto" w:fill="auto"/>
                  <w:vAlign w:val="top"/>
                </w:tcPr>
                <w:p w14:paraId="43996383">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208</w:t>
                  </w:r>
                </w:p>
              </w:tc>
              <w:tc>
                <w:tcPr>
                  <w:tcW w:w="995" w:type="pct"/>
                  <w:tcBorders>
                    <w:tl2br w:val="nil"/>
                    <w:tr2bl w:val="nil"/>
                  </w:tcBorders>
                  <w:shd w:val="clear" w:color="auto" w:fill="auto"/>
                  <w:vAlign w:val="top"/>
                </w:tcPr>
                <w:p w14:paraId="0E836E51">
                  <w:pPr>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lang w:val="en-US" w:eastAsia="zh-CN"/>
                    </w:rPr>
                    <w:t>/</w:t>
                  </w:r>
                </w:p>
              </w:tc>
              <w:tc>
                <w:tcPr>
                  <w:tcW w:w="1385" w:type="pct"/>
                  <w:tcBorders>
                    <w:tl2br w:val="nil"/>
                    <w:tr2bl w:val="nil"/>
                  </w:tcBorders>
                  <w:shd w:val="clear" w:color="auto" w:fill="auto"/>
                  <w:vAlign w:val="top"/>
                </w:tcPr>
                <w:p w14:paraId="641AB1A0">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w:t>
                  </w:r>
                </w:p>
              </w:tc>
            </w:tr>
            <w:tr w14:paraId="0EB93716">
              <w:tblPrEx>
                <w:tblW w:w="4975" w:type="pct"/>
                <w:jc w:val="center"/>
                <w:shd w:val="clear" w:color="auto" w:fill="auto"/>
                <w:tblCellMar>
                  <w:top w:w="0" w:type="dxa"/>
                  <w:left w:w="108" w:type="dxa"/>
                  <w:bottom w:w="0" w:type="dxa"/>
                  <w:right w:w="108" w:type="dxa"/>
                </w:tblCellMar>
              </w:tblPrEx>
              <w:trPr>
                <w:trHeight w:val="340"/>
                <w:jc w:val="center"/>
              </w:trPr>
              <w:tc>
                <w:tcPr>
                  <w:tcW w:w="319" w:type="pct"/>
                  <w:tcBorders>
                    <w:tl2br w:val="nil"/>
                    <w:tr2bl w:val="nil"/>
                  </w:tcBorders>
                  <w:shd w:val="clear" w:color="auto" w:fill="auto"/>
                  <w:vAlign w:val="center"/>
                </w:tcPr>
                <w:p w14:paraId="541AEF34">
                  <w:pPr>
                    <w:jc w:val="center"/>
                    <w:rPr>
                      <w:rFonts w:ascii="Times New Roman" w:hAnsi="Times New Roman" w:cs="Times New Roman" w:hint="default"/>
                      <w:color w:val="auto"/>
                      <w:sz w:val="21"/>
                      <w:szCs w:val="21"/>
                    </w:rPr>
                  </w:pPr>
                  <w:r>
                    <w:rPr>
                      <w:rFonts w:ascii="Times New Roman" w:hAnsi="Times New Roman" w:cs="Times New Roman" w:hint="default"/>
                      <w:color w:val="auto"/>
                      <w:sz w:val="21"/>
                      <w:szCs w:val="21"/>
                    </w:rPr>
                    <w:t>7</w:t>
                  </w:r>
                </w:p>
              </w:tc>
              <w:tc>
                <w:tcPr>
                  <w:tcW w:w="1228" w:type="pct"/>
                  <w:tcBorders>
                    <w:tl2br w:val="nil"/>
                    <w:tr2bl w:val="nil"/>
                  </w:tcBorders>
                  <w:shd w:val="clear" w:color="auto" w:fill="auto"/>
                  <w:vAlign w:val="top"/>
                </w:tcPr>
                <w:p w14:paraId="0522FF7A">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Cl</w:t>
                  </w:r>
                  <w:r>
                    <w:rPr>
                      <w:rFonts w:ascii="Times New Roman" w:eastAsia="宋体" w:hAnsi="Times New Roman" w:cs="Times New Roman" w:hint="eastAsia"/>
                      <w:color w:val="auto"/>
                      <w:sz w:val="21"/>
                      <w:szCs w:val="21"/>
                      <w:vertAlign w:val="superscript"/>
                      <w:lang w:val="en-US" w:eastAsia="zh-CN"/>
                    </w:rPr>
                    <w:t>-</w:t>
                  </w:r>
                </w:p>
              </w:tc>
              <w:tc>
                <w:tcPr>
                  <w:tcW w:w="1071" w:type="pct"/>
                  <w:tcBorders>
                    <w:tl2br w:val="nil"/>
                    <w:tr2bl w:val="nil"/>
                  </w:tcBorders>
                  <w:shd w:val="clear" w:color="auto" w:fill="auto"/>
                  <w:vAlign w:val="top"/>
                </w:tcPr>
                <w:p w14:paraId="7DA0A267">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13.1</w:t>
                  </w:r>
                </w:p>
              </w:tc>
              <w:tc>
                <w:tcPr>
                  <w:tcW w:w="995" w:type="pct"/>
                  <w:tcBorders>
                    <w:tl2br w:val="nil"/>
                    <w:tr2bl w:val="nil"/>
                  </w:tcBorders>
                  <w:shd w:val="clear" w:color="auto" w:fill="auto"/>
                  <w:vAlign w:val="top"/>
                </w:tcPr>
                <w:p w14:paraId="6CCA141C">
                  <w:pPr>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lang w:val="en-US" w:eastAsia="zh-CN"/>
                    </w:rPr>
                    <w:t>250</w:t>
                  </w:r>
                </w:p>
              </w:tc>
              <w:tc>
                <w:tcPr>
                  <w:tcW w:w="1385" w:type="pct"/>
                  <w:tcBorders>
                    <w:tl2br w:val="nil"/>
                    <w:tr2bl w:val="nil"/>
                  </w:tcBorders>
                  <w:shd w:val="clear" w:color="auto" w:fill="auto"/>
                  <w:vAlign w:val="top"/>
                </w:tcPr>
                <w:p w14:paraId="1CC51A22">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达标</w:t>
                  </w:r>
                </w:p>
              </w:tc>
            </w:tr>
            <w:tr w14:paraId="040B72BE">
              <w:tblPrEx>
                <w:tblW w:w="4975" w:type="pct"/>
                <w:jc w:val="center"/>
                <w:shd w:val="clear" w:color="auto" w:fill="auto"/>
                <w:tblCellMar>
                  <w:top w:w="0" w:type="dxa"/>
                  <w:left w:w="108" w:type="dxa"/>
                  <w:bottom w:w="0" w:type="dxa"/>
                  <w:right w:w="108" w:type="dxa"/>
                </w:tblCellMar>
              </w:tblPrEx>
              <w:trPr>
                <w:trHeight w:val="340"/>
                <w:jc w:val="center"/>
              </w:trPr>
              <w:tc>
                <w:tcPr>
                  <w:tcW w:w="319" w:type="pct"/>
                  <w:tcBorders>
                    <w:tl2br w:val="nil"/>
                    <w:tr2bl w:val="nil"/>
                  </w:tcBorders>
                  <w:shd w:val="clear" w:color="auto" w:fill="auto"/>
                  <w:vAlign w:val="center"/>
                </w:tcPr>
                <w:p w14:paraId="30A89AA5">
                  <w:pPr>
                    <w:jc w:val="center"/>
                    <w:rPr>
                      <w:rFonts w:ascii="Times New Roman" w:hAnsi="Times New Roman" w:cs="Times New Roman" w:hint="default"/>
                      <w:color w:val="auto"/>
                      <w:sz w:val="21"/>
                      <w:szCs w:val="21"/>
                    </w:rPr>
                  </w:pPr>
                  <w:r>
                    <w:rPr>
                      <w:rFonts w:ascii="Times New Roman" w:hAnsi="Times New Roman" w:cs="Times New Roman" w:hint="default"/>
                      <w:color w:val="auto"/>
                      <w:sz w:val="21"/>
                      <w:szCs w:val="21"/>
                    </w:rPr>
                    <w:t>8</w:t>
                  </w:r>
                </w:p>
              </w:tc>
              <w:tc>
                <w:tcPr>
                  <w:tcW w:w="1228" w:type="pct"/>
                  <w:tcBorders>
                    <w:tl2br w:val="nil"/>
                    <w:tr2bl w:val="nil"/>
                  </w:tcBorders>
                  <w:shd w:val="clear" w:color="auto" w:fill="auto"/>
                  <w:vAlign w:val="top"/>
                </w:tcPr>
                <w:p w14:paraId="6B59583E">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SO₄²</w:t>
                  </w:r>
                  <w:r>
                    <w:rPr>
                      <w:rFonts w:ascii="Times New Roman" w:eastAsia="宋体" w:hAnsi="Times New Roman" w:cs="Times New Roman" w:hint="eastAsia"/>
                      <w:color w:val="auto"/>
                      <w:sz w:val="21"/>
                      <w:szCs w:val="21"/>
                      <w:vertAlign w:val="superscript"/>
                      <w:lang w:val="en-US" w:eastAsia="zh-CN"/>
                    </w:rPr>
                    <w:t>-</w:t>
                  </w:r>
                </w:p>
              </w:tc>
              <w:tc>
                <w:tcPr>
                  <w:tcW w:w="1071" w:type="pct"/>
                  <w:tcBorders>
                    <w:tl2br w:val="nil"/>
                    <w:tr2bl w:val="nil"/>
                  </w:tcBorders>
                  <w:shd w:val="clear" w:color="auto" w:fill="auto"/>
                  <w:vAlign w:val="top"/>
                </w:tcPr>
                <w:p w14:paraId="15560BD5">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17</w:t>
                  </w:r>
                </w:p>
              </w:tc>
              <w:tc>
                <w:tcPr>
                  <w:tcW w:w="995" w:type="pct"/>
                  <w:tcBorders>
                    <w:tl2br w:val="nil"/>
                    <w:tr2bl w:val="nil"/>
                  </w:tcBorders>
                  <w:shd w:val="clear" w:color="auto" w:fill="auto"/>
                  <w:vAlign w:val="top"/>
                </w:tcPr>
                <w:p w14:paraId="0DCE4B44">
                  <w:pPr>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lang w:val="en-US" w:eastAsia="zh-CN"/>
                    </w:rPr>
                    <w:t>250</w:t>
                  </w:r>
                </w:p>
              </w:tc>
              <w:tc>
                <w:tcPr>
                  <w:tcW w:w="1385" w:type="pct"/>
                  <w:tcBorders>
                    <w:tl2br w:val="nil"/>
                    <w:tr2bl w:val="nil"/>
                  </w:tcBorders>
                  <w:shd w:val="clear" w:color="auto" w:fill="auto"/>
                  <w:vAlign w:val="top"/>
                </w:tcPr>
                <w:p w14:paraId="28D8A807">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达标</w:t>
                  </w:r>
                </w:p>
              </w:tc>
            </w:tr>
            <w:tr w14:paraId="222A158B">
              <w:tblPrEx>
                <w:tblW w:w="4975" w:type="pct"/>
                <w:jc w:val="center"/>
                <w:shd w:val="clear" w:color="auto" w:fill="auto"/>
                <w:tblCellMar>
                  <w:top w:w="0" w:type="dxa"/>
                  <w:left w:w="108" w:type="dxa"/>
                  <w:bottom w:w="0" w:type="dxa"/>
                  <w:right w:w="108" w:type="dxa"/>
                </w:tblCellMar>
              </w:tblPrEx>
              <w:trPr>
                <w:trHeight w:val="340"/>
                <w:jc w:val="center"/>
              </w:trPr>
              <w:tc>
                <w:tcPr>
                  <w:tcW w:w="319" w:type="pct"/>
                  <w:tcBorders>
                    <w:tl2br w:val="nil"/>
                    <w:tr2bl w:val="nil"/>
                  </w:tcBorders>
                  <w:shd w:val="clear" w:color="auto" w:fill="auto"/>
                  <w:vAlign w:val="center"/>
                </w:tcPr>
                <w:p w14:paraId="10405C68">
                  <w:pPr>
                    <w:jc w:val="center"/>
                    <w:rPr>
                      <w:rFonts w:ascii="Times New Roman" w:hAnsi="Times New Roman" w:cs="Times New Roman" w:hint="default"/>
                      <w:color w:val="auto"/>
                      <w:sz w:val="21"/>
                      <w:szCs w:val="21"/>
                    </w:rPr>
                  </w:pPr>
                  <w:r>
                    <w:rPr>
                      <w:rFonts w:ascii="Times New Roman" w:hAnsi="Times New Roman" w:cs="Times New Roman" w:hint="default"/>
                      <w:color w:val="auto"/>
                      <w:sz w:val="21"/>
                      <w:szCs w:val="21"/>
                    </w:rPr>
                    <w:t>9</w:t>
                  </w:r>
                </w:p>
              </w:tc>
              <w:tc>
                <w:tcPr>
                  <w:tcW w:w="1228" w:type="pct"/>
                  <w:tcBorders>
                    <w:tl2br w:val="nil"/>
                    <w:tr2bl w:val="nil"/>
                  </w:tcBorders>
                  <w:shd w:val="clear" w:color="auto" w:fill="auto"/>
                  <w:vAlign w:val="top"/>
                </w:tcPr>
                <w:p w14:paraId="5E6F8B9A">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pH值</w:t>
                  </w:r>
                </w:p>
              </w:tc>
              <w:tc>
                <w:tcPr>
                  <w:tcW w:w="1071" w:type="pct"/>
                  <w:tcBorders>
                    <w:tl2br w:val="nil"/>
                    <w:tr2bl w:val="nil"/>
                  </w:tcBorders>
                  <w:shd w:val="clear" w:color="auto" w:fill="auto"/>
                  <w:vAlign w:val="top"/>
                </w:tcPr>
                <w:p w14:paraId="2F3ECA86">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7.3</w:t>
                  </w:r>
                </w:p>
              </w:tc>
              <w:tc>
                <w:tcPr>
                  <w:tcW w:w="995" w:type="pct"/>
                  <w:tcBorders>
                    <w:tl2br w:val="nil"/>
                    <w:tr2bl w:val="nil"/>
                  </w:tcBorders>
                  <w:shd w:val="clear" w:color="auto" w:fill="auto"/>
                  <w:vAlign w:val="top"/>
                </w:tcPr>
                <w:p w14:paraId="647CD216">
                  <w:pPr>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lang w:val="en-US" w:eastAsia="zh-CN"/>
                    </w:rPr>
                    <w:t>6.5～8.5</w:t>
                  </w:r>
                </w:p>
              </w:tc>
              <w:tc>
                <w:tcPr>
                  <w:tcW w:w="1385" w:type="pct"/>
                  <w:tcBorders>
                    <w:tl2br w:val="nil"/>
                    <w:tr2bl w:val="nil"/>
                  </w:tcBorders>
                  <w:shd w:val="clear" w:color="auto" w:fill="auto"/>
                  <w:vAlign w:val="top"/>
                </w:tcPr>
                <w:p w14:paraId="712DD580">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达标</w:t>
                  </w:r>
                </w:p>
              </w:tc>
            </w:tr>
            <w:tr w14:paraId="55BB843C">
              <w:tblPrEx>
                <w:tblW w:w="4975" w:type="pct"/>
                <w:jc w:val="center"/>
                <w:shd w:val="clear" w:color="auto" w:fill="auto"/>
                <w:tblCellMar>
                  <w:top w:w="0" w:type="dxa"/>
                  <w:left w:w="108" w:type="dxa"/>
                  <w:bottom w:w="0" w:type="dxa"/>
                  <w:right w:w="108" w:type="dxa"/>
                </w:tblCellMar>
              </w:tblPrEx>
              <w:trPr>
                <w:trHeight w:val="340"/>
                <w:jc w:val="center"/>
              </w:trPr>
              <w:tc>
                <w:tcPr>
                  <w:tcW w:w="319" w:type="pct"/>
                  <w:tcBorders>
                    <w:tl2br w:val="nil"/>
                    <w:tr2bl w:val="nil"/>
                  </w:tcBorders>
                  <w:shd w:val="clear" w:color="auto" w:fill="auto"/>
                  <w:vAlign w:val="center"/>
                </w:tcPr>
                <w:p w14:paraId="32E6A51B">
                  <w:pPr>
                    <w:jc w:val="center"/>
                    <w:rPr>
                      <w:rFonts w:ascii="Times New Roman" w:hAnsi="Times New Roman" w:cs="Times New Roman" w:hint="default"/>
                      <w:color w:val="auto"/>
                      <w:sz w:val="21"/>
                      <w:szCs w:val="21"/>
                    </w:rPr>
                  </w:pPr>
                  <w:r>
                    <w:rPr>
                      <w:rFonts w:ascii="Times New Roman" w:hAnsi="Times New Roman" w:cs="Times New Roman" w:hint="default"/>
                      <w:color w:val="auto"/>
                      <w:sz w:val="21"/>
                      <w:szCs w:val="21"/>
                    </w:rPr>
                    <w:t>10</w:t>
                  </w:r>
                </w:p>
              </w:tc>
              <w:tc>
                <w:tcPr>
                  <w:tcW w:w="1228" w:type="pct"/>
                  <w:tcBorders>
                    <w:tl2br w:val="nil"/>
                    <w:tr2bl w:val="nil"/>
                  </w:tcBorders>
                  <w:shd w:val="clear" w:color="auto" w:fill="auto"/>
                  <w:vAlign w:val="top"/>
                </w:tcPr>
                <w:p w14:paraId="1BDEF441">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总硬度</w:t>
                  </w:r>
                </w:p>
              </w:tc>
              <w:tc>
                <w:tcPr>
                  <w:tcW w:w="1071" w:type="pct"/>
                  <w:tcBorders>
                    <w:tl2br w:val="nil"/>
                    <w:tr2bl w:val="nil"/>
                  </w:tcBorders>
                  <w:shd w:val="clear" w:color="auto" w:fill="auto"/>
                  <w:vAlign w:val="top"/>
                </w:tcPr>
                <w:p w14:paraId="30D6AFC6">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177</w:t>
                  </w:r>
                </w:p>
              </w:tc>
              <w:tc>
                <w:tcPr>
                  <w:tcW w:w="995" w:type="pct"/>
                  <w:tcBorders>
                    <w:tl2br w:val="nil"/>
                    <w:tr2bl w:val="nil"/>
                  </w:tcBorders>
                  <w:shd w:val="clear" w:color="auto" w:fill="auto"/>
                  <w:vAlign w:val="top"/>
                </w:tcPr>
                <w:p w14:paraId="41C75561">
                  <w:pPr>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lang w:val="en-US" w:eastAsia="zh-CN"/>
                    </w:rPr>
                    <w:t>450</w:t>
                  </w:r>
                </w:p>
              </w:tc>
              <w:tc>
                <w:tcPr>
                  <w:tcW w:w="1385" w:type="pct"/>
                  <w:tcBorders>
                    <w:tl2br w:val="nil"/>
                    <w:tr2bl w:val="nil"/>
                  </w:tcBorders>
                  <w:shd w:val="clear" w:color="auto" w:fill="auto"/>
                  <w:vAlign w:val="top"/>
                </w:tcPr>
                <w:p w14:paraId="16A5A39F">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达标</w:t>
                  </w:r>
                </w:p>
              </w:tc>
            </w:tr>
            <w:tr w14:paraId="71EA5421">
              <w:tblPrEx>
                <w:tblW w:w="4975" w:type="pct"/>
                <w:jc w:val="center"/>
                <w:shd w:val="clear" w:color="auto" w:fill="auto"/>
                <w:tblCellMar>
                  <w:top w:w="0" w:type="dxa"/>
                  <w:left w:w="108" w:type="dxa"/>
                  <w:bottom w:w="0" w:type="dxa"/>
                  <w:right w:w="108" w:type="dxa"/>
                </w:tblCellMar>
              </w:tblPrEx>
              <w:trPr>
                <w:trHeight w:val="90"/>
                <w:jc w:val="center"/>
              </w:trPr>
              <w:tc>
                <w:tcPr>
                  <w:tcW w:w="319" w:type="pct"/>
                  <w:tcBorders>
                    <w:tl2br w:val="nil"/>
                    <w:tr2bl w:val="nil"/>
                  </w:tcBorders>
                  <w:shd w:val="clear" w:color="auto" w:fill="auto"/>
                  <w:vAlign w:val="center"/>
                </w:tcPr>
                <w:p w14:paraId="174B8C61">
                  <w:pPr>
                    <w:jc w:val="center"/>
                    <w:rPr>
                      <w:rFonts w:ascii="Times New Roman" w:hAnsi="Times New Roman" w:cs="Times New Roman" w:hint="default"/>
                      <w:color w:val="auto"/>
                      <w:sz w:val="21"/>
                      <w:szCs w:val="21"/>
                    </w:rPr>
                  </w:pPr>
                  <w:r>
                    <w:rPr>
                      <w:rFonts w:ascii="Times New Roman" w:hAnsi="Times New Roman" w:cs="Times New Roman" w:hint="default"/>
                      <w:color w:val="auto"/>
                      <w:sz w:val="21"/>
                      <w:szCs w:val="21"/>
                    </w:rPr>
                    <w:t>11</w:t>
                  </w:r>
                </w:p>
              </w:tc>
              <w:tc>
                <w:tcPr>
                  <w:tcW w:w="1228" w:type="pct"/>
                  <w:tcBorders>
                    <w:tl2br w:val="nil"/>
                    <w:tr2bl w:val="nil"/>
                  </w:tcBorders>
                  <w:shd w:val="clear" w:color="auto" w:fill="auto"/>
                  <w:vAlign w:val="top"/>
                </w:tcPr>
                <w:p w14:paraId="2D60C2A5">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溶解性总固体</w:t>
                  </w:r>
                </w:p>
              </w:tc>
              <w:tc>
                <w:tcPr>
                  <w:tcW w:w="1071" w:type="pct"/>
                  <w:tcBorders>
                    <w:tl2br w:val="nil"/>
                    <w:tr2bl w:val="nil"/>
                  </w:tcBorders>
                  <w:shd w:val="clear" w:color="auto" w:fill="auto"/>
                  <w:vAlign w:val="top"/>
                </w:tcPr>
                <w:p w14:paraId="0B0FD510">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247</w:t>
                  </w:r>
                </w:p>
              </w:tc>
              <w:tc>
                <w:tcPr>
                  <w:tcW w:w="995" w:type="pct"/>
                  <w:tcBorders>
                    <w:tl2br w:val="nil"/>
                    <w:tr2bl w:val="nil"/>
                  </w:tcBorders>
                  <w:shd w:val="clear" w:color="auto" w:fill="auto"/>
                  <w:vAlign w:val="top"/>
                </w:tcPr>
                <w:p w14:paraId="75C53A06">
                  <w:pPr>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lang w:val="en-US" w:eastAsia="zh-CN"/>
                    </w:rPr>
                    <w:t>1000</w:t>
                  </w:r>
                </w:p>
              </w:tc>
              <w:tc>
                <w:tcPr>
                  <w:tcW w:w="1385" w:type="pct"/>
                  <w:tcBorders>
                    <w:tl2br w:val="nil"/>
                    <w:tr2bl w:val="nil"/>
                  </w:tcBorders>
                  <w:shd w:val="clear" w:color="auto" w:fill="auto"/>
                  <w:vAlign w:val="top"/>
                </w:tcPr>
                <w:p w14:paraId="78D1BFDF">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达标</w:t>
                  </w:r>
                </w:p>
              </w:tc>
            </w:tr>
            <w:tr w14:paraId="5ABD523D">
              <w:tblPrEx>
                <w:tblW w:w="4975" w:type="pct"/>
                <w:jc w:val="center"/>
                <w:shd w:val="clear" w:color="auto" w:fill="auto"/>
                <w:tblCellMar>
                  <w:top w:w="0" w:type="dxa"/>
                  <w:left w:w="108" w:type="dxa"/>
                  <w:bottom w:w="0" w:type="dxa"/>
                  <w:right w:w="108" w:type="dxa"/>
                </w:tblCellMar>
              </w:tblPrEx>
              <w:trPr>
                <w:trHeight w:val="340"/>
                <w:jc w:val="center"/>
              </w:trPr>
              <w:tc>
                <w:tcPr>
                  <w:tcW w:w="319" w:type="pct"/>
                  <w:tcBorders>
                    <w:tl2br w:val="nil"/>
                    <w:tr2bl w:val="nil"/>
                  </w:tcBorders>
                  <w:shd w:val="clear" w:color="auto" w:fill="auto"/>
                  <w:vAlign w:val="center"/>
                </w:tcPr>
                <w:p w14:paraId="1B9A94BA">
                  <w:pPr>
                    <w:jc w:val="center"/>
                    <w:rPr>
                      <w:rFonts w:ascii="Times New Roman" w:hAnsi="Times New Roman" w:cs="Times New Roman" w:hint="default"/>
                      <w:color w:val="auto"/>
                      <w:sz w:val="21"/>
                      <w:szCs w:val="21"/>
                    </w:rPr>
                  </w:pPr>
                  <w:r>
                    <w:rPr>
                      <w:rFonts w:ascii="Times New Roman" w:hAnsi="Times New Roman" w:cs="Times New Roman" w:hint="default"/>
                      <w:color w:val="auto"/>
                      <w:sz w:val="21"/>
                      <w:szCs w:val="21"/>
                    </w:rPr>
                    <w:t>12</w:t>
                  </w:r>
                </w:p>
              </w:tc>
              <w:tc>
                <w:tcPr>
                  <w:tcW w:w="1228" w:type="pct"/>
                  <w:tcBorders>
                    <w:tl2br w:val="nil"/>
                    <w:tr2bl w:val="nil"/>
                  </w:tcBorders>
                  <w:shd w:val="clear" w:color="auto" w:fill="auto"/>
                  <w:vAlign w:val="top"/>
                </w:tcPr>
                <w:p w14:paraId="4F65B2B1">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铁</w:t>
                  </w:r>
                </w:p>
              </w:tc>
              <w:tc>
                <w:tcPr>
                  <w:tcW w:w="1071" w:type="pct"/>
                  <w:tcBorders>
                    <w:tl2br w:val="nil"/>
                    <w:tr2bl w:val="nil"/>
                  </w:tcBorders>
                  <w:shd w:val="clear" w:color="auto" w:fill="auto"/>
                  <w:vAlign w:val="top"/>
                </w:tcPr>
                <w:p w14:paraId="6B9DA397">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0.03L</w:t>
                  </w:r>
                </w:p>
              </w:tc>
              <w:tc>
                <w:tcPr>
                  <w:tcW w:w="995" w:type="pct"/>
                  <w:tcBorders>
                    <w:tl2br w:val="nil"/>
                    <w:tr2bl w:val="nil"/>
                  </w:tcBorders>
                  <w:shd w:val="clear" w:color="auto" w:fill="auto"/>
                  <w:vAlign w:val="top"/>
                </w:tcPr>
                <w:p w14:paraId="4A0F0F30">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0.3</w:t>
                  </w:r>
                </w:p>
              </w:tc>
              <w:tc>
                <w:tcPr>
                  <w:tcW w:w="1385" w:type="pct"/>
                  <w:tcBorders>
                    <w:tl2br w:val="nil"/>
                    <w:tr2bl w:val="nil"/>
                  </w:tcBorders>
                  <w:shd w:val="clear" w:color="auto" w:fill="auto"/>
                  <w:vAlign w:val="top"/>
                </w:tcPr>
                <w:p w14:paraId="5AB83C84">
                  <w:pPr>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lang w:val="en-US" w:eastAsia="zh-CN"/>
                    </w:rPr>
                    <w:t>达标</w:t>
                  </w:r>
                </w:p>
              </w:tc>
            </w:tr>
            <w:tr w14:paraId="10C305C2">
              <w:tblPrEx>
                <w:tblW w:w="4975" w:type="pct"/>
                <w:jc w:val="center"/>
                <w:shd w:val="clear" w:color="auto" w:fill="auto"/>
                <w:tblCellMar>
                  <w:top w:w="0" w:type="dxa"/>
                  <w:left w:w="108" w:type="dxa"/>
                  <w:bottom w:w="0" w:type="dxa"/>
                  <w:right w:w="108" w:type="dxa"/>
                </w:tblCellMar>
              </w:tblPrEx>
              <w:trPr>
                <w:trHeight w:val="340"/>
                <w:jc w:val="center"/>
              </w:trPr>
              <w:tc>
                <w:tcPr>
                  <w:tcW w:w="319" w:type="pct"/>
                  <w:tcBorders>
                    <w:tl2br w:val="nil"/>
                    <w:tr2bl w:val="nil"/>
                  </w:tcBorders>
                  <w:shd w:val="clear" w:color="auto" w:fill="auto"/>
                  <w:vAlign w:val="center"/>
                </w:tcPr>
                <w:p w14:paraId="46ABB10F">
                  <w:pPr>
                    <w:jc w:val="center"/>
                    <w:rPr>
                      <w:rFonts w:ascii="Times New Roman" w:hAnsi="Times New Roman" w:cs="Times New Roman" w:hint="default"/>
                      <w:color w:val="auto"/>
                      <w:sz w:val="21"/>
                      <w:szCs w:val="21"/>
                    </w:rPr>
                  </w:pPr>
                  <w:r>
                    <w:rPr>
                      <w:rFonts w:ascii="Times New Roman" w:hAnsi="Times New Roman" w:cs="Times New Roman" w:hint="default"/>
                      <w:color w:val="auto"/>
                      <w:sz w:val="21"/>
                      <w:szCs w:val="21"/>
                    </w:rPr>
                    <w:t>13</w:t>
                  </w:r>
                </w:p>
              </w:tc>
              <w:tc>
                <w:tcPr>
                  <w:tcW w:w="1228" w:type="pct"/>
                  <w:tcBorders>
                    <w:tl2br w:val="nil"/>
                    <w:tr2bl w:val="nil"/>
                  </w:tcBorders>
                  <w:shd w:val="clear" w:color="auto" w:fill="auto"/>
                  <w:vAlign w:val="top"/>
                </w:tcPr>
                <w:p w14:paraId="34835AD1">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锰</w:t>
                  </w:r>
                </w:p>
              </w:tc>
              <w:tc>
                <w:tcPr>
                  <w:tcW w:w="1071" w:type="pct"/>
                  <w:tcBorders>
                    <w:tl2br w:val="nil"/>
                    <w:tr2bl w:val="nil"/>
                  </w:tcBorders>
                  <w:shd w:val="clear" w:color="auto" w:fill="auto"/>
                  <w:vAlign w:val="top"/>
                </w:tcPr>
                <w:p w14:paraId="0C501A1E">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0.01L</w:t>
                  </w:r>
                </w:p>
              </w:tc>
              <w:tc>
                <w:tcPr>
                  <w:tcW w:w="995" w:type="pct"/>
                  <w:tcBorders>
                    <w:tl2br w:val="nil"/>
                    <w:tr2bl w:val="nil"/>
                  </w:tcBorders>
                  <w:shd w:val="clear" w:color="auto" w:fill="auto"/>
                  <w:vAlign w:val="top"/>
                </w:tcPr>
                <w:p w14:paraId="634C1C03">
                  <w:pPr>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lang w:val="en-US" w:eastAsia="zh-CN"/>
                    </w:rPr>
                    <w:t>0.10</w:t>
                  </w:r>
                </w:p>
              </w:tc>
              <w:tc>
                <w:tcPr>
                  <w:tcW w:w="1385" w:type="pct"/>
                  <w:tcBorders>
                    <w:tl2br w:val="nil"/>
                    <w:tr2bl w:val="nil"/>
                  </w:tcBorders>
                  <w:shd w:val="clear" w:color="auto" w:fill="auto"/>
                  <w:vAlign w:val="top"/>
                </w:tcPr>
                <w:p w14:paraId="656FB160">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达标</w:t>
                  </w:r>
                </w:p>
              </w:tc>
            </w:tr>
            <w:tr w14:paraId="5A25BBC5">
              <w:tblPrEx>
                <w:tblW w:w="4975" w:type="pct"/>
                <w:jc w:val="center"/>
                <w:shd w:val="clear" w:color="auto" w:fill="auto"/>
                <w:tblCellMar>
                  <w:top w:w="0" w:type="dxa"/>
                  <w:left w:w="108" w:type="dxa"/>
                  <w:bottom w:w="0" w:type="dxa"/>
                  <w:right w:w="108" w:type="dxa"/>
                </w:tblCellMar>
              </w:tblPrEx>
              <w:trPr>
                <w:trHeight w:val="340"/>
                <w:jc w:val="center"/>
              </w:trPr>
              <w:tc>
                <w:tcPr>
                  <w:tcW w:w="319" w:type="pct"/>
                  <w:tcBorders>
                    <w:tl2br w:val="nil"/>
                    <w:tr2bl w:val="nil"/>
                  </w:tcBorders>
                  <w:shd w:val="clear" w:color="auto" w:fill="auto"/>
                  <w:vAlign w:val="center"/>
                </w:tcPr>
                <w:p w14:paraId="61EFE0AD">
                  <w:pPr>
                    <w:jc w:val="center"/>
                    <w:rPr>
                      <w:rFonts w:ascii="Times New Roman" w:hAnsi="Times New Roman" w:cs="Times New Roman" w:hint="default"/>
                      <w:color w:val="auto"/>
                      <w:sz w:val="21"/>
                      <w:szCs w:val="21"/>
                    </w:rPr>
                  </w:pPr>
                  <w:r>
                    <w:rPr>
                      <w:rFonts w:ascii="Times New Roman" w:hAnsi="Times New Roman" w:cs="Times New Roman" w:hint="default"/>
                      <w:color w:val="auto"/>
                      <w:sz w:val="21"/>
                      <w:szCs w:val="21"/>
                    </w:rPr>
                    <w:t>14</w:t>
                  </w:r>
                </w:p>
              </w:tc>
              <w:tc>
                <w:tcPr>
                  <w:tcW w:w="1228" w:type="pct"/>
                  <w:tcBorders>
                    <w:tl2br w:val="nil"/>
                    <w:tr2bl w:val="nil"/>
                  </w:tcBorders>
                  <w:shd w:val="clear" w:color="auto" w:fill="auto"/>
                  <w:vAlign w:val="top"/>
                </w:tcPr>
                <w:p w14:paraId="60D51A70">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挥发酚类</w:t>
                  </w:r>
                </w:p>
              </w:tc>
              <w:tc>
                <w:tcPr>
                  <w:tcW w:w="1071" w:type="pct"/>
                  <w:tcBorders>
                    <w:tl2br w:val="nil"/>
                    <w:tr2bl w:val="nil"/>
                  </w:tcBorders>
                  <w:shd w:val="clear" w:color="auto" w:fill="auto"/>
                  <w:vAlign w:val="top"/>
                </w:tcPr>
                <w:p w14:paraId="7F8A6433">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0.0003L</w:t>
                  </w:r>
                </w:p>
              </w:tc>
              <w:tc>
                <w:tcPr>
                  <w:tcW w:w="995" w:type="pct"/>
                  <w:tcBorders>
                    <w:tl2br w:val="nil"/>
                    <w:tr2bl w:val="nil"/>
                  </w:tcBorders>
                  <w:shd w:val="clear" w:color="auto" w:fill="auto"/>
                  <w:vAlign w:val="top"/>
                </w:tcPr>
                <w:p w14:paraId="7859CEBF">
                  <w:pPr>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lang w:val="en-US" w:eastAsia="zh-CN"/>
                    </w:rPr>
                    <w:t>0.002</w:t>
                  </w:r>
                </w:p>
              </w:tc>
              <w:tc>
                <w:tcPr>
                  <w:tcW w:w="1385" w:type="pct"/>
                  <w:tcBorders>
                    <w:tl2br w:val="nil"/>
                    <w:tr2bl w:val="nil"/>
                  </w:tcBorders>
                  <w:shd w:val="clear" w:color="auto" w:fill="auto"/>
                  <w:vAlign w:val="top"/>
                </w:tcPr>
                <w:p w14:paraId="6B3C21A1">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达标</w:t>
                  </w:r>
                </w:p>
              </w:tc>
            </w:tr>
            <w:tr w14:paraId="39A6D7C9">
              <w:tblPrEx>
                <w:tblW w:w="4975" w:type="pct"/>
                <w:jc w:val="center"/>
                <w:shd w:val="clear" w:color="auto" w:fill="auto"/>
                <w:tblCellMar>
                  <w:top w:w="0" w:type="dxa"/>
                  <w:left w:w="108" w:type="dxa"/>
                  <w:bottom w:w="0" w:type="dxa"/>
                  <w:right w:w="108" w:type="dxa"/>
                </w:tblCellMar>
              </w:tblPrEx>
              <w:trPr>
                <w:trHeight w:val="340"/>
                <w:jc w:val="center"/>
              </w:trPr>
              <w:tc>
                <w:tcPr>
                  <w:tcW w:w="319" w:type="pct"/>
                  <w:tcBorders>
                    <w:tl2br w:val="nil"/>
                    <w:tr2bl w:val="nil"/>
                  </w:tcBorders>
                  <w:shd w:val="clear" w:color="auto" w:fill="auto"/>
                  <w:vAlign w:val="center"/>
                </w:tcPr>
                <w:p w14:paraId="40BF9094">
                  <w:pPr>
                    <w:jc w:val="center"/>
                    <w:rPr>
                      <w:rFonts w:ascii="Times New Roman" w:hAnsi="Times New Roman" w:cs="Times New Roman" w:hint="default"/>
                      <w:color w:val="auto"/>
                      <w:sz w:val="21"/>
                      <w:szCs w:val="21"/>
                    </w:rPr>
                  </w:pPr>
                  <w:r>
                    <w:rPr>
                      <w:rFonts w:ascii="Times New Roman" w:hAnsi="Times New Roman" w:cs="Times New Roman" w:hint="default"/>
                      <w:color w:val="auto"/>
                      <w:sz w:val="21"/>
                      <w:szCs w:val="21"/>
                    </w:rPr>
                    <w:t>15</w:t>
                  </w:r>
                </w:p>
              </w:tc>
              <w:tc>
                <w:tcPr>
                  <w:tcW w:w="1228" w:type="pct"/>
                  <w:tcBorders>
                    <w:tl2br w:val="nil"/>
                    <w:tr2bl w:val="nil"/>
                  </w:tcBorders>
                  <w:shd w:val="clear" w:color="auto" w:fill="auto"/>
                  <w:vAlign w:val="top"/>
                </w:tcPr>
                <w:p w14:paraId="2752ED8B">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耗氧量</w:t>
                  </w:r>
                </w:p>
              </w:tc>
              <w:tc>
                <w:tcPr>
                  <w:tcW w:w="1071" w:type="pct"/>
                  <w:tcBorders>
                    <w:tl2br w:val="nil"/>
                    <w:tr2bl w:val="nil"/>
                  </w:tcBorders>
                  <w:shd w:val="clear" w:color="auto" w:fill="auto"/>
                  <w:vAlign w:val="top"/>
                </w:tcPr>
                <w:p w14:paraId="0D16ADBE">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2.3</w:t>
                  </w:r>
                </w:p>
              </w:tc>
              <w:tc>
                <w:tcPr>
                  <w:tcW w:w="995" w:type="pct"/>
                  <w:tcBorders>
                    <w:tl2br w:val="nil"/>
                    <w:tr2bl w:val="nil"/>
                  </w:tcBorders>
                  <w:shd w:val="clear" w:color="auto" w:fill="auto"/>
                  <w:vAlign w:val="top"/>
                </w:tcPr>
                <w:p w14:paraId="00D82034">
                  <w:pPr>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lang w:val="en-US" w:eastAsia="zh-CN"/>
                    </w:rPr>
                    <w:t>3.0</w:t>
                  </w:r>
                </w:p>
              </w:tc>
              <w:tc>
                <w:tcPr>
                  <w:tcW w:w="1385" w:type="pct"/>
                  <w:tcBorders>
                    <w:tl2br w:val="nil"/>
                    <w:tr2bl w:val="nil"/>
                  </w:tcBorders>
                  <w:shd w:val="clear" w:color="auto" w:fill="auto"/>
                  <w:vAlign w:val="top"/>
                </w:tcPr>
                <w:p w14:paraId="6DD48AD2">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达标</w:t>
                  </w:r>
                </w:p>
              </w:tc>
            </w:tr>
            <w:tr w14:paraId="35D803B6">
              <w:tblPrEx>
                <w:tblW w:w="4975" w:type="pct"/>
                <w:jc w:val="center"/>
                <w:shd w:val="clear" w:color="auto" w:fill="auto"/>
                <w:tblCellMar>
                  <w:top w:w="0" w:type="dxa"/>
                  <w:left w:w="108" w:type="dxa"/>
                  <w:bottom w:w="0" w:type="dxa"/>
                  <w:right w:w="108" w:type="dxa"/>
                </w:tblCellMar>
              </w:tblPrEx>
              <w:trPr>
                <w:trHeight w:val="340"/>
                <w:jc w:val="center"/>
              </w:trPr>
              <w:tc>
                <w:tcPr>
                  <w:tcW w:w="319" w:type="pct"/>
                  <w:tcBorders>
                    <w:tl2br w:val="nil"/>
                    <w:tr2bl w:val="nil"/>
                  </w:tcBorders>
                  <w:shd w:val="clear" w:color="auto" w:fill="auto"/>
                  <w:vAlign w:val="center"/>
                </w:tcPr>
                <w:p w14:paraId="78B6C432">
                  <w:pPr>
                    <w:jc w:val="center"/>
                    <w:rPr>
                      <w:rFonts w:ascii="Times New Roman" w:hAnsi="Times New Roman" w:cs="Times New Roman" w:hint="default"/>
                      <w:color w:val="auto"/>
                      <w:sz w:val="21"/>
                      <w:szCs w:val="21"/>
                    </w:rPr>
                  </w:pPr>
                  <w:r>
                    <w:rPr>
                      <w:rFonts w:ascii="Times New Roman" w:hAnsi="Times New Roman" w:cs="Times New Roman" w:hint="default"/>
                      <w:color w:val="auto"/>
                      <w:sz w:val="21"/>
                      <w:szCs w:val="21"/>
                    </w:rPr>
                    <w:t>16</w:t>
                  </w:r>
                </w:p>
              </w:tc>
              <w:tc>
                <w:tcPr>
                  <w:tcW w:w="1228" w:type="pct"/>
                  <w:tcBorders>
                    <w:tl2br w:val="nil"/>
                    <w:tr2bl w:val="nil"/>
                  </w:tcBorders>
                  <w:shd w:val="clear" w:color="auto" w:fill="auto"/>
                  <w:vAlign w:val="top"/>
                </w:tcPr>
                <w:p w14:paraId="1D1DACA2">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亚硝酸盐氮</w:t>
                  </w:r>
                </w:p>
              </w:tc>
              <w:tc>
                <w:tcPr>
                  <w:tcW w:w="1071" w:type="pct"/>
                  <w:tcBorders>
                    <w:tl2br w:val="nil"/>
                    <w:tr2bl w:val="nil"/>
                  </w:tcBorders>
                  <w:shd w:val="clear" w:color="auto" w:fill="auto"/>
                  <w:vAlign w:val="top"/>
                </w:tcPr>
                <w:p w14:paraId="4EE43431">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0.003L</w:t>
                  </w:r>
                </w:p>
              </w:tc>
              <w:tc>
                <w:tcPr>
                  <w:tcW w:w="995" w:type="pct"/>
                  <w:tcBorders>
                    <w:tl2br w:val="nil"/>
                    <w:tr2bl w:val="nil"/>
                  </w:tcBorders>
                  <w:shd w:val="clear" w:color="auto" w:fill="auto"/>
                  <w:vAlign w:val="top"/>
                </w:tcPr>
                <w:p w14:paraId="3229810D">
                  <w:pPr>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lang w:val="en-US" w:eastAsia="zh-CN"/>
                    </w:rPr>
                    <w:t>1.00</w:t>
                  </w:r>
                </w:p>
              </w:tc>
              <w:tc>
                <w:tcPr>
                  <w:tcW w:w="1385" w:type="pct"/>
                  <w:tcBorders>
                    <w:tl2br w:val="nil"/>
                    <w:tr2bl w:val="nil"/>
                  </w:tcBorders>
                  <w:shd w:val="clear" w:color="auto" w:fill="auto"/>
                  <w:vAlign w:val="top"/>
                </w:tcPr>
                <w:p w14:paraId="73F76A4E">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达标</w:t>
                  </w:r>
                </w:p>
              </w:tc>
            </w:tr>
            <w:tr w14:paraId="555244FC">
              <w:tblPrEx>
                <w:tblW w:w="4975" w:type="pct"/>
                <w:jc w:val="center"/>
                <w:shd w:val="clear" w:color="auto" w:fill="auto"/>
                <w:tblCellMar>
                  <w:top w:w="0" w:type="dxa"/>
                  <w:left w:w="108" w:type="dxa"/>
                  <w:bottom w:w="0" w:type="dxa"/>
                  <w:right w:w="108" w:type="dxa"/>
                </w:tblCellMar>
              </w:tblPrEx>
              <w:trPr>
                <w:trHeight w:val="340"/>
                <w:jc w:val="center"/>
              </w:trPr>
              <w:tc>
                <w:tcPr>
                  <w:tcW w:w="319" w:type="pct"/>
                  <w:tcBorders>
                    <w:tl2br w:val="nil"/>
                    <w:tr2bl w:val="nil"/>
                  </w:tcBorders>
                  <w:shd w:val="clear" w:color="auto" w:fill="auto"/>
                  <w:vAlign w:val="center"/>
                </w:tcPr>
                <w:p w14:paraId="5A225EE9">
                  <w:pPr>
                    <w:jc w:val="center"/>
                    <w:rPr>
                      <w:rFonts w:ascii="Times New Roman" w:hAnsi="Times New Roman" w:cs="Times New Roman" w:hint="default"/>
                      <w:color w:val="auto"/>
                      <w:sz w:val="21"/>
                      <w:szCs w:val="21"/>
                    </w:rPr>
                  </w:pPr>
                  <w:r>
                    <w:rPr>
                      <w:rFonts w:ascii="Times New Roman" w:hAnsi="Times New Roman" w:cs="Times New Roman" w:hint="default"/>
                      <w:color w:val="auto"/>
                      <w:sz w:val="21"/>
                      <w:szCs w:val="21"/>
                    </w:rPr>
                    <w:t>17</w:t>
                  </w:r>
                </w:p>
              </w:tc>
              <w:tc>
                <w:tcPr>
                  <w:tcW w:w="1228" w:type="pct"/>
                  <w:tcBorders>
                    <w:tl2br w:val="nil"/>
                    <w:tr2bl w:val="nil"/>
                  </w:tcBorders>
                  <w:shd w:val="clear" w:color="auto" w:fill="auto"/>
                  <w:vAlign w:val="top"/>
                </w:tcPr>
                <w:p w14:paraId="34AD41DE">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硝酸盐氮</w:t>
                  </w:r>
                </w:p>
              </w:tc>
              <w:tc>
                <w:tcPr>
                  <w:tcW w:w="1071" w:type="pct"/>
                  <w:tcBorders>
                    <w:tl2br w:val="nil"/>
                    <w:tr2bl w:val="nil"/>
                  </w:tcBorders>
                  <w:shd w:val="clear" w:color="auto" w:fill="auto"/>
                  <w:vAlign w:val="top"/>
                </w:tcPr>
                <w:p w14:paraId="7B973AC2">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4.84</w:t>
                  </w:r>
                </w:p>
              </w:tc>
              <w:tc>
                <w:tcPr>
                  <w:tcW w:w="995" w:type="pct"/>
                  <w:tcBorders>
                    <w:tl2br w:val="nil"/>
                    <w:tr2bl w:val="nil"/>
                  </w:tcBorders>
                  <w:shd w:val="clear" w:color="auto" w:fill="auto"/>
                  <w:vAlign w:val="top"/>
                </w:tcPr>
                <w:p w14:paraId="373EEE3C">
                  <w:pPr>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lang w:val="en-US" w:eastAsia="zh-CN"/>
                    </w:rPr>
                    <w:t>20.0</w:t>
                  </w:r>
                </w:p>
              </w:tc>
              <w:tc>
                <w:tcPr>
                  <w:tcW w:w="1385" w:type="pct"/>
                  <w:tcBorders>
                    <w:tl2br w:val="nil"/>
                    <w:tr2bl w:val="nil"/>
                  </w:tcBorders>
                  <w:shd w:val="clear" w:color="auto" w:fill="auto"/>
                  <w:vAlign w:val="top"/>
                </w:tcPr>
                <w:p w14:paraId="7C549323">
                  <w:pPr>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lang w:val="en-US" w:eastAsia="zh-CN"/>
                    </w:rPr>
                    <w:t>达标</w:t>
                  </w:r>
                </w:p>
              </w:tc>
            </w:tr>
            <w:tr w14:paraId="1ECCFDEE">
              <w:tblPrEx>
                <w:tblW w:w="4975" w:type="pct"/>
                <w:jc w:val="center"/>
                <w:shd w:val="clear" w:color="auto" w:fill="auto"/>
                <w:tblCellMar>
                  <w:top w:w="0" w:type="dxa"/>
                  <w:left w:w="108" w:type="dxa"/>
                  <w:bottom w:w="0" w:type="dxa"/>
                  <w:right w:w="108" w:type="dxa"/>
                </w:tblCellMar>
              </w:tblPrEx>
              <w:trPr>
                <w:trHeight w:val="340"/>
                <w:jc w:val="center"/>
              </w:trPr>
              <w:tc>
                <w:tcPr>
                  <w:tcW w:w="319" w:type="pct"/>
                  <w:tcBorders>
                    <w:tl2br w:val="nil"/>
                    <w:tr2bl w:val="nil"/>
                  </w:tcBorders>
                  <w:shd w:val="clear" w:color="auto" w:fill="auto"/>
                  <w:vAlign w:val="center"/>
                </w:tcPr>
                <w:p w14:paraId="1A79CC33">
                  <w:pPr>
                    <w:jc w:val="center"/>
                    <w:rPr>
                      <w:rFonts w:ascii="Times New Roman" w:hAnsi="Times New Roman" w:cs="Times New Roman" w:hint="default"/>
                      <w:color w:val="auto"/>
                      <w:sz w:val="21"/>
                      <w:szCs w:val="21"/>
                    </w:rPr>
                  </w:pPr>
                  <w:r>
                    <w:rPr>
                      <w:rFonts w:ascii="Times New Roman" w:hAnsi="Times New Roman" w:cs="Times New Roman" w:hint="default"/>
                      <w:color w:val="auto"/>
                      <w:sz w:val="21"/>
                      <w:szCs w:val="21"/>
                    </w:rPr>
                    <w:t>18</w:t>
                  </w:r>
                </w:p>
              </w:tc>
              <w:tc>
                <w:tcPr>
                  <w:tcW w:w="1228" w:type="pct"/>
                  <w:tcBorders>
                    <w:tl2br w:val="nil"/>
                    <w:tr2bl w:val="nil"/>
                  </w:tcBorders>
                  <w:shd w:val="clear" w:color="auto" w:fill="auto"/>
                  <w:vAlign w:val="top"/>
                </w:tcPr>
                <w:p w14:paraId="06271108">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氰化物</w:t>
                  </w:r>
                </w:p>
              </w:tc>
              <w:tc>
                <w:tcPr>
                  <w:tcW w:w="1071" w:type="pct"/>
                  <w:tcBorders>
                    <w:tl2br w:val="nil"/>
                    <w:tr2bl w:val="nil"/>
                  </w:tcBorders>
                  <w:shd w:val="clear" w:color="auto" w:fill="auto"/>
                  <w:vAlign w:val="top"/>
                </w:tcPr>
                <w:p w14:paraId="7D6360C1">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0.002L</w:t>
                  </w:r>
                </w:p>
              </w:tc>
              <w:tc>
                <w:tcPr>
                  <w:tcW w:w="995" w:type="pct"/>
                  <w:tcBorders>
                    <w:tl2br w:val="nil"/>
                    <w:tr2bl w:val="nil"/>
                  </w:tcBorders>
                  <w:shd w:val="clear" w:color="auto" w:fill="auto"/>
                  <w:vAlign w:val="top"/>
                </w:tcPr>
                <w:p w14:paraId="00AB4679">
                  <w:pPr>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lang w:val="en-US" w:eastAsia="zh-CN"/>
                    </w:rPr>
                    <w:t>0.05</w:t>
                  </w:r>
                </w:p>
              </w:tc>
              <w:tc>
                <w:tcPr>
                  <w:tcW w:w="1385" w:type="pct"/>
                  <w:tcBorders>
                    <w:tl2br w:val="nil"/>
                    <w:tr2bl w:val="nil"/>
                  </w:tcBorders>
                  <w:shd w:val="clear" w:color="auto" w:fill="auto"/>
                  <w:vAlign w:val="top"/>
                </w:tcPr>
                <w:p w14:paraId="7F7F6069">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达标</w:t>
                  </w:r>
                </w:p>
              </w:tc>
            </w:tr>
            <w:tr w14:paraId="2304A69D">
              <w:tblPrEx>
                <w:tblW w:w="4975" w:type="pct"/>
                <w:jc w:val="center"/>
                <w:shd w:val="clear" w:color="auto" w:fill="auto"/>
                <w:tblCellMar>
                  <w:top w:w="0" w:type="dxa"/>
                  <w:left w:w="108" w:type="dxa"/>
                  <w:bottom w:w="0" w:type="dxa"/>
                  <w:right w:w="108" w:type="dxa"/>
                </w:tblCellMar>
              </w:tblPrEx>
              <w:trPr>
                <w:trHeight w:val="340"/>
                <w:jc w:val="center"/>
              </w:trPr>
              <w:tc>
                <w:tcPr>
                  <w:tcW w:w="319" w:type="pct"/>
                  <w:tcBorders>
                    <w:tl2br w:val="nil"/>
                    <w:tr2bl w:val="nil"/>
                  </w:tcBorders>
                  <w:shd w:val="clear" w:color="auto" w:fill="auto"/>
                  <w:vAlign w:val="center"/>
                </w:tcPr>
                <w:p w14:paraId="46D91E86">
                  <w:pPr>
                    <w:jc w:val="center"/>
                    <w:rPr>
                      <w:rFonts w:ascii="Times New Roman" w:hAnsi="Times New Roman" w:cs="Times New Roman" w:hint="default"/>
                      <w:color w:val="auto"/>
                      <w:sz w:val="21"/>
                      <w:szCs w:val="21"/>
                    </w:rPr>
                  </w:pPr>
                  <w:r>
                    <w:rPr>
                      <w:rFonts w:ascii="Times New Roman" w:hAnsi="Times New Roman" w:cs="Times New Roman" w:hint="default"/>
                      <w:color w:val="auto"/>
                      <w:sz w:val="21"/>
                      <w:szCs w:val="21"/>
                    </w:rPr>
                    <w:t>19</w:t>
                  </w:r>
                </w:p>
              </w:tc>
              <w:tc>
                <w:tcPr>
                  <w:tcW w:w="1228" w:type="pct"/>
                  <w:tcBorders>
                    <w:tl2br w:val="nil"/>
                    <w:tr2bl w:val="nil"/>
                  </w:tcBorders>
                  <w:shd w:val="clear" w:color="auto" w:fill="auto"/>
                  <w:vAlign w:val="top"/>
                </w:tcPr>
                <w:p w14:paraId="58F81A79">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氟化物</w:t>
                  </w:r>
                </w:p>
              </w:tc>
              <w:tc>
                <w:tcPr>
                  <w:tcW w:w="1071" w:type="pct"/>
                  <w:tcBorders>
                    <w:tl2br w:val="nil"/>
                    <w:tr2bl w:val="nil"/>
                  </w:tcBorders>
                  <w:shd w:val="clear" w:color="auto" w:fill="auto"/>
                  <w:vAlign w:val="top"/>
                </w:tcPr>
                <w:p w14:paraId="6BF9D013">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0.293</w:t>
                  </w:r>
                </w:p>
              </w:tc>
              <w:tc>
                <w:tcPr>
                  <w:tcW w:w="995" w:type="pct"/>
                  <w:tcBorders>
                    <w:tl2br w:val="nil"/>
                    <w:tr2bl w:val="nil"/>
                  </w:tcBorders>
                  <w:shd w:val="clear" w:color="auto" w:fill="auto"/>
                  <w:vAlign w:val="top"/>
                </w:tcPr>
                <w:p w14:paraId="063C2461">
                  <w:pPr>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lang w:val="en-US" w:eastAsia="zh-CN"/>
                    </w:rPr>
                    <w:t>1.0</w:t>
                  </w:r>
                </w:p>
              </w:tc>
              <w:tc>
                <w:tcPr>
                  <w:tcW w:w="1385" w:type="pct"/>
                  <w:tcBorders>
                    <w:tl2br w:val="nil"/>
                    <w:tr2bl w:val="nil"/>
                  </w:tcBorders>
                  <w:shd w:val="clear" w:color="auto" w:fill="auto"/>
                  <w:vAlign w:val="top"/>
                </w:tcPr>
                <w:p w14:paraId="7FA88C03">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达标</w:t>
                  </w:r>
                </w:p>
              </w:tc>
            </w:tr>
            <w:tr w14:paraId="04C36D3E">
              <w:tblPrEx>
                <w:tblW w:w="4975" w:type="pct"/>
                <w:jc w:val="center"/>
                <w:shd w:val="clear" w:color="auto" w:fill="auto"/>
                <w:tblCellMar>
                  <w:top w:w="0" w:type="dxa"/>
                  <w:left w:w="108" w:type="dxa"/>
                  <w:bottom w:w="0" w:type="dxa"/>
                  <w:right w:w="108" w:type="dxa"/>
                </w:tblCellMar>
              </w:tblPrEx>
              <w:trPr>
                <w:trHeight w:val="340"/>
                <w:jc w:val="center"/>
              </w:trPr>
              <w:tc>
                <w:tcPr>
                  <w:tcW w:w="319" w:type="pct"/>
                  <w:tcBorders>
                    <w:tl2br w:val="nil"/>
                    <w:tr2bl w:val="nil"/>
                  </w:tcBorders>
                  <w:shd w:val="clear" w:color="auto" w:fill="auto"/>
                  <w:vAlign w:val="center"/>
                </w:tcPr>
                <w:p w14:paraId="2726E3FD">
                  <w:pPr>
                    <w:jc w:val="center"/>
                    <w:rPr>
                      <w:rFonts w:ascii="Times New Roman" w:hAnsi="Times New Roman" w:cs="Times New Roman" w:hint="default"/>
                      <w:color w:val="auto"/>
                      <w:sz w:val="21"/>
                      <w:szCs w:val="21"/>
                    </w:rPr>
                  </w:pPr>
                  <w:r>
                    <w:rPr>
                      <w:rFonts w:ascii="Times New Roman" w:hAnsi="Times New Roman" w:cs="Times New Roman" w:hint="default"/>
                      <w:color w:val="auto"/>
                      <w:sz w:val="21"/>
                      <w:szCs w:val="21"/>
                    </w:rPr>
                    <w:t>20</w:t>
                  </w:r>
                </w:p>
              </w:tc>
              <w:tc>
                <w:tcPr>
                  <w:tcW w:w="1228" w:type="pct"/>
                  <w:tcBorders>
                    <w:tl2br w:val="nil"/>
                    <w:tr2bl w:val="nil"/>
                  </w:tcBorders>
                  <w:shd w:val="clear" w:color="auto" w:fill="auto"/>
                  <w:vAlign w:val="top"/>
                </w:tcPr>
                <w:p w14:paraId="1974C698">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汞</w:t>
                  </w:r>
                </w:p>
              </w:tc>
              <w:tc>
                <w:tcPr>
                  <w:tcW w:w="1071" w:type="pct"/>
                  <w:tcBorders>
                    <w:tl2br w:val="nil"/>
                    <w:tr2bl w:val="nil"/>
                  </w:tcBorders>
                  <w:shd w:val="clear" w:color="auto" w:fill="auto"/>
                  <w:vAlign w:val="top"/>
                </w:tcPr>
                <w:p w14:paraId="2F0A6ED8">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4×10-⁵L</w:t>
                  </w:r>
                </w:p>
              </w:tc>
              <w:tc>
                <w:tcPr>
                  <w:tcW w:w="995" w:type="pct"/>
                  <w:tcBorders>
                    <w:tl2br w:val="nil"/>
                    <w:tr2bl w:val="nil"/>
                  </w:tcBorders>
                  <w:shd w:val="clear" w:color="auto" w:fill="auto"/>
                  <w:vAlign w:val="top"/>
                </w:tcPr>
                <w:p w14:paraId="0BAA1604">
                  <w:pPr>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lang w:val="en-US" w:eastAsia="zh-CN"/>
                    </w:rPr>
                    <w:t>0.001</w:t>
                  </w:r>
                </w:p>
              </w:tc>
              <w:tc>
                <w:tcPr>
                  <w:tcW w:w="1385" w:type="pct"/>
                  <w:tcBorders>
                    <w:tl2br w:val="nil"/>
                    <w:tr2bl w:val="nil"/>
                  </w:tcBorders>
                  <w:shd w:val="clear" w:color="auto" w:fill="auto"/>
                  <w:vAlign w:val="top"/>
                </w:tcPr>
                <w:p w14:paraId="53C39C44">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达标</w:t>
                  </w:r>
                </w:p>
              </w:tc>
            </w:tr>
            <w:tr w14:paraId="1891288B">
              <w:tblPrEx>
                <w:tblW w:w="4975" w:type="pct"/>
                <w:jc w:val="center"/>
                <w:shd w:val="clear" w:color="auto" w:fill="auto"/>
                <w:tblCellMar>
                  <w:top w:w="0" w:type="dxa"/>
                  <w:left w:w="108" w:type="dxa"/>
                  <w:bottom w:w="0" w:type="dxa"/>
                  <w:right w:w="108" w:type="dxa"/>
                </w:tblCellMar>
              </w:tblPrEx>
              <w:trPr>
                <w:trHeight w:val="340"/>
                <w:jc w:val="center"/>
              </w:trPr>
              <w:tc>
                <w:tcPr>
                  <w:tcW w:w="319" w:type="pct"/>
                  <w:tcBorders>
                    <w:tl2br w:val="nil"/>
                    <w:tr2bl w:val="nil"/>
                  </w:tcBorders>
                  <w:shd w:val="clear" w:color="auto" w:fill="auto"/>
                  <w:vAlign w:val="center"/>
                </w:tcPr>
                <w:p w14:paraId="4B2CE730">
                  <w:pPr>
                    <w:jc w:val="center"/>
                    <w:rPr>
                      <w:rFonts w:ascii="Times New Roman" w:hAnsi="Times New Roman" w:cs="Times New Roman" w:hint="default"/>
                      <w:color w:val="auto"/>
                      <w:sz w:val="21"/>
                      <w:szCs w:val="21"/>
                    </w:rPr>
                  </w:pPr>
                  <w:r>
                    <w:rPr>
                      <w:rFonts w:ascii="Times New Roman" w:hAnsi="Times New Roman" w:cs="Times New Roman" w:hint="default"/>
                      <w:color w:val="auto"/>
                      <w:sz w:val="21"/>
                      <w:szCs w:val="21"/>
                    </w:rPr>
                    <w:t>21</w:t>
                  </w:r>
                </w:p>
              </w:tc>
              <w:tc>
                <w:tcPr>
                  <w:tcW w:w="1228" w:type="pct"/>
                  <w:tcBorders>
                    <w:tl2br w:val="nil"/>
                    <w:tr2bl w:val="nil"/>
                  </w:tcBorders>
                  <w:shd w:val="clear" w:color="auto" w:fill="auto"/>
                  <w:vAlign w:val="top"/>
                </w:tcPr>
                <w:p w14:paraId="01DD7AAE">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砷</w:t>
                  </w:r>
                </w:p>
              </w:tc>
              <w:tc>
                <w:tcPr>
                  <w:tcW w:w="1071" w:type="pct"/>
                  <w:tcBorders>
                    <w:tl2br w:val="nil"/>
                    <w:tr2bl w:val="nil"/>
                  </w:tcBorders>
                  <w:shd w:val="clear" w:color="auto" w:fill="auto"/>
                  <w:vAlign w:val="top"/>
                </w:tcPr>
                <w:p w14:paraId="11618676">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5×10</w:t>
                  </w:r>
                  <w:r>
                    <w:rPr>
                      <w:rFonts w:ascii="Times New Roman" w:eastAsia="宋体" w:hAnsi="Times New Roman" w:cs="Times New Roman" w:hint="default"/>
                      <w:color w:val="auto"/>
                      <w:sz w:val="21"/>
                      <w:szCs w:val="21"/>
                      <w:vertAlign w:val="superscript"/>
                      <w:lang w:val="en-US" w:eastAsia="zh-CN"/>
                    </w:rPr>
                    <w:t>-4</w:t>
                  </w:r>
                </w:p>
              </w:tc>
              <w:tc>
                <w:tcPr>
                  <w:tcW w:w="995" w:type="pct"/>
                  <w:tcBorders>
                    <w:tl2br w:val="nil"/>
                    <w:tr2bl w:val="nil"/>
                  </w:tcBorders>
                  <w:shd w:val="clear" w:color="auto" w:fill="auto"/>
                  <w:vAlign w:val="top"/>
                </w:tcPr>
                <w:p w14:paraId="0EA16D10">
                  <w:pPr>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lang w:val="en-US" w:eastAsia="zh-CN"/>
                    </w:rPr>
                    <w:t>0.01</w:t>
                  </w:r>
                </w:p>
              </w:tc>
              <w:tc>
                <w:tcPr>
                  <w:tcW w:w="1385" w:type="pct"/>
                  <w:tcBorders>
                    <w:tl2br w:val="nil"/>
                    <w:tr2bl w:val="nil"/>
                  </w:tcBorders>
                  <w:shd w:val="clear" w:color="auto" w:fill="auto"/>
                  <w:vAlign w:val="top"/>
                </w:tcPr>
                <w:p w14:paraId="553F7621">
                  <w:pPr>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lang w:val="en-US" w:eastAsia="zh-CN"/>
                    </w:rPr>
                    <w:t>达标</w:t>
                  </w:r>
                </w:p>
              </w:tc>
            </w:tr>
            <w:tr w14:paraId="6C7A0094">
              <w:tblPrEx>
                <w:tblW w:w="4975" w:type="pct"/>
                <w:jc w:val="center"/>
                <w:shd w:val="clear" w:color="auto" w:fill="auto"/>
                <w:tblCellMar>
                  <w:top w:w="0" w:type="dxa"/>
                  <w:left w:w="108" w:type="dxa"/>
                  <w:bottom w:w="0" w:type="dxa"/>
                  <w:right w:w="108" w:type="dxa"/>
                </w:tblCellMar>
              </w:tblPrEx>
              <w:trPr>
                <w:trHeight w:val="340"/>
                <w:jc w:val="center"/>
              </w:trPr>
              <w:tc>
                <w:tcPr>
                  <w:tcW w:w="319" w:type="pct"/>
                  <w:tcBorders>
                    <w:tl2br w:val="nil"/>
                    <w:tr2bl w:val="nil"/>
                  </w:tcBorders>
                  <w:shd w:val="clear" w:color="auto" w:fill="auto"/>
                  <w:vAlign w:val="center"/>
                </w:tcPr>
                <w:p w14:paraId="241795B2">
                  <w:pPr>
                    <w:jc w:val="center"/>
                    <w:rPr>
                      <w:rFonts w:ascii="Times New Roman" w:hAnsi="Times New Roman" w:cs="Times New Roman" w:hint="default"/>
                      <w:color w:val="auto"/>
                      <w:sz w:val="21"/>
                      <w:szCs w:val="21"/>
                    </w:rPr>
                  </w:pPr>
                  <w:r>
                    <w:rPr>
                      <w:rFonts w:ascii="Times New Roman" w:hAnsi="Times New Roman" w:cs="Times New Roman" w:hint="default"/>
                      <w:color w:val="auto"/>
                      <w:sz w:val="21"/>
                      <w:szCs w:val="21"/>
                    </w:rPr>
                    <w:t>22</w:t>
                  </w:r>
                </w:p>
              </w:tc>
              <w:tc>
                <w:tcPr>
                  <w:tcW w:w="1228" w:type="pct"/>
                  <w:tcBorders>
                    <w:tl2br w:val="nil"/>
                    <w:tr2bl w:val="nil"/>
                  </w:tcBorders>
                  <w:shd w:val="clear" w:color="auto" w:fill="auto"/>
                  <w:vAlign w:val="top"/>
                </w:tcPr>
                <w:p w14:paraId="08D6F35C">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镉</w:t>
                  </w:r>
                </w:p>
              </w:tc>
              <w:tc>
                <w:tcPr>
                  <w:tcW w:w="1071" w:type="pct"/>
                  <w:tcBorders>
                    <w:tl2br w:val="nil"/>
                    <w:tr2bl w:val="nil"/>
                  </w:tcBorders>
                  <w:shd w:val="clear" w:color="auto" w:fill="auto"/>
                  <w:vAlign w:val="top"/>
                </w:tcPr>
                <w:p w14:paraId="512F5B63">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0.001L</w:t>
                  </w:r>
                </w:p>
              </w:tc>
              <w:tc>
                <w:tcPr>
                  <w:tcW w:w="995" w:type="pct"/>
                  <w:tcBorders>
                    <w:tl2br w:val="nil"/>
                    <w:tr2bl w:val="nil"/>
                  </w:tcBorders>
                  <w:shd w:val="clear" w:color="auto" w:fill="auto"/>
                  <w:vAlign w:val="top"/>
                </w:tcPr>
                <w:p w14:paraId="08573116">
                  <w:pPr>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lang w:val="en-US" w:eastAsia="zh-CN"/>
                    </w:rPr>
                    <w:t>0.005</w:t>
                  </w:r>
                </w:p>
              </w:tc>
              <w:tc>
                <w:tcPr>
                  <w:tcW w:w="1385" w:type="pct"/>
                  <w:tcBorders>
                    <w:tl2br w:val="nil"/>
                    <w:tr2bl w:val="nil"/>
                  </w:tcBorders>
                  <w:shd w:val="clear" w:color="auto" w:fill="auto"/>
                  <w:vAlign w:val="top"/>
                </w:tcPr>
                <w:p w14:paraId="5F4AB092">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达标</w:t>
                  </w:r>
                </w:p>
              </w:tc>
            </w:tr>
            <w:tr w14:paraId="15100470">
              <w:tblPrEx>
                <w:tblW w:w="4975" w:type="pct"/>
                <w:jc w:val="center"/>
                <w:shd w:val="clear" w:color="auto" w:fill="auto"/>
                <w:tblCellMar>
                  <w:top w:w="0" w:type="dxa"/>
                  <w:left w:w="108" w:type="dxa"/>
                  <w:bottom w:w="0" w:type="dxa"/>
                  <w:right w:w="108" w:type="dxa"/>
                </w:tblCellMar>
              </w:tblPrEx>
              <w:trPr>
                <w:trHeight w:val="340"/>
                <w:jc w:val="center"/>
              </w:trPr>
              <w:tc>
                <w:tcPr>
                  <w:tcW w:w="319" w:type="pct"/>
                  <w:tcBorders>
                    <w:tl2br w:val="nil"/>
                    <w:tr2bl w:val="nil"/>
                  </w:tcBorders>
                  <w:shd w:val="clear" w:color="auto" w:fill="auto"/>
                  <w:vAlign w:val="center"/>
                </w:tcPr>
                <w:p w14:paraId="274A8094">
                  <w:pPr>
                    <w:jc w:val="center"/>
                    <w:rPr>
                      <w:rFonts w:ascii="Times New Roman" w:hAnsi="Times New Roman" w:cs="Times New Roman" w:hint="default"/>
                      <w:color w:val="auto"/>
                      <w:sz w:val="21"/>
                      <w:szCs w:val="21"/>
                    </w:rPr>
                  </w:pPr>
                  <w:r>
                    <w:rPr>
                      <w:rFonts w:ascii="Times New Roman" w:hAnsi="Times New Roman" w:cs="Times New Roman" w:hint="default"/>
                      <w:color w:val="auto"/>
                      <w:sz w:val="21"/>
                      <w:szCs w:val="21"/>
                    </w:rPr>
                    <w:t>23</w:t>
                  </w:r>
                </w:p>
              </w:tc>
              <w:tc>
                <w:tcPr>
                  <w:tcW w:w="1228" w:type="pct"/>
                  <w:tcBorders>
                    <w:tl2br w:val="nil"/>
                    <w:tr2bl w:val="nil"/>
                  </w:tcBorders>
                  <w:shd w:val="clear" w:color="auto" w:fill="auto"/>
                  <w:vAlign w:val="top"/>
                </w:tcPr>
                <w:p w14:paraId="0468D1BC">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铬(六价)</w:t>
                  </w:r>
                </w:p>
              </w:tc>
              <w:tc>
                <w:tcPr>
                  <w:tcW w:w="1071" w:type="pct"/>
                  <w:tcBorders>
                    <w:tl2br w:val="nil"/>
                    <w:tr2bl w:val="nil"/>
                  </w:tcBorders>
                  <w:shd w:val="clear" w:color="auto" w:fill="auto"/>
                  <w:vAlign w:val="top"/>
                </w:tcPr>
                <w:p w14:paraId="3354D354">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0.004L</w:t>
                  </w:r>
                </w:p>
              </w:tc>
              <w:tc>
                <w:tcPr>
                  <w:tcW w:w="995" w:type="pct"/>
                  <w:tcBorders>
                    <w:tl2br w:val="nil"/>
                    <w:tr2bl w:val="nil"/>
                  </w:tcBorders>
                  <w:shd w:val="clear" w:color="auto" w:fill="auto"/>
                  <w:vAlign w:val="top"/>
                </w:tcPr>
                <w:p w14:paraId="1A2C7080">
                  <w:pPr>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lang w:val="en-US" w:eastAsia="zh-CN"/>
                    </w:rPr>
                    <w:t>0.05</w:t>
                  </w:r>
                </w:p>
              </w:tc>
              <w:tc>
                <w:tcPr>
                  <w:tcW w:w="1385" w:type="pct"/>
                  <w:tcBorders>
                    <w:tl2br w:val="nil"/>
                    <w:tr2bl w:val="nil"/>
                  </w:tcBorders>
                  <w:shd w:val="clear" w:color="auto" w:fill="auto"/>
                  <w:vAlign w:val="top"/>
                </w:tcPr>
                <w:p w14:paraId="2FAF47BC">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达标</w:t>
                  </w:r>
                </w:p>
              </w:tc>
            </w:tr>
            <w:tr w14:paraId="5B6793A3">
              <w:tblPrEx>
                <w:tblW w:w="4975" w:type="pct"/>
                <w:jc w:val="center"/>
                <w:shd w:val="clear" w:color="auto" w:fill="auto"/>
                <w:tblCellMar>
                  <w:top w:w="0" w:type="dxa"/>
                  <w:left w:w="108" w:type="dxa"/>
                  <w:bottom w:w="0" w:type="dxa"/>
                  <w:right w:w="108" w:type="dxa"/>
                </w:tblCellMar>
              </w:tblPrEx>
              <w:trPr>
                <w:trHeight w:val="340"/>
                <w:jc w:val="center"/>
              </w:trPr>
              <w:tc>
                <w:tcPr>
                  <w:tcW w:w="319" w:type="pct"/>
                  <w:tcBorders>
                    <w:tl2br w:val="nil"/>
                    <w:tr2bl w:val="nil"/>
                  </w:tcBorders>
                  <w:shd w:val="clear" w:color="auto" w:fill="auto"/>
                  <w:vAlign w:val="center"/>
                </w:tcPr>
                <w:p w14:paraId="10092328">
                  <w:pPr>
                    <w:jc w:val="center"/>
                    <w:rPr>
                      <w:rFonts w:ascii="Times New Roman" w:hAnsi="Times New Roman" w:cs="Times New Roman" w:hint="default"/>
                      <w:color w:val="auto"/>
                      <w:sz w:val="21"/>
                      <w:szCs w:val="21"/>
                    </w:rPr>
                  </w:pPr>
                  <w:r>
                    <w:rPr>
                      <w:rFonts w:ascii="Times New Roman" w:hAnsi="Times New Roman" w:cs="Times New Roman" w:hint="default"/>
                      <w:color w:val="auto"/>
                      <w:sz w:val="21"/>
                      <w:szCs w:val="21"/>
                    </w:rPr>
                    <w:t>24</w:t>
                  </w:r>
                </w:p>
              </w:tc>
              <w:tc>
                <w:tcPr>
                  <w:tcW w:w="1228" w:type="pct"/>
                  <w:tcBorders>
                    <w:tl2br w:val="nil"/>
                    <w:tr2bl w:val="nil"/>
                  </w:tcBorders>
                  <w:shd w:val="clear" w:color="auto" w:fill="auto"/>
                  <w:vAlign w:val="top"/>
                </w:tcPr>
                <w:p w14:paraId="298FCEDA">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铅</w:t>
                  </w:r>
                </w:p>
              </w:tc>
              <w:tc>
                <w:tcPr>
                  <w:tcW w:w="1071" w:type="pct"/>
                  <w:tcBorders>
                    <w:tl2br w:val="nil"/>
                    <w:tr2bl w:val="nil"/>
                  </w:tcBorders>
                  <w:shd w:val="clear" w:color="auto" w:fill="auto"/>
                  <w:vAlign w:val="top"/>
                </w:tcPr>
                <w:p w14:paraId="5E9F5211">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0.01L</w:t>
                  </w:r>
                </w:p>
              </w:tc>
              <w:tc>
                <w:tcPr>
                  <w:tcW w:w="995" w:type="pct"/>
                  <w:tcBorders>
                    <w:tl2br w:val="nil"/>
                    <w:tr2bl w:val="nil"/>
                  </w:tcBorders>
                  <w:shd w:val="clear" w:color="auto" w:fill="auto"/>
                  <w:vAlign w:val="top"/>
                </w:tcPr>
                <w:p w14:paraId="042703A6">
                  <w:pPr>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lang w:val="en-US" w:eastAsia="zh-CN"/>
                    </w:rPr>
                    <w:t>0.01</w:t>
                  </w:r>
                </w:p>
              </w:tc>
              <w:tc>
                <w:tcPr>
                  <w:tcW w:w="1385" w:type="pct"/>
                  <w:tcBorders>
                    <w:tl2br w:val="nil"/>
                    <w:tr2bl w:val="nil"/>
                  </w:tcBorders>
                  <w:shd w:val="clear" w:color="auto" w:fill="auto"/>
                  <w:vAlign w:val="top"/>
                </w:tcPr>
                <w:p w14:paraId="0EE94A4A">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达标</w:t>
                  </w:r>
                </w:p>
              </w:tc>
            </w:tr>
            <w:tr w14:paraId="73407F7E">
              <w:tblPrEx>
                <w:tblW w:w="4975" w:type="pct"/>
                <w:jc w:val="center"/>
                <w:shd w:val="clear" w:color="auto" w:fill="auto"/>
                <w:tblCellMar>
                  <w:top w:w="0" w:type="dxa"/>
                  <w:left w:w="108" w:type="dxa"/>
                  <w:bottom w:w="0" w:type="dxa"/>
                  <w:right w:w="108" w:type="dxa"/>
                </w:tblCellMar>
              </w:tblPrEx>
              <w:trPr>
                <w:trHeight w:val="340"/>
                <w:jc w:val="center"/>
              </w:trPr>
              <w:tc>
                <w:tcPr>
                  <w:tcW w:w="319" w:type="pct"/>
                  <w:tcBorders>
                    <w:tl2br w:val="nil"/>
                    <w:tr2bl w:val="nil"/>
                  </w:tcBorders>
                  <w:shd w:val="clear" w:color="auto" w:fill="auto"/>
                  <w:vAlign w:val="center"/>
                </w:tcPr>
                <w:p w14:paraId="54DEDAC6">
                  <w:pPr>
                    <w:jc w:val="center"/>
                    <w:rPr>
                      <w:rFonts w:ascii="Times New Roman" w:hAnsi="Times New Roman" w:cs="Times New Roman" w:hint="default"/>
                      <w:color w:val="auto"/>
                      <w:sz w:val="21"/>
                      <w:szCs w:val="21"/>
                    </w:rPr>
                  </w:pPr>
                  <w:r>
                    <w:rPr>
                      <w:rFonts w:ascii="Times New Roman" w:hAnsi="Times New Roman" w:cs="Times New Roman" w:hint="default"/>
                      <w:color w:val="auto"/>
                      <w:sz w:val="21"/>
                      <w:szCs w:val="21"/>
                    </w:rPr>
                    <w:t>25</w:t>
                  </w:r>
                </w:p>
              </w:tc>
              <w:tc>
                <w:tcPr>
                  <w:tcW w:w="1228" w:type="pct"/>
                  <w:tcBorders>
                    <w:tl2br w:val="nil"/>
                    <w:tr2bl w:val="nil"/>
                  </w:tcBorders>
                  <w:shd w:val="clear" w:color="auto" w:fill="auto"/>
                  <w:vAlign w:val="top"/>
                </w:tcPr>
                <w:p w14:paraId="64563EBA">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钒</w:t>
                  </w:r>
                </w:p>
              </w:tc>
              <w:tc>
                <w:tcPr>
                  <w:tcW w:w="1071" w:type="pct"/>
                  <w:tcBorders>
                    <w:tl2br w:val="nil"/>
                    <w:tr2bl w:val="nil"/>
                  </w:tcBorders>
                  <w:shd w:val="clear" w:color="auto" w:fill="auto"/>
                  <w:vAlign w:val="top"/>
                </w:tcPr>
                <w:p w14:paraId="06B3F5C7">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0.003L</w:t>
                  </w:r>
                </w:p>
              </w:tc>
              <w:tc>
                <w:tcPr>
                  <w:tcW w:w="995" w:type="pct"/>
                  <w:tcBorders>
                    <w:tl2br w:val="nil"/>
                    <w:tr2bl w:val="nil"/>
                  </w:tcBorders>
                  <w:shd w:val="clear" w:color="auto" w:fill="auto"/>
                  <w:vAlign w:val="top"/>
                </w:tcPr>
                <w:p w14:paraId="399DB185">
                  <w:pPr>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lang w:val="en-US" w:eastAsia="zh-CN"/>
                    </w:rPr>
                    <w:t>/</w:t>
                  </w:r>
                </w:p>
              </w:tc>
              <w:tc>
                <w:tcPr>
                  <w:tcW w:w="1385" w:type="pct"/>
                  <w:tcBorders>
                    <w:tl2br w:val="nil"/>
                    <w:tr2bl w:val="nil"/>
                  </w:tcBorders>
                  <w:shd w:val="clear" w:color="auto" w:fill="auto"/>
                  <w:vAlign w:val="top"/>
                </w:tcPr>
                <w:p w14:paraId="4D62E7AE">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w:t>
                  </w:r>
                </w:p>
              </w:tc>
            </w:tr>
            <w:tr w14:paraId="717EABC6">
              <w:tblPrEx>
                <w:tblW w:w="4975" w:type="pct"/>
                <w:jc w:val="center"/>
                <w:shd w:val="clear" w:color="auto" w:fill="auto"/>
                <w:tblCellMar>
                  <w:top w:w="0" w:type="dxa"/>
                  <w:left w:w="108" w:type="dxa"/>
                  <w:bottom w:w="0" w:type="dxa"/>
                  <w:right w:w="108" w:type="dxa"/>
                </w:tblCellMar>
              </w:tblPrEx>
              <w:trPr>
                <w:trHeight w:val="340"/>
                <w:jc w:val="center"/>
              </w:trPr>
              <w:tc>
                <w:tcPr>
                  <w:tcW w:w="319" w:type="pct"/>
                  <w:tcBorders>
                    <w:tl2br w:val="nil"/>
                    <w:tr2bl w:val="nil"/>
                  </w:tcBorders>
                  <w:shd w:val="clear" w:color="auto" w:fill="auto"/>
                  <w:vAlign w:val="center"/>
                </w:tcPr>
                <w:p w14:paraId="359AA020">
                  <w:pPr>
                    <w:jc w:val="center"/>
                    <w:rPr>
                      <w:rFonts w:ascii="Times New Roman" w:hAnsi="Times New Roman" w:cs="Times New Roman" w:hint="default"/>
                      <w:color w:val="auto"/>
                      <w:sz w:val="21"/>
                      <w:szCs w:val="21"/>
                    </w:rPr>
                  </w:pPr>
                  <w:r>
                    <w:rPr>
                      <w:rFonts w:ascii="Times New Roman" w:hAnsi="Times New Roman" w:cs="Times New Roman" w:hint="default"/>
                      <w:color w:val="auto"/>
                      <w:sz w:val="21"/>
                      <w:szCs w:val="21"/>
                    </w:rPr>
                    <w:t>26</w:t>
                  </w:r>
                </w:p>
              </w:tc>
              <w:tc>
                <w:tcPr>
                  <w:tcW w:w="1228" w:type="pct"/>
                  <w:tcBorders>
                    <w:tl2br w:val="nil"/>
                    <w:tr2bl w:val="nil"/>
                  </w:tcBorders>
                  <w:shd w:val="clear" w:color="auto" w:fill="auto"/>
                  <w:vAlign w:val="top"/>
                </w:tcPr>
                <w:p w14:paraId="6C1236C3">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石油类</w:t>
                  </w:r>
                </w:p>
              </w:tc>
              <w:tc>
                <w:tcPr>
                  <w:tcW w:w="1071" w:type="pct"/>
                  <w:tcBorders>
                    <w:tl2br w:val="nil"/>
                    <w:tr2bl w:val="nil"/>
                  </w:tcBorders>
                  <w:shd w:val="clear" w:color="auto" w:fill="auto"/>
                  <w:vAlign w:val="top"/>
                </w:tcPr>
                <w:p w14:paraId="1AC9443B">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0.01L</w:t>
                  </w:r>
                </w:p>
              </w:tc>
              <w:tc>
                <w:tcPr>
                  <w:tcW w:w="995" w:type="pct"/>
                  <w:tcBorders>
                    <w:tl2br w:val="nil"/>
                    <w:tr2bl w:val="nil"/>
                  </w:tcBorders>
                  <w:shd w:val="clear" w:color="auto" w:fill="auto"/>
                  <w:vAlign w:val="top"/>
                </w:tcPr>
                <w:p w14:paraId="6D46EB48">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w:t>
                  </w:r>
                </w:p>
              </w:tc>
              <w:tc>
                <w:tcPr>
                  <w:tcW w:w="1385" w:type="pct"/>
                  <w:tcBorders>
                    <w:tl2br w:val="nil"/>
                    <w:tr2bl w:val="nil"/>
                  </w:tcBorders>
                  <w:shd w:val="clear" w:color="auto" w:fill="auto"/>
                  <w:vAlign w:val="top"/>
                </w:tcPr>
                <w:p w14:paraId="31A2209E">
                  <w:pPr>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lang w:val="en-US" w:eastAsia="zh-CN"/>
                    </w:rPr>
                    <w:t>/</w:t>
                  </w:r>
                </w:p>
              </w:tc>
            </w:tr>
          </w:tbl>
          <w:p w14:paraId="411F413A">
            <w:pPr>
              <w:pStyle w:val="1"/>
              <w:spacing w:line="360" w:lineRule="auto"/>
              <w:jc w:val="both"/>
              <w:rPr>
                <w:rFonts w:hint="eastAsia"/>
                <w:b w:val="0"/>
                <w:bCs/>
                <w:color w:val="auto"/>
                <w:sz w:val="24"/>
                <w:szCs w:val="21"/>
                <w:lang w:val="en-US" w:eastAsia="zh-CN"/>
              </w:rPr>
            </w:pPr>
            <w:r>
              <w:rPr>
                <w:rFonts w:hint="eastAsia"/>
                <w:b w:val="0"/>
                <w:bCs/>
                <w:color w:val="auto"/>
                <w:sz w:val="24"/>
                <w:szCs w:val="21"/>
                <w:lang w:val="en-US" w:eastAsia="zh-CN"/>
              </w:rPr>
              <w:t>根据上述统计，评价结果具体如下：</w:t>
            </w:r>
          </w:p>
          <w:p w14:paraId="27F4FAED">
            <w:pPr>
              <w:pStyle w:val="1"/>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eastAsia="宋体" w:hAnsi="Times New Roman" w:cs="Times New Roman" w:hint="eastAsia"/>
                <w:b w:val="0"/>
                <w:color w:val="auto"/>
                <w:sz w:val="24"/>
                <w:szCs w:val="24"/>
                <w:lang w:val="en-US" w:eastAsia="zh-CN"/>
              </w:rPr>
            </w:pPr>
            <w:r>
              <w:rPr>
                <w:rFonts w:ascii="Times New Roman" w:eastAsia="宋体" w:hAnsi="Times New Roman" w:cs="Times New Roman" w:hint="default"/>
                <w:b w:val="0"/>
                <w:color w:val="auto"/>
                <w:sz w:val="24"/>
                <w:szCs w:val="24"/>
                <w:lang w:val="en-US" w:eastAsia="zh-CN"/>
              </w:rPr>
              <w:t>本次工作的地下水水质评价是依据GB/T14848-2017《地下水质量标准》中的规定进行。根据上表检测结果</w:t>
            </w:r>
            <w:r>
              <w:rPr>
                <w:rFonts w:ascii="Times New Roman" w:eastAsia="宋体" w:hAnsi="Times New Roman" w:cs="Times New Roman" w:hint="eastAsia"/>
                <w:b w:val="0"/>
                <w:color w:val="auto"/>
                <w:sz w:val="24"/>
                <w:szCs w:val="24"/>
                <w:lang w:val="en-US" w:eastAsia="zh-CN"/>
              </w:rPr>
              <w:t>显示本项目各监测因子均满足</w:t>
            </w:r>
            <w:r>
              <w:rPr>
                <w:rFonts w:ascii="Times New Roman" w:eastAsia="宋体" w:hAnsi="Times New Roman" w:cs="Times New Roman" w:hint="default"/>
                <w:b w:val="0"/>
                <w:color w:val="auto"/>
                <w:sz w:val="24"/>
                <w:szCs w:val="24"/>
                <w:lang w:val="en-US" w:eastAsia="zh-CN"/>
              </w:rPr>
              <w:t>符合《地表水环境质量标准》（GB3838-2002）中的</w:t>
            </w:r>
            <w:r>
              <w:rPr>
                <w:rFonts w:ascii="Times New Roman" w:eastAsia="宋体" w:hAnsi="Times New Roman" w:cs="Times New Roman" w:hint="eastAsia"/>
                <w:b w:val="0"/>
                <w:color w:val="auto"/>
                <w:sz w:val="24"/>
                <w:szCs w:val="24"/>
                <w:lang w:val="en-US" w:eastAsia="zh-CN"/>
              </w:rPr>
              <w:t>Ⅲ</w:t>
            </w:r>
            <w:r>
              <w:rPr>
                <w:rFonts w:ascii="Times New Roman" w:eastAsia="宋体" w:hAnsi="Times New Roman" w:cs="Times New Roman" w:hint="default"/>
                <w:b w:val="0"/>
                <w:color w:val="auto"/>
                <w:sz w:val="24"/>
                <w:szCs w:val="24"/>
                <w:lang w:val="en-US" w:eastAsia="zh-CN"/>
              </w:rPr>
              <w:t>类标准值</w:t>
            </w:r>
            <w:r>
              <w:rPr>
                <w:rFonts w:ascii="Times New Roman" w:eastAsia="宋体" w:hAnsi="Times New Roman" w:cs="Times New Roman" w:hint="eastAsia"/>
                <w:b w:val="0"/>
                <w:color w:val="auto"/>
                <w:sz w:val="24"/>
                <w:szCs w:val="24"/>
                <w:lang w:val="en-US" w:eastAsia="zh-CN"/>
              </w:rPr>
              <w:t>要求。</w:t>
            </w:r>
          </w:p>
          <w:p w14:paraId="226DA4B2">
            <w:pPr>
              <w:pStyle w:val="1"/>
              <w:spacing w:line="360" w:lineRule="auto"/>
              <w:ind w:firstLine="482"/>
              <w:jc w:val="left"/>
              <w:rPr>
                <w:rFonts w:eastAsia="宋体" w:hint="default"/>
                <w:color w:val="auto"/>
                <w:sz w:val="24"/>
                <w:szCs w:val="24"/>
                <w:lang w:val="en-US" w:eastAsia="zh-CN"/>
              </w:rPr>
            </w:pPr>
            <w:r>
              <w:rPr>
                <w:rFonts w:hint="eastAsia"/>
                <w:color w:val="auto"/>
                <w:sz w:val="24"/>
                <w:szCs w:val="24"/>
                <w:lang w:val="en-US" w:eastAsia="zh-CN"/>
              </w:rPr>
              <w:t>4</w:t>
            </w:r>
            <w:r>
              <w:rPr>
                <w:color w:val="auto"/>
                <w:sz w:val="24"/>
                <w:szCs w:val="24"/>
              </w:rPr>
              <w:t>、土壤</w:t>
            </w:r>
            <w:r>
              <w:rPr>
                <w:rFonts w:hint="eastAsia"/>
                <w:color w:val="auto"/>
                <w:sz w:val="24"/>
                <w:szCs w:val="24"/>
                <w:lang w:val="en-US" w:eastAsia="zh-CN"/>
              </w:rPr>
              <w:t>环境质量现状</w:t>
            </w:r>
          </w:p>
          <w:p w14:paraId="29C5D0D8">
            <w:pPr>
              <w:pStyle w:val="1"/>
              <w:spacing w:line="360" w:lineRule="auto"/>
              <w:ind w:firstLine="482"/>
              <w:jc w:val="left"/>
              <w:rPr>
                <w:rFonts w:eastAsia="宋体" w:hint="default"/>
                <w:b/>
                <w:bCs/>
                <w:color w:val="auto"/>
                <w:sz w:val="24"/>
                <w:szCs w:val="24"/>
                <w:lang w:val="en-US" w:eastAsia="zh-CN"/>
              </w:rPr>
            </w:pPr>
            <w:r>
              <w:rPr>
                <w:rFonts w:hint="eastAsia"/>
                <w:b/>
                <w:bCs/>
                <w:color w:val="auto"/>
                <w:sz w:val="24"/>
                <w:szCs w:val="24"/>
                <w:lang w:val="en-US" w:eastAsia="zh-CN"/>
              </w:rPr>
              <w:t>4.1监测布点</w:t>
            </w:r>
          </w:p>
          <w:p w14:paraId="0C52E772">
            <w:pPr>
              <w:pStyle w:val="1"/>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eastAsia="宋体" w:hAnsi="Times New Roman" w:cs="Times New Roman" w:hint="eastAsia"/>
                <w:b w:val="0"/>
                <w:color w:val="auto"/>
                <w:sz w:val="24"/>
                <w:szCs w:val="24"/>
                <w:lang w:val="en-US" w:eastAsia="zh-CN"/>
              </w:rPr>
            </w:pPr>
            <w:r>
              <w:rPr>
                <w:rFonts w:ascii="Times New Roman" w:eastAsia="宋体" w:hAnsi="Times New Roman" w:cs="Times New Roman" w:hint="eastAsia"/>
                <w:b w:val="0"/>
                <w:color w:val="auto"/>
                <w:sz w:val="24"/>
                <w:szCs w:val="24"/>
                <w:lang w:val="en-US" w:eastAsia="zh-CN"/>
              </w:rPr>
              <w:t>为了解该地区土壤环境现状，本项目委托辽宁鹏宇环境监测有限公司2024年05月11日-2024年05月17日对项目土壤进行检测，检测报告：（辽鹏环测）字PY2405283-001号；本项目采集1个表层土壤（位于项目范围内），土壤样品采集深度为0-0.2m共采集1份样品。</w:t>
            </w:r>
          </w:p>
          <w:p w14:paraId="6845BB6F">
            <w:pPr>
              <w:pStyle w:val="1"/>
              <w:spacing w:line="360" w:lineRule="auto"/>
              <w:ind w:firstLine="482"/>
              <w:jc w:val="left"/>
              <w:rPr>
                <w:rFonts w:eastAsia="宋体" w:hint="default"/>
                <w:b/>
                <w:bCs/>
                <w:color w:val="auto"/>
                <w:sz w:val="24"/>
                <w:szCs w:val="24"/>
                <w:lang w:val="en-US" w:eastAsia="zh-CN"/>
              </w:rPr>
            </w:pPr>
            <w:r>
              <w:rPr>
                <w:rFonts w:hint="eastAsia"/>
                <w:b/>
                <w:bCs/>
                <w:color w:val="auto"/>
                <w:sz w:val="24"/>
                <w:szCs w:val="24"/>
                <w:lang w:val="en-US" w:eastAsia="zh-CN"/>
              </w:rPr>
              <w:t>4.2监测因子</w:t>
            </w:r>
          </w:p>
          <w:p w14:paraId="5D7F58B1">
            <w:pPr>
              <w:pStyle w:val="1"/>
              <w:spacing w:line="360" w:lineRule="auto"/>
              <w:ind w:firstLine="482"/>
              <w:jc w:val="left"/>
              <w:rPr>
                <w:rFonts w:hint="eastAsia"/>
                <w:b w:val="0"/>
                <w:color w:val="auto"/>
                <w:sz w:val="24"/>
                <w:szCs w:val="24"/>
              </w:rPr>
            </w:pPr>
            <w:r>
              <w:rPr>
                <w:rFonts w:hint="eastAsia"/>
                <w:b w:val="0"/>
                <w:color w:val="auto"/>
                <w:sz w:val="24"/>
                <w:szCs w:val="24"/>
                <w:lang w:val="en-US" w:eastAsia="zh-CN"/>
              </w:rPr>
              <w:t>土壤监测因子为</w:t>
            </w:r>
            <w:r>
              <w:rPr>
                <w:rFonts w:hint="eastAsia"/>
                <w:b w:val="0"/>
                <w:color w:val="auto"/>
                <w:sz w:val="24"/>
                <w:szCs w:val="24"/>
              </w:rPr>
              <w:t>：砷、镉、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苯酚、苯并［a］蒽、苯并［a］芘、苯并［b］荧蒽、苯并［k］荧蒽、䓛、二苯并［a,h］蒽、茚并［1,2,3-cd］芘、萘、pH、石油烃、钒。</w:t>
            </w:r>
          </w:p>
          <w:p w14:paraId="6BCBB277">
            <w:pPr>
              <w:pStyle w:val="1"/>
              <w:spacing w:line="360" w:lineRule="auto"/>
              <w:ind w:firstLine="482"/>
              <w:jc w:val="left"/>
              <w:rPr>
                <w:rFonts w:ascii="Times New Roman" w:eastAsia="宋体" w:hAnsi="Times New Roman" w:cs="Times New Roman" w:hint="eastAsia"/>
                <w:b/>
                <w:bCs/>
                <w:color w:val="auto"/>
                <w:kern w:val="2"/>
                <w:sz w:val="24"/>
                <w:szCs w:val="32"/>
                <w:lang w:val="en-US" w:eastAsia="zh-CN" w:bidi="ar-SA"/>
              </w:rPr>
            </w:pPr>
            <w:r>
              <w:rPr>
                <w:rFonts w:hint="eastAsia"/>
                <w:b/>
                <w:bCs/>
                <w:color w:val="auto"/>
                <w:sz w:val="24"/>
                <w:szCs w:val="24"/>
                <w:lang w:val="en-US" w:eastAsia="zh-CN"/>
              </w:rPr>
              <w:t>4</w:t>
            </w:r>
            <w:r>
              <w:rPr>
                <w:rFonts w:ascii="Times New Roman" w:eastAsia="宋体" w:hAnsi="Times New Roman" w:cs="Times New Roman" w:hint="eastAsia"/>
                <w:b/>
                <w:bCs/>
                <w:color w:val="auto"/>
                <w:kern w:val="2"/>
                <w:sz w:val="24"/>
                <w:szCs w:val="32"/>
                <w:lang w:val="en-US" w:eastAsia="zh-CN" w:bidi="ar-SA"/>
              </w:rPr>
              <w:t>.3 检测结果</w:t>
            </w:r>
          </w:p>
          <w:p w14:paraId="0B7DB720">
            <w:pPr>
              <w:pStyle w:val="1"/>
              <w:spacing w:line="360" w:lineRule="auto"/>
              <w:jc w:val="center"/>
              <w:rPr>
                <w:rFonts w:ascii="Times New Roman" w:eastAsia="宋体" w:hAnsi="Times New Roman" w:cs="Times New Roman" w:hint="eastAsia"/>
                <w:b/>
                <w:color w:val="auto"/>
                <w:sz w:val="24"/>
                <w:szCs w:val="21"/>
                <w:lang w:val="en-US" w:eastAsia="zh-CN"/>
              </w:rPr>
            </w:pPr>
            <w:r>
              <w:rPr>
                <w:rFonts w:ascii="Times New Roman" w:eastAsia="宋体" w:hAnsi="Times New Roman" w:cs="Times New Roman" w:hint="eastAsia"/>
                <w:b/>
                <w:color w:val="auto"/>
                <w:sz w:val="24"/>
                <w:szCs w:val="21"/>
                <w:lang w:val="en-US" w:eastAsia="zh-CN"/>
              </w:rPr>
              <w:t>表3</w:t>
            </w:r>
            <w:r>
              <w:rPr>
                <w:rFonts w:ascii="Times New Roman" w:eastAsia="宋体" w:hAnsi="Times New Roman" w:cs="Times New Roman" w:hint="default"/>
                <w:b/>
                <w:color w:val="auto"/>
                <w:sz w:val="24"/>
                <w:szCs w:val="21"/>
                <w:lang w:val="en-US" w:eastAsia="zh-CN"/>
              </w:rPr>
              <w:noBreakHyphen/>
            </w:r>
            <w:r>
              <w:rPr>
                <w:rFonts w:ascii="Times New Roman" w:eastAsia="宋体" w:hAnsi="Times New Roman" w:cs="Times New Roman" w:hint="default"/>
                <w:b/>
                <w:color w:val="auto"/>
                <w:sz w:val="24"/>
                <w:szCs w:val="21"/>
                <w:lang w:val="en-US" w:eastAsia="zh-CN"/>
              </w:rPr>
              <w:fldChar w:fldCharType="begin"/>
            </w:r>
            <w:r>
              <w:rPr>
                <w:rFonts w:ascii="Times New Roman" w:eastAsia="宋体" w:hAnsi="Times New Roman" w:cs="Times New Roman" w:hint="default"/>
                <w:b/>
                <w:color w:val="auto"/>
                <w:sz w:val="24"/>
                <w:szCs w:val="21"/>
                <w:lang w:val="en-US" w:eastAsia="zh-CN"/>
              </w:rPr>
              <w:instrText xml:space="preserve"> SEQ 表 \* ARABIC \s 2 </w:instrText>
            </w:r>
            <w:r>
              <w:rPr>
                <w:rFonts w:ascii="Times New Roman" w:eastAsia="宋体" w:hAnsi="Times New Roman" w:cs="Times New Roman" w:hint="default"/>
                <w:b/>
                <w:color w:val="auto"/>
                <w:sz w:val="24"/>
                <w:szCs w:val="21"/>
                <w:lang w:val="en-US" w:eastAsia="zh-CN"/>
              </w:rPr>
              <w:fldChar w:fldCharType="separate"/>
            </w:r>
            <w:r>
              <w:rPr>
                <w:rFonts w:ascii="Times New Roman" w:eastAsia="宋体" w:hAnsi="Times New Roman" w:cs="Times New Roman" w:hint="default"/>
                <w:b/>
                <w:color w:val="auto"/>
                <w:sz w:val="24"/>
                <w:szCs w:val="21"/>
                <w:lang w:val="en-US" w:eastAsia="zh-CN"/>
              </w:rPr>
              <w:t>3</w:t>
            </w:r>
            <w:r>
              <w:rPr>
                <w:rFonts w:ascii="Times New Roman" w:eastAsia="宋体" w:hAnsi="Times New Roman" w:cs="Times New Roman" w:hint="default"/>
                <w:b/>
                <w:color w:val="auto"/>
                <w:sz w:val="24"/>
                <w:szCs w:val="21"/>
                <w:lang w:val="en-US" w:eastAsia="zh-CN"/>
              </w:rPr>
              <w:fldChar w:fldCharType="end"/>
            </w:r>
            <w:r>
              <w:rPr>
                <w:rFonts w:ascii="Times New Roman" w:eastAsia="宋体" w:hAnsi="Times New Roman" w:cs="Times New Roman" w:hint="eastAsia"/>
                <w:b/>
                <w:color w:val="auto"/>
                <w:sz w:val="24"/>
                <w:szCs w:val="21"/>
                <w:lang w:val="en-US" w:eastAsia="zh-CN"/>
              </w:rPr>
              <w:t xml:space="preserve">  土壤监测结果一览表</w:t>
            </w:r>
          </w:p>
          <w:tbl>
            <w:tblPr>
              <w:tblStyle w:val="TableGrid"/>
              <w:tblW w:w="4998" w:type="pct"/>
              <w:jc w:val="center"/>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CellMar>
                <w:top w:w="0" w:type="dxa"/>
                <w:left w:w="108" w:type="dxa"/>
                <w:bottom w:w="0" w:type="dxa"/>
                <w:right w:w="108" w:type="dxa"/>
              </w:tblCellMar>
            </w:tblPr>
            <w:tblGrid>
              <w:gridCol w:w="2072"/>
              <w:gridCol w:w="2154"/>
              <w:gridCol w:w="4160"/>
            </w:tblGrid>
            <w:tr w14:paraId="21F83517">
              <w:tblPrEx>
                <w:tblW w:w="4998" w:type="pct"/>
                <w:jc w:val="center"/>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CellMar>
                  <w:top w:w="0" w:type="dxa"/>
                  <w:left w:w="108" w:type="dxa"/>
                  <w:bottom w:w="0" w:type="dxa"/>
                  <w:right w:w="108" w:type="dxa"/>
                </w:tblCellMar>
              </w:tblPrEx>
              <w:trPr>
                <w:trHeight w:val="427"/>
                <w:tblHeader/>
                <w:jc w:val="center"/>
              </w:trPr>
              <w:tc>
                <w:tcPr>
                  <w:tcW w:w="1235" w:type="pct"/>
                  <w:tcBorders>
                    <w:tl2br w:val="nil"/>
                    <w:tr2bl w:val="nil"/>
                  </w:tcBorders>
                  <w:noWrap w:val="0"/>
                  <w:vAlign w:val="center"/>
                </w:tcPr>
                <w:p w14:paraId="254D2CC9">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检测项目</w:t>
                  </w:r>
                </w:p>
              </w:tc>
              <w:tc>
                <w:tcPr>
                  <w:tcW w:w="1284" w:type="pct"/>
                  <w:tcBorders>
                    <w:tl2br w:val="nil"/>
                    <w:tr2bl w:val="nil"/>
                  </w:tcBorders>
                  <w:noWrap w:val="0"/>
                  <w:vAlign w:val="center"/>
                </w:tcPr>
                <w:p w14:paraId="2C0C15EE">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单位</w:t>
                  </w:r>
                </w:p>
              </w:tc>
              <w:tc>
                <w:tcPr>
                  <w:tcW w:w="2479" w:type="pct"/>
                  <w:tcBorders>
                    <w:tl2br w:val="nil"/>
                    <w:tr2bl w:val="nil"/>
                  </w:tcBorders>
                  <w:noWrap w:val="0"/>
                  <w:vAlign w:val="center"/>
                </w:tcPr>
                <w:p w14:paraId="4F8C62D1">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eastAsia"/>
                      <w:color w:val="auto"/>
                      <w:sz w:val="21"/>
                      <w:szCs w:val="21"/>
                      <w:lang w:val="en-US" w:eastAsia="zh-CN"/>
                    </w:rPr>
                    <w:t>样品编号2405283TR001检测结果</w:t>
                  </w:r>
                </w:p>
              </w:tc>
            </w:tr>
            <w:tr w14:paraId="0E8604F7">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1DA6D4DA">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砷</w:t>
                  </w:r>
                </w:p>
              </w:tc>
              <w:tc>
                <w:tcPr>
                  <w:tcW w:w="1284" w:type="pct"/>
                  <w:tcBorders>
                    <w:tl2br w:val="nil"/>
                    <w:tr2bl w:val="nil"/>
                  </w:tcBorders>
                  <w:noWrap w:val="0"/>
                  <w:vAlign w:val="center"/>
                </w:tcPr>
                <w:p w14:paraId="04A1A661">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mg/kg</w:t>
                  </w:r>
                </w:p>
              </w:tc>
              <w:tc>
                <w:tcPr>
                  <w:tcW w:w="2479" w:type="pct"/>
                  <w:tcBorders>
                    <w:tl2br w:val="nil"/>
                    <w:tr2bl w:val="nil"/>
                  </w:tcBorders>
                  <w:noWrap w:val="0"/>
                  <w:vAlign w:val="center"/>
                </w:tcPr>
                <w:p w14:paraId="0A64BD6B">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eastAsia"/>
                      <w:color w:val="auto"/>
                      <w:sz w:val="21"/>
                      <w:szCs w:val="21"/>
                      <w:lang w:val="en-US" w:eastAsia="zh-CN"/>
                    </w:rPr>
                    <w:t>2.91</w:t>
                  </w:r>
                </w:p>
              </w:tc>
            </w:tr>
            <w:tr w14:paraId="54722F26">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3115DC5E">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镉</w:t>
                  </w:r>
                </w:p>
              </w:tc>
              <w:tc>
                <w:tcPr>
                  <w:tcW w:w="1284" w:type="pct"/>
                  <w:tcBorders>
                    <w:tl2br w:val="nil"/>
                    <w:tr2bl w:val="nil"/>
                  </w:tcBorders>
                  <w:noWrap w:val="0"/>
                  <w:vAlign w:val="center"/>
                </w:tcPr>
                <w:p w14:paraId="26808667">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mg/kg</w:t>
                  </w:r>
                </w:p>
              </w:tc>
              <w:tc>
                <w:tcPr>
                  <w:tcW w:w="2479" w:type="pct"/>
                  <w:tcBorders>
                    <w:tl2br w:val="nil"/>
                    <w:tr2bl w:val="nil"/>
                  </w:tcBorders>
                  <w:noWrap w:val="0"/>
                  <w:vAlign w:val="center"/>
                </w:tcPr>
                <w:p w14:paraId="54F94499">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eastAsia"/>
                      <w:color w:val="auto"/>
                      <w:sz w:val="21"/>
                      <w:szCs w:val="21"/>
                      <w:lang w:val="en-US" w:eastAsia="zh-CN"/>
                    </w:rPr>
                    <w:t>0.16</w:t>
                  </w:r>
                </w:p>
              </w:tc>
            </w:tr>
            <w:tr w14:paraId="3C755D01">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4BB8735E">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六价铬</w:t>
                  </w:r>
                </w:p>
              </w:tc>
              <w:tc>
                <w:tcPr>
                  <w:tcW w:w="1284" w:type="pct"/>
                  <w:tcBorders>
                    <w:tl2br w:val="nil"/>
                    <w:tr2bl w:val="nil"/>
                  </w:tcBorders>
                  <w:noWrap w:val="0"/>
                  <w:vAlign w:val="center"/>
                </w:tcPr>
                <w:p w14:paraId="5C9B9C79">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mg/kg</w:t>
                  </w:r>
                </w:p>
              </w:tc>
              <w:tc>
                <w:tcPr>
                  <w:tcW w:w="2479" w:type="pct"/>
                  <w:tcBorders>
                    <w:tl2br w:val="nil"/>
                    <w:tr2bl w:val="nil"/>
                  </w:tcBorders>
                  <w:noWrap w:val="0"/>
                  <w:vAlign w:val="center"/>
                </w:tcPr>
                <w:p w14:paraId="3E2DD6DF">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eastAsia"/>
                      <w:color w:val="auto"/>
                      <w:sz w:val="21"/>
                      <w:szCs w:val="21"/>
                      <w:lang w:val="en-US" w:eastAsia="zh-CN"/>
                    </w:rPr>
                    <w:t>＜0.5</w:t>
                  </w:r>
                </w:p>
              </w:tc>
            </w:tr>
            <w:tr w14:paraId="3E78416B">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310D73D3">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铜</w:t>
                  </w:r>
                </w:p>
              </w:tc>
              <w:tc>
                <w:tcPr>
                  <w:tcW w:w="1284" w:type="pct"/>
                  <w:tcBorders>
                    <w:tl2br w:val="nil"/>
                    <w:tr2bl w:val="nil"/>
                  </w:tcBorders>
                  <w:noWrap w:val="0"/>
                  <w:vAlign w:val="center"/>
                </w:tcPr>
                <w:p w14:paraId="109B61B9">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mg/kg</w:t>
                  </w:r>
                </w:p>
              </w:tc>
              <w:tc>
                <w:tcPr>
                  <w:tcW w:w="2479" w:type="pct"/>
                  <w:tcBorders>
                    <w:tl2br w:val="nil"/>
                    <w:tr2bl w:val="nil"/>
                  </w:tcBorders>
                  <w:noWrap w:val="0"/>
                  <w:vAlign w:val="center"/>
                </w:tcPr>
                <w:p w14:paraId="5097E60F">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eastAsia"/>
                      <w:color w:val="auto"/>
                      <w:sz w:val="21"/>
                      <w:szCs w:val="21"/>
                      <w:lang w:val="en-US" w:eastAsia="zh-CN"/>
                    </w:rPr>
                    <w:t>37</w:t>
                  </w:r>
                </w:p>
              </w:tc>
            </w:tr>
            <w:tr w14:paraId="29E3E97F">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061FF116">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铅</w:t>
                  </w:r>
                </w:p>
              </w:tc>
              <w:tc>
                <w:tcPr>
                  <w:tcW w:w="1284" w:type="pct"/>
                  <w:tcBorders>
                    <w:tl2br w:val="nil"/>
                    <w:tr2bl w:val="nil"/>
                  </w:tcBorders>
                  <w:noWrap w:val="0"/>
                  <w:vAlign w:val="center"/>
                </w:tcPr>
                <w:p w14:paraId="4491FBDD">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mg/kg</w:t>
                  </w:r>
                </w:p>
              </w:tc>
              <w:tc>
                <w:tcPr>
                  <w:tcW w:w="2479" w:type="pct"/>
                  <w:tcBorders>
                    <w:tl2br w:val="nil"/>
                    <w:tr2bl w:val="nil"/>
                  </w:tcBorders>
                  <w:noWrap w:val="0"/>
                  <w:vAlign w:val="center"/>
                </w:tcPr>
                <w:p w14:paraId="39BE69A9">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eastAsia"/>
                      <w:color w:val="auto"/>
                      <w:sz w:val="21"/>
                      <w:szCs w:val="21"/>
                      <w:lang w:val="en-US" w:eastAsia="zh-CN"/>
                    </w:rPr>
                    <w:t>30</w:t>
                  </w:r>
                </w:p>
              </w:tc>
            </w:tr>
            <w:tr w14:paraId="1397C848">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5F39C8B8">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汞</w:t>
                  </w:r>
                </w:p>
              </w:tc>
              <w:tc>
                <w:tcPr>
                  <w:tcW w:w="1284" w:type="pct"/>
                  <w:tcBorders>
                    <w:tl2br w:val="nil"/>
                    <w:tr2bl w:val="nil"/>
                  </w:tcBorders>
                  <w:noWrap w:val="0"/>
                  <w:vAlign w:val="center"/>
                </w:tcPr>
                <w:p w14:paraId="4E7041A1">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mg/kg</w:t>
                  </w:r>
                </w:p>
              </w:tc>
              <w:tc>
                <w:tcPr>
                  <w:tcW w:w="2479" w:type="pct"/>
                  <w:tcBorders>
                    <w:tl2br w:val="nil"/>
                    <w:tr2bl w:val="nil"/>
                  </w:tcBorders>
                  <w:noWrap w:val="0"/>
                  <w:vAlign w:val="center"/>
                </w:tcPr>
                <w:p w14:paraId="557904CF">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eastAsia"/>
                      <w:color w:val="auto"/>
                      <w:sz w:val="21"/>
                      <w:szCs w:val="21"/>
                      <w:lang w:val="en-US" w:eastAsia="zh-CN"/>
                    </w:rPr>
                    <w:t>0.310</w:t>
                  </w:r>
                </w:p>
              </w:tc>
            </w:tr>
            <w:tr w14:paraId="333EAFF8">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3FEF30CA">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镍</w:t>
                  </w:r>
                </w:p>
              </w:tc>
              <w:tc>
                <w:tcPr>
                  <w:tcW w:w="1284" w:type="pct"/>
                  <w:tcBorders>
                    <w:tl2br w:val="nil"/>
                    <w:tr2bl w:val="nil"/>
                  </w:tcBorders>
                  <w:noWrap w:val="0"/>
                  <w:vAlign w:val="center"/>
                </w:tcPr>
                <w:p w14:paraId="538D5A26">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mg/kg</w:t>
                  </w:r>
                </w:p>
              </w:tc>
              <w:tc>
                <w:tcPr>
                  <w:tcW w:w="2479" w:type="pct"/>
                  <w:tcBorders>
                    <w:tl2br w:val="nil"/>
                    <w:tr2bl w:val="nil"/>
                  </w:tcBorders>
                  <w:noWrap w:val="0"/>
                  <w:vAlign w:val="center"/>
                </w:tcPr>
                <w:p w14:paraId="3941AEDF">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eastAsia"/>
                      <w:color w:val="auto"/>
                      <w:sz w:val="21"/>
                      <w:szCs w:val="21"/>
                      <w:lang w:val="en-US" w:eastAsia="zh-CN"/>
                    </w:rPr>
                    <w:t>47</w:t>
                  </w:r>
                </w:p>
              </w:tc>
            </w:tr>
            <w:tr w14:paraId="7E3669DB">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45D9D7A0">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硝基苯</w:t>
                  </w:r>
                </w:p>
              </w:tc>
              <w:tc>
                <w:tcPr>
                  <w:tcW w:w="1284" w:type="pct"/>
                  <w:tcBorders>
                    <w:tl2br w:val="nil"/>
                    <w:tr2bl w:val="nil"/>
                  </w:tcBorders>
                  <w:noWrap w:val="0"/>
                  <w:vAlign w:val="center"/>
                </w:tcPr>
                <w:p w14:paraId="59F01991">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mg/kg</w:t>
                  </w:r>
                </w:p>
              </w:tc>
              <w:tc>
                <w:tcPr>
                  <w:tcW w:w="2479" w:type="pct"/>
                  <w:tcBorders>
                    <w:tl2br w:val="nil"/>
                    <w:tr2bl w:val="nil"/>
                  </w:tcBorders>
                  <w:noWrap w:val="0"/>
                  <w:vAlign w:val="center"/>
                </w:tcPr>
                <w:p w14:paraId="6AF49DCD">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＜0.09</w:t>
                  </w:r>
                </w:p>
              </w:tc>
            </w:tr>
            <w:tr w14:paraId="6DC6C9D4">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75585415">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2-氯苯酚</w:t>
                  </w:r>
                </w:p>
              </w:tc>
              <w:tc>
                <w:tcPr>
                  <w:tcW w:w="1284" w:type="pct"/>
                  <w:tcBorders>
                    <w:tl2br w:val="nil"/>
                    <w:tr2bl w:val="nil"/>
                  </w:tcBorders>
                  <w:noWrap w:val="0"/>
                  <w:vAlign w:val="center"/>
                </w:tcPr>
                <w:p w14:paraId="58CB84B2">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mg/kg</w:t>
                  </w:r>
                </w:p>
              </w:tc>
              <w:tc>
                <w:tcPr>
                  <w:tcW w:w="2479" w:type="pct"/>
                  <w:tcBorders>
                    <w:tl2br w:val="nil"/>
                    <w:tr2bl w:val="nil"/>
                  </w:tcBorders>
                  <w:noWrap w:val="0"/>
                  <w:vAlign w:val="center"/>
                </w:tcPr>
                <w:p w14:paraId="3591480F">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＜0.06</w:t>
                  </w:r>
                </w:p>
              </w:tc>
            </w:tr>
            <w:tr w14:paraId="4BD7D49F">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4FFA0E4B">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苯并［a］蒽</w:t>
                  </w:r>
                </w:p>
              </w:tc>
              <w:tc>
                <w:tcPr>
                  <w:tcW w:w="1284" w:type="pct"/>
                  <w:tcBorders>
                    <w:tl2br w:val="nil"/>
                    <w:tr2bl w:val="nil"/>
                  </w:tcBorders>
                  <w:noWrap w:val="0"/>
                  <w:vAlign w:val="center"/>
                </w:tcPr>
                <w:p w14:paraId="29CE1AC7">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mg/kg</w:t>
                  </w:r>
                </w:p>
              </w:tc>
              <w:tc>
                <w:tcPr>
                  <w:tcW w:w="2479" w:type="pct"/>
                  <w:tcBorders>
                    <w:tl2br w:val="nil"/>
                    <w:tr2bl w:val="nil"/>
                  </w:tcBorders>
                  <w:noWrap w:val="0"/>
                  <w:vAlign w:val="center"/>
                </w:tcPr>
                <w:p w14:paraId="7E72271D">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＜0.1</w:t>
                  </w:r>
                </w:p>
              </w:tc>
            </w:tr>
            <w:tr w14:paraId="433727EE">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4CF80602">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苯并［a］芘</w:t>
                  </w:r>
                </w:p>
              </w:tc>
              <w:tc>
                <w:tcPr>
                  <w:tcW w:w="1284" w:type="pct"/>
                  <w:tcBorders>
                    <w:tl2br w:val="nil"/>
                    <w:tr2bl w:val="nil"/>
                  </w:tcBorders>
                  <w:noWrap w:val="0"/>
                  <w:vAlign w:val="center"/>
                </w:tcPr>
                <w:p w14:paraId="18E75C61">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mg/kg</w:t>
                  </w:r>
                </w:p>
              </w:tc>
              <w:tc>
                <w:tcPr>
                  <w:tcW w:w="2479" w:type="pct"/>
                  <w:tcBorders>
                    <w:tl2br w:val="nil"/>
                    <w:tr2bl w:val="nil"/>
                  </w:tcBorders>
                  <w:noWrap w:val="0"/>
                  <w:vAlign w:val="center"/>
                </w:tcPr>
                <w:p w14:paraId="040BDDC2">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eastAsia"/>
                      <w:color w:val="auto"/>
                      <w:sz w:val="21"/>
                      <w:szCs w:val="21"/>
                      <w:lang w:val="en-US" w:eastAsia="zh-CN"/>
                    </w:rPr>
                    <w:t>＜0.1</w:t>
                  </w:r>
                </w:p>
              </w:tc>
            </w:tr>
            <w:tr w14:paraId="12877372">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4A9DEE5C">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苯并［b］荧蒽</w:t>
                  </w:r>
                </w:p>
              </w:tc>
              <w:tc>
                <w:tcPr>
                  <w:tcW w:w="1284" w:type="pct"/>
                  <w:tcBorders>
                    <w:tl2br w:val="nil"/>
                    <w:tr2bl w:val="nil"/>
                  </w:tcBorders>
                  <w:noWrap w:val="0"/>
                  <w:vAlign w:val="center"/>
                </w:tcPr>
                <w:p w14:paraId="1ACC3401">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mg/kg</w:t>
                  </w:r>
                </w:p>
              </w:tc>
              <w:tc>
                <w:tcPr>
                  <w:tcW w:w="2479" w:type="pct"/>
                  <w:tcBorders>
                    <w:tl2br w:val="nil"/>
                    <w:tr2bl w:val="nil"/>
                  </w:tcBorders>
                  <w:noWrap w:val="0"/>
                  <w:vAlign w:val="center"/>
                </w:tcPr>
                <w:p w14:paraId="267C2C97">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＜0.2</w:t>
                  </w:r>
                </w:p>
              </w:tc>
            </w:tr>
            <w:tr w14:paraId="288EFDEF">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46A8E452">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苯并［k］荧蒽</w:t>
                  </w:r>
                </w:p>
              </w:tc>
              <w:tc>
                <w:tcPr>
                  <w:tcW w:w="1284" w:type="pct"/>
                  <w:tcBorders>
                    <w:tl2br w:val="nil"/>
                    <w:tr2bl w:val="nil"/>
                  </w:tcBorders>
                  <w:noWrap w:val="0"/>
                  <w:vAlign w:val="center"/>
                </w:tcPr>
                <w:p w14:paraId="17CB1205">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mg/kg</w:t>
                  </w:r>
                </w:p>
              </w:tc>
              <w:tc>
                <w:tcPr>
                  <w:tcW w:w="2479" w:type="pct"/>
                  <w:tcBorders>
                    <w:tl2br w:val="nil"/>
                    <w:tr2bl w:val="nil"/>
                  </w:tcBorders>
                  <w:noWrap w:val="0"/>
                  <w:vAlign w:val="center"/>
                </w:tcPr>
                <w:p w14:paraId="60AB3FCC">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eastAsia"/>
                      <w:color w:val="auto"/>
                      <w:sz w:val="21"/>
                      <w:szCs w:val="21"/>
                      <w:lang w:val="en-US" w:eastAsia="zh-CN"/>
                    </w:rPr>
                    <w:t>＜0.1</w:t>
                  </w:r>
                </w:p>
              </w:tc>
            </w:tr>
            <w:tr w14:paraId="03B5AEE1">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40E13A5D">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䓛</w:t>
                  </w:r>
                </w:p>
              </w:tc>
              <w:tc>
                <w:tcPr>
                  <w:tcW w:w="1284" w:type="pct"/>
                  <w:tcBorders>
                    <w:tl2br w:val="nil"/>
                    <w:tr2bl w:val="nil"/>
                  </w:tcBorders>
                  <w:noWrap w:val="0"/>
                  <w:vAlign w:val="center"/>
                </w:tcPr>
                <w:p w14:paraId="22D19E88">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mg/kg</w:t>
                  </w:r>
                </w:p>
              </w:tc>
              <w:tc>
                <w:tcPr>
                  <w:tcW w:w="2479" w:type="pct"/>
                  <w:tcBorders>
                    <w:tl2br w:val="nil"/>
                    <w:tr2bl w:val="nil"/>
                  </w:tcBorders>
                  <w:noWrap w:val="0"/>
                  <w:vAlign w:val="center"/>
                </w:tcPr>
                <w:p w14:paraId="3D25C671">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＜0.1</w:t>
                  </w:r>
                </w:p>
              </w:tc>
            </w:tr>
            <w:tr w14:paraId="74EE7CDD">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0075C73A">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二苯并［a,h］蒽</w:t>
                  </w:r>
                </w:p>
              </w:tc>
              <w:tc>
                <w:tcPr>
                  <w:tcW w:w="1284" w:type="pct"/>
                  <w:tcBorders>
                    <w:tl2br w:val="nil"/>
                    <w:tr2bl w:val="nil"/>
                  </w:tcBorders>
                  <w:noWrap w:val="0"/>
                  <w:vAlign w:val="center"/>
                </w:tcPr>
                <w:p w14:paraId="0C794E50">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mg/kg</w:t>
                  </w:r>
                </w:p>
              </w:tc>
              <w:tc>
                <w:tcPr>
                  <w:tcW w:w="2479" w:type="pct"/>
                  <w:tcBorders>
                    <w:tl2br w:val="nil"/>
                    <w:tr2bl w:val="nil"/>
                  </w:tcBorders>
                  <w:noWrap w:val="0"/>
                  <w:vAlign w:val="center"/>
                </w:tcPr>
                <w:p w14:paraId="7AEC3FDF">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＜0.1</w:t>
                  </w:r>
                </w:p>
              </w:tc>
            </w:tr>
            <w:tr w14:paraId="35A093E7">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02C6A971">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茚并［1,2,3-cd］芘</w:t>
                  </w:r>
                </w:p>
              </w:tc>
              <w:tc>
                <w:tcPr>
                  <w:tcW w:w="1284" w:type="pct"/>
                  <w:tcBorders>
                    <w:tl2br w:val="nil"/>
                    <w:tr2bl w:val="nil"/>
                  </w:tcBorders>
                  <w:noWrap w:val="0"/>
                  <w:vAlign w:val="center"/>
                </w:tcPr>
                <w:p w14:paraId="2A96D15D">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mg/kg</w:t>
                  </w:r>
                </w:p>
              </w:tc>
              <w:tc>
                <w:tcPr>
                  <w:tcW w:w="2479" w:type="pct"/>
                  <w:tcBorders>
                    <w:tl2br w:val="nil"/>
                    <w:tr2bl w:val="nil"/>
                  </w:tcBorders>
                  <w:noWrap w:val="0"/>
                  <w:vAlign w:val="center"/>
                </w:tcPr>
                <w:p w14:paraId="0636630D">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＜0.1</w:t>
                  </w:r>
                </w:p>
              </w:tc>
            </w:tr>
            <w:tr w14:paraId="0FA91F34">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49FEAC2C">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萘</w:t>
                  </w:r>
                </w:p>
              </w:tc>
              <w:tc>
                <w:tcPr>
                  <w:tcW w:w="1284" w:type="pct"/>
                  <w:tcBorders>
                    <w:tl2br w:val="nil"/>
                    <w:tr2bl w:val="nil"/>
                  </w:tcBorders>
                  <w:noWrap w:val="0"/>
                  <w:vAlign w:val="center"/>
                </w:tcPr>
                <w:p w14:paraId="5C3D54DB">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mg/kg</w:t>
                  </w:r>
                </w:p>
              </w:tc>
              <w:tc>
                <w:tcPr>
                  <w:tcW w:w="2479" w:type="pct"/>
                  <w:tcBorders>
                    <w:tl2br w:val="nil"/>
                    <w:tr2bl w:val="nil"/>
                  </w:tcBorders>
                  <w:noWrap w:val="0"/>
                  <w:vAlign w:val="center"/>
                </w:tcPr>
                <w:p w14:paraId="38C7E59D">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＜0.09</w:t>
                  </w:r>
                </w:p>
              </w:tc>
            </w:tr>
            <w:tr w14:paraId="786C7002">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02076D4E">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苯胺</w:t>
                  </w:r>
                </w:p>
              </w:tc>
              <w:tc>
                <w:tcPr>
                  <w:tcW w:w="1284" w:type="pct"/>
                  <w:tcBorders>
                    <w:tl2br w:val="nil"/>
                    <w:tr2bl w:val="nil"/>
                  </w:tcBorders>
                  <w:noWrap w:val="0"/>
                  <w:vAlign w:val="center"/>
                </w:tcPr>
                <w:p w14:paraId="5B58EC42">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ug/kg</w:t>
                  </w:r>
                </w:p>
              </w:tc>
              <w:tc>
                <w:tcPr>
                  <w:tcW w:w="2479" w:type="pct"/>
                  <w:tcBorders>
                    <w:tl2br w:val="nil"/>
                    <w:tr2bl w:val="nil"/>
                  </w:tcBorders>
                  <w:noWrap w:val="0"/>
                  <w:vAlign w:val="center"/>
                </w:tcPr>
                <w:p w14:paraId="01CE5849">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＜2</w:t>
                  </w:r>
                </w:p>
              </w:tc>
            </w:tr>
            <w:tr w14:paraId="4F072FFD">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48FEF542">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四氯化碳</w:t>
                  </w:r>
                </w:p>
              </w:tc>
              <w:tc>
                <w:tcPr>
                  <w:tcW w:w="1284" w:type="pct"/>
                  <w:tcBorders>
                    <w:tl2br w:val="nil"/>
                    <w:tr2bl w:val="nil"/>
                  </w:tcBorders>
                  <w:noWrap w:val="0"/>
                  <w:vAlign w:val="center"/>
                </w:tcPr>
                <w:p w14:paraId="5C76037F">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μg/kg</w:t>
                  </w:r>
                </w:p>
              </w:tc>
              <w:tc>
                <w:tcPr>
                  <w:tcW w:w="2479" w:type="pct"/>
                  <w:tcBorders>
                    <w:tl2br w:val="nil"/>
                    <w:tr2bl w:val="nil"/>
                  </w:tcBorders>
                  <w:noWrap w:val="0"/>
                  <w:vAlign w:val="center"/>
                </w:tcPr>
                <w:p w14:paraId="2C312C28">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＜1.3</w:t>
                  </w:r>
                </w:p>
              </w:tc>
            </w:tr>
            <w:tr w14:paraId="366EB670">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0CEF948C">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氯仿</w:t>
                  </w:r>
                </w:p>
              </w:tc>
              <w:tc>
                <w:tcPr>
                  <w:tcW w:w="1284" w:type="pct"/>
                  <w:tcBorders>
                    <w:tl2br w:val="nil"/>
                    <w:tr2bl w:val="nil"/>
                  </w:tcBorders>
                  <w:noWrap w:val="0"/>
                  <w:vAlign w:val="center"/>
                </w:tcPr>
                <w:p w14:paraId="79070767">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μg/kg</w:t>
                  </w:r>
                </w:p>
              </w:tc>
              <w:tc>
                <w:tcPr>
                  <w:tcW w:w="2479" w:type="pct"/>
                  <w:tcBorders>
                    <w:tl2br w:val="nil"/>
                    <w:tr2bl w:val="nil"/>
                  </w:tcBorders>
                  <w:noWrap w:val="0"/>
                  <w:vAlign w:val="center"/>
                </w:tcPr>
                <w:p w14:paraId="170BAC04">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＜1.1</w:t>
                  </w:r>
                </w:p>
              </w:tc>
            </w:tr>
            <w:tr w14:paraId="657F65F9">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75D66EAF">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氯甲烷</w:t>
                  </w:r>
                </w:p>
              </w:tc>
              <w:tc>
                <w:tcPr>
                  <w:tcW w:w="1284" w:type="pct"/>
                  <w:tcBorders>
                    <w:tl2br w:val="nil"/>
                    <w:tr2bl w:val="nil"/>
                  </w:tcBorders>
                  <w:noWrap w:val="0"/>
                  <w:vAlign w:val="center"/>
                </w:tcPr>
                <w:p w14:paraId="6A8273DB">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μg/kg</w:t>
                  </w:r>
                </w:p>
              </w:tc>
              <w:tc>
                <w:tcPr>
                  <w:tcW w:w="2479" w:type="pct"/>
                  <w:tcBorders>
                    <w:tl2br w:val="nil"/>
                    <w:tr2bl w:val="nil"/>
                  </w:tcBorders>
                  <w:noWrap w:val="0"/>
                  <w:vAlign w:val="center"/>
                </w:tcPr>
                <w:p w14:paraId="6FA1C7CC">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＜1.0</w:t>
                  </w:r>
                </w:p>
              </w:tc>
            </w:tr>
            <w:tr w14:paraId="4A1C25E7">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3ADB094E">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1,1-二氯乙烷</w:t>
                  </w:r>
                </w:p>
              </w:tc>
              <w:tc>
                <w:tcPr>
                  <w:tcW w:w="1284" w:type="pct"/>
                  <w:tcBorders>
                    <w:tl2br w:val="nil"/>
                    <w:tr2bl w:val="nil"/>
                  </w:tcBorders>
                  <w:noWrap w:val="0"/>
                  <w:vAlign w:val="center"/>
                </w:tcPr>
                <w:p w14:paraId="5EF58BB5">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μg/kg</w:t>
                  </w:r>
                </w:p>
              </w:tc>
              <w:tc>
                <w:tcPr>
                  <w:tcW w:w="2479" w:type="pct"/>
                  <w:tcBorders>
                    <w:tl2br w:val="nil"/>
                    <w:tr2bl w:val="nil"/>
                  </w:tcBorders>
                  <w:noWrap w:val="0"/>
                  <w:vAlign w:val="center"/>
                </w:tcPr>
                <w:p w14:paraId="16F7F3DC">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＜1.2</w:t>
                  </w:r>
                </w:p>
              </w:tc>
            </w:tr>
            <w:tr w14:paraId="69942019">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533CA79F">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1,2-二氯乙烷</w:t>
                  </w:r>
                </w:p>
              </w:tc>
              <w:tc>
                <w:tcPr>
                  <w:tcW w:w="1284" w:type="pct"/>
                  <w:tcBorders>
                    <w:tl2br w:val="nil"/>
                    <w:tr2bl w:val="nil"/>
                  </w:tcBorders>
                  <w:noWrap w:val="0"/>
                  <w:vAlign w:val="center"/>
                </w:tcPr>
                <w:p w14:paraId="064DE900">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μg/kg</w:t>
                  </w:r>
                </w:p>
              </w:tc>
              <w:tc>
                <w:tcPr>
                  <w:tcW w:w="2479" w:type="pct"/>
                  <w:tcBorders>
                    <w:tl2br w:val="nil"/>
                    <w:tr2bl w:val="nil"/>
                  </w:tcBorders>
                  <w:noWrap w:val="0"/>
                  <w:vAlign w:val="center"/>
                </w:tcPr>
                <w:p w14:paraId="213A3E48">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＜1.3</w:t>
                  </w:r>
                </w:p>
              </w:tc>
            </w:tr>
            <w:tr w14:paraId="1B7544F2">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4940814E">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1,1-二氯乙烯</w:t>
                  </w:r>
                </w:p>
              </w:tc>
              <w:tc>
                <w:tcPr>
                  <w:tcW w:w="1284" w:type="pct"/>
                  <w:tcBorders>
                    <w:tl2br w:val="nil"/>
                    <w:tr2bl w:val="nil"/>
                  </w:tcBorders>
                  <w:noWrap w:val="0"/>
                  <w:vAlign w:val="center"/>
                </w:tcPr>
                <w:p w14:paraId="1F7E3BD2">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μg/kg</w:t>
                  </w:r>
                </w:p>
              </w:tc>
              <w:tc>
                <w:tcPr>
                  <w:tcW w:w="2479" w:type="pct"/>
                  <w:tcBorders>
                    <w:tl2br w:val="nil"/>
                    <w:tr2bl w:val="nil"/>
                  </w:tcBorders>
                  <w:noWrap w:val="0"/>
                  <w:vAlign w:val="center"/>
                </w:tcPr>
                <w:p w14:paraId="662A949A">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＜1.0</w:t>
                  </w:r>
                </w:p>
              </w:tc>
            </w:tr>
            <w:tr w14:paraId="4C4659A1">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00359D12">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顺-1,2-二氯乙烯</w:t>
                  </w:r>
                </w:p>
              </w:tc>
              <w:tc>
                <w:tcPr>
                  <w:tcW w:w="1284" w:type="pct"/>
                  <w:tcBorders>
                    <w:tl2br w:val="nil"/>
                    <w:tr2bl w:val="nil"/>
                  </w:tcBorders>
                  <w:noWrap w:val="0"/>
                  <w:vAlign w:val="center"/>
                </w:tcPr>
                <w:p w14:paraId="29A562C7">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μg/kg</w:t>
                  </w:r>
                </w:p>
              </w:tc>
              <w:tc>
                <w:tcPr>
                  <w:tcW w:w="2479" w:type="pct"/>
                  <w:tcBorders>
                    <w:tl2br w:val="nil"/>
                    <w:tr2bl w:val="nil"/>
                  </w:tcBorders>
                  <w:noWrap w:val="0"/>
                  <w:vAlign w:val="center"/>
                </w:tcPr>
                <w:p w14:paraId="4ABF5A5E">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＜1.3</w:t>
                  </w:r>
                </w:p>
              </w:tc>
            </w:tr>
            <w:tr w14:paraId="6B8B4061">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2D2BB45D">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反-1,2-二氯乙烯</w:t>
                  </w:r>
                </w:p>
              </w:tc>
              <w:tc>
                <w:tcPr>
                  <w:tcW w:w="1284" w:type="pct"/>
                  <w:tcBorders>
                    <w:tl2br w:val="nil"/>
                    <w:tr2bl w:val="nil"/>
                  </w:tcBorders>
                  <w:noWrap w:val="0"/>
                  <w:vAlign w:val="center"/>
                </w:tcPr>
                <w:p w14:paraId="01DE678C">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μg/kg</w:t>
                  </w:r>
                </w:p>
              </w:tc>
              <w:tc>
                <w:tcPr>
                  <w:tcW w:w="2479" w:type="pct"/>
                  <w:tcBorders>
                    <w:tl2br w:val="nil"/>
                    <w:tr2bl w:val="nil"/>
                  </w:tcBorders>
                  <w:noWrap w:val="0"/>
                  <w:vAlign w:val="center"/>
                </w:tcPr>
                <w:p w14:paraId="6D5FB29A">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＜1.4</w:t>
                  </w:r>
                </w:p>
              </w:tc>
            </w:tr>
            <w:tr w14:paraId="35462B45">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268CE346">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二氯甲烷</w:t>
                  </w:r>
                </w:p>
              </w:tc>
              <w:tc>
                <w:tcPr>
                  <w:tcW w:w="1284" w:type="pct"/>
                  <w:tcBorders>
                    <w:tl2br w:val="nil"/>
                    <w:tr2bl w:val="nil"/>
                  </w:tcBorders>
                  <w:noWrap w:val="0"/>
                  <w:vAlign w:val="center"/>
                </w:tcPr>
                <w:p w14:paraId="163EFECC">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μg/kg</w:t>
                  </w:r>
                </w:p>
              </w:tc>
              <w:tc>
                <w:tcPr>
                  <w:tcW w:w="2479" w:type="pct"/>
                  <w:tcBorders>
                    <w:tl2br w:val="nil"/>
                    <w:tr2bl w:val="nil"/>
                  </w:tcBorders>
                  <w:noWrap w:val="0"/>
                  <w:vAlign w:val="center"/>
                </w:tcPr>
                <w:p w14:paraId="0CFB9F7C">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＜1.5</w:t>
                  </w:r>
                </w:p>
              </w:tc>
            </w:tr>
            <w:tr w14:paraId="198F8325">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192D33B7">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1,2-二氯丙烷</w:t>
                  </w:r>
                </w:p>
              </w:tc>
              <w:tc>
                <w:tcPr>
                  <w:tcW w:w="1284" w:type="pct"/>
                  <w:tcBorders>
                    <w:tl2br w:val="nil"/>
                    <w:tr2bl w:val="nil"/>
                  </w:tcBorders>
                  <w:noWrap w:val="0"/>
                  <w:vAlign w:val="center"/>
                </w:tcPr>
                <w:p w14:paraId="181D7273">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μg/kg</w:t>
                  </w:r>
                </w:p>
              </w:tc>
              <w:tc>
                <w:tcPr>
                  <w:tcW w:w="2479" w:type="pct"/>
                  <w:tcBorders>
                    <w:tl2br w:val="nil"/>
                    <w:tr2bl w:val="nil"/>
                  </w:tcBorders>
                  <w:noWrap w:val="0"/>
                  <w:vAlign w:val="center"/>
                </w:tcPr>
                <w:p w14:paraId="0872BF11">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＜1.1</w:t>
                  </w:r>
                </w:p>
              </w:tc>
            </w:tr>
            <w:tr w14:paraId="2C46B84A">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3B39D8D4">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1,1,1,2-四氯乙烷</w:t>
                  </w:r>
                </w:p>
              </w:tc>
              <w:tc>
                <w:tcPr>
                  <w:tcW w:w="1284" w:type="pct"/>
                  <w:tcBorders>
                    <w:tl2br w:val="nil"/>
                    <w:tr2bl w:val="nil"/>
                  </w:tcBorders>
                  <w:noWrap w:val="0"/>
                  <w:vAlign w:val="center"/>
                </w:tcPr>
                <w:p w14:paraId="469A6E1B">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μg/kg</w:t>
                  </w:r>
                </w:p>
              </w:tc>
              <w:tc>
                <w:tcPr>
                  <w:tcW w:w="2479" w:type="pct"/>
                  <w:tcBorders>
                    <w:tl2br w:val="nil"/>
                    <w:tr2bl w:val="nil"/>
                  </w:tcBorders>
                  <w:noWrap w:val="0"/>
                  <w:vAlign w:val="center"/>
                </w:tcPr>
                <w:p w14:paraId="02F5658F">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＜1.2</w:t>
                  </w:r>
                </w:p>
              </w:tc>
            </w:tr>
            <w:tr w14:paraId="156C6BA7">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31713EA4">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1,1,2,2-四氯乙烷</w:t>
                  </w:r>
                </w:p>
              </w:tc>
              <w:tc>
                <w:tcPr>
                  <w:tcW w:w="1284" w:type="pct"/>
                  <w:tcBorders>
                    <w:tl2br w:val="nil"/>
                    <w:tr2bl w:val="nil"/>
                  </w:tcBorders>
                  <w:noWrap w:val="0"/>
                  <w:vAlign w:val="center"/>
                </w:tcPr>
                <w:p w14:paraId="2F60D590">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μg/kg</w:t>
                  </w:r>
                </w:p>
              </w:tc>
              <w:tc>
                <w:tcPr>
                  <w:tcW w:w="2479" w:type="pct"/>
                  <w:tcBorders>
                    <w:tl2br w:val="nil"/>
                    <w:tr2bl w:val="nil"/>
                  </w:tcBorders>
                  <w:noWrap w:val="0"/>
                  <w:vAlign w:val="center"/>
                </w:tcPr>
                <w:p w14:paraId="404C9FC6">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＜1.2</w:t>
                  </w:r>
                </w:p>
              </w:tc>
            </w:tr>
            <w:tr w14:paraId="768E5829">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165BD57A">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四氯乙烯</w:t>
                  </w:r>
                </w:p>
              </w:tc>
              <w:tc>
                <w:tcPr>
                  <w:tcW w:w="1284" w:type="pct"/>
                  <w:tcBorders>
                    <w:tl2br w:val="nil"/>
                    <w:tr2bl w:val="nil"/>
                  </w:tcBorders>
                  <w:noWrap w:val="0"/>
                  <w:vAlign w:val="center"/>
                </w:tcPr>
                <w:p w14:paraId="3146181F">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μg/kg</w:t>
                  </w:r>
                </w:p>
              </w:tc>
              <w:tc>
                <w:tcPr>
                  <w:tcW w:w="2479" w:type="pct"/>
                  <w:tcBorders>
                    <w:tl2br w:val="nil"/>
                    <w:tr2bl w:val="nil"/>
                  </w:tcBorders>
                  <w:noWrap w:val="0"/>
                  <w:vAlign w:val="center"/>
                </w:tcPr>
                <w:p w14:paraId="61CD923C">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＜1.4</w:t>
                  </w:r>
                </w:p>
              </w:tc>
            </w:tr>
            <w:tr w14:paraId="3578D34E">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035D7B47">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1,1,1-三氯乙烷</w:t>
                  </w:r>
                </w:p>
              </w:tc>
              <w:tc>
                <w:tcPr>
                  <w:tcW w:w="1284" w:type="pct"/>
                  <w:tcBorders>
                    <w:tl2br w:val="nil"/>
                    <w:tr2bl w:val="nil"/>
                  </w:tcBorders>
                  <w:noWrap w:val="0"/>
                  <w:vAlign w:val="center"/>
                </w:tcPr>
                <w:p w14:paraId="094E5BD1">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μg/kg</w:t>
                  </w:r>
                </w:p>
              </w:tc>
              <w:tc>
                <w:tcPr>
                  <w:tcW w:w="2479" w:type="pct"/>
                  <w:tcBorders>
                    <w:tl2br w:val="nil"/>
                    <w:tr2bl w:val="nil"/>
                  </w:tcBorders>
                  <w:noWrap w:val="0"/>
                  <w:vAlign w:val="center"/>
                </w:tcPr>
                <w:p w14:paraId="51EA66E5">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＜1.3</w:t>
                  </w:r>
                </w:p>
              </w:tc>
            </w:tr>
            <w:tr w14:paraId="4CF272AC">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41AC3762">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1,1,2-三氯乙烷</w:t>
                  </w:r>
                </w:p>
              </w:tc>
              <w:tc>
                <w:tcPr>
                  <w:tcW w:w="1284" w:type="pct"/>
                  <w:tcBorders>
                    <w:tl2br w:val="nil"/>
                    <w:tr2bl w:val="nil"/>
                  </w:tcBorders>
                  <w:noWrap w:val="0"/>
                  <w:vAlign w:val="center"/>
                </w:tcPr>
                <w:p w14:paraId="2A2B3F66">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μg/kg</w:t>
                  </w:r>
                </w:p>
              </w:tc>
              <w:tc>
                <w:tcPr>
                  <w:tcW w:w="2479" w:type="pct"/>
                  <w:tcBorders>
                    <w:tl2br w:val="nil"/>
                    <w:tr2bl w:val="nil"/>
                  </w:tcBorders>
                  <w:noWrap w:val="0"/>
                  <w:vAlign w:val="center"/>
                </w:tcPr>
                <w:p w14:paraId="39BA4B88">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＜1.2</w:t>
                  </w:r>
                </w:p>
              </w:tc>
            </w:tr>
            <w:tr w14:paraId="62B5E399">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41FF6268">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三氯乙烯</w:t>
                  </w:r>
                </w:p>
              </w:tc>
              <w:tc>
                <w:tcPr>
                  <w:tcW w:w="1284" w:type="pct"/>
                  <w:tcBorders>
                    <w:tl2br w:val="nil"/>
                    <w:tr2bl w:val="nil"/>
                  </w:tcBorders>
                  <w:noWrap w:val="0"/>
                  <w:vAlign w:val="center"/>
                </w:tcPr>
                <w:p w14:paraId="12BE3F30">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μg/kg</w:t>
                  </w:r>
                </w:p>
              </w:tc>
              <w:tc>
                <w:tcPr>
                  <w:tcW w:w="2479" w:type="pct"/>
                  <w:tcBorders>
                    <w:tl2br w:val="nil"/>
                    <w:tr2bl w:val="nil"/>
                  </w:tcBorders>
                  <w:noWrap w:val="0"/>
                  <w:vAlign w:val="center"/>
                </w:tcPr>
                <w:p w14:paraId="07840138">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＜1.2</w:t>
                  </w:r>
                </w:p>
              </w:tc>
            </w:tr>
            <w:tr w14:paraId="2AA152A0">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1E252D3B">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1,2,3-三氯丙烷</w:t>
                  </w:r>
                </w:p>
              </w:tc>
              <w:tc>
                <w:tcPr>
                  <w:tcW w:w="1284" w:type="pct"/>
                  <w:tcBorders>
                    <w:tl2br w:val="nil"/>
                    <w:tr2bl w:val="nil"/>
                  </w:tcBorders>
                  <w:noWrap w:val="0"/>
                  <w:vAlign w:val="center"/>
                </w:tcPr>
                <w:p w14:paraId="66FBC784">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μg/kg</w:t>
                  </w:r>
                </w:p>
              </w:tc>
              <w:tc>
                <w:tcPr>
                  <w:tcW w:w="2479" w:type="pct"/>
                  <w:tcBorders>
                    <w:tl2br w:val="nil"/>
                    <w:tr2bl w:val="nil"/>
                  </w:tcBorders>
                  <w:noWrap w:val="0"/>
                  <w:vAlign w:val="center"/>
                </w:tcPr>
                <w:p w14:paraId="3B5B611C">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＜1.2</w:t>
                  </w:r>
                </w:p>
              </w:tc>
            </w:tr>
            <w:tr w14:paraId="1E1CC6DE">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292351B1">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氯乙烯</w:t>
                  </w:r>
                </w:p>
              </w:tc>
              <w:tc>
                <w:tcPr>
                  <w:tcW w:w="1284" w:type="pct"/>
                  <w:tcBorders>
                    <w:tl2br w:val="nil"/>
                    <w:tr2bl w:val="nil"/>
                  </w:tcBorders>
                  <w:noWrap w:val="0"/>
                  <w:vAlign w:val="center"/>
                </w:tcPr>
                <w:p w14:paraId="6F7E9109">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μg/kg</w:t>
                  </w:r>
                </w:p>
              </w:tc>
              <w:tc>
                <w:tcPr>
                  <w:tcW w:w="2479" w:type="pct"/>
                  <w:tcBorders>
                    <w:tl2br w:val="nil"/>
                    <w:tr2bl w:val="nil"/>
                  </w:tcBorders>
                  <w:noWrap w:val="0"/>
                  <w:vAlign w:val="center"/>
                </w:tcPr>
                <w:p w14:paraId="008448FE">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＜1.0</w:t>
                  </w:r>
                </w:p>
              </w:tc>
            </w:tr>
            <w:tr w14:paraId="05687455">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24060DAB">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苯</w:t>
                  </w:r>
                </w:p>
              </w:tc>
              <w:tc>
                <w:tcPr>
                  <w:tcW w:w="1284" w:type="pct"/>
                  <w:tcBorders>
                    <w:tl2br w:val="nil"/>
                    <w:tr2bl w:val="nil"/>
                  </w:tcBorders>
                  <w:noWrap w:val="0"/>
                  <w:vAlign w:val="center"/>
                </w:tcPr>
                <w:p w14:paraId="053C84D5">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μg/kg</w:t>
                  </w:r>
                </w:p>
              </w:tc>
              <w:tc>
                <w:tcPr>
                  <w:tcW w:w="2479" w:type="pct"/>
                  <w:tcBorders>
                    <w:tl2br w:val="nil"/>
                    <w:tr2bl w:val="nil"/>
                  </w:tcBorders>
                  <w:noWrap w:val="0"/>
                  <w:vAlign w:val="center"/>
                </w:tcPr>
                <w:p w14:paraId="443A775F">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＜1.9</w:t>
                  </w:r>
                </w:p>
              </w:tc>
            </w:tr>
            <w:tr w14:paraId="65B0AE72">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3866FA41">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氯苯</w:t>
                  </w:r>
                </w:p>
              </w:tc>
              <w:tc>
                <w:tcPr>
                  <w:tcW w:w="1284" w:type="pct"/>
                  <w:tcBorders>
                    <w:tl2br w:val="nil"/>
                    <w:tr2bl w:val="nil"/>
                  </w:tcBorders>
                  <w:noWrap w:val="0"/>
                  <w:vAlign w:val="center"/>
                </w:tcPr>
                <w:p w14:paraId="691DD999">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μg/kg</w:t>
                  </w:r>
                </w:p>
              </w:tc>
              <w:tc>
                <w:tcPr>
                  <w:tcW w:w="2479" w:type="pct"/>
                  <w:tcBorders>
                    <w:tl2br w:val="nil"/>
                    <w:tr2bl w:val="nil"/>
                  </w:tcBorders>
                  <w:noWrap w:val="0"/>
                  <w:vAlign w:val="center"/>
                </w:tcPr>
                <w:p w14:paraId="52C6769A">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＜1.2</w:t>
                  </w:r>
                </w:p>
              </w:tc>
            </w:tr>
            <w:tr w14:paraId="02D4F209">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5EE22F68">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1,2-二氯苯</w:t>
                  </w:r>
                </w:p>
              </w:tc>
              <w:tc>
                <w:tcPr>
                  <w:tcW w:w="1284" w:type="pct"/>
                  <w:tcBorders>
                    <w:tl2br w:val="nil"/>
                    <w:tr2bl w:val="nil"/>
                  </w:tcBorders>
                  <w:noWrap w:val="0"/>
                  <w:vAlign w:val="center"/>
                </w:tcPr>
                <w:p w14:paraId="72E23E3E">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μg/kg</w:t>
                  </w:r>
                </w:p>
              </w:tc>
              <w:tc>
                <w:tcPr>
                  <w:tcW w:w="2479" w:type="pct"/>
                  <w:tcBorders>
                    <w:tl2br w:val="nil"/>
                    <w:tr2bl w:val="nil"/>
                  </w:tcBorders>
                  <w:noWrap w:val="0"/>
                  <w:vAlign w:val="center"/>
                </w:tcPr>
                <w:p w14:paraId="4D28092C">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＜1.5</w:t>
                  </w:r>
                </w:p>
              </w:tc>
            </w:tr>
            <w:tr w14:paraId="5D7123FD">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754E637E">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1,4-二氯苯</w:t>
                  </w:r>
                </w:p>
              </w:tc>
              <w:tc>
                <w:tcPr>
                  <w:tcW w:w="1284" w:type="pct"/>
                  <w:tcBorders>
                    <w:tl2br w:val="nil"/>
                    <w:tr2bl w:val="nil"/>
                  </w:tcBorders>
                  <w:noWrap w:val="0"/>
                  <w:vAlign w:val="center"/>
                </w:tcPr>
                <w:p w14:paraId="45853A1D">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μg/kg</w:t>
                  </w:r>
                </w:p>
              </w:tc>
              <w:tc>
                <w:tcPr>
                  <w:tcW w:w="2479" w:type="pct"/>
                  <w:tcBorders>
                    <w:tl2br w:val="nil"/>
                    <w:tr2bl w:val="nil"/>
                  </w:tcBorders>
                  <w:noWrap w:val="0"/>
                  <w:vAlign w:val="center"/>
                </w:tcPr>
                <w:p w14:paraId="091DE218">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＜1.5</w:t>
                  </w:r>
                </w:p>
              </w:tc>
            </w:tr>
            <w:tr w14:paraId="25B181BF">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0B5A6086">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乙苯</w:t>
                  </w:r>
                </w:p>
              </w:tc>
              <w:tc>
                <w:tcPr>
                  <w:tcW w:w="1284" w:type="pct"/>
                  <w:tcBorders>
                    <w:tl2br w:val="nil"/>
                    <w:tr2bl w:val="nil"/>
                  </w:tcBorders>
                  <w:noWrap w:val="0"/>
                  <w:vAlign w:val="center"/>
                </w:tcPr>
                <w:p w14:paraId="48A2016C">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μg/kg</w:t>
                  </w:r>
                </w:p>
              </w:tc>
              <w:tc>
                <w:tcPr>
                  <w:tcW w:w="2479" w:type="pct"/>
                  <w:tcBorders>
                    <w:tl2br w:val="nil"/>
                    <w:tr2bl w:val="nil"/>
                  </w:tcBorders>
                  <w:noWrap w:val="0"/>
                  <w:vAlign w:val="center"/>
                </w:tcPr>
                <w:p w14:paraId="7484973D">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＜1.2</w:t>
                  </w:r>
                </w:p>
              </w:tc>
            </w:tr>
            <w:tr w14:paraId="02544A63">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11B5479F">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苯乙烯</w:t>
                  </w:r>
                </w:p>
              </w:tc>
              <w:tc>
                <w:tcPr>
                  <w:tcW w:w="1284" w:type="pct"/>
                  <w:tcBorders>
                    <w:tl2br w:val="nil"/>
                    <w:tr2bl w:val="nil"/>
                  </w:tcBorders>
                  <w:noWrap w:val="0"/>
                  <w:vAlign w:val="center"/>
                </w:tcPr>
                <w:p w14:paraId="0F4A802B">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μg/kg</w:t>
                  </w:r>
                </w:p>
              </w:tc>
              <w:tc>
                <w:tcPr>
                  <w:tcW w:w="2479" w:type="pct"/>
                  <w:tcBorders>
                    <w:tl2br w:val="nil"/>
                    <w:tr2bl w:val="nil"/>
                  </w:tcBorders>
                  <w:noWrap w:val="0"/>
                  <w:vAlign w:val="center"/>
                </w:tcPr>
                <w:p w14:paraId="3D9FDFFF">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＜1.1</w:t>
                  </w:r>
                </w:p>
              </w:tc>
            </w:tr>
            <w:tr w14:paraId="399A0605">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33254E26">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甲苯</w:t>
                  </w:r>
                </w:p>
              </w:tc>
              <w:tc>
                <w:tcPr>
                  <w:tcW w:w="1284" w:type="pct"/>
                  <w:tcBorders>
                    <w:tl2br w:val="nil"/>
                    <w:tr2bl w:val="nil"/>
                  </w:tcBorders>
                  <w:noWrap w:val="0"/>
                  <w:vAlign w:val="center"/>
                </w:tcPr>
                <w:p w14:paraId="36BD580A">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μg/kg</w:t>
                  </w:r>
                </w:p>
              </w:tc>
              <w:tc>
                <w:tcPr>
                  <w:tcW w:w="2479" w:type="pct"/>
                  <w:tcBorders>
                    <w:tl2br w:val="nil"/>
                    <w:tr2bl w:val="nil"/>
                  </w:tcBorders>
                  <w:noWrap w:val="0"/>
                  <w:vAlign w:val="center"/>
                </w:tcPr>
                <w:p w14:paraId="573C68A7">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＜1.3</w:t>
                  </w:r>
                </w:p>
              </w:tc>
            </w:tr>
            <w:tr w14:paraId="4B1D2358">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0557620F">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间二甲苯+对二甲苯</w:t>
                  </w:r>
                </w:p>
              </w:tc>
              <w:tc>
                <w:tcPr>
                  <w:tcW w:w="1284" w:type="pct"/>
                  <w:tcBorders>
                    <w:tl2br w:val="nil"/>
                    <w:tr2bl w:val="nil"/>
                  </w:tcBorders>
                  <w:noWrap w:val="0"/>
                  <w:vAlign w:val="center"/>
                </w:tcPr>
                <w:p w14:paraId="1FD86913">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μg/kg</w:t>
                  </w:r>
                </w:p>
              </w:tc>
              <w:tc>
                <w:tcPr>
                  <w:tcW w:w="2479" w:type="pct"/>
                  <w:tcBorders>
                    <w:tl2br w:val="nil"/>
                    <w:tr2bl w:val="nil"/>
                  </w:tcBorders>
                  <w:noWrap w:val="0"/>
                  <w:vAlign w:val="center"/>
                </w:tcPr>
                <w:p w14:paraId="2956CF30">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＜1.2</w:t>
                  </w:r>
                </w:p>
              </w:tc>
            </w:tr>
            <w:tr w14:paraId="2DC24B4B">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038EC462">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邻二甲苯</w:t>
                  </w:r>
                </w:p>
              </w:tc>
              <w:tc>
                <w:tcPr>
                  <w:tcW w:w="1284" w:type="pct"/>
                  <w:tcBorders>
                    <w:tl2br w:val="nil"/>
                    <w:tr2bl w:val="nil"/>
                  </w:tcBorders>
                  <w:noWrap w:val="0"/>
                  <w:vAlign w:val="center"/>
                </w:tcPr>
                <w:p w14:paraId="5D9D94E6">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μg/kg</w:t>
                  </w:r>
                </w:p>
              </w:tc>
              <w:tc>
                <w:tcPr>
                  <w:tcW w:w="2479" w:type="pct"/>
                  <w:tcBorders>
                    <w:tl2br w:val="nil"/>
                    <w:tr2bl w:val="nil"/>
                  </w:tcBorders>
                  <w:noWrap w:val="0"/>
                  <w:vAlign w:val="center"/>
                </w:tcPr>
                <w:p w14:paraId="22ED2652">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＜1.2</w:t>
                  </w:r>
                </w:p>
              </w:tc>
            </w:tr>
            <w:tr w14:paraId="2AD3C19C">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5A4CE4C5">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pH</w:t>
                  </w:r>
                </w:p>
              </w:tc>
              <w:tc>
                <w:tcPr>
                  <w:tcW w:w="1284" w:type="pct"/>
                  <w:tcBorders>
                    <w:tl2br w:val="nil"/>
                    <w:tr2bl w:val="nil"/>
                  </w:tcBorders>
                  <w:noWrap w:val="0"/>
                  <w:vAlign w:val="center"/>
                </w:tcPr>
                <w:p w14:paraId="5D3E110B">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w:t>
                  </w:r>
                </w:p>
              </w:tc>
              <w:tc>
                <w:tcPr>
                  <w:tcW w:w="2479" w:type="pct"/>
                  <w:tcBorders>
                    <w:tl2br w:val="nil"/>
                    <w:tr2bl w:val="nil"/>
                  </w:tcBorders>
                  <w:noWrap w:val="0"/>
                  <w:vAlign w:val="center"/>
                </w:tcPr>
                <w:p w14:paraId="0B87624A">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eastAsia"/>
                      <w:color w:val="auto"/>
                      <w:sz w:val="21"/>
                      <w:szCs w:val="21"/>
                      <w:lang w:val="en-US" w:eastAsia="zh-CN"/>
                    </w:rPr>
                    <w:t>7.21</w:t>
                  </w:r>
                </w:p>
              </w:tc>
            </w:tr>
            <w:tr w14:paraId="2902B0A8">
              <w:tblPrEx>
                <w:tblW w:w="4998" w:type="pct"/>
                <w:jc w:val="center"/>
                <w:tblCellMar>
                  <w:top w:w="0" w:type="dxa"/>
                  <w:left w:w="108" w:type="dxa"/>
                  <w:bottom w:w="0" w:type="dxa"/>
                  <w:right w:w="108" w:type="dxa"/>
                </w:tblCellMar>
              </w:tblPrEx>
              <w:trPr>
                <w:trHeight w:val="217"/>
                <w:jc w:val="center"/>
              </w:trPr>
              <w:tc>
                <w:tcPr>
                  <w:tcW w:w="1235" w:type="pct"/>
                  <w:tcBorders>
                    <w:tl2br w:val="nil"/>
                    <w:tr2bl w:val="nil"/>
                  </w:tcBorders>
                  <w:noWrap w:val="0"/>
                  <w:vAlign w:val="center"/>
                </w:tcPr>
                <w:p w14:paraId="3A513F33">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石油烃</w:t>
                  </w:r>
                </w:p>
              </w:tc>
              <w:tc>
                <w:tcPr>
                  <w:tcW w:w="1284" w:type="pct"/>
                  <w:tcBorders>
                    <w:tl2br w:val="nil"/>
                    <w:tr2bl w:val="nil"/>
                  </w:tcBorders>
                  <w:noWrap w:val="0"/>
                  <w:vAlign w:val="center"/>
                </w:tcPr>
                <w:p w14:paraId="0F5B8655">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mg/kg</w:t>
                  </w:r>
                </w:p>
              </w:tc>
              <w:tc>
                <w:tcPr>
                  <w:tcW w:w="2479" w:type="pct"/>
                  <w:tcBorders>
                    <w:tl2br w:val="nil"/>
                    <w:tr2bl w:val="nil"/>
                  </w:tcBorders>
                  <w:noWrap w:val="0"/>
                  <w:vAlign w:val="center"/>
                </w:tcPr>
                <w:p w14:paraId="3DFE769C">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eastAsia"/>
                      <w:color w:val="auto"/>
                      <w:sz w:val="21"/>
                      <w:szCs w:val="21"/>
                      <w:lang w:val="en-US" w:eastAsia="zh-CN"/>
                    </w:rPr>
                    <w:t>48</w:t>
                  </w:r>
                </w:p>
              </w:tc>
            </w:tr>
            <w:tr w14:paraId="51E71AB1">
              <w:tblPrEx>
                <w:tblW w:w="4998" w:type="pct"/>
                <w:jc w:val="center"/>
                <w:tblCellMar>
                  <w:top w:w="0" w:type="dxa"/>
                  <w:left w:w="108" w:type="dxa"/>
                  <w:bottom w:w="0" w:type="dxa"/>
                  <w:right w:w="108" w:type="dxa"/>
                </w:tblCellMar>
              </w:tblPrEx>
              <w:trPr>
                <w:trHeight w:val="237"/>
                <w:jc w:val="center"/>
              </w:trPr>
              <w:tc>
                <w:tcPr>
                  <w:tcW w:w="1235" w:type="pct"/>
                  <w:tcBorders>
                    <w:tl2br w:val="nil"/>
                    <w:tr2bl w:val="nil"/>
                  </w:tcBorders>
                  <w:noWrap w:val="0"/>
                  <w:vAlign w:val="center"/>
                </w:tcPr>
                <w:p w14:paraId="58311B7B">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钒</w:t>
                  </w:r>
                </w:p>
              </w:tc>
              <w:tc>
                <w:tcPr>
                  <w:tcW w:w="1284" w:type="pct"/>
                  <w:tcBorders>
                    <w:tl2br w:val="nil"/>
                    <w:tr2bl w:val="nil"/>
                  </w:tcBorders>
                  <w:noWrap w:val="0"/>
                  <w:vAlign w:val="center"/>
                </w:tcPr>
                <w:p w14:paraId="5E4BAE1B">
                  <w:pPr>
                    <w:jc w:val="center"/>
                    <w:rPr>
                      <w:rFonts w:ascii="Times New Roman" w:eastAsia="宋体" w:hAnsi="Times New Roman" w:cs="Times New Roman" w:hint="eastAsia"/>
                      <w:color w:val="auto"/>
                      <w:sz w:val="21"/>
                      <w:szCs w:val="21"/>
                      <w:lang w:val="en-US" w:eastAsia="zh-CN"/>
                    </w:rPr>
                  </w:pPr>
                  <w:r>
                    <w:rPr>
                      <w:rFonts w:ascii="Times New Roman" w:eastAsia="宋体" w:hAnsi="Times New Roman" w:cs="Times New Roman" w:hint="eastAsia"/>
                      <w:color w:val="auto"/>
                      <w:sz w:val="21"/>
                      <w:szCs w:val="21"/>
                      <w:lang w:val="en-US" w:eastAsia="zh-CN"/>
                    </w:rPr>
                    <w:t>g/kg</w:t>
                  </w:r>
                </w:p>
              </w:tc>
              <w:tc>
                <w:tcPr>
                  <w:tcW w:w="2479" w:type="pct"/>
                  <w:tcBorders>
                    <w:tl2br w:val="nil"/>
                    <w:tr2bl w:val="nil"/>
                  </w:tcBorders>
                  <w:noWrap w:val="0"/>
                  <w:vAlign w:val="center"/>
                </w:tcPr>
                <w:p w14:paraId="6A63370B">
                  <w:pPr>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eastAsia"/>
                      <w:color w:val="auto"/>
                      <w:sz w:val="21"/>
                      <w:szCs w:val="21"/>
                      <w:lang w:val="en-US" w:eastAsia="zh-CN"/>
                    </w:rPr>
                    <w:t>0.23</w:t>
                  </w:r>
                </w:p>
              </w:tc>
            </w:tr>
          </w:tbl>
          <w:p w14:paraId="70347568">
            <w:pPr>
              <w:pStyle w:val="TableText"/>
              <w:spacing w:before="180" w:line="359" w:lineRule="auto"/>
              <w:ind w:left="108" w:right="40" w:firstLine="485"/>
              <w:rPr>
                <w:rFonts w:ascii="Times New Roman" w:eastAsia="宋体" w:hAnsi="Times New Roman" w:cs="Times New Roman" w:hint="default"/>
                <w:color w:val="auto"/>
                <w:spacing w:val="-1"/>
              </w:rPr>
            </w:pPr>
            <w:r>
              <w:rPr>
                <w:rFonts w:ascii="Times New Roman" w:eastAsia="宋体" w:hAnsi="Times New Roman" w:cs="Times New Roman" w:hint="default"/>
                <w:color w:val="auto"/>
                <w:sz w:val="24"/>
                <w:szCs w:val="32"/>
              </w:rPr>
              <w:t>根据土壤样品监测结果，评价范围内土壤样品中2405283TR00</w:t>
            </w:r>
            <w:r>
              <w:rPr>
                <w:rFonts w:ascii="Times New Roman" w:eastAsia="宋体" w:hAnsi="Times New Roman" w:cs="Times New Roman" w:hint="eastAsia"/>
                <w:color w:val="auto"/>
                <w:sz w:val="24"/>
                <w:szCs w:val="32"/>
                <w:lang w:val="en-US" w:eastAsia="zh-CN"/>
              </w:rPr>
              <w:t>各监测因子</w:t>
            </w:r>
            <w:r>
              <w:rPr>
                <w:rFonts w:ascii="Times New Roman" w:eastAsia="宋体" w:hAnsi="Times New Roman" w:cs="Times New Roman" w:hint="default"/>
                <w:color w:val="auto"/>
                <w:sz w:val="24"/>
                <w:szCs w:val="32"/>
              </w:rPr>
              <w:t>的检测值均小于《土壤环境质量建设用地土壤污染风险管控标准》（试行）（GB36600-2018）第二类用地的筛选值</w:t>
            </w:r>
            <w:r>
              <w:rPr>
                <w:rFonts w:ascii="Times New Roman" w:eastAsia="宋体" w:hAnsi="Times New Roman" w:cs="Times New Roman" w:hint="eastAsia"/>
                <w:color w:val="auto"/>
                <w:sz w:val="24"/>
                <w:szCs w:val="32"/>
                <w:lang w:eastAsia="zh-CN"/>
              </w:rPr>
              <w:t>，</w:t>
            </w:r>
            <w:r>
              <w:rPr>
                <w:rFonts w:ascii="Times New Roman" w:eastAsia="宋体" w:hAnsi="Times New Roman" w:cs="Times New Roman" w:hint="default"/>
                <w:color w:val="auto"/>
                <w:spacing w:val="-1"/>
              </w:rPr>
              <w:t>区域土壤环境质量良好。</w:t>
            </w:r>
          </w:p>
          <w:p w14:paraId="56F29777">
            <w:pPr>
              <w:pStyle w:val="1"/>
              <w:spacing w:line="360" w:lineRule="auto"/>
              <w:ind w:firstLine="482"/>
              <w:jc w:val="left"/>
              <w:rPr>
                <w:rFonts w:ascii="Times New Roman" w:eastAsia="宋体" w:hAnsi="Times New Roman" w:cs="Times New Roman" w:hint="default"/>
                <w:b/>
                <w:bCs/>
                <w:color w:val="auto"/>
                <w:sz w:val="24"/>
                <w:szCs w:val="24"/>
                <w:lang w:val="en-US" w:eastAsia="zh-CN"/>
              </w:rPr>
            </w:pPr>
            <w:r>
              <w:rPr>
                <w:rFonts w:ascii="Times New Roman" w:eastAsia="宋体" w:hAnsi="Times New Roman" w:cs="Times New Roman" w:hint="default"/>
                <w:b/>
                <w:bCs/>
                <w:color w:val="auto"/>
                <w:sz w:val="24"/>
                <w:szCs w:val="24"/>
                <w:lang w:val="en-US" w:eastAsia="zh-CN"/>
              </w:rPr>
              <w:t>5 、生态环境</w:t>
            </w:r>
          </w:p>
          <w:p w14:paraId="1D6F04B8">
            <w:pPr>
              <w:pStyle w:val="TableText"/>
              <w:spacing w:before="182" w:line="219" w:lineRule="auto"/>
              <w:ind w:left="598"/>
              <w:rPr>
                <w:rFonts w:ascii="Times New Roman" w:eastAsia="宋体" w:hAnsi="Times New Roman" w:cs="Times New Roman" w:hint="default"/>
                <w:color w:val="auto"/>
              </w:rPr>
            </w:pPr>
            <w:r>
              <w:rPr>
                <w:rFonts w:ascii="Times New Roman" w:eastAsia="宋体" w:hAnsi="Times New Roman" w:cs="Times New Roman" w:hint="default"/>
                <w:color w:val="auto"/>
                <w:spacing w:val="-3"/>
              </w:rPr>
              <w:t>（1）生态系统类型</w:t>
            </w:r>
          </w:p>
          <w:p w14:paraId="7CF4241B">
            <w:pPr>
              <w:pStyle w:val="TableText"/>
              <w:spacing w:before="180" w:line="359" w:lineRule="auto"/>
              <w:ind w:left="108" w:right="40" w:firstLine="485"/>
              <w:rPr>
                <w:rFonts w:ascii="Times New Roman" w:eastAsia="宋体" w:hAnsi="Times New Roman" w:cs="Times New Roman" w:hint="default"/>
                <w:color w:val="auto"/>
                <w:spacing w:val="-1"/>
              </w:rPr>
            </w:pPr>
            <w:r>
              <w:rPr>
                <w:rFonts w:ascii="Times New Roman" w:eastAsia="宋体" w:hAnsi="Times New Roman" w:cs="Times New Roman" w:hint="default"/>
                <w:color w:val="auto"/>
                <w:spacing w:val="-1"/>
              </w:rPr>
              <w:t>拟建项目区土地类型全部为</w:t>
            </w:r>
            <w:r>
              <w:rPr>
                <w:rFonts w:ascii="Times New Roman" w:eastAsia="宋体" w:hAnsi="Times New Roman" w:cs="Times New Roman" w:hint="default"/>
                <w:color w:val="auto"/>
                <w:spacing w:val="-1"/>
                <w:lang w:val="en-US" w:eastAsia="zh-CN"/>
              </w:rPr>
              <w:t>公用设施用地（供电用地）</w:t>
            </w:r>
            <w:r>
              <w:rPr>
                <w:rFonts w:ascii="Times New Roman" w:eastAsia="宋体" w:hAnsi="Times New Roman" w:cs="Times New Roman" w:hint="default"/>
                <w:color w:val="auto"/>
                <w:spacing w:val="-1"/>
              </w:rPr>
              <w:t>，对于本工程而言主要</w:t>
            </w:r>
            <w:r>
              <w:rPr>
                <w:rFonts w:ascii="Times New Roman" w:eastAsia="宋体" w:hAnsi="Times New Roman" w:cs="Times New Roman" w:hint="default"/>
                <w:color w:val="auto"/>
                <w:spacing w:val="-1"/>
                <w:lang w:eastAsia="zh-CN"/>
              </w:rPr>
              <w:t>是</w:t>
            </w:r>
            <w:r>
              <w:rPr>
                <w:rFonts w:ascii="Times New Roman" w:eastAsia="宋体" w:hAnsi="Times New Roman" w:cs="Times New Roman" w:hint="default"/>
                <w:color w:val="auto"/>
                <w:spacing w:val="-1"/>
              </w:rPr>
              <w:t>保护物种的多样性、群落的多样性。区域</w:t>
            </w:r>
            <w:r>
              <w:rPr>
                <w:rFonts w:ascii="Times New Roman" w:eastAsia="宋体" w:hAnsi="Times New Roman" w:cs="Times New Roman" w:hint="default"/>
                <w:color w:val="auto"/>
                <w:spacing w:val="-1"/>
                <w:lang w:val="en-US" w:eastAsia="zh-CN"/>
              </w:rPr>
              <w:t>周边</w:t>
            </w:r>
            <w:r>
              <w:rPr>
                <w:rFonts w:ascii="Times New Roman" w:eastAsia="宋体" w:hAnsi="Times New Roman" w:cs="Times New Roman" w:hint="default"/>
                <w:color w:val="auto"/>
                <w:spacing w:val="-1"/>
              </w:rPr>
              <w:t>分散分布有村镇，以农业为主，由于近年采取的保护工作及植树造林等恢复措施，使由于过度开垦造成的生态环境破坏得到有效</w:t>
            </w:r>
            <w:r>
              <w:rPr>
                <w:rFonts w:ascii="Times New Roman" w:eastAsia="宋体" w:hAnsi="Times New Roman" w:cs="Times New Roman" w:hint="default"/>
                <w:color w:val="auto"/>
                <w:spacing w:val="-1"/>
                <w:lang w:eastAsia="zh-CN"/>
              </w:rPr>
              <w:t>的</w:t>
            </w:r>
            <w:r>
              <w:rPr>
                <w:rFonts w:ascii="Times New Roman" w:eastAsia="宋体" w:hAnsi="Times New Roman" w:cs="Times New Roman" w:hint="default"/>
                <w:color w:val="auto"/>
                <w:spacing w:val="-1"/>
              </w:rPr>
              <w:t>恢复。经</w:t>
            </w:r>
            <w:r>
              <w:rPr>
                <w:rFonts w:ascii="Times New Roman" w:eastAsia="宋体" w:hAnsi="Times New Roman" w:cs="Times New Roman" w:hint="default"/>
                <w:color w:val="auto"/>
                <w:spacing w:val="-1"/>
                <w:lang w:eastAsia="zh-CN"/>
              </w:rPr>
              <w:t>现场勘查</w:t>
            </w:r>
            <w:r>
              <w:rPr>
                <w:rFonts w:ascii="Times New Roman" w:eastAsia="宋体" w:hAnsi="Times New Roman" w:cs="Times New Roman" w:hint="default"/>
                <w:color w:val="auto"/>
                <w:spacing w:val="-1"/>
              </w:rPr>
              <w:t>，工程建设区范围内枯草较多。</w:t>
            </w:r>
          </w:p>
          <w:p w14:paraId="63386557">
            <w:pPr>
              <w:pStyle w:val="TableText"/>
              <w:spacing w:before="183" w:line="219" w:lineRule="auto"/>
              <w:ind w:left="598"/>
              <w:rPr>
                <w:rFonts w:ascii="Times New Roman" w:eastAsia="宋体" w:hAnsi="Times New Roman" w:cs="Times New Roman" w:hint="default"/>
                <w:color w:val="auto"/>
              </w:rPr>
            </w:pPr>
            <w:r>
              <w:rPr>
                <w:rFonts w:ascii="Times New Roman" w:eastAsia="宋体" w:hAnsi="Times New Roman" w:cs="Times New Roman" w:hint="default"/>
                <w:color w:val="auto"/>
                <w:spacing w:val="-3"/>
              </w:rPr>
              <w:t>（2）土地利用类型</w:t>
            </w:r>
          </w:p>
          <w:p w14:paraId="20C0CFC5">
            <w:pPr>
              <w:pStyle w:val="0000"/>
              <w:bidi w:val="0"/>
              <w:rPr>
                <w:rFonts w:ascii="Times New Roman" w:eastAsia="宋体" w:hAnsi="Times New Roman" w:cs="Times New Roman" w:hint="default"/>
                <w:color w:val="auto"/>
              </w:rPr>
            </w:pPr>
            <w:r>
              <w:rPr>
                <w:rFonts w:ascii="Times New Roman" w:eastAsia="宋体" w:hAnsi="Times New Roman" w:cs="Times New Roman" w:hint="default"/>
                <w:color w:val="auto"/>
                <w:spacing w:val="-3"/>
                <w:kern w:val="2"/>
                <w:sz w:val="24"/>
                <w:szCs w:val="24"/>
                <w:lang w:val="en-US" w:eastAsia="zh-CN" w:bidi="ar-SA"/>
              </w:rPr>
              <w:t>本项目评价区域的土地规划类型为公用设施用地（供电用地），不涉及耕地</w:t>
            </w:r>
            <w:r>
              <w:rPr>
                <w:rFonts w:ascii="Times New Roman" w:eastAsia="宋体" w:hAnsi="Times New Roman" w:cs="Times New Roman" w:hint="default"/>
                <w:color w:val="auto"/>
                <w:spacing w:val="-1"/>
              </w:rPr>
              <w:t>。</w:t>
            </w:r>
          </w:p>
          <w:p w14:paraId="525D34D4">
            <w:pPr>
              <w:pStyle w:val="TableText"/>
              <w:spacing w:before="185" w:line="219" w:lineRule="auto"/>
              <w:ind w:left="598"/>
              <w:rPr>
                <w:rFonts w:ascii="Times New Roman" w:eastAsia="宋体" w:hAnsi="Times New Roman" w:cs="Times New Roman" w:hint="default"/>
                <w:color w:val="auto"/>
              </w:rPr>
            </w:pPr>
            <w:r>
              <w:rPr>
                <w:rFonts w:ascii="Times New Roman" w:eastAsia="宋体" w:hAnsi="Times New Roman" w:cs="Times New Roman" w:hint="default"/>
                <w:color w:val="auto"/>
                <w:spacing w:val="-2"/>
              </w:rPr>
              <w:t>（3）项目场区植被类型</w:t>
            </w:r>
          </w:p>
          <w:p w14:paraId="2F1CC108">
            <w:pPr>
              <w:pStyle w:val="TableText"/>
              <w:spacing w:before="182" w:line="359" w:lineRule="auto"/>
              <w:ind w:left="109" w:right="21" w:firstLine="478"/>
              <w:rPr>
                <w:rFonts w:ascii="Times New Roman" w:eastAsia="宋体" w:hAnsi="Times New Roman" w:cs="Times New Roman" w:hint="default"/>
                <w:color w:val="auto"/>
              </w:rPr>
            </w:pPr>
            <w:r>
              <w:rPr>
                <w:rFonts w:ascii="Times New Roman" w:eastAsia="宋体" w:hAnsi="Times New Roman" w:cs="Times New Roman" w:hint="default"/>
                <w:color w:val="auto"/>
                <w:spacing w:val="-4"/>
              </w:rPr>
              <w:t xml:space="preserve">拟建场地地貌低山、丘陵地貌，山体地势起伏较大。场址区内植被茂密，大部 </w:t>
            </w:r>
            <w:r>
              <w:rPr>
                <w:rFonts w:ascii="Times New Roman" w:eastAsia="宋体" w:hAnsi="Times New Roman" w:cs="Times New Roman" w:hint="default"/>
                <w:color w:val="auto"/>
                <w:spacing w:val="-7"/>
              </w:rPr>
              <w:t>分区域以杂草和灌木为主。项目所在地草本植物主要</w:t>
            </w:r>
            <w:r>
              <w:rPr>
                <w:rFonts w:ascii="Times New Roman" w:eastAsia="宋体" w:hAnsi="Times New Roman" w:cs="Times New Roman" w:hint="default"/>
                <w:color w:val="auto"/>
                <w:spacing w:val="-8"/>
              </w:rPr>
              <w:t>包括：小蓟（刺儿菜）、苦菜、</w:t>
            </w:r>
            <w:r>
              <w:rPr>
                <w:rFonts w:ascii="Times New Roman" w:eastAsia="宋体" w:hAnsi="Times New Roman" w:cs="Times New Roman" w:hint="default"/>
                <w:color w:val="auto"/>
              </w:rPr>
              <w:t xml:space="preserve"> </w:t>
            </w:r>
            <w:r>
              <w:rPr>
                <w:rFonts w:ascii="Times New Roman" w:eastAsia="宋体" w:hAnsi="Times New Roman" w:cs="Times New Roman" w:hint="default"/>
                <w:color w:val="auto"/>
                <w:spacing w:val="-7"/>
              </w:rPr>
              <w:t>蒲公英、猪毛蒿、大蓬蒿、臭蒿、狼把草、猪毛菜；</w:t>
            </w:r>
            <w:r>
              <w:rPr>
                <w:rFonts w:ascii="Times New Roman" w:eastAsia="宋体" w:hAnsi="Times New Roman" w:cs="Times New Roman" w:hint="default"/>
                <w:color w:val="auto"/>
                <w:spacing w:val="-8"/>
              </w:rPr>
              <w:t>同时灌木种类包括油松、荆条、</w:t>
            </w:r>
          </w:p>
          <w:p w14:paraId="0FC2390F">
            <w:pPr>
              <w:pStyle w:val="TableText"/>
              <w:spacing w:line="219" w:lineRule="auto"/>
              <w:ind w:left="106"/>
              <w:rPr>
                <w:rFonts w:ascii="Times New Roman" w:eastAsia="宋体" w:hAnsi="Times New Roman" w:cs="Times New Roman" w:hint="default"/>
                <w:color w:val="auto"/>
              </w:rPr>
            </w:pPr>
            <w:r>
              <w:rPr>
                <w:rFonts w:ascii="Times New Roman" w:eastAsia="宋体" w:hAnsi="Times New Roman" w:cs="Times New Roman" w:hint="default"/>
                <w:color w:val="auto"/>
                <w:spacing w:val="-2"/>
              </w:rPr>
              <w:t>平榛、绣线菊等。</w:t>
            </w:r>
          </w:p>
          <w:p w14:paraId="060A9181">
            <w:pPr>
              <w:pStyle w:val="TableText"/>
              <w:spacing w:before="184" w:line="219" w:lineRule="auto"/>
              <w:ind w:left="598"/>
              <w:rPr>
                <w:rFonts w:ascii="Times New Roman" w:eastAsia="宋体" w:hAnsi="Times New Roman" w:cs="Times New Roman" w:hint="default"/>
                <w:color w:val="auto"/>
              </w:rPr>
            </w:pPr>
            <w:r>
              <w:rPr>
                <w:rFonts w:ascii="Times New Roman" w:eastAsia="宋体" w:hAnsi="Times New Roman" w:cs="Times New Roman" w:hint="default"/>
                <w:color w:val="auto"/>
                <w:spacing w:val="-2"/>
              </w:rPr>
              <w:t>（4）项目场区动物类型</w:t>
            </w:r>
          </w:p>
          <w:p w14:paraId="26C8C2C2">
            <w:pPr>
              <w:pStyle w:val="TableText"/>
              <w:spacing w:before="180" w:line="359" w:lineRule="auto"/>
              <w:ind w:left="108" w:right="40" w:firstLine="485"/>
              <w:rPr>
                <w:rFonts w:ascii="Times New Roman" w:eastAsia="宋体" w:hAnsi="Times New Roman" w:cs="Times New Roman" w:hint="default"/>
                <w:color w:val="auto"/>
              </w:rPr>
            </w:pPr>
            <w:r>
              <w:rPr>
                <w:rFonts w:ascii="Times New Roman" w:eastAsia="宋体" w:hAnsi="Times New Roman" w:cs="Times New Roman" w:hint="default"/>
                <w:color w:val="auto"/>
                <w:spacing w:val="-4"/>
              </w:rPr>
              <w:t>哺乳动物主要有小型啮齿动物，如黄鼠、花鼠、野兔等小型动物，爬行类动物</w:t>
            </w:r>
            <w:r>
              <w:rPr>
                <w:rFonts w:ascii="Times New Roman" w:eastAsia="宋体" w:hAnsi="Times New Roman" w:cs="Times New Roman" w:hint="default"/>
                <w:color w:val="auto"/>
                <w:spacing w:val="-1"/>
              </w:rPr>
              <w:t>有沙蜥、麻蜥、蛇等数量较少，鸟类动物有麻</w:t>
            </w:r>
            <w:r>
              <w:rPr>
                <w:rFonts w:ascii="Times New Roman" w:eastAsia="宋体" w:hAnsi="Times New Roman" w:cs="Times New Roman" w:hint="default"/>
                <w:color w:val="auto"/>
                <w:spacing w:val="-2"/>
              </w:rPr>
              <w:t>雀、喜鹊等，无珍稀濒危野生动物。</w:t>
            </w:r>
            <w:r>
              <w:rPr>
                <w:rFonts w:ascii="Times New Roman" w:eastAsia="宋体" w:hAnsi="Times New Roman" w:cs="Times New Roman" w:hint="default"/>
                <w:color w:val="auto"/>
                <w:spacing w:val="-1"/>
              </w:rPr>
              <w:t>项目区不属于自然保护区，无重点保护动物和植物，附近也无鸟类保护区。</w:t>
            </w:r>
          </w:p>
          <w:p w14:paraId="2FA91A81">
            <w:pPr>
              <w:pStyle w:val="TableText"/>
              <w:spacing w:before="184" w:line="219" w:lineRule="auto"/>
              <w:ind w:left="598"/>
              <w:rPr>
                <w:rFonts w:ascii="Times New Roman" w:eastAsia="宋体" w:hAnsi="Times New Roman" w:cs="Times New Roman" w:hint="default"/>
                <w:color w:val="auto"/>
              </w:rPr>
            </w:pPr>
            <w:r>
              <w:rPr>
                <w:rFonts w:ascii="Times New Roman" w:eastAsia="宋体" w:hAnsi="Times New Roman" w:cs="Times New Roman" w:hint="default"/>
                <w:color w:val="auto"/>
                <w:spacing w:val="-2"/>
              </w:rPr>
              <w:t>（5）项目场区敏感性调查</w:t>
            </w:r>
          </w:p>
          <w:p w14:paraId="6FB35DA3">
            <w:pPr>
              <w:pStyle w:val="TableText"/>
              <w:spacing w:before="182" w:line="359" w:lineRule="auto"/>
              <w:ind w:left="107" w:right="101" w:firstLine="481"/>
              <w:rPr>
                <w:rFonts w:ascii="Times New Roman" w:hAnsi="Times New Roman" w:cs="Times New Roman" w:hint="eastAsia"/>
                <w:color w:val="auto"/>
                <w:spacing w:val="-1"/>
                <w:lang w:val="en-US" w:eastAsia="zh-CN"/>
              </w:rPr>
            </w:pPr>
            <w:r>
              <w:rPr>
                <w:rFonts w:ascii="Times New Roman" w:eastAsia="宋体" w:hAnsi="Times New Roman" w:cs="Times New Roman" w:hint="default"/>
                <w:color w:val="auto"/>
                <w:spacing w:val="-3"/>
              </w:rPr>
              <w:t>经调查，本项目占地范围</w:t>
            </w:r>
            <w:r>
              <w:rPr>
                <w:rFonts w:ascii="Times New Roman" w:eastAsia="宋体" w:hAnsi="Times New Roman" w:cs="Times New Roman" w:hint="default"/>
                <w:color w:val="auto"/>
                <w:spacing w:val="-3"/>
                <w:lang w:val="en-US" w:eastAsia="zh-CN"/>
              </w:rPr>
              <w:t>不涉及</w:t>
            </w:r>
            <w:r>
              <w:rPr>
                <w:rFonts w:ascii="Times New Roman" w:eastAsia="宋体" w:hAnsi="Times New Roman" w:cs="Times New Roman" w:hint="default"/>
                <w:color w:val="auto"/>
                <w:spacing w:val="-3"/>
              </w:rPr>
              <w:t>自然保护区、世界</w:t>
            </w:r>
            <w:r>
              <w:rPr>
                <w:rFonts w:ascii="Times New Roman" w:eastAsia="宋体" w:hAnsi="Times New Roman" w:cs="Times New Roman" w:hint="default"/>
                <w:color w:val="auto"/>
                <w:spacing w:val="-4"/>
              </w:rPr>
              <w:t>文化和自然遗产地、风景名</w:t>
            </w:r>
            <w:r>
              <w:rPr>
                <w:rFonts w:ascii="Times New Roman" w:eastAsia="宋体" w:hAnsi="Times New Roman" w:cs="Times New Roman" w:hint="default"/>
                <w:color w:val="auto"/>
                <w:spacing w:val="-3"/>
              </w:rPr>
              <w:t>胜区、森林公园、地质公园、重要湿地、原始天然林、珍稀濒危野生动植</w:t>
            </w:r>
            <w:r>
              <w:rPr>
                <w:rFonts w:ascii="Times New Roman" w:eastAsia="宋体" w:hAnsi="Times New Roman" w:cs="Times New Roman" w:hint="default"/>
                <w:color w:val="auto"/>
                <w:spacing w:val="-4"/>
              </w:rPr>
              <w:t>物天</w:t>
            </w:r>
            <w:r>
              <w:rPr>
                <w:rFonts w:ascii="Times New Roman" w:eastAsia="宋体" w:hAnsi="Times New Roman" w:cs="Times New Roman" w:hint="default"/>
                <w:color w:val="auto"/>
                <w:spacing w:val="-4"/>
                <w:lang w:val="en-US" w:eastAsia="zh-CN"/>
              </w:rPr>
              <w:t>集中</w:t>
            </w:r>
            <w:r>
              <w:rPr>
                <w:rFonts w:ascii="Times New Roman" w:eastAsia="宋体" w:hAnsi="Times New Roman" w:cs="Times New Roman" w:hint="default"/>
                <w:color w:val="auto"/>
                <w:spacing w:val="-3"/>
              </w:rPr>
              <w:t>分布区、重要水生生物自然产卵场及索饵场、越冬场和洄游通道、天然</w:t>
            </w:r>
            <w:r>
              <w:rPr>
                <w:rFonts w:ascii="Times New Roman" w:eastAsia="宋体" w:hAnsi="Times New Roman" w:cs="Times New Roman" w:hint="default"/>
                <w:color w:val="auto"/>
                <w:spacing w:val="-4"/>
              </w:rPr>
              <w:t>渔场、海</w:t>
            </w:r>
            <w:r>
              <w:rPr>
                <w:rFonts w:ascii="Times New Roman" w:eastAsia="宋体" w:hAnsi="Times New Roman" w:cs="Times New Roman" w:hint="default"/>
                <w:color w:val="auto"/>
                <w:spacing w:val="-1"/>
              </w:rPr>
              <w:t>洋特别保护区等敏感区内。</w:t>
            </w:r>
            <w:r>
              <w:rPr>
                <w:rFonts w:ascii="Times New Roman" w:hAnsi="Times New Roman" w:cs="Times New Roman" w:hint="eastAsia"/>
                <w:color w:val="auto"/>
                <w:spacing w:val="-1"/>
                <w:lang w:val="en-US" w:eastAsia="zh-CN"/>
              </w:rPr>
              <w:t>距离最新的生态保护红线约1.5km。</w:t>
            </w:r>
          </w:p>
          <w:p w14:paraId="7A6CE325">
            <w:pPr>
              <w:pStyle w:val="TableText"/>
              <w:spacing w:before="182" w:line="359" w:lineRule="auto"/>
              <w:ind w:left="107" w:right="101" w:firstLine="481"/>
              <w:jc w:val="center"/>
              <w:rPr>
                <w:rFonts w:ascii="Times New Roman" w:hAnsi="Times New Roman" w:cs="Times New Roman" w:hint="default"/>
                <w:b/>
                <w:bCs/>
                <w:color w:val="auto"/>
                <w:spacing w:val="-1"/>
                <w:lang w:val="en-US" w:eastAsia="zh-CN"/>
              </w:rPr>
            </w:pPr>
            <w:r>
              <w:rPr>
                <w:b/>
                <w:bCs/>
                <w:color w:val="auto"/>
              </w:rPr>
              <w:drawing>
                <wp:anchor distT="0" distB="0" distL="114300" distR="114300" simplePos="0" relativeHeight="251670528" behindDoc="0" locked="0" layoutInCell="1" allowOverlap="1">
                  <wp:simplePos x="0" y="0"/>
                  <wp:positionH relativeFrom="column">
                    <wp:posOffset>23495</wp:posOffset>
                  </wp:positionH>
                  <wp:positionV relativeFrom="paragraph">
                    <wp:posOffset>123190</wp:posOffset>
                  </wp:positionV>
                  <wp:extent cx="5391150" cy="3324860"/>
                  <wp:effectExtent l="0" t="0" r="3810" b="12700"/>
                  <wp:wrapNone/>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47690" name="图片 3"/>
                          <pic:cNvPicPr>
                            <a:picLocks noChangeAspect="1"/>
                          </pic:cNvPicPr>
                        </pic:nvPicPr>
                        <pic:blipFill>
                          <a:blip xmlns:r="http://schemas.openxmlformats.org/officeDocument/2006/relationships" r:embed="rId15"/>
                          <a:stretch>
                            <a:fillRect/>
                          </a:stretch>
                        </pic:blipFill>
                        <pic:spPr>
                          <a:xfrm>
                            <a:off x="0" y="0"/>
                            <a:ext cx="5391150" cy="3324860"/>
                          </a:xfrm>
                          <a:prstGeom prst="rect">
                            <a:avLst/>
                          </a:prstGeom>
                          <a:noFill/>
                          <a:ln>
                            <a:noFill/>
                          </a:ln>
                        </pic:spPr>
                      </pic:pic>
                    </a:graphicData>
                  </a:graphic>
                </wp:anchor>
              </w:drawing>
            </w:r>
            <w:r>
              <w:rPr>
                <w:b/>
                <w:bCs/>
                <w:color w:val="auto"/>
              </w:rPr>
              <w:drawing>
                <wp:anchor distT="0" distB="0" distL="114300" distR="114300" simplePos="0" relativeHeight="251669504" behindDoc="0" locked="0" layoutInCell="1" allowOverlap="1">
                  <wp:simplePos x="0" y="0"/>
                  <wp:positionH relativeFrom="column">
                    <wp:posOffset>360680</wp:posOffset>
                  </wp:positionH>
                  <wp:positionV relativeFrom="paragraph">
                    <wp:posOffset>130810</wp:posOffset>
                  </wp:positionV>
                  <wp:extent cx="5391150" cy="3324860"/>
                  <wp:effectExtent l="0" t="0" r="3810" b="12700"/>
                  <wp:wrapTopAndBottom/>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57860" name="图片 3"/>
                          <pic:cNvPicPr>
                            <a:picLocks noChangeAspect="1"/>
                          </pic:cNvPicPr>
                        </pic:nvPicPr>
                        <pic:blipFill>
                          <a:blip xmlns:r="http://schemas.openxmlformats.org/officeDocument/2006/relationships" r:embed="rId15"/>
                          <a:stretch>
                            <a:fillRect/>
                          </a:stretch>
                        </pic:blipFill>
                        <pic:spPr>
                          <a:xfrm>
                            <a:off x="0" y="0"/>
                            <a:ext cx="5391150" cy="3324860"/>
                          </a:xfrm>
                          <a:prstGeom prst="rect">
                            <a:avLst/>
                          </a:prstGeom>
                          <a:noFill/>
                          <a:ln>
                            <a:noFill/>
                          </a:ln>
                        </pic:spPr>
                      </pic:pic>
                    </a:graphicData>
                  </a:graphic>
                </wp:anchor>
              </w:drawing>
            </w:r>
            <w:r>
              <w:rPr>
                <w:rFonts w:hint="eastAsia"/>
                <w:b/>
                <w:bCs/>
                <w:color w:val="auto"/>
                <w:lang w:val="en-US" w:eastAsia="zh-CN"/>
              </w:rPr>
              <w:t>图</w:t>
            </w:r>
            <w:r>
              <w:rPr>
                <w:rFonts w:ascii="Times New Roman" w:hAnsi="Times New Roman" w:cs="Times New Roman" w:hint="eastAsia"/>
                <w:b/>
                <w:bCs/>
                <w:color w:val="auto"/>
                <w:spacing w:val="-1"/>
                <w:lang w:val="en-US" w:eastAsia="zh-CN"/>
              </w:rPr>
              <w:t>3-1本项目与自然保护区及生态保护红线的位置关系图</w:t>
            </w:r>
          </w:p>
          <w:p w14:paraId="304E4F99">
            <w:pPr>
              <w:pStyle w:val="TableText"/>
              <w:spacing w:before="182" w:line="359" w:lineRule="auto"/>
              <w:ind w:left="107" w:right="101" w:firstLine="481"/>
              <w:rPr>
                <w:rFonts w:ascii="Times New Roman" w:eastAsia="宋体" w:hAnsi="Times New Roman" w:cs="Times New Roman" w:hint="default"/>
                <w:color w:val="auto"/>
              </w:rPr>
            </w:pPr>
            <w:r>
              <w:rPr>
                <w:rFonts w:ascii="Times New Roman" w:eastAsia="宋体" w:hAnsi="Times New Roman" w:cs="Times New Roman" w:hint="default"/>
                <w:color w:val="auto"/>
                <w:spacing w:val="-2"/>
              </w:rPr>
              <w:t>（6）承德市围场满族蒙古族自治县生物资源</w:t>
            </w:r>
          </w:p>
          <w:p w14:paraId="050B8EB4">
            <w:pPr>
              <w:pStyle w:val="TableText"/>
              <w:spacing w:before="182" w:line="359" w:lineRule="auto"/>
              <w:ind w:left="107" w:right="101" w:firstLine="481"/>
              <w:rPr>
                <w:rFonts w:ascii="Times New Roman" w:eastAsia="宋体" w:hAnsi="Times New Roman" w:cs="Times New Roman" w:hint="default"/>
                <w:color w:val="auto"/>
                <w:spacing w:val="-3"/>
              </w:rPr>
            </w:pPr>
            <w:r>
              <w:rPr>
                <w:rFonts w:ascii="Times New Roman" w:eastAsia="宋体" w:hAnsi="Times New Roman" w:cs="Times New Roman" w:hint="default"/>
                <w:color w:val="auto"/>
                <w:spacing w:val="-3"/>
              </w:rPr>
              <w:t>围场满族蒙古族自治县动植物资源丰富，共有高等植物约998余种，脊椎动物260种；有国家级野生珍稀濒危、重点保护植物25种，国家级一、二级保护动物33种。</w:t>
            </w:r>
          </w:p>
          <w:p w14:paraId="65780DE4">
            <w:pPr>
              <w:pStyle w:val="1"/>
              <w:spacing w:line="360" w:lineRule="auto"/>
              <w:ind w:firstLine="482"/>
              <w:jc w:val="left"/>
              <w:rPr>
                <w:rFonts w:ascii="Times New Roman" w:eastAsia="宋体" w:hAnsi="Times New Roman" w:cs="Times New Roman" w:hint="default"/>
                <w:b/>
                <w:bCs/>
                <w:color w:val="auto"/>
                <w:sz w:val="24"/>
                <w:szCs w:val="24"/>
                <w:lang w:val="en-US" w:eastAsia="zh-CN"/>
              </w:rPr>
            </w:pPr>
            <w:r>
              <w:rPr>
                <w:rFonts w:ascii="Times New Roman" w:eastAsia="宋体" w:hAnsi="Times New Roman" w:cs="Times New Roman" w:hint="default"/>
                <w:b/>
                <w:bCs/>
                <w:color w:val="auto"/>
                <w:sz w:val="24"/>
                <w:szCs w:val="24"/>
                <w:lang w:val="en-US" w:eastAsia="zh-CN"/>
              </w:rPr>
              <w:t>6、声环境</w:t>
            </w:r>
          </w:p>
          <w:p w14:paraId="6DEC4E91">
            <w:pPr>
              <w:pStyle w:val="TableText"/>
              <w:spacing w:before="182" w:line="359" w:lineRule="auto"/>
              <w:ind w:left="107" w:right="101" w:firstLine="483"/>
              <w:jc w:val="both"/>
              <w:rPr>
                <w:rFonts w:ascii="Times New Roman" w:eastAsia="宋体" w:hAnsi="Times New Roman" w:cs="Times New Roman" w:hint="default"/>
                <w:color w:val="auto"/>
              </w:rPr>
            </w:pPr>
            <w:r>
              <w:rPr>
                <w:rFonts w:ascii="Times New Roman" w:eastAsia="宋体" w:hAnsi="Times New Roman" w:cs="Times New Roman" w:hint="default"/>
                <w:color w:val="auto"/>
              </w:rPr>
              <w:t>为了解项目</w:t>
            </w:r>
            <w:r>
              <w:rPr>
                <w:rFonts w:ascii="Times New Roman" w:eastAsia="宋体" w:hAnsi="Times New Roman" w:cs="Times New Roman" w:hint="default"/>
                <w:color w:val="auto"/>
                <w:lang w:val="en-US" w:eastAsia="zh-CN"/>
              </w:rPr>
              <w:t>储能站</w:t>
            </w:r>
            <w:r>
              <w:rPr>
                <w:rFonts w:ascii="Times New Roman" w:eastAsia="宋体" w:hAnsi="Times New Roman" w:cs="Times New Roman" w:hint="default"/>
                <w:color w:val="auto"/>
              </w:rPr>
              <w:t>声环境质量现状，公司委</w:t>
            </w:r>
            <w:r>
              <w:rPr>
                <w:rFonts w:ascii="Times New Roman" w:eastAsia="宋体" w:hAnsi="Times New Roman" w:cs="Times New Roman" w:hint="default"/>
                <w:color w:val="auto"/>
                <w:spacing w:val="-1"/>
              </w:rPr>
              <w:t>托河北</w:t>
            </w:r>
            <w:r>
              <w:rPr>
                <w:rFonts w:ascii="Times New Roman" w:eastAsia="宋体" w:hAnsi="Times New Roman" w:cs="Times New Roman" w:hint="default"/>
                <w:color w:val="auto"/>
                <w:spacing w:val="-1"/>
                <w:lang w:val="en-US" w:eastAsia="zh-CN"/>
              </w:rPr>
              <w:t>冀辐源环保科技有限</w:t>
            </w:r>
            <w:r>
              <w:rPr>
                <w:rFonts w:ascii="Times New Roman" w:eastAsia="宋体" w:hAnsi="Times New Roman" w:cs="Times New Roman" w:hint="default"/>
                <w:color w:val="auto"/>
                <w:spacing w:val="-5"/>
              </w:rPr>
              <w:t>公司对项目升压站声环境质量现状进行监测，并出具</w:t>
            </w:r>
            <w:r>
              <w:rPr>
                <w:rFonts w:ascii="Times New Roman" w:eastAsia="宋体" w:hAnsi="Times New Roman" w:cs="Times New Roman" w:hint="default"/>
                <w:color w:val="auto"/>
                <w:spacing w:val="4"/>
              </w:rPr>
              <w:t>检测报告（</w:t>
            </w:r>
            <w:r>
              <w:rPr>
                <w:rFonts w:ascii="Times New Roman" w:eastAsia="宋体" w:hAnsi="Times New Roman" w:cs="Times New Roman" w:hint="default"/>
                <w:color w:val="auto"/>
                <w:spacing w:val="-1"/>
                <w:lang w:val="en-US" w:eastAsia="zh-CN"/>
              </w:rPr>
              <w:t>冀辐源环检</w:t>
            </w:r>
            <w:r>
              <w:rPr>
                <w:rFonts w:ascii="Times New Roman" w:eastAsia="宋体" w:hAnsi="Times New Roman" w:cs="Times New Roman" w:hint="default"/>
                <w:color w:val="auto"/>
                <w:spacing w:val="3"/>
              </w:rPr>
              <w:t>（202</w:t>
            </w:r>
            <w:r>
              <w:rPr>
                <w:rFonts w:ascii="Times New Roman" w:eastAsia="宋体" w:hAnsi="Times New Roman" w:cs="Times New Roman" w:hint="default"/>
                <w:color w:val="auto"/>
                <w:spacing w:val="3"/>
                <w:lang w:val="en-US" w:eastAsia="zh-CN"/>
              </w:rPr>
              <w:t>4</w:t>
            </w:r>
            <w:r>
              <w:rPr>
                <w:rFonts w:ascii="Times New Roman" w:eastAsia="宋体" w:hAnsi="Times New Roman" w:cs="Times New Roman" w:hint="default"/>
                <w:color w:val="auto"/>
                <w:spacing w:val="3"/>
              </w:rPr>
              <w:t>）第</w:t>
            </w:r>
            <w:r>
              <w:rPr>
                <w:rFonts w:ascii="Times New Roman" w:eastAsia="宋体" w:hAnsi="Times New Roman" w:cs="Times New Roman" w:hint="default"/>
                <w:color w:val="auto"/>
                <w:spacing w:val="-3"/>
                <w:lang w:val="en-US" w:eastAsia="zh-CN"/>
              </w:rPr>
              <w:t>013</w:t>
            </w:r>
            <w:r>
              <w:rPr>
                <w:rFonts w:ascii="Times New Roman" w:eastAsia="宋体" w:hAnsi="Times New Roman" w:cs="Times New Roman" w:hint="default"/>
                <w:color w:val="auto"/>
                <w:spacing w:val="-3"/>
              </w:rPr>
              <w:t>号</w:t>
            </w:r>
            <w:r>
              <w:rPr>
                <w:rFonts w:ascii="Times New Roman" w:eastAsia="宋体" w:hAnsi="Times New Roman" w:cs="Times New Roman" w:hint="default"/>
                <w:color w:val="auto"/>
                <w:spacing w:val="5"/>
              </w:rPr>
              <w:t>），</w:t>
            </w:r>
            <w:r>
              <w:rPr>
                <w:rFonts w:ascii="Times New Roman" w:eastAsia="宋体" w:hAnsi="Times New Roman" w:cs="Times New Roman" w:hint="default"/>
                <w:color w:val="auto"/>
                <w:spacing w:val="-3"/>
              </w:rPr>
              <w:t>监测结果如下：</w:t>
            </w:r>
          </w:p>
          <w:p w14:paraId="7595831F">
            <w:pPr>
              <w:pStyle w:val="TableText"/>
              <w:spacing w:before="182" w:line="359" w:lineRule="auto"/>
              <w:ind w:left="107" w:right="101" w:firstLine="483"/>
              <w:jc w:val="both"/>
              <w:rPr>
                <w:rFonts w:ascii="Times New Roman" w:eastAsia="宋体" w:hAnsi="Times New Roman" w:cs="Times New Roman" w:hint="default"/>
                <w:color w:val="auto"/>
                <w:spacing w:val="-5"/>
              </w:rPr>
            </w:pPr>
            <w:r>
              <w:rPr>
                <w:rFonts w:ascii="Times New Roman" w:eastAsia="宋体" w:hAnsi="Times New Roman" w:cs="Times New Roman" w:hint="default"/>
                <w:color w:val="auto"/>
                <w:spacing w:val="-5"/>
              </w:rPr>
              <w:t>①监测点位</w:t>
            </w:r>
            <w:r>
              <w:rPr>
                <w:rFonts w:ascii="Times New Roman" w:eastAsia="宋体" w:hAnsi="Times New Roman" w:cs="Times New Roman" w:hint="default"/>
                <w:color w:val="auto"/>
                <w:spacing w:val="-5"/>
                <w:lang w:eastAsia="zh-CN"/>
              </w:rPr>
              <w:t>：</w:t>
            </w:r>
            <w:r>
              <w:rPr>
                <w:rFonts w:ascii="Times New Roman" w:eastAsia="宋体" w:hAnsi="Times New Roman" w:cs="Times New Roman" w:hint="default"/>
                <w:color w:val="auto"/>
                <w:spacing w:val="-5"/>
                <w:lang w:val="en-US" w:eastAsia="zh-CN"/>
              </w:rPr>
              <w:t>项目位置四侧厂界</w:t>
            </w:r>
            <w:r>
              <w:rPr>
                <w:rFonts w:ascii="Times New Roman" w:eastAsia="宋体" w:hAnsi="Times New Roman" w:cs="Times New Roman" w:hint="default"/>
                <w:color w:val="auto"/>
                <w:spacing w:val="-5"/>
              </w:rPr>
              <w:t>。</w:t>
            </w:r>
          </w:p>
          <w:p w14:paraId="2C5F69E2">
            <w:pPr>
              <w:pStyle w:val="TableText"/>
              <w:spacing w:before="182" w:line="359" w:lineRule="auto"/>
              <w:ind w:left="107" w:right="101" w:firstLine="483"/>
              <w:jc w:val="both"/>
              <w:rPr>
                <w:rFonts w:ascii="Times New Roman" w:eastAsia="宋体" w:hAnsi="Times New Roman" w:cs="Times New Roman" w:hint="default"/>
                <w:color w:val="auto"/>
                <w:spacing w:val="-5"/>
              </w:rPr>
            </w:pPr>
            <w:r>
              <w:rPr>
                <w:rFonts w:ascii="Times New Roman" w:eastAsia="宋体" w:hAnsi="Times New Roman" w:cs="Times New Roman" w:hint="default"/>
                <w:color w:val="auto"/>
                <w:spacing w:val="-5"/>
              </w:rPr>
              <w:t>②监测因子</w:t>
            </w:r>
            <w:r>
              <w:rPr>
                <w:rFonts w:ascii="Times New Roman" w:eastAsia="宋体" w:hAnsi="Times New Roman" w:cs="Times New Roman" w:hint="default"/>
                <w:color w:val="auto"/>
                <w:spacing w:val="-5"/>
                <w:lang w:eastAsia="zh-CN"/>
              </w:rPr>
              <w:t>：</w:t>
            </w:r>
            <w:r>
              <w:rPr>
                <w:rFonts w:ascii="Times New Roman" w:eastAsia="宋体" w:hAnsi="Times New Roman" w:cs="Times New Roman" w:hint="default"/>
                <w:color w:val="auto"/>
                <w:spacing w:val="-5"/>
              </w:rPr>
              <w:t>等效连续A声级。</w:t>
            </w:r>
          </w:p>
          <w:p w14:paraId="1AD8ECE1">
            <w:pPr>
              <w:pStyle w:val="TableText"/>
              <w:spacing w:before="182" w:line="359" w:lineRule="auto"/>
              <w:ind w:left="107" w:right="101" w:firstLine="483"/>
              <w:jc w:val="both"/>
              <w:rPr>
                <w:rFonts w:ascii="Times New Roman" w:eastAsia="宋体" w:hAnsi="Times New Roman" w:cs="Times New Roman" w:hint="default"/>
                <w:color w:val="auto"/>
                <w:spacing w:val="-5"/>
              </w:rPr>
            </w:pPr>
            <w:r>
              <w:rPr>
                <w:rFonts w:ascii="Times New Roman" w:eastAsia="宋体" w:hAnsi="Times New Roman" w:cs="Times New Roman" w:hint="default"/>
                <w:color w:val="auto"/>
                <w:spacing w:val="-5"/>
              </w:rPr>
              <w:t>③监测时间</w:t>
            </w:r>
            <w:r>
              <w:rPr>
                <w:rFonts w:ascii="Times New Roman" w:eastAsia="宋体" w:hAnsi="Times New Roman" w:cs="Times New Roman" w:hint="default"/>
                <w:color w:val="auto"/>
                <w:spacing w:val="-5"/>
                <w:lang w:eastAsia="zh-CN"/>
              </w:rPr>
              <w:t>：</w:t>
            </w:r>
            <w:r>
              <w:rPr>
                <w:rFonts w:ascii="Times New Roman" w:eastAsia="宋体" w:hAnsi="Times New Roman" w:cs="Times New Roman" w:hint="default"/>
                <w:color w:val="auto"/>
                <w:spacing w:val="-5"/>
              </w:rPr>
              <w:t>202</w:t>
            </w:r>
            <w:r>
              <w:rPr>
                <w:rFonts w:ascii="Times New Roman" w:eastAsia="宋体" w:hAnsi="Times New Roman" w:cs="Times New Roman" w:hint="default"/>
                <w:color w:val="auto"/>
                <w:spacing w:val="-5"/>
                <w:lang w:val="en-US" w:eastAsia="zh-CN"/>
              </w:rPr>
              <w:t>4</w:t>
            </w:r>
            <w:r>
              <w:rPr>
                <w:rFonts w:ascii="Times New Roman" w:eastAsia="宋体" w:hAnsi="Times New Roman" w:cs="Times New Roman" w:hint="default"/>
                <w:color w:val="auto"/>
                <w:spacing w:val="-5"/>
              </w:rPr>
              <w:t>年</w:t>
            </w:r>
            <w:r>
              <w:rPr>
                <w:rFonts w:ascii="Times New Roman" w:eastAsia="宋体" w:hAnsi="Times New Roman" w:cs="Times New Roman" w:hint="default"/>
                <w:color w:val="auto"/>
                <w:spacing w:val="-5"/>
                <w:lang w:val="en-US" w:eastAsia="zh-CN"/>
              </w:rPr>
              <w:t>1</w:t>
            </w:r>
            <w:r>
              <w:rPr>
                <w:rFonts w:ascii="Times New Roman" w:eastAsia="宋体" w:hAnsi="Times New Roman" w:cs="Times New Roman" w:hint="default"/>
                <w:color w:val="auto"/>
                <w:spacing w:val="-5"/>
              </w:rPr>
              <w:t>月</w:t>
            </w:r>
            <w:r>
              <w:rPr>
                <w:rFonts w:ascii="Times New Roman" w:eastAsia="宋体" w:hAnsi="Times New Roman" w:cs="Times New Roman" w:hint="default"/>
                <w:color w:val="auto"/>
                <w:spacing w:val="-5"/>
                <w:lang w:val="en-US" w:eastAsia="zh-CN"/>
              </w:rPr>
              <w:t>17</w:t>
            </w:r>
            <w:r>
              <w:rPr>
                <w:rFonts w:ascii="Times New Roman" w:eastAsia="宋体" w:hAnsi="Times New Roman" w:cs="Times New Roman" w:hint="default"/>
                <w:color w:val="auto"/>
                <w:spacing w:val="-5"/>
              </w:rPr>
              <w:t>日，昼夜各监测1次。</w:t>
            </w:r>
          </w:p>
          <w:p w14:paraId="4D5116CF">
            <w:pPr>
              <w:pStyle w:val="TableText"/>
              <w:spacing w:before="182" w:line="359" w:lineRule="auto"/>
              <w:ind w:left="107" w:right="101" w:firstLine="483"/>
              <w:jc w:val="both"/>
              <w:rPr>
                <w:rFonts w:ascii="Times New Roman" w:eastAsia="宋体" w:hAnsi="Times New Roman" w:cs="Times New Roman" w:hint="default"/>
                <w:color w:val="auto"/>
                <w:spacing w:val="-5"/>
                <w:lang w:eastAsia="zh-CN"/>
              </w:rPr>
            </w:pPr>
            <w:r>
              <w:rPr>
                <w:rFonts w:ascii="Times New Roman" w:eastAsia="宋体" w:hAnsi="Times New Roman" w:cs="Times New Roman" w:hint="default"/>
                <w:color w:val="auto"/>
                <w:spacing w:val="-5"/>
              </w:rPr>
              <w:t>④监测结果</w:t>
            </w:r>
            <w:r>
              <w:rPr>
                <w:rFonts w:ascii="Times New Roman" w:eastAsia="宋体" w:hAnsi="Times New Roman" w:cs="Times New Roman" w:hint="default"/>
                <w:color w:val="auto"/>
                <w:spacing w:val="-5"/>
                <w:lang w:eastAsia="zh-CN"/>
              </w:rPr>
              <w:t>：</w:t>
            </w:r>
          </w:p>
          <w:p w14:paraId="007DD9C4">
            <w:pPr>
              <w:pStyle w:val="TableText"/>
              <w:spacing w:before="200" w:line="228" w:lineRule="auto"/>
              <w:ind w:left="2741"/>
              <w:rPr>
                <w:rFonts w:ascii="Times New Roman" w:eastAsia="宋体" w:hAnsi="Times New Roman" w:cs="Times New Roman" w:hint="default"/>
                <w:color w:val="auto"/>
                <w:sz w:val="8"/>
                <w:szCs w:val="36"/>
              </w:rPr>
            </w:pPr>
            <w:r>
              <w:rPr>
                <w:rFonts w:ascii="Times New Roman" w:eastAsia="宋体" w:hAnsi="Times New Roman" w:cs="Times New Roman" w:hint="default"/>
                <w:color w:val="auto"/>
                <w:spacing w:val="7"/>
                <w:sz w:val="24"/>
                <w:szCs w:val="24"/>
                <w14:textOutline w14:w="3795" w14:cap="sq">
                  <w14:solidFill>
                    <w14:srgbClr w14:val="000000"/>
                  </w14:solidFill>
                  <w14:bevel/>
                </w14:textOutline>
              </w:rPr>
              <w:t>表</w:t>
            </w:r>
            <w:r>
              <w:rPr>
                <w:rFonts w:ascii="Times New Roman" w:eastAsia="宋体" w:hAnsi="Times New Roman" w:cs="Times New Roman" w:hint="default"/>
                <w:b/>
                <w:bCs/>
                <w:color w:val="auto"/>
                <w:spacing w:val="7"/>
                <w:sz w:val="24"/>
                <w:szCs w:val="24"/>
              </w:rPr>
              <w:t>3-</w:t>
            </w:r>
            <w:r>
              <w:rPr>
                <w:rFonts w:ascii="Times New Roman" w:eastAsia="宋体" w:hAnsi="Times New Roman" w:cs="Times New Roman" w:hint="default"/>
                <w:b/>
                <w:bCs/>
                <w:color w:val="auto"/>
                <w:spacing w:val="7"/>
                <w:sz w:val="24"/>
                <w:szCs w:val="24"/>
                <w:lang w:val="en-US" w:eastAsia="zh-CN"/>
              </w:rPr>
              <w:t>2</w:t>
            </w:r>
            <w:r>
              <w:rPr>
                <w:rFonts w:ascii="Times New Roman" w:eastAsia="宋体" w:hAnsi="Times New Roman" w:cs="Times New Roman" w:hint="default"/>
                <w:b/>
                <w:bCs/>
                <w:color w:val="auto"/>
                <w:spacing w:val="7"/>
                <w:sz w:val="24"/>
                <w:szCs w:val="24"/>
              </w:rPr>
              <w:t xml:space="preserve">   </w:t>
            </w:r>
            <w:r>
              <w:rPr>
                <w:rFonts w:ascii="Times New Roman" w:eastAsia="宋体" w:hAnsi="Times New Roman" w:cs="Times New Roman" w:hint="default"/>
                <w:color w:val="auto"/>
                <w:spacing w:val="7"/>
                <w:sz w:val="24"/>
                <w:szCs w:val="24"/>
                <w14:textOutline w14:w="3795" w14:cap="sq">
                  <w14:solidFill>
                    <w14:srgbClr w14:val="000000"/>
                  </w14:solidFill>
                  <w14:bevel/>
                </w14:textOutline>
              </w:rPr>
              <w:t>声环境质量现状监测结果</w:t>
            </w:r>
          </w:p>
          <w:tbl>
            <w:tblPr>
              <w:tblStyle w:val="TableNormal0"/>
              <w:tblW w:w="4994"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1954"/>
              <w:gridCol w:w="1588"/>
              <w:gridCol w:w="1757"/>
              <w:gridCol w:w="1778"/>
              <w:gridCol w:w="1297"/>
            </w:tblGrid>
            <w:tr w14:paraId="4D639DB7">
              <w:tblPrEx>
                <w:tblW w:w="4994"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462"/>
              </w:trPr>
              <w:tc>
                <w:tcPr>
                  <w:tcW w:w="1166" w:type="pct"/>
                  <w:tcBorders>
                    <w:tl2br w:val="nil"/>
                    <w:tr2bl w:val="nil"/>
                  </w:tcBorders>
                  <w:vAlign w:val="center"/>
                </w:tcPr>
                <w:p w14:paraId="5E2A3CEF">
                  <w:pPr>
                    <w:pStyle w:val="TableText"/>
                    <w:spacing w:before="145" w:line="231" w:lineRule="auto"/>
                    <w:jc w:val="center"/>
                    <w:rPr>
                      <w:rFonts w:ascii="Times New Roman" w:eastAsia="宋体" w:hAnsi="Times New Roman" w:cs="Times New Roman" w:hint="default"/>
                      <w:b/>
                      <w:bCs/>
                      <w:color w:val="auto"/>
                      <w:sz w:val="21"/>
                      <w:szCs w:val="21"/>
                      <w:lang w:val="en-US" w:eastAsia="zh-CN"/>
                    </w:rPr>
                  </w:pPr>
                  <w:r>
                    <w:rPr>
                      <w:rFonts w:ascii="Times New Roman" w:eastAsia="宋体" w:hAnsi="Times New Roman" w:cs="Times New Roman" w:hint="default"/>
                      <w:b/>
                      <w:bCs/>
                      <w:color w:val="auto"/>
                      <w:sz w:val="21"/>
                      <w:szCs w:val="21"/>
                      <w:lang w:val="en-US" w:eastAsia="zh-CN"/>
                    </w:rPr>
                    <w:t>检测点位</w:t>
                  </w:r>
                </w:p>
              </w:tc>
              <w:tc>
                <w:tcPr>
                  <w:tcW w:w="948" w:type="pct"/>
                  <w:tcBorders>
                    <w:tl2br w:val="nil"/>
                    <w:tr2bl w:val="nil"/>
                  </w:tcBorders>
                  <w:vAlign w:val="center"/>
                </w:tcPr>
                <w:p w14:paraId="2CA1B1B1">
                  <w:pPr>
                    <w:pStyle w:val="TableText"/>
                    <w:spacing w:before="145" w:line="231" w:lineRule="auto"/>
                    <w:jc w:val="center"/>
                    <w:rPr>
                      <w:rFonts w:ascii="Times New Roman" w:eastAsia="宋体" w:hAnsi="Times New Roman" w:cs="Times New Roman" w:hint="default"/>
                      <w:b/>
                      <w:bCs/>
                      <w:color w:val="auto"/>
                      <w:sz w:val="21"/>
                      <w:szCs w:val="21"/>
                      <w:lang w:val="en-US" w:eastAsia="zh-CN"/>
                    </w:rPr>
                  </w:pPr>
                  <w:r>
                    <w:rPr>
                      <w:rFonts w:ascii="Times New Roman" w:eastAsia="宋体" w:hAnsi="Times New Roman" w:cs="Times New Roman" w:hint="default"/>
                      <w:b/>
                      <w:bCs/>
                      <w:color w:val="auto"/>
                      <w:sz w:val="21"/>
                      <w:szCs w:val="21"/>
                      <w:lang w:val="en-US" w:eastAsia="zh-CN"/>
                    </w:rPr>
                    <w:t>检测时段</w:t>
                  </w:r>
                </w:p>
              </w:tc>
              <w:tc>
                <w:tcPr>
                  <w:tcW w:w="1049" w:type="pct"/>
                  <w:tcBorders>
                    <w:tl2br w:val="nil"/>
                    <w:tr2bl w:val="nil"/>
                  </w:tcBorders>
                  <w:vAlign w:val="center"/>
                </w:tcPr>
                <w:p w14:paraId="37AC604B">
                  <w:pPr>
                    <w:pStyle w:val="TableText"/>
                    <w:spacing w:before="145" w:line="231" w:lineRule="auto"/>
                    <w:jc w:val="center"/>
                    <w:rPr>
                      <w:rFonts w:ascii="Times New Roman" w:eastAsia="宋体" w:hAnsi="Times New Roman" w:cs="Times New Roman" w:hint="default"/>
                      <w:b/>
                      <w:bCs/>
                      <w:color w:val="auto"/>
                      <w:sz w:val="21"/>
                      <w:szCs w:val="21"/>
                      <w:lang w:val="en-US" w:eastAsia="zh-CN"/>
                    </w:rPr>
                  </w:pPr>
                  <w:r>
                    <w:rPr>
                      <w:rFonts w:ascii="Times New Roman" w:eastAsia="宋体" w:hAnsi="Times New Roman" w:cs="Times New Roman" w:hint="default"/>
                      <w:b/>
                      <w:bCs/>
                      <w:color w:val="auto"/>
                      <w:sz w:val="21"/>
                      <w:szCs w:val="21"/>
                      <w:lang w:val="en-US" w:eastAsia="zh-CN"/>
                    </w:rPr>
                    <w:t>结果dB（A）</w:t>
                  </w:r>
                </w:p>
              </w:tc>
              <w:tc>
                <w:tcPr>
                  <w:tcW w:w="1061" w:type="pct"/>
                  <w:tcBorders>
                    <w:tl2br w:val="nil"/>
                    <w:tr2bl w:val="nil"/>
                  </w:tcBorders>
                  <w:vAlign w:val="center"/>
                </w:tcPr>
                <w:p w14:paraId="682F71FB">
                  <w:pPr>
                    <w:pStyle w:val="TableText"/>
                    <w:spacing w:before="145" w:line="231" w:lineRule="auto"/>
                    <w:jc w:val="center"/>
                    <w:rPr>
                      <w:rFonts w:ascii="Times New Roman" w:eastAsia="宋体" w:hAnsi="Times New Roman" w:cs="Times New Roman" w:hint="default"/>
                      <w:b/>
                      <w:bCs/>
                      <w:color w:val="auto"/>
                      <w:sz w:val="21"/>
                      <w:szCs w:val="21"/>
                      <w:lang w:val="en-US" w:eastAsia="zh-CN"/>
                    </w:rPr>
                  </w:pPr>
                  <w:r>
                    <w:rPr>
                      <w:rFonts w:ascii="Times New Roman" w:eastAsia="宋体" w:hAnsi="Times New Roman" w:cs="Times New Roman" w:hint="default"/>
                      <w:b/>
                      <w:bCs/>
                      <w:color w:val="auto"/>
                      <w:sz w:val="21"/>
                      <w:szCs w:val="21"/>
                      <w:lang w:val="en-US" w:eastAsia="zh-CN"/>
                    </w:rPr>
                    <w:t>执行标准dB（A）</w:t>
                  </w:r>
                </w:p>
              </w:tc>
              <w:tc>
                <w:tcPr>
                  <w:tcW w:w="774" w:type="pct"/>
                  <w:tcBorders>
                    <w:tl2br w:val="nil"/>
                    <w:tr2bl w:val="nil"/>
                  </w:tcBorders>
                  <w:vAlign w:val="center"/>
                </w:tcPr>
                <w:p w14:paraId="6EF33788">
                  <w:pPr>
                    <w:pStyle w:val="TableText"/>
                    <w:spacing w:before="145" w:line="231" w:lineRule="auto"/>
                    <w:jc w:val="center"/>
                    <w:rPr>
                      <w:rFonts w:ascii="Times New Roman" w:eastAsia="宋体" w:hAnsi="Times New Roman" w:cs="Times New Roman" w:hint="default"/>
                      <w:b/>
                      <w:bCs/>
                      <w:color w:val="auto"/>
                      <w:sz w:val="21"/>
                      <w:szCs w:val="21"/>
                      <w:lang w:val="en-US" w:eastAsia="zh-CN"/>
                    </w:rPr>
                  </w:pPr>
                  <w:r>
                    <w:rPr>
                      <w:rFonts w:ascii="Times New Roman" w:eastAsia="宋体" w:hAnsi="Times New Roman" w:cs="Times New Roman" w:hint="default"/>
                      <w:b/>
                      <w:bCs/>
                      <w:color w:val="auto"/>
                      <w:sz w:val="21"/>
                      <w:szCs w:val="21"/>
                      <w:lang w:val="en-US" w:eastAsia="zh-CN"/>
                    </w:rPr>
                    <w:t>是否达标</w:t>
                  </w:r>
                </w:p>
              </w:tc>
            </w:tr>
            <w:tr w14:paraId="2110DC6B">
              <w:tblPrEx>
                <w:tblW w:w="4994" w:type="pct"/>
                <w:tblInd w:w="0" w:type="dxa"/>
                <w:tblCellMar>
                  <w:top w:w="0" w:type="dxa"/>
                  <w:left w:w="0" w:type="dxa"/>
                  <w:bottom w:w="0" w:type="dxa"/>
                  <w:right w:w="0" w:type="dxa"/>
                </w:tblCellMar>
              </w:tblPrEx>
              <w:trPr>
                <w:trHeight w:val="457"/>
              </w:trPr>
              <w:tc>
                <w:tcPr>
                  <w:tcW w:w="1166" w:type="pct"/>
                  <w:vMerge w:val="restart"/>
                  <w:tcBorders>
                    <w:tl2br w:val="nil"/>
                    <w:tr2bl w:val="nil"/>
                  </w:tcBorders>
                  <w:vAlign w:val="center"/>
                </w:tcPr>
                <w:p w14:paraId="3BFB822A">
                  <w:pPr>
                    <w:pStyle w:val="TableText"/>
                    <w:spacing w:before="145" w:line="231" w:lineRule="auto"/>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东侧厂界</w:t>
                  </w:r>
                </w:p>
              </w:tc>
              <w:tc>
                <w:tcPr>
                  <w:tcW w:w="948" w:type="pct"/>
                  <w:tcBorders>
                    <w:tl2br w:val="nil"/>
                    <w:tr2bl w:val="nil"/>
                  </w:tcBorders>
                  <w:vAlign w:val="center"/>
                </w:tcPr>
                <w:p w14:paraId="26268F58">
                  <w:pPr>
                    <w:pStyle w:val="TableText"/>
                    <w:spacing w:before="145" w:line="231" w:lineRule="auto"/>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昼间</w:t>
                  </w:r>
                </w:p>
              </w:tc>
              <w:tc>
                <w:tcPr>
                  <w:tcW w:w="1049" w:type="pct"/>
                  <w:tcBorders>
                    <w:tl2br w:val="nil"/>
                    <w:tr2bl w:val="nil"/>
                  </w:tcBorders>
                  <w:vAlign w:val="center"/>
                </w:tcPr>
                <w:p w14:paraId="79B3CDB9">
                  <w:pPr>
                    <w:pStyle w:val="TableText"/>
                    <w:spacing w:before="145" w:line="231" w:lineRule="auto"/>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41</w:t>
                  </w:r>
                </w:p>
              </w:tc>
              <w:tc>
                <w:tcPr>
                  <w:tcW w:w="1061" w:type="pct"/>
                  <w:tcBorders>
                    <w:tl2br w:val="nil"/>
                    <w:tr2bl w:val="nil"/>
                  </w:tcBorders>
                  <w:vAlign w:val="center"/>
                </w:tcPr>
                <w:p w14:paraId="04804291">
                  <w:pPr>
                    <w:pStyle w:val="TableText"/>
                    <w:spacing w:before="145" w:line="231" w:lineRule="auto"/>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55</w:t>
                  </w:r>
                </w:p>
              </w:tc>
              <w:tc>
                <w:tcPr>
                  <w:tcW w:w="774" w:type="pct"/>
                  <w:tcBorders>
                    <w:tl2br w:val="nil"/>
                    <w:tr2bl w:val="nil"/>
                  </w:tcBorders>
                  <w:vAlign w:val="center"/>
                </w:tcPr>
                <w:p w14:paraId="46E31264">
                  <w:pPr>
                    <w:pStyle w:val="TableText"/>
                    <w:spacing w:before="145" w:line="231" w:lineRule="auto"/>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达标</w:t>
                  </w:r>
                </w:p>
              </w:tc>
            </w:tr>
            <w:tr w14:paraId="4E148688">
              <w:tblPrEx>
                <w:tblW w:w="4994" w:type="pct"/>
                <w:tblInd w:w="0" w:type="dxa"/>
                <w:tblCellMar>
                  <w:top w:w="0" w:type="dxa"/>
                  <w:left w:w="0" w:type="dxa"/>
                  <w:bottom w:w="0" w:type="dxa"/>
                  <w:right w:w="0" w:type="dxa"/>
                </w:tblCellMar>
              </w:tblPrEx>
              <w:trPr>
                <w:trHeight w:val="462"/>
              </w:trPr>
              <w:tc>
                <w:tcPr>
                  <w:tcW w:w="1166" w:type="pct"/>
                  <w:vMerge/>
                  <w:tcBorders>
                    <w:tl2br w:val="nil"/>
                    <w:tr2bl w:val="nil"/>
                  </w:tcBorders>
                  <w:vAlign w:val="center"/>
                </w:tcPr>
                <w:p w14:paraId="2A65F46C">
                  <w:pPr>
                    <w:pStyle w:val="TableText"/>
                    <w:spacing w:before="145" w:line="231" w:lineRule="auto"/>
                    <w:jc w:val="center"/>
                    <w:rPr>
                      <w:rFonts w:ascii="Times New Roman" w:eastAsia="宋体" w:hAnsi="Times New Roman" w:cs="Times New Roman" w:hint="default"/>
                      <w:color w:val="auto"/>
                      <w:sz w:val="21"/>
                      <w:szCs w:val="21"/>
                    </w:rPr>
                  </w:pPr>
                </w:p>
              </w:tc>
              <w:tc>
                <w:tcPr>
                  <w:tcW w:w="948" w:type="pct"/>
                  <w:tcBorders>
                    <w:tl2br w:val="nil"/>
                    <w:tr2bl w:val="nil"/>
                  </w:tcBorders>
                  <w:vAlign w:val="center"/>
                </w:tcPr>
                <w:p w14:paraId="1523309A">
                  <w:pPr>
                    <w:pStyle w:val="TableText"/>
                    <w:spacing w:before="145" w:line="231" w:lineRule="auto"/>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夜间</w:t>
                  </w:r>
                </w:p>
              </w:tc>
              <w:tc>
                <w:tcPr>
                  <w:tcW w:w="1049" w:type="pct"/>
                  <w:tcBorders>
                    <w:tl2br w:val="nil"/>
                    <w:tr2bl w:val="nil"/>
                  </w:tcBorders>
                  <w:vAlign w:val="center"/>
                </w:tcPr>
                <w:p w14:paraId="4D87C2CD">
                  <w:pPr>
                    <w:pStyle w:val="TableText"/>
                    <w:spacing w:before="145" w:line="231" w:lineRule="auto"/>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40</w:t>
                  </w:r>
                </w:p>
              </w:tc>
              <w:tc>
                <w:tcPr>
                  <w:tcW w:w="1061" w:type="pct"/>
                  <w:tcBorders>
                    <w:tl2br w:val="nil"/>
                    <w:tr2bl w:val="nil"/>
                  </w:tcBorders>
                  <w:vAlign w:val="center"/>
                </w:tcPr>
                <w:p w14:paraId="0EFEBF61">
                  <w:pPr>
                    <w:pStyle w:val="TableText"/>
                    <w:spacing w:before="145" w:line="231" w:lineRule="auto"/>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45</w:t>
                  </w:r>
                </w:p>
              </w:tc>
              <w:tc>
                <w:tcPr>
                  <w:tcW w:w="774" w:type="pct"/>
                  <w:tcBorders>
                    <w:tl2br w:val="nil"/>
                    <w:tr2bl w:val="nil"/>
                  </w:tcBorders>
                  <w:vAlign w:val="center"/>
                </w:tcPr>
                <w:p w14:paraId="1B104338">
                  <w:pPr>
                    <w:pStyle w:val="TableText"/>
                    <w:spacing w:before="145" w:line="231" w:lineRule="auto"/>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达标</w:t>
                  </w:r>
                </w:p>
              </w:tc>
            </w:tr>
            <w:tr w14:paraId="3C4849F5">
              <w:tblPrEx>
                <w:tblW w:w="4994" w:type="pct"/>
                <w:tblInd w:w="0" w:type="dxa"/>
                <w:tblCellMar>
                  <w:top w:w="0" w:type="dxa"/>
                  <w:left w:w="0" w:type="dxa"/>
                  <w:bottom w:w="0" w:type="dxa"/>
                  <w:right w:w="0" w:type="dxa"/>
                </w:tblCellMar>
              </w:tblPrEx>
              <w:trPr>
                <w:trHeight w:val="462"/>
              </w:trPr>
              <w:tc>
                <w:tcPr>
                  <w:tcW w:w="1166" w:type="pct"/>
                  <w:vMerge w:val="restart"/>
                  <w:tcBorders>
                    <w:tl2br w:val="nil"/>
                    <w:tr2bl w:val="nil"/>
                  </w:tcBorders>
                  <w:vAlign w:val="center"/>
                </w:tcPr>
                <w:p w14:paraId="23D60597">
                  <w:pPr>
                    <w:pStyle w:val="TableText"/>
                    <w:spacing w:before="145" w:line="231" w:lineRule="auto"/>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lang w:val="en-US" w:eastAsia="zh-CN"/>
                    </w:rPr>
                    <w:t>南侧厂界</w:t>
                  </w:r>
                </w:p>
              </w:tc>
              <w:tc>
                <w:tcPr>
                  <w:tcW w:w="948" w:type="pct"/>
                  <w:tcBorders>
                    <w:tl2br w:val="nil"/>
                    <w:tr2bl w:val="nil"/>
                  </w:tcBorders>
                  <w:vAlign w:val="center"/>
                </w:tcPr>
                <w:p w14:paraId="655FA103">
                  <w:pPr>
                    <w:pStyle w:val="TableText"/>
                    <w:spacing w:before="145" w:line="231" w:lineRule="auto"/>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rPr>
                    <w:t>昼间</w:t>
                  </w:r>
                </w:p>
              </w:tc>
              <w:tc>
                <w:tcPr>
                  <w:tcW w:w="1049" w:type="pct"/>
                  <w:tcBorders>
                    <w:tl2br w:val="nil"/>
                    <w:tr2bl w:val="nil"/>
                  </w:tcBorders>
                  <w:vAlign w:val="center"/>
                </w:tcPr>
                <w:p w14:paraId="6735DB13">
                  <w:pPr>
                    <w:pStyle w:val="TableText"/>
                    <w:spacing w:before="145" w:line="231" w:lineRule="auto"/>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42</w:t>
                  </w:r>
                </w:p>
              </w:tc>
              <w:tc>
                <w:tcPr>
                  <w:tcW w:w="1061" w:type="pct"/>
                  <w:tcBorders>
                    <w:tl2br w:val="nil"/>
                    <w:tr2bl w:val="nil"/>
                  </w:tcBorders>
                  <w:vAlign w:val="center"/>
                </w:tcPr>
                <w:p w14:paraId="083B5AB6">
                  <w:pPr>
                    <w:pStyle w:val="TableText"/>
                    <w:spacing w:before="145" w:line="231" w:lineRule="auto"/>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rPr>
                    <w:t>55</w:t>
                  </w:r>
                </w:p>
              </w:tc>
              <w:tc>
                <w:tcPr>
                  <w:tcW w:w="774" w:type="pct"/>
                  <w:tcBorders>
                    <w:tl2br w:val="nil"/>
                    <w:tr2bl w:val="nil"/>
                  </w:tcBorders>
                  <w:vAlign w:val="center"/>
                </w:tcPr>
                <w:p w14:paraId="36C5D1BC">
                  <w:pPr>
                    <w:pStyle w:val="TableText"/>
                    <w:spacing w:before="145" w:line="231" w:lineRule="auto"/>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rPr>
                    <w:t>达标</w:t>
                  </w:r>
                </w:p>
              </w:tc>
            </w:tr>
            <w:tr w14:paraId="7394372A">
              <w:tblPrEx>
                <w:tblW w:w="4994" w:type="pct"/>
                <w:tblInd w:w="0" w:type="dxa"/>
                <w:tblCellMar>
                  <w:top w:w="0" w:type="dxa"/>
                  <w:left w:w="0" w:type="dxa"/>
                  <w:bottom w:w="0" w:type="dxa"/>
                  <w:right w:w="0" w:type="dxa"/>
                </w:tblCellMar>
              </w:tblPrEx>
              <w:trPr>
                <w:trHeight w:val="510"/>
              </w:trPr>
              <w:tc>
                <w:tcPr>
                  <w:tcW w:w="1166" w:type="pct"/>
                  <w:vMerge/>
                  <w:tcBorders>
                    <w:tl2br w:val="nil"/>
                    <w:tr2bl w:val="nil"/>
                  </w:tcBorders>
                  <w:vAlign w:val="center"/>
                </w:tcPr>
                <w:p w14:paraId="5928A405">
                  <w:pPr>
                    <w:pStyle w:val="TableText"/>
                    <w:spacing w:before="145" w:line="231" w:lineRule="auto"/>
                    <w:jc w:val="center"/>
                    <w:rPr>
                      <w:rFonts w:ascii="Times New Roman" w:eastAsia="宋体" w:hAnsi="Times New Roman" w:cs="Times New Roman" w:hint="default"/>
                      <w:color w:val="auto"/>
                      <w:sz w:val="21"/>
                      <w:szCs w:val="21"/>
                    </w:rPr>
                  </w:pPr>
                </w:p>
              </w:tc>
              <w:tc>
                <w:tcPr>
                  <w:tcW w:w="948" w:type="pct"/>
                  <w:tcBorders>
                    <w:tl2br w:val="nil"/>
                    <w:tr2bl w:val="nil"/>
                  </w:tcBorders>
                  <w:vAlign w:val="center"/>
                </w:tcPr>
                <w:p w14:paraId="41EFCEE7">
                  <w:pPr>
                    <w:pStyle w:val="TableText"/>
                    <w:spacing w:before="145" w:line="231" w:lineRule="auto"/>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rPr>
                    <w:t>夜间</w:t>
                  </w:r>
                </w:p>
              </w:tc>
              <w:tc>
                <w:tcPr>
                  <w:tcW w:w="1049" w:type="pct"/>
                  <w:tcBorders>
                    <w:tl2br w:val="nil"/>
                    <w:tr2bl w:val="nil"/>
                  </w:tcBorders>
                  <w:vAlign w:val="center"/>
                </w:tcPr>
                <w:p w14:paraId="7ACE8223">
                  <w:pPr>
                    <w:pStyle w:val="TableText"/>
                    <w:spacing w:before="145" w:line="231" w:lineRule="auto"/>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41</w:t>
                  </w:r>
                </w:p>
              </w:tc>
              <w:tc>
                <w:tcPr>
                  <w:tcW w:w="1061" w:type="pct"/>
                  <w:tcBorders>
                    <w:tl2br w:val="nil"/>
                    <w:tr2bl w:val="nil"/>
                  </w:tcBorders>
                  <w:vAlign w:val="center"/>
                </w:tcPr>
                <w:p w14:paraId="2534DD78">
                  <w:pPr>
                    <w:pStyle w:val="TableText"/>
                    <w:spacing w:before="145" w:line="231" w:lineRule="auto"/>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rPr>
                    <w:t>45</w:t>
                  </w:r>
                </w:p>
              </w:tc>
              <w:tc>
                <w:tcPr>
                  <w:tcW w:w="774" w:type="pct"/>
                  <w:tcBorders>
                    <w:tl2br w:val="nil"/>
                    <w:tr2bl w:val="nil"/>
                  </w:tcBorders>
                  <w:vAlign w:val="center"/>
                </w:tcPr>
                <w:p w14:paraId="4C40C343">
                  <w:pPr>
                    <w:pStyle w:val="TableText"/>
                    <w:spacing w:before="145" w:line="231" w:lineRule="auto"/>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rPr>
                    <w:t>达标</w:t>
                  </w:r>
                </w:p>
              </w:tc>
            </w:tr>
            <w:tr w14:paraId="7EEFA8AA">
              <w:tblPrEx>
                <w:tblW w:w="4994" w:type="pct"/>
                <w:tblInd w:w="0" w:type="dxa"/>
                <w:tblCellMar>
                  <w:top w:w="0" w:type="dxa"/>
                  <w:left w:w="0" w:type="dxa"/>
                  <w:bottom w:w="0" w:type="dxa"/>
                  <w:right w:w="0" w:type="dxa"/>
                </w:tblCellMar>
              </w:tblPrEx>
              <w:trPr>
                <w:trHeight w:val="462"/>
              </w:trPr>
              <w:tc>
                <w:tcPr>
                  <w:tcW w:w="1166" w:type="pct"/>
                  <w:vMerge w:val="restart"/>
                  <w:tcBorders>
                    <w:tl2br w:val="nil"/>
                    <w:tr2bl w:val="nil"/>
                  </w:tcBorders>
                  <w:vAlign w:val="center"/>
                </w:tcPr>
                <w:p w14:paraId="569AD6FC">
                  <w:pPr>
                    <w:pStyle w:val="TableText"/>
                    <w:spacing w:before="145" w:line="231" w:lineRule="auto"/>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lang w:val="en-US" w:eastAsia="zh-CN"/>
                    </w:rPr>
                    <w:t>西侧厂界</w:t>
                  </w:r>
                </w:p>
              </w:tc>
              <w:tc>
                <w:tcPr>
                  <w:tcW w:w="948" w:type="pct"/>
                  <w:tcBorders>
                    <w:tl2br w:val="nil"/>
                    <w:tr2bl w:val="nil"/>
                  </w:tcBorders>
                  <w:vAlign w:val="center"/>
                </w:tcPr>
                <w:p w14:paraId="712D32E0">
                  <w:pPr>
                    <w:pStyle w:val="TableText"/>
                    <w:spacing w:before="145" w:line="231" w:lineRule="auto"/>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rPr>
                    <w:t>昼间</w:t>
                  </w:r>
                </w:p>
              </w:tc>
              <w:tc>
                <w:tcPr>
                  <w:tcW w:w="1049" w:type="pct"/>
                  <w:tcBorders>
                    <w:tl2br w:val="nil"/>
                    <w:tr2bl w:val="nil"/>
                  </w:tcBorders>
                  <w:vAlign w:val="center"/>
                </w:tcPr>
                <w:p w14:paraId="30DB4B31">
                  <w:pPr>
                    <w:pStyle w:val="TableText"/>
                    <w:spacing w:before="145" w:line="231" w:lineRule="auto"/>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41</w:t>
                  </w:r>
                </w:p>
              </w:tc>
              <w:tc>
                <w:tcPr>
                  <w:tcW w:w="1061" w:type="pct"/>
                  <w:tcBorders>
                    <w:tl2br w:val="nil"/>
                    <w:tr2bl w:val="nil"/>
                  </w:tcBorders>
                  <w:vAlign w:val="center"/>
                </w:tcPr>
                <w:p w14:paraId="19684A58">
                  <w:pPr>
                    <w:pStyle w:val="TableText"/>
                    <w:spacing w:before="145" w:line="231" w:lineRule="auto"/>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rPr>
                    <w:t>55</w:t>
                  </w:r>
                </w:p>
              </w:tc>
              <w:tc>
                <w:tcPr>
                  <w:tcW w:w="774" w:type="pct"/>
                  <w:tcBorders>
                    <w:tl2br w:val="nil"/>
                    <w:tr2bl w:val="nil"/>
                  </w:tcBorders>
                  <w:vAlign w:val="center"/>
                </w:tcPr>
                <w:p w14:paraId="7C2A25CF">
                  <w:pPr>
                    <w:pStyle w:val="TableText"/>
                    <w:spacing w:before="145" w:line="231" w:lineRule="auto"/>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rPr>
                    <w:t>达标</w:t>
                  </w:r>
                </w:p>
              </w:tc>
            </w:tr>
            <w:tr w14:paraId="3C42D7AB">
              <w:tblPrEx>
                <w:tblW w:w="4994" w:type="pct"/>
                <w:tblInd w:w="0" w:type="dxa"/>
                <w:tblCellMar>
                  <w:top w:w="0" w:type="dxa"/>
                  <w:left w:w="0" w:type="dxa"/>
                  <w:bottom w:w="0" w:type="dxa"/>
                  <w:right w:w="0" w:type="dxa"/>
                </w:tblCellMar>
              </w:tblPrEx>
              <w:trPr>
                <w:trHeight w:val="462"/>
              </w:trPr>
              <w:tc>
                <w:tcPr>
                  <w:tcW w:w="1166" w:type="pct"/>
                  <w:vMerge/>
                  <w:tcBorders>
                    <w:tl2br w:val="nil"/>
                    <w:tr2bl w:val="nil"/>
                  </w:tcBorders>
                  <w:vAlign w:val="center"/>
                </w:tcPr>
                <w:p w14:paraId="1EA029B7">
                  <w:pPr>
                    <w:pStyle w:val="TableText"/>
                    <w:spacing w:before="149" w:line="228" w:lineRule="auto"/>
                    <w:ind w:left="564"/>
                    <w:jc w:val="center"/>
                    <w:rPr>
                      <w:rFonts w:ascii="Times New Roman" w:eastAsia="宋体" w:hAnsi="Times New Roman" w:cs="Times New Roman" w:hint="default"/>
                      <w:color w:val="auto"/>
                      <w:spacing w:val="8"/>
                      <w:sz w:val="21"/>
                      <w:szCs w:val="21"/>
                      <w14:textOutline w14:w="3795" w14:cap="sq">
                        <w14:solidFill>
                          <w14:srgbClr w14:val="000000"/>
                        </w14:solidFill>
                        <w14:bevel/>
                      </w14:textOutline>
                    </w:rPr>
                  </w:pPr>
                </w:p>
              </w:tc>
              <w:tc>
                <w:tcPr>
                  <w:tcW w:w="948" w:type="pct"/>
                  <w:tcBorders>
                    <w:tl2br w:val="nil"/>
                    <w:tr2bl w:val="nil"/>
                  </w:tcBorders>
                  <w:vAlign w:val="center"/>
                </w:tcPr>
                <w:p w14:paraId="7707A777">
                  <w:pPr>
                    <w:pStyle w:val="TableText"/>
                    <w:spacing w:before="145" w:line="231" w:lineRule="auto"/>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rPr>
                    <w:t>夜间</w:t>
                  </w:r>
                </w:p>
              </w:tc>
              <w:tc>
                <w:tcPr>
                  <w:tcW w:w="1049" w:type="pct"/>
                  <w:tcBorders>
                    <w:tl2br w:val="nil"/>
                    <w:tr2bl w:val="nil"/>
                  </w:tcBorders>
                  <w:vAlign w:val="center"/>
                </w:tcPr>
                <w:p w14:paraId="56A4D92F">
                  <w:pPr>
                    <w:pStyle w:val="TableText"/>
                    <w:spacing w:before="145" w:line="231" w:lineRule="auto"/>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40</w:t>
                  </w:r>
                </w:p>
              </w:tc>
              <w:tc>
                <w:tcPr>
                  <w:tcW w:w="1061" w:type="pct"/>
                  <w:tcBorders>
                    <w:tl2br w:val="nil"/>
                    <w:tr2bl w:val="nil"/>
                  </w:tcBorders>
                  <w:vAlign w:val="center"/>
                </w:tcPr>
                <w:p w14:paraId="6DA9602A">
                  <w:pPr>
                    <w:pStyle w:val="TableText"/>
                    <w:spacing w:before="145" w:line="231" w:lineRule="auto"/>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rPr>
                    <w:t>45</w:t>
                  </w:r>
                </w:p>
              </w:tc>
              <w:tc>
                <w:tcPr>
                  <w:tcW w:w="774" w:type="pct"/>
                  <w:tcBorders>
                    <w:tl2br w:val="nil"/>
                    <w:tr2bl w:val="nil"/>
                  </w:tcBorders>
                  <w:vAlign w:val="center"/>
                </w:tcPr>
                <w:p w14:paraId="5867857A">
                  <w:pPr>
                    <w:pStyle w:val="TableText"/>
                    <w:spacing w:before="145" w:line="231" w:lineRule="auto"/>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rPr>
                    <w:t>达标</w:t>
                  </w:r>
                </w:p>
              </w:tc>
            </w:tr>
            <w:tr w14:paraId="421BA78E">
              <w:tblPrEx>
                <w:tblW w:w="4994" w:type="pct"/>
                <w:tblInd w:w="0" w:type="dxa"/>
                <w:tblCellMar>
                  <w:top w:w="0" w:type="dxa"/>
                  <w:left w:w="0" w:type="dxa"/>
                  <w:bottom w:w="0" w:type="dxa"/>
                  <w:right w:w="0" w:type="dxa"/>
                </w:tblCellMar>
              </w:tblPrEx>
              <w:trPr>
                <w:trHeight w:val="462"/>
              </w:trPr>
              <w:tc>
                <w:tcPr>
                  <w:tcW w:w="1166" w:type="pct"/>
                  <w:vMerge w:val="restart"/>
                  <w:tcBorders>
                    <w:tl2br w:val="nil"/>
                    <w:tr2bl w:val="nil"/>
                  </w:tcBorders>
                  <w:vAlign w:val="center"/>
                </w:tcPr>
                <w:p w14:paraId="4596B7D3">
                  <w:pPr>
                    <w:pStyle w:val="TableText"/>
                    <w:spacing w:before="149" w:line="228" w:lineRule="auto"/>
                    <w:jc w:val="center"/>
                    <w:rPr>
                      <w:rFonts w:ascii="Times New Roman" w:eastAsia="宋体" w:hAnsi="Times New Roman" w:cs="Times New Roman" w:hint="default"/>
                      <w:color w:val="auto"/>
                      <w:spacing w:val="8"/>
                      <w:sz w:val="21"/>
                      <w:szCs w:val="21"/>
                      <w14:textOutline w14:w="3795" w14:cap="sq">
                        <w14:solidFill>
                          <w14:srgbClr w14:val="000000"/>
                        </w14:solidFill>
                        <w14:bevel/>
                      </w14:textOutline>
                    </w:rPr>
                  </w:pPr>
                  <w:r>
                    <w:rPr>
                      <w:rFonts w:ascii="Times New Roman" w:eastAsia="宋体" w:hAnsi="Times New Roman" w:cs="Times New Roman" w:hint="default"/>
                      <w:color w:val="auto"/>
                      <w:sz w:val="21"/>
                      <w:szCs w:val="21"/>
                      <w:lang w:val="en-US" w:eastAsia="zh-CN"/>
                    </w:rPr>
                    <w:t>北侧厂界</w:t>
                  </w:r>
                </w:p>
              </w:tc>
              <w:tc>
                <w:tcPr>
                  <w:tcW w:w="948" w:type="pct"/>
                  <w:tcBorders>
                    <w:tl2br w:val="nil"/>
                    <w:tr2bl w:val="nil"/>
                  </w:tcBorders>
                  <w:vAlign w:val="center"/>
                </w:tcPr>
                <w:p w14:paraId="61138675">
                  <w:pPr>
                    <w:pStyle w:val="TableText"/>
                    <w:spacing w:before="145" w:line="231" w:lineRule="auto"/>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rPr>
                    <w:t>昼间</w:t>
                  </w:r>
                </w:p>
              </w:tc>
              <w:tc>
                <w:tcPr>
                  <w:tcW w:w="1049" w:type="pct"/>
                  <w:tcBorders>
                    <w:tl2br w:val="nil"/>
                    <w:tr2bl w:val="nil"/>
                  </w:tcBorders>
                  <w:vAlign w:val="center"/>
                </w:tcPr>
                <w:p w14:paraId="46C2CAF3">
                  <w:pPr>
                    <w:pStyle w:val="TableText"/>
                    <w:spacing w:before="145" w:line="231" w:lineRule="auto"/>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41</w:t>
                  </w:r>
                </w:p>
              </w:tc>
              <w:tc>
                <w:tcPr>
                  <w:tcW w:w="1061" w:type="pct"/>
                  <w:tcBorders>
                    <w:tl2br w:val="nil"/>
                    <w:tr2bl w:val="nil"/>
                  </w:tcBorders>
                  <w:vAlign w:val="center"/>
                </w:tcPr>
                <w:p w14:paraId="27B0F027">
                  <w:pPr>
                    <w:pStyle w:val="TableText"/>
                    <w:spacing w:before="145" w:line="231" w:lineRule="auto"/>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rPr>
                    <w:t>55</w:t>
                  </w:r>
                </w:p>
              </w:tc>
              <w:tc>
                <w:tcPr>
                  <w:tcW w:w="774" w:type="pct"/>
                  <w:tcBorders>
                    <w:tl2br w:val="nil"/>
                    <w:tr2bl w:val="nil"/>
                  </w:tcBorders>
                  <w:vAlign w:val="center"/>
                </w:tcPr>
                <w:p w14:paraId="40A03A4B">
                  <w:pPr>
                    <w:pStyle w:val="TableText"/>
                    <w:spacing w:before="145" w:line="231" w:lineRule="auto"/>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rPr>
                    <w:t>达标</w:t>
                  </w:r>
                </w:p>
              </w:tc>
            </w:tr>
            <w:tr w14:paraId="30A6E429">
              <w:tblPrEx>
                <w:tblW w:w="4994" w:type="pct"/>
                <w:tblInd w:w="0" w:type="dxa"/>
                <w:tblCellMar>
                  <w:top w:w="0" w:type="dxa"/>
                  <w:left w:w="0" w:type="dxa"/>
                  <w:bottom w:w="0" w:type="dxa"/>
                  <w:right w:w="0" w:type="dxa"/>
                </w:tblCellMar>
              </w:tblPrEx>
              <w:trPr>
                <w:trHeight w:val="462"/>
              </w:trPr>
              <w:tc>
                <w:tcPr>
                  <w:tcW w:w="1166" w:type="pct"/>
                  <w:vMerge/>
                  <w:tcBorders>
                    <w:tl2br w:val="nil"/>
                    <w:tr2bl w:val="nil"/>
                  </w:tcBorders>
                  <w:vAlign w:val="center"/>
                </w:tcPr>
                <w:p w14:paraId="73479F1E">
                  <w:pPr>
                    <w:jc w:val="center"/>
                    <w:rPr>
                      <w:rFonts w:ascii="Times New Roman" w:eastAsia="宋体" w:hAnsi="Times New Roman" w:cs="Times New Roman" w:hint="default"/>
                      <w:color w:val="auto"/>
                      <w:sz w:val="21"/>
                      <w:szCs w:val="21"/>
                    </w:rPr>
                  </w:pPr>
                </w:p>
              </w:tc>
              <w:tc>
                <w:tcPr>
                  <w:tcW w:w="948" w:type="pct"/>
                  <w:tcBorders>
                    <w:tl2br w:val="nil"/>
                    <w:tr2bl w:val="nil"/>
                  </w:tcBorders>
                  <w:vAlign w:val="center"/>
                </w:tcPr>
                <w:p w14:paraId="34B958BA">
                  <w:pPr>
                    <w:pStyle w:val="TableText"/>
                    <w:spacing w:before="145" w:line="231" w:lineRule="auto"/>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rPr>
                    <w:t>夜间</w:t>
                  </w:r>
                </w:p>
              </w:tc>
              <w:tc>
                <w:tcPr>
                  <w:tcW w:w="1049" w:type="pct"/>
                  <w:tcBorders>
                    <w:tl2br w:val="nil"/>
                    <w:tr2bl w:val="nil"/>
                  </w:tcBorders>
                  <w:vAlign w:val="center"/>
                </w:tcPr>
                <w:p w14:paraId="4BB53E42">
                  <w:pPr>
                    <w:pStyle w:val="TableText"/>
                    <w:spacing w:before="145" w:line="231" w:lineRule="auto"/>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40</w:t>
                  </w:r>
                </w:p>
              </w:tc>
              <w:tc>
                <w:tcPr>
                  <w:tcW w:w="1061" w:type="pct"/>
                  <w:tcBorders>
                    <w:tl2br w:val="nil"/>
                    <w:tr2bl w:val="nil"/>
                  </w:tcBorders>
                  <w:vAlign w:val="center"/>
                </w:tcPr>
                <w:p w14:paraId="5BF60FC2">
                  <w:pPr>
                    <w:pStyle w:val="TableText"/>
                    <w:spacing w:before="145" w:line="231" w:lineRule="auto"/>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rPr>
                    <w:t>45</w:t>
                  </w:r>
                </w:p>
              </w:tc>
              <w:tc>
                <w:tcPr>
                  <w:tcW w:w="774" w:type="pct"/>
                  <w:tcBorders>
                    <w:tl2br w:val="nil"/>
                    <w:tr2bl w:val="nil"/>
                  </w:tcBorders>
                  <w:vAlign w:val="center"/>
                </w:tcPr>
                <w:p w14:paraId="19112967">
                  <w:pPr>
                    <w:pStyle w:val="TableText"/>
                    <w:spacing w:before="145" w:line="231" w:lineRule="auto"/>
                    <w:jc w:val="center"/>
                    <w:rPr>
                      <w:rFonts w:ascii="Times New Roman" w:eastAsia="宋体" w:hAnsi="Times New Roman" w:cs="Times New Roman" w:hint="default"/>
                      <w:color w:val="auto"/>
                      <w:sz w:val="21"/>
                      <w:szCs w:val="21"/>
                      <w:lang w:val="en-US" w:eastAsia="en-US"/>
                    </w:rPr>
                  </w:pPr>
                  <w:r>
                    <w:rPr>
                      <w:rFonts w:ascii="Times New Roman" w:eastAsia="宋体" w:hAnsi="Times New Roman" w:cs="Times New Roman" w:hint="default"/>
                      <w:color w:val="auto"/>
                      <w:sz w:val="21"/>
                      <w:szCs w:val="21"/>
                    </w:rPr>
                    <w:t>达标</w:t>
                  </w:r>
                </w:p>
              </w:tc>
            </w:tr>
          </w:tbl>
          <w:p w14:paraId="4925EA3B">
            <w:pPr>
              <w:spacing w:line="360" w:lineRule="auto"/>
              <w:ind w:left="-105" w:right="-105" w:firstLine="480" w:leftChars="-50" w:rightChars="-50" w:firstLineChars="200"/>
              <w:rPr>
                <w:rFonts w:ascii="Times New Roman" w:eastAsia="宋体" w:hAnsi="Times New Roman" w:cs="Times New Roman" w:hint="default"/>
                <w:color w:val="auto"/>
                <w:kern w:val="0"/>
                <w:sz w:val="24"/>
                <w:lang w:val="en-US" w:eastAsia="zh-CN"/>
              </w:rPr>
            </w:pPr>
            <w:r>
              <w:rPr>
                <w:rFonts w:ascii="Times New Roman" w:eastAsia="宋体" w:hAnsi="Times New Roman" w:cs="Times New Roman" w:hint="default"/>
                <w:color w:val="auto"/>
                <w:kern w:val="0"/>
                <w:sz w:val="24"/>
                <w:lang w:val="en-US" w:eastAsia="zh-CN"/>
              </w:rPr>
              <w:t>由上表可知，项目声环境质量现状满足《声环境质量标准》（GB3096-2008）1类区标准。</w:t>
            </w:r>
          </w:p>
          <w:p w14:paraId="4081DF76">
            <w:pPr>
              <w:pStyle w:val="1"/>
              <w:spacing w:line="360" w:lineRule="auto"/>
              <w:ind w:firstLine="482"/>
              <w:jc w:val="left"/>
              <w:rPr>
                <w:rFonts w:ascii="Times New Roman" w:eastAsia="宋体" w:hAnsi="Times New Roman" w:cs="Times New Roman" w:hint="default"/>
                <w:b/>
                <w:bCs/>
                <w:color w:val="auto"/>
                <w:sz w:val="24"/>
                <w:szCs w:val="24"/>
                <w:lang w:val="en-US" w:eastAsia="zh-CN"/>
              </w:rPr>
            </w:pPr>
            <w:r>
              <w:rPr>
                <w:rFonts w:ascii="Times New Roman" w:eastAsia="宋体" w:hAnsi="Times New Roman" w:cs="Times New Roman" w:hint="default"/>
                <w:b/>
                <w:bCs/>
                <w:color w:val="auto"/>
                <w:sz w:val="24"/>
                <w:szCs w:val="24"/>
                <w:lang w:val="en-US" w:eastAsia="zh-CN"/>
              </w:rPr>
              <w:t>7、电磁环境</w:t>
            </w:r>
          </w:p>
          <w:p w14:paraId="7D9251F9">
            <w:pPr>
              <w:pStyle w:val="0715"/>
              <w:bidi w:val="0"/>
              <w:rPr>
                <w:rFonts w:hint="default"/>
                <w:color w:val="auto"/>
              </w:rPr>
            </w:pPr>
            <w:r>
              <w:rPr>
                <w:rFonts w:hint="default"/>
                <w:color w:val="auto"/>
              </w:rPr>
              <w:t>本项目</w:t>
            </w:r>
            <w:r>
              <w:rPr>
                <w:rFonts w:hint="default"/>
                <w:color w:val="auto"/>
                <w:lang w:val="en-US" w:eastAsia="zh-CN"/>
              </w:rPr>
              <w:t>储能站内</w:t>
            </w:r>
            <w:r>
              <w:rPr>
                <w:rFonts w:hint="default"/>
                <w:color w:val="auto"/>
              </w:rPr>
              <w:t>拟新建220kV升压站一座，根据现场踏勘结果可知：拟建</w:t>
            </w:r>
            <w:r>
              <w:rPr>
                <w:rFonts w:hint="default"/>
                <w:color w:val="auto"/>
                <w:lang w:val="en-US" w:eastAsia="zh-CN"/>
              </w:rPr>
              <w:t>储能站周边40m</w:t>
            </w:r>
            <w:r>
              <w:rPr>
                <w:rFonts w:hint="default"/>
                <w:color w:val="auto"/>
              </w:rPr>
              <w:t>不存在电磁环境敏感目标，根据《环境影响评价技术导则 输变电》（HJ 24-2020）第6.3.</w:t>
            </w:r>
            <w:r>
              <w:rPr>
                <w:rFonts w:hint="default"/>
                <w:color w:val="auto"/>
                <w:lang w:eastAsia="zh-CN"/>
              </w:rPr>
              <w:t>两款</w:t>
            </w:r>
            <w:r>
              <w:rPr>
                <w:rFonts w:hint="default"/>
                <w:color w:val="auto"/>
              </w:rPr>
              <w:t>，监测点位主要在站址</w:t>
            </w:r>
            <w:r>
              <w:rPr>
                <w:rFonts w:hint="default"/>
                <w:color w:val="auto"/>
                <w:lang w:val="en-US" w:eastAsia="zh-CN"/>
              </w:rPr>
              <w:t>周边</w:t>
            </w:r>
            <w:r>
              <w:rPr>
                <w:rFonts w:hint="default"/>
                <w:color w:val="auto"/>
              </w:rPr>
              <w:t>。</w:t>
            </w:r>
          </w:p>
          <w:p w14:paraId="1EFC999D">
            <w:pPr>
              <w:pStyle w:val="0715"/>
              <w:bidi w:val="0"/>
              <w:rPr>
                <w:rFonts w:hint="default"/>
                <w:color w:val="auto"/>
              </w:rPr>
            </w:pPr>
            <w:r>
              <w:rPr>
                <w:rFonts w:hint="default"/>
                <w:color w:val="auto"/>
              </w:rPr>
              <w:t>委托</w:t>
            </w:r>
            <w:r>
              <w:rPr>
                <w:rFonts w:hint="default"/>
                <w:color w:val="auto"/>
                <w:lang w:val="en-US" w:eastAsia="zh-CN"/>
              </w:rPr>
              <w:t>监测单位</w:t>
            </w:r>
            <w:r>
              <w:rPr>
                <w:rFonts w:hint="default"/>
                <w:color w:val="auto"/>
              </w:rPr>
              <w:t>于202</w:t>
            </w:r>
            <w:r>
              <w:rPr>
                <w:rFonts w:hint="default"/>
                <w:color w:val="auto"/>
                <w:lang w:val="en-US" w:eastAsia="zh-CN"/>
              </w:rPr>
              <w:t>4</w:t>
            </w:r>
            <w:r>
              <w:rPr>
                <w:rFonts w:hint="default"/>
                <w:color w:val="auto"/>
              </w:rPr>
              <w:t>年</w:t>
            </w:r>
            <w:r>
              <w:rPr>
                <w:rFonts w:hint="default"/>
                <w:color w:val="auto"/>
                <w:lang w:val="en-US" w:eastAsia="zh-CN"/>
              </w:rPr>
              <w:t>1</w:t>
            </w:r>
            <w:r>
              <w:rPr>
                <w:rFonts w:hint="default"/>
                <w:color w:val="auto"/>
              </w:rPr>
              <w:t>月1</w:t>
            </w:r>
            <w:r>
              <w:rPr>
                <w:rFonts w:hint="default"/>
                <w:color w:val="auto"/>
                <w:lang w:val="en-US" w:eastAsia="zh-CN"/>
              </w:rPr>
              <w:t>7</w:t>
            </w:r>
            <w:r>
              <w:rPr>
                <w:rFonts w:hint="default"/>
                <w:color w:val="auto"/>
              </w:rPr>
              <w:t>日对本项目进行了工频电场强度和工频磁感应强度监测。</w:t>
            </w:r>
          </w:p>
          <w:p w14:paraId="113B3399">
            <w:pPr>
              <w:spacing w:before="180" w:line="219" w:lineRule="auto"/>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3"/>
                <w:sz w:val="24"/>
                <w:szCs w:val="24"/>
              </w:rPr>
              <w:t>（1）监测因子及频次</w:t>
            </w:r>
          </w:p>
          <w:p w14:paraId="42F226EC">
            <w:pPr>
              <w:spacing w:before="183" w:line="217" w:lineRule="auto"/>
              <w:ind w:left="601"/>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2"/>
                <w:sz w:val="24"/>
                <w:szCs w:val="24"/>
              </w:rPr>
              <w:t>①监测因子</w:t>
            </w:r>
          </w:p>
          <w:p w14:paraId="2B6962D9">
            <w:pPr>
              <w:spacing w:before="183" w:line="220" w:lineRule="auto"/>
              <w:ind w:left="605"/>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1"/>
                <w:sz w:val="24"/>
                <w:szCs w:val="24"/>
              </w:rPr>
              <w:t>工频电场强度、工频磁感应强度</w:t>
            </w:r>
          </w:p>
          <w:p w14:paraId="55F45663">
            <w:pPr>
              <w:spacing w:before="183" w:line="217" w:lineRule="auto"/>
              <w:ind w:left="600"/>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2"/>
                <w:sz w:val="24"/>
                <w:szCs w:val="24"/>
              </w:rPr>
              <w:t>②监测频次</w:t>
            </w:r>
          </w:p>
          <w:p w14:paraId="5DDF99D4">
            <w:pPr>
              <w:spacing w:before="186" w:line="219" w:lineRule="auto"/>
              <w:ind w:left="605"/>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1"/>
                <w:sz w:val="24"/>
                <w:szCs w:val="24"/>
              </w:rPr>
              <w:t>工频电场强度、工频磁感应强度：1次</w:t>
            </w:r>
          </w:p>
          <w:p w14:paraId="00712E51">
            <w:pPr>
              <w:spacing w:before="180" w:line="219" w:lineRule="auto"/>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3"/>
                <w:sz w:val="24"/>
                <w:szCs w:val="24"/>
              </w:rPr>
              <w:t>（2）监测布点</w:t>
            </w:r>
          </w:p>
          <w:p w14:paraId="4D174073">
            <w:pPr>
              <w:spacing w:before="184" w:line="217" w:lineRule="auto"/>
              <w:ind w:left="601"/>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2"/>
                <w:sz w:val="24"/>
                <w:szCs w:val="24"/>
              </w:rPr>
              <w:t>①布点原则</w:t>
            </w:r>
          </w:p>
          <w:p w14:paraId="6C21602D">
            <w:pPr>
              <w:spacing w:before="186" w:line="219" w:lineRule="auto"/>
              <w:ind w:firstLine="480" w:firstLineChars="200"/>
              <w:rPr>
                <w:rFonts w:ascii="Times New Roman" w:eastAsia="宋体" w:hAnsi="Times New Roman" w:cs="Times New Roman" w:hint="default"/>
                <w:color w:val="auto"/>
                <w:spacing w:val="-1"/>
                <w:sz w:val="24"/>
                <w:szCs w:val="24"/>
              </w:rPr>
            </w:pPr>
            <w:r>
              <w:rPr>
                <w:rFonts w:ascii="Times New Roman" w:eastAsia="宋体" w:hAnsi="Times New Roman" w:cs="Times New Roman" w:hint="default"/>
                <w:color w:val="auto"/>
                <w:spacing w:val="-1"/>
                <w:sz w:val="24"/>
                <w:szCs w:val="24"/>
              </w:rPr>
              <w:t>根据《环境影响评价技术导则 输变电》（HJ24-2020）要求，在</w:t>
            </w:r>
            <w:r>
              <w:rPr>
                <w:rFonts w:ascii="Times New Roman" w:eastAsia="宋体" w:hAnsi="Times New Roman" w:cs="Times New Roman" w:hint="default"/>
                <w:color w:val="auto"/>
                <w:spacing w:val="-1"/>
                <w:sz w:val="24"/>
                <w:szCs w:val="24"/>
                <w:lang w:val="en-US" w:eastAsia="zh-CN"/>
              </w:rPr>
              <w:t>储能站</w:t>
            </w:r>
            <w:r>
              <w:rPr>
                <w:rFonts w:ascii="Times New Roman" w:eastAsia="宋体" w:hAnsi="Times New Roman" w:cs="Times New Roman" w:hint="default"/>
                <w:color w:val="auto"/>
                <w:spacing w:val="-1"/>
                <w:sz w:val="24"/>
                <w:szCs w:val="24"/>
              </w:rPr>
              <w:t>四周布置电磁监测点。</w:t>
            </w:r>
          </w:p>
          <w:p w14:paraId="6E9E93C2">
            <w:pPr>
              <w:spacing w:before="179" w:line="217" w:lineRule="auto"/>
              <w:ind w:left="600"/>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2"/>
                <w:sz w:val="24"/>
                <w:szCs w:val="24"/>
              </w:rPr>
              <w:t>②监测点位</w:t>
            </w:r>
          </w:p>
          <w:p w14:paraId="56C0094D">
            <w:pPr>
              <w:pStyle w:val="0000"/>
              <w:bidi w:val="0"/>
              <w:rPr>
                <w:rFonts w:ascii="Times New Roman" w:eastAsia="宋体" w:hAnsi="Times New Roman" w:cs="Times New Roman" w:hint="default"/>
                <w:color w:val="auto"/>
              </w:rPr>
            </w:pPr>
            <w:r>
              <w:rPr>
                <w:rFonts w:ascii="Times New Roman" w:eastAsia="宋体" w:hAnsi="Times New Roman" w:cs="Times New Roman" w:hint="default"/>
                <w:color w:val="auto"/>
              </w:rPr>
              <w:t>本项目周围</w:t>
            </w:r>
            <w:r>
              <w:rPr>
                <w:rFonts w:ascii="Times New Roman" w:eastAsia="宋体" w:hAnsi="Times New Roman" w:cs="Times New Roman" w:hint="default"/>
                <w:color w:val="auto"/>
                <w:lang w:val="en-US" w:eastAsia="zh-CN"/>
              </w:rPr>
              <w:t>40m内</w:t>
            </w:r>
            <w:r>
              <w:rPr>
                <w:rFonts w:ascii="Times New Roman" w:eastAsia="宋体" w:hAnsi="Times New Roman" w:cs="Times New Roman" w:hint="default"/>
                <w:color w:val="auto"/>
              </w:rPr>
              <w:t>不存在电磁环境敏感目标，故在升压站站址四周各布设监测点位，共设置4个监测点位。</w:t>
            </w:r>
          </w:p>
          <w:p w14:paraId="5BA853FB">
            <w:pPr>
              <w:spacing w:before="182" w:line="217" w:lineRule="auto"/>
              <w:ind w:left="600"/>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2"/>
                <w:sz w:val="24"/>
                <w:szCs w:val="24"/>
              </w:rPr>
              <w:t>③监测设备</w:t>
            </w:r>
          </w:p>
          <w:p w14:paraId="61CC530C">
            <w:pPr>
              <w:pStyle w:val="0000"/>
              <w:bidi w:val="0"/>
              <w:rPr>
                <w:rFonts w:ascii="Times New Roman" w:eastAsia="宋体" w:hAnsi="Times New Roman" w:cs="Times New Roman" w:hint="default"/>
                <w:color w:val="auto"/>
              </w:rPr>
            </w:pPr>
            <w:r>
              <w:rPr>
                <w:rFonts w:ascii="Times New Roman" w:eastAsia="宋体" w:hAnsi="Times New Roman" w:cs="Times New Roman" w:hint="default"/>
                <w:color w:val="auto"/>
              </w:rPr>
              <w:t>工频电场强度、工频磁感应强度测量仪器说明见</w:t>
            </w:r>
            <w:r>
              <w:rPr>
                <w:rFonts w:ascii="Times New Roman" w:hAnsi="Times New Roman" w:cs="Times New Roman" w:hint="eastAsia"/>
                <w:color w:val="auto"/>
                <w:lang w:val="en-US" w:eastAsia="zh-CN"/>
              </w:rPr>
              <w:t>下表</w:t>
            </w:r>
            <w:r>
              <w:rPr>
                <w:rFonts w:ascii="Times New Roman" w:eastAsia="宋体" w:hAnsi="Times New Roman" w:cs="Times New Roman" w:hint="default"/>
                <w:color w:val="auto"/>
              </w:rPr>
              <w:t>。</w:t>
            </w:r>
          </w:p>
          <w:p w14:paraId="6EB1E16E">
            <w:pPr>
              <w:spacing w:before="176" w:line="224" w:lineRule="auto"/>
              <w:jc w:val="center"/>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8"/>
                <w:sz w:val="24"/>
                <w:szCs w:val="24"/>
                <w14:textOutline w14:w="3795" w14:cap="sq">
                  <w14:solidFill>
                    <w14:srgbClr w14:val="000000"/>
                  </w14:solidFill>
                  <w14:bevel/>
                </w14:textOutline>
              </w:rPr>
              <w:t>表</w:t>
            </w:r>
            <w:r>
              <w:rPr>
                <w:rFonts w:ascii="Times New Roman" w:eastAsia="宋体" w:hAnsi="Times New Roman" w:cs="Times New Roman" w:hint="default"/>
                <w:color w:val="auto"/>
                <w:spacing w:val="8"/>
                <w:sz w:val="24"/>
                <w:szCs w:val="24"/>
                <w:lang w:val="en-US" w:eastAsia="zh-CN"/>
                <w14:textOutline w14:w="3795" w14:cap="sq">
                  <w14:solidFill>
                    <w14:srgbClr w14:val="000000"/>
                  </w14:solidFill>
                  <w14:bevel/>
                </w14:textOutline>
              </w:rPr>
              <w:t>3</w:t>
            </w:r>
            <w:r>
              <w:rPr>
                <w:rFonts w:ascii="Times New Roman" w:hAnsi="Times New Roman" w:cs="Times New Roman" w:hint="eastAsia"/>
                <w:color w:val="auto"/>
                <w:spacing w:val="8"/>
                <w:sz w:val="24"/>
                <w:szCs w:val="24"/>
                <w:lang w:val="en-US" w:eastAsia="zh-CN"/>
                <w14:textOutline w14:w="3795" w14:cap="sq">
                  <w14:solidFill>
                    <w14:srgbClr w14:val="000000"/>
                  </w14:solidFill>
                  <w14:bevel/>
                </w14:textOutline>
              </w:rPr>
              <w:t>-3</w:t>
            </w:r>
            <w:r>
              <w:rPr>
                <w:rFonts w:ascii="Times New Roman" w:eastAsia="宋体" w:hAnsi="Times New Roman" w:cs="Times New Roman" w:hint="default"/>
                <w:b/>
                <w:bCs/>
                <w:color w:val="auto"/>
                <w:spacing w:val="8"/>
                <w:sz w:val="24"/>
                <w:szCs w:val="24"/>
              </w:rPr>
              <w:t xml:space="preserve">   </w:t>
            </w:r>
            <w:r>
              <w:rPr>
                <w:rFonts w:ascii="Times New Roman" w:eastAsia="宋体" w:hAnsi="Times New Roman" w:cs="Times New Roman" w:hint="default"/>
                <w:color w:val="auto"/>
                <w:spacing w:val="8"/>
                <w:sz w:val="24"/>
                <w:szCs w:val="24"/>
                <w14:textOutline w14:w="3795" w14:cap="sq">
                  <w14:solidFill>
                    <w14:srgbClr w14:val="000000"/>
                  </w14:solidFill>
                  <w14:bevel/>
                </w14:textOutline>
              </w:rPr>
              <w:t>工频电场、磁场测量仪器情况一览表</w:t>
            </w:r>
          </w:p>
          <w:tbl>
            <w:tblPr>
              <w:tblStyle w:val="TableNormal0"/>
              <w:tblW w:w="500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3316"/>
              <w:gridCol w:w="5078"/>
            </w:tblGrid>
            <w:tr w14:paraId="452D6AAE">
              <w:tblPrEx>
                <w:tblW w:w="500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403"/>
              </w:trPr>
              <w:tc>
                <w:tcPr>
                  <w:tcW w:w="5000" w:type="pct"/>
                  <w:gridSpan w:val="2"/>
                  <w:tcBorders>
                    <w:tl2br w:val="nil"/>
                    <w:tr2bl w:val="nil"/>
                  </w:tcBorders>
                  <w:vAlign w:val="center"/>
                </w:tcPr>
                <w:p w14:paraId="63C83D7D">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场强</w:t>
                  </w:r>
                  <w:r>
                    <w:rPr>
                      <w:rFonts w:ascii="Times New Roman" w:eastAsia="宋体" w:hAnsi="Times New Roman" w:cs="Times New Roman" w:hint="default"/>
                      <w:color w:val="auto"/>
                      <w:lang w:val="en-US" w:eastAsia="zh-CN"/>
                    </w:rPr>
                    <w:t>分析</w:t>
                  </w:r>
                  <w:r>
                    <w:rPr>
                      <w:rFonts w:ascii="Times New Roman" w:eastAsia="宋体" w:hAnsi="Times New Roman" w:cs="Times New Roman" w:hint="default"/>
                      <w:color w:val="auto"/>
                    </w:rPr>
                    <w:t>仪，用于工频电场、工频磁感应强度监测</w:t>
                  </w:r>
                </w:p>
              </w:tc>
            </w:tr>
            <w:tr w14:paraId="4CF1AD4B">
              <w:tblPrEx>
                <w:tblW w:w="5006" w:type="pct"/>
                <w:tblInd w:w="0" w:type="dxa"/>
                <w:tblCellMar>
                  <w:top w:w="0" w:type="dxa"/>
                  <w:left w:w="0" w:type="dxa"/>
                  <w:bottom w:w="0" w:type="dxa"/>
                  <w:right w:w="0" w:type="dxa"/>
                </w:tblCellMar>
              </w:tblPrEx>
              <w:trPr>
                <w:trHeight w:val="398"/>
              </w:trPr>
              <w:tc>
                <w:tcPr>
                  <w:tcW w:w="1975" w:type="pct"/>
                  <w:tcBorders>
                    <w:tl2br w:val="nil"/>
                    <w:tr2bl w:val="nil"/>
                  </w:tcBorders>
                  <w:vAlign w:val="center"/>
                </w:tcPr>
                <w:p w14:paraId="04F69BF3">
                  <w:pPr>
                    <w:pStyle w:val="R-"/>
                    <w:bidi w:val="0"/>
                    <w:jc w:val="center"/>
                    <w:rPr>
                      <w:rFonts w:ascii="Times New Roman" w:eastAsia="宋体" w:hAnsi="Times New Roman" w:cs="Times New Roman" w:hint="default"/>
                      <w:color w:val="auto"/>
                      <w:lang w:eastAsia="zh-CN"/>
                    </w:rPr>
                  </w:pPr>
                  <w:r>
                    <w:rPr>
                      <w:rFonts w:ascii="Times New Roman" w:eastAsia="宋体" w:hAnsi="Times New Roman" w:cs="Times New Roman" w:hint="default"/>
                      <w:color w:val="auto"/>
                    </w:rPr>
                    <w:t>仪器</w:t>
                  </w:r>
                  <w:r>
                    <w:rPr>
                      <w:rFonts w:ascii="Times New Roman" w:eastAsia="宋体" w:hAnsi="Times New Roman" w:cs="Times New Roman" w:hint="default"/>
                      <w:color w:val="auto"/>
                      <w:lang w:val="en-US" w:eastAsia="zh-CN"/>
                    </w:rPr>
                    <w:t>型号</w:t>
                  </w:r>
                </w:p>
              </w:tc>
              <w:tc>
                <w:tcPr>
                  <w:tcW w:w="3024" w:type="pct"/>
                  <w:tcBorders>
                    <w:tl2br w:val="nil"/>
                    <w:tr2bl w:val="nil"/>
                  </w:tcBorders>
                  <w:vAlign w:val="center"/>
                </w:tcPr>
                <w:p w14:paraId="00BACDB0">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KH5931/KH-T1</w:t>
                  </w:r>
                </w:p>
              </w:tc>
            </w:tr>
            <w:tr w14:paraId="494F3D15">
              <w:tblPrEx>
                <w:tblW w:w="5006" w:type="pct"/>
                <w:tblInd w:w="0" w:type="dxa"/>
                <w:tblCellMar>
                  <w:top w:w="0" w:type="dxa"/>
                  <w:left w:w="0" w:type="dxa"/>
                  <w:bottom w:w="0" w:type="dxa"/>
                  <w:right w:w="0" w:type="dxa"/>
                </w:tblCellMar>
              </w:tblPrEx>
              <w:trPr>
                <w:trHeight w:val="399"/>
              </w:trPr>
              <w:tc>
                <w:tcPr>
                  <w:tcW w:w="1975" w:type="pct"/>
                  <w:tcBorders>
                    <w:tl2br w:val="nil"/>
                    <w:tr2bl w:val="nil"/>
                  </w:tcBorders>
                  <w:vAlign w:val="center"/>
                </w:tcPr>
                <w:p w14:paraId="2898C963">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测量范围</w:t>
                  </w:r>
                </w:p>
              </w:tc>
              <w:tc>
                <w:tcPr>
                  <w:tcW w:w="3024" w:type="pct"/>
                  <w:tcBorders>
                    <w:tl2br w:val="nil"/>
                    <w:tr2bl w:val="nil"/>
                  </w:tcBorders>
                  <w:vAlign w:val="center"/>
                </w:tcPr>
                <w:p w14:paraId="15FF10B0">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电场：0.</w:t>
                  </w:r>
                  <w:r>
                    <w:rPr>
                      <w:rFonts w:ascii="Times New Roman" w:eastAsia="宋体" w:hAnsi="Times New Roman" w:cs="Times New Roman" w:hint="default"/>
                      <w:color w:val="auto"/>
                      <w:lang w:val="en-US" w:eastAsia="zh-CN"/>
                    </w:rPr>
                    <w:t>5</w:t>
                  </w:r>
                  <w:r>
                    <w:rPr>
                      <w:rFonts w:ascii="Times New Roman" w:eastAsia="宋体" w:hAnsi="Times New Roman" w:cs="Times New Roman" w:hint="default"/>
                      <w:color w:val="auto"/>
                    </w:rPr>
                    <w:t>V/m~ 100kV/m，磁场：1</w:t>
                  </w:r>
                  <w:r>
                    <w:rPr>
                      <w:rFonts w:ascii="Times New Roman" w:eastAsia="宋体" w:hAnsi="Times New Roman" w:cs="Times New Roman" w:hint="default"/>
                      <w:color w:val="auto"/>
                      <w:lang w:val="en-US" w:eastAsia="zh-CN"/>
                    </w:rPr>
                    <w:t>0</w:t>
                  </w:r>
                  <w:r>
                    <w:rPr>
                      <w:rFonts w:ascii="Times New Roman" w:eastAsia="宋体" w:hAnsi="Times New Roman" w:cs="Times New Roman" w:hint="default"/>
                      <w:color w:val="auto"/>
                    </w:rPr>
                    <w:t xml:space="preserve">nT~ </w:t>
                  </w:r>
                  <w:r>
                    <w:rPr>
                      <w:rFonts w:ascii="Times New Roman" w:eastAsia="宋体" w:hAnsi="Times New Roman" w:cs="Times New Roman" w:hint="default"/>
                      <w:color w:val="auto"/>
                      <w:lang w:val="en-US" w:eastAsia="zh-CN"/>
                    </w:rPr>
                    <w:t>3</w:t>
                  </w:r>
                  <w:r>
                    <w:rPr>
                      <w:rFonts w:ascii="Times New Roman" w:eastAsia="宋体" w:hAnsi="Times New Roman" w:cs="Times New Roman" w:hint="default"/>
                      <w:color w:val="auto"/>
                    </w:rPr>
                    <w:t>mT</w:t>
                  </w:r>
                </w:p>
              </w:tc>
            </w:tr>
            <w:tr w14:paraId="7A155EA2">
              <w:tblPrEx>
                <w:tblW w:w="5006" w:type="pct"/>
                <w:tblInd w:w="0" w:type="dxa"/>
                <w:tblCellMar>
                  <w:top w:w="0" w:type="dxa"/>
                  <w:left w:w="0" w:type="dxa"/>
                  <w:bottom w:w="0" w:type="dxa"/>
                  <w:right w:w="0" w:type="dxa"/>
                </w:tblCellMar>
              </w:tblPrEx>
              <w:trPr>
                <w:trHeight w:val="398"/>
              </w:trPr>
              <w:tc>
                <w:tcPr>
                  <w:tcW w:w="1975" w:type="pct"/>
                  <w:tcBorders>
                    <w:tl2br w:val="nil"/>
                    <w:tr2bl w:val="nil"/>
                  </w:tcBorders>
                  <w:vAlign w:val="center"/>
                </w:tcPr>
                <w:p w14:paraId="62E18C9F">
                  <w:pPr>
                    <w:pStyle w:val="R-"/>
                    <w:bidi w:val="0"/>
                    <w:jc w:val="center"/>
                    <w:rPr>
                      <w:rFonts w:ascii="Times New Roman" w:eastAsia="宋体" w:hAnsi="Times New Roman" w:cs="Times New Roman" w:hint="default"/>
                      <w:color w:val="auto"/>
                      <w:lang w:eastAsia="zh-CN"/>
                    </w:rPr>
                  </w:pPr>
                  <w:r>
                    <w:rPr>
                      <w:rFonts w:ascii="Times New Roman" w:eastAsia="宋体" w:hAnsi="Times New Roman" w:cs="Times New Roman" w:hint="default"/>
                      <w:color w:val="auto"/>
                      <w:lang w:val="en-US" w:eastAsia="zh-CN"/>
                    </w:rPr>
                    <w:t>仪器编号</w:t>
                  </w:r>
                </w:p>
              </w:tc>
              <w:tc>
                <w:tcPr>
                  <w:tcW w:w="3024" w:type="pct"/>
                  <w:tcBorders>
                    <w:tl2br w:val="nil"/>
                    <w:tr2bl w:val="nil"/>
                  </w:tcBorders>
                  <w:vAlign w:val="center"/>
                </w:tcPr>
                <w:p w14:paraId="66492FB5">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JFYYQ-06</w:t>
                  </w:r>
                </w:p>
              </w:tc>
            </w:tr>
            <w:tr w14:paraId="5F33C5A9">
              <w:tblPrEx>
                <w:tblW w:w="5006" w:type="pct"/>
                <w:tblInd w:w="0" w:type="dxa"/>
                <w:tblCellMar>
                  <w:top w:w="0" w:type="dxa"/>
                  <w:left w:w="0" w:type="dxa"/>
                  <w:bottom w:w="0" w:type="dxa"/>
                  <w:right w:w="0" w:type="dxa"/>
                </w:tblCellMar>
              </w:tblPrEx>
              <w:trPr>
                <w:trHeight w:val="422"/>
              </w:trPr>
              <w:tc>
                <w:tcPr>
                  <w:tcW w:w="1975" w:type="pct"/>
                  <w:tcBorders>
                    <w:tl2br w:val="nil"/>
                    <w:tr2bl w:val="nil"/>
                  </w:tcBorders>
                  <w:vAlign w:val="center"/>
                </w:tcPr>
                <w:p w14:paraId="4736A364">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有效时段</w:t>
                  </w:r>
                </w:p>
              </w:tc>
              <w:tc>
                <w:tcPr>
                  <w:tcW w:w="3024" w:type="pct"/>
                  <w:tcBorders>
                    <w:tl2br w:val="nil"/>
                    <w:tr2bl w:val="nil"/>
                  </w:tcBorders>
                  <w:vAlign w:val="center"/>
                </w:tcPr>
                <w:p w14:paraId="4D6F5F51">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2023年</w:t>
                  </w:r>
                  <w:r>
                    <w:rPr>
                      <w:rFonts w:ascii="Times New Roman" w:eastAsia="宋体" w:hAnsi="Times New Roman" w:cs="Times New Roman" w:hint="default"/>
                      <w:color w:val="auto"/>
                      <w:lang w:val="en-US" w:eastAsia="zh-CN"/>
                    </w:rPr>
                    <w:t>12</w:t>
                  </w:r>
                  <w:r>
                    <w:rPr>
                      <w:rFonts w:ascii="Times New Roman" w:eastAsia="宋体" w:hAnsi="Times New Roman" w:cs="Times New Roman" w:hint="default"/>
                      <w:color w:val="auto"/>
                    </w:rPr>
                    <w:t>月</w:t>
                  </w:r>
                  <w:r>
                    <w:rPr>
                      <w:rFonts w:ascii="Times New Roman" w:eastAsia="宋体" w:hAnsi="Times New Roman" w:cs="Times New Roman" w:hint="default"/>
                      <w:color w:val="auto"/>
                      <w:lang w:val="en-US" w:eastAsia="zh-CN"/>
                    </w:rPr>
                    <w:t>20</w:t>
                  </w:r>
                  <w:r>
                    <w:rPr>
                      <w:rFonts w:ascii="Times New Roman" w:eastAsia="宋体" w:hAnsi="Times New Roman" w:cs="Times New Roman" w:hint="default"/>
                      <w:color w:val="auto"/>
                    </w:rPr>
                    <w:t>日~2024年</w:t>
                  </w:r>
                  <w:r>
                    <w:rPr>
                      <w:rFonts w:ascii="Times New Roman" w:eastAsia="宋体" w:hAnsi="Times New Roman" w:cs="Times New Roman" w:hint="default"/>
                      <w:color w:val="auto"/>
                      <w:lang w:val="en-US" w:eastAsia="zh-CN"/>
                    </w:rPr>
                    <w:t>12</w:t>
                  </w:r>
                  <w:r>
                    <w:rPr>
                      <w:rFonts w:ascii="Times New Roman" w:eastAsia="宋体" w:hAnsi="Times New Roman" w:cs="Times New Roman" w:hint="default"/>
                      <w:color w:val="auto"/>
                    </w:rPr>
                    <w:t>月</w:t>
                  </w:r>
                  <w:r>
                    <w:rPr>
                      <w:rFonts w:ascii="Times New Roman" w:eastAsia="宋体" w:hAnsi="Times New Roman" w:cs="Times New Roman" w:hint="default"/>
                      <w:color w:val="auto"/>
                      <w:lang w:val="en-US" w:eastAsia="zh-CN"/>
                    </w:rPr>
                    <w:t>19</w:t>
                  </w:r>
                  <w:r>
                    <w:rPr>
                      <w:rFonts w:ascii="Times New Roman" w:eastAsia="宋体" w:hAnsi="Times New Roman" w:cs="Times New Roman" w:hint="default"/>
                      <w:color w:val="auto"/>
                    </w:rPr>
                    <w:t xml:space="preserve"> 日</w:t>
                  </w:r>
                </w:p>
              </w:tc>
            </w:tr>
          </w:tbl>
          <w:p w14:paraId="6CB3A267">
            <w:pPr>
              <w:spacing w:before="38" w:line="217" w:lineRule="auto"/>
              <w:ind w:left="600"/>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2"/>
                <w:sz w:val="24"/>
                <w:szCs w:val="24"/>
              </w:rPr>
              <w:t>④监测方法</w:t>
            </w:r>
          </w:p>
          <w:p w14:paraId="5715B035">
            <w:pPr>
              <w:spacing w:before="183" w:line="465" w:lineRule="exact"/>
              <w:ind w:right="5"/>
              <w:jc w:val="right"/>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5"/>
                <w:position w:val="17"/>
                <w:sz w:val="24"/>
                <w:szCs w:val="24"/>
              </w:rPr>
              <w:t>工频电场强度、工频磁感应强度按照《交流输变电工程电磁</w:t>
            </w:r>
            <w:r>
              <w:rPr>
                <w:rFonts w:ascii="Times New Roman" w:eastAsia="宋体" w:hAnsi="Times New Roman" w:cs="Times New Roman" w:hint="default"/>
                <w:color w:val="auto"/>
                <w:spacing w:val="-6"/>
                <w:position w:val="17"/>
                <w:sz w:val="24"/>
                <w:szCs w:val="24"/>
              </w:rPr>
              <w:t>环境监测方法（试行）》</w:t>
            </w:r>
          </w:p>
          <w:p w14:paraId="543F7E84">
            <w:pPr>
              <w:spacing w:line="220" w:lineRule="auto"/>
              <w:ind w:left="134"/>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2"/>
                <w:sz w:val="24"/>
                <w:szCs w:val="24"/>
              </w:rPr>
              <w:t>（HJ/681-2013）进行。</w:t>
            </w:r>
          </w:p>
          <w:p w14:paraId="3E0B92B8">
            <w:pPr>
              <w:spacing w:before="182" w:line="217" w:lineRule="auto"/>
              <w:ind w:left="600"/>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1"/>
                <w:sz w:val="24"/>
                <w:szCs w:val="24"/>
              </w:rPr>
              <w:t>⑤监测单位及监测时间</w:t>
            </w:r>
          </w:p>
          <w:p w14:paraId="05C7FEA4">
            <w:pPr>
              <w:spacing w:before="186" w:line="219" w:lineRule="auto"/>
              <w:ind w:left="601"/>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4"/>
                <w:sz w:val="24"/>
                <w:szCs w:val="24"/>
              </w:rPr>
              <w:t>河北</w:t>
            </w:r>
            <w:r>
              <w:rPr>
                <w:rFonts w:ascii="Times New Roman" w:eastAsia="宋体" w:hAnsi="Times New Roman" w:cs="Times New Roman" w:hint="default"/>
                <w:color w:val="auto"/>
                <w:spacing w:val="-4"/>
                <w:sz w:val="24"/>
                <w:szCs w:val="24"/>
                <w:lang w:val="en-US" w:eastAsia="zh-CN"/>
              </w:rPr>
              <w:t>冀</w:t>
            </w:r>
            <w:r>
              <w:rPr>
                <w:rFonts w:ascii="Times New Roman" w:eastAsia="宋体" w:hAnsi="Times New Roman" w:cs="Times New Roman" w:hint="default"/>
                <w:color w:val="auto"/>
                <w:spacing w:val="-4"/>
                <w:sz w:val="24"/>
                <w:szCs w:val="24"/>
              </w:rPr>
              <w:t>辐</w:t>
            </w:r>
            <w:r>
              <w:rPr>
                <w:rFonts w:ascii="Times New Roman" w:eastAsia="宋体" w:hAnsi="Times New Roman" w:cs="Times New Roman" w:hint="default"/>
                <w:color w:val="auto"/>
                <w:spacing w:val="-4"/>
                <w:sz w:val="24"/>
                <w:szCs w:val="24"/>
                <w:lang w:val="en-US" w:eastAsia="zh-CN"/>
              </w:rPr>
              <w:t>源环保科技有限公司</w:t>
            </w:r>
            <w:r>
              <w:rPr>
                <w:rFonts w:ascii="Times New Roman" w:eastAsia="宋体" w:hAnsi="Times New Roman" w:cs="Times New Roman" w:hint="default"/>
                <w:color w:val="auto"/>
                <w:spacing w:val="-4"/>
                <w:sz w:val="24"/>
                <w:szCs w:val="24"/>
              </w:rPr>
              <w:t>于</w:t>
            </w:r>
            <w:r>
              <w:rPr>
                <w:rFonts w:ascii="Times New Roman" w:eastAsia="宋体" w:hAnsi="Times New Roman" w:cs="Times New Roman" w:hint="default"/>
                <w:color w:val="auto"/>
                <w:spacing w:val="-2"/>
                <w:sz w:val="24"/>
                <w:szCs w:val="24"/>
                <w:lang w:val="en-US" w:eastAsia="zh-CN"/>
              </w:rPr>
              <w:t>2024年1月17日</w:t>
            </w:r>
            <w:r>
              <w:rPr>
                <w:rFonts w:ascii="Times New Roman" w:eastAsia="宋体" w:hAnsi="Times New Roman" w:cs="Times New Roman" w:hint="default"/>
                <w:color w:val="auto"/>
                <w:spacing w:val="-4"/>
                <w:sz w:val="24"/>
                <w:szCs w:val="24"/>
              </w:rPr>
              <w:t>进</w:t>
            </w:r>
            <w:r>
              <w:rPr>
                <w:rFonts w:ascii="Times New Roman" w:eastAsia="宋体" w:hAnsi="Times New Roman" w:cs="Times New Roman" w:hint="default"/>
                <w:color w:val="auto"/>
                <w:spacing w:val="-5"/>
                <w:sz w:val="24"/>
                <w:szCs w:val="24"/>
              </w:rPr>
              <w:t>行监测。</w:t>
            </w:r>
          </w:p>
          <w:p w14:paraId="5100638B">
            <w:pPr>
              <w:spacing w:before="180" w:line="220" w:lineRule="auto"/>
              <w:ind w:left="607"/>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3"/>
                <w:sz w:val="24"/>
                <w:szCs w:val="24"/>
              </w:rPr>
              <w:t>天气：晴；环境温度：</w:t>
            </w:r>
            <w:r>
              <w:rPr>
                <w:rFonts w:ascii="Times New Roman" w:eastAsia="宋体" w:hAnsi="Times New Roman" w:cs="Times New Roman" w:hint="default"/>
                <w:color w:val="auto"/>
                <w:spacing w:val="-3"/>
                <w:sz w:val="24"/>
                <w:szCs w:val="24"/>
                <w:lang w:val="en-US" w:eastAsia="zh-CN"/>
              </w:rPr>
              <w:t>-8</w:t>
            </w:r>
            <w:r>
              <w:rPr>
                <w:rFonts w:ascii="Times New Roman" w:eastAsia="宋体" w:hAnsi="Times New Roman" w:cs="Times New Roman" w:hint="default"/>
                <w:color w:val="auto"/>
                <w:spacing w:val="-3"/>
                <w:sz w:val="24"/>
                <w:szCs w:val="24"/>
              </w:rPr>
              <w:t>℃</w:t>
            </w:r>
            <w:r>
              <w:rPr>
                <w:rFonts w:ascii="Times New Roman" w:eastAsia="宋体" w:hAnsi="Times New Roman" w:cs="Times New Roman" w:hint="default"/>
                <w:color w:val="auto"/>
                <w:spacing w:val="-3"/>
                <w:sz w:val="24"/>
                <w:szCs w:val="24"/>
                <w:lang w:eastAsia="zh-CN"/>
              </w:rPr>
              <w:t>；</w:t>
            </w:r>
            <w:r>
              <w:rPr>
                <w:rFonts w:ascii="Times New Roman" w:eastAsia="宋体" w:hAnsi="Times New Roman" w:cs="Times New Roman" w:hint="default"/>
                <w:color w:val="auto"/>
                <w:spacing w:val="-3"/>
                <w:sz w:val="24"/>
                <w:szCs w:val="24"/>
              </w:rPr>
              <w:t>湿度：</w:t>
            </w:r>
            <w:r>
              <w:rPr>
                <w:rFonts w:ascii="Times New Roman" w:eastAsia="宋体" w:hAnsi="Times New Roman" w:cs="Times New Roman" w:hint="default"/>
                <w:color w:val="auto"/>
                <w:spacing w:val="-4"/>
                <w:sz w:val="24"/>
                <w:szCs w:val="24"/>
                <w:lang w:val="en-US" w:eastAsia="zh-CN"/>
              </w:rPr>
              <w:t>30</w:t>
            </w:r>
            <w:r>
              <w:rPr>
                <w:rFonts w:ascii="Times New Roman" w:eastAsia="宋体" w:hAnsi="Times New Roman" w:cs="Times New Roman" w:hint="default"/>
                <w:color w:val="auto"/>
                <w:spacing w:val="-4"/>
                <w:sz w:val="24"/>
                <w:szCs w:val="24"/>
              </w:rPr>
              <w:t>%。</w:t>
            </w:r>
          </w:p>
          <w:p w14:paraId="37FC1AA9">
            <w:pPr>
              <w:spacing w:before="182" w:line="217" w:lineRule="auto"/>
              <w:ind w:left="600"/>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2"/>
                <w:sz w:val="24"/>
                <w:szCs w:val="24"/>
              </w:rPr>
              <w:t>⑥监测结果</w:t>
            </w:r>
          </w:p>
          <w:p w14:paraId="3E7F765B">
            <w:pPr>
              <w:spacing w:before="183" w:line="219" w:lineRule="auto"/>
              <w:ind w:left="603"/>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2"/>
                <w:sz w:val="24"/>
                <w:szCs w:val="24"/>
              </w:rPr>
              <w:t>本项目工频电场强度现状监测结果见表</w:t>
            </w:r>
            <w:r>
              <w:rPr>
                <w:rFonts w:ascii="Times New Roman" w:eastAsia="宋体" w:hAnsi="Times New Roman" w:cs="Times New Roman" w:hint="default"/>
                <w:color w:val="auto"/>
                <w:spacing w:val="-2"/>
                <w:sz w:val="24"/>
                <w:szCs w:val="24"/>
                <w:lang w:val="en-US" w:eastAsia="zh-CN"/>
              </w:rPr>
              <w:t>4</w:t>
            </w:r>
            <w:r>
              <w:rPr>
                <w:rFonts w:ascii="Times New Roman" w:eastAsia="宋体" w:hAnsi="Times New Roman" w:cs="Times New Roman" w:hint="default"/>
                <w:color w:val="auto"/>
                <w:spacing w:val="-2"/>
                <w:sz w:val="24"/>
                <w:szCs w:val="24"/>
              </w:rPr>
              <w:t>。</w:t>
            </w:r>
          </w:p>
          <w:p w14:paraId="0ABFB8A3">
            <w:pPr>
              <w:spacing w:before="179" w:line="222" w:lineRule="auto"/>
              <w:ind w:left="3053"/>
              <w:rPr>
                <w:rFonts w:ascii="Times New Roman" w:eastAsia="宋体" w:hAnsi="Times New Roman" w:cs="Times New Roman" w:hint="default"/>
                <w:color w:val="auto"/>
                <w:sz w:val="22"/>
                <w:szCs w:val="22"/>
              </w:rPr>
            </w:pPr>
            <w:r>
              <w:rPr>
                <w:rFonts w:ascii="Times New Roman" w:eastAsia="宋体" w:hAnsi="Times New Roman" w:cs="Times New Roman" w:hint="default"/>
                <w:b/>
                <w:bCs/>
                <w:color w:val="auto"/>
                <w:spacing w:val="6"/>
                <w:sz w:val="22"/>
                <w:szCs w:val="22"/>
                <w14:textOutline w14:w="3795" w14:cap="sq">
                  <w14:solidFill>
                    <w14:srgbClr w14:val="000000"/>
                  </w14:solidFill>
                  <w14:bevel/>
                </w14:textOutline>
              </w:rPr>
              <w:t>表</w:t>
            </w:r>
            <w:r>
              <w:rPr>
                <w:rFonts w:ascii="Times New Roman" w:hAnsi="Times New Roman" w:cs="Times New Roman" w:hint="eastAsia"/>
                <w:b/>
                <w:bCs/>
                <w:color w:val="auto"/>
                <w:spacing w:val="6"/>
                <w:sz w:val="22"/>
                <w:szCs w:val="22"/>
                <w:lang w:val="en-US" w:eastAsia="zh-CN"/>
                <w14:textOutline w14:w="3795" w14:cap="sq">
                  <w14:solidFill>
                    <w14:srgbClr w14:val="000000"/>
                  </w14:solidFill>
                  <w14:bevel/>
                </w14:textOutline>
              </w:rPr>
              <w:t>3-</w:t>
            </w:r>
            <w:r>
              <w:rPr>
                <w:rFonts w:ascii="Times New Roman" w:eastAsia="宋体" w:hAnsi="Times New Roman" w:cs="Times New Roman" w:hint="default"/>
                <w:b/>
                <w:bCs/>
                <w:color w:val="auto"/>
                <w:spacing w:val="-30"/>
                <w:sz w:val="22"/>
                <w:szCs w:val="22"/>
                <w:lang w:val="en-US" w:eastAsia="zh-CN"/>
              </w:rPr>
              <w:t>4</w:t>
            </w:r>
            <w:r>
              <w:rPr>
                <w:rFonts w:ascii="Times New Roman" w:eastAsia="宋体" w:hAnsi="Times New Roman" w:cs="Times New Roman" w:hint="default"/>
                <w:b/>
                <w:bCs/>
                <w:color w:val="auto"/>
                <w:spacing w:val="8"/>
                <w:sz w:val="22"/>
                <w:szCs w:val="22"/>
              </w:rPr>
              <w:t xml:space="preserve">    </w:t>
            </w:r>
            <w:r>
              <w:rPr>
                <w:rFonts w:ascii="Times New Roman" w:eastAsia="宋体" w:hAnsi="Times New Roman" w:cs="Times New Roman" w:hint="default"/>
                <w:color w:val="auto"/>
                <w:spacing w:val="6"/>
                <w:sz w:val="22"/>
                <w:szCs w:val="22"/>
                <w14:textOutline w14:w="3795" w14:cap="sq">
                  <w14:solidFill>
                    <w14:srgbClr w14:val="000000"/>
                  </w14:solidFill>
                  <w14:bevel/>
                </w14:textOutline>
              </w:rPr>
              <w:t>电磁辐射环境现状监测结果</w:t>
            </w:r>
          </w:p>
          <w:tbl>
            <w:tblPr>
              <w:tblStyle w:val="TableNormal0"/>
              <w:tblW w:w="4998"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blGrid>
              <w:gridCol w:w="840"/>
              <w:gridCol w:w="2971"/>
              <w:gridCol w:w="2377"/>
              <w:gridCol w:w="2178"/>
            </w:tblGrid>
            <w:tr w14:paraId="40AA3588">
              <w:tblPrEx>
                <w:tblW w:w="4998"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Ex>
              <w:trPr>
                <w:trHeight w:val="402"/>
                <w:jc w:val="center"/>
              </w:trPr>
              <w:tc>
                <w:tcPr>
                  <w:tcW w:w="502" w:type="pct"/>
                  <w:tcBorders>
                    <w:tl2br w:val="nil"/>
                    <w:tr2bl w:val="nil"/>
                  </w:tcBorders>
                  <w:vAlign w:val="top"/>
                </w:tcPr>
                <w:p w14:paraId="41A81A78">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序号</w:t>
                  </w:r>
                </w:p>
              </w:tc>
              <w:tc>
                <w:tcPr>
                  <w:tcW w:w="1775" w:type="pct"/>
                  <w:tcBorders>
                    <w:tl2br w:val="nil"/>
                    <w:tr2bl w:val="nil"/>
                  </w:tcBorders>
                  <w:vAlign w:val="top"/>
                </w:tcPr>
                <w:p w14:paraId="3FD7AE60">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监测点位描述</w:t>
                  </w:r>
                </w:p>
              </w:tc>
              <w:tc>
                <w:tcPr>
                  <w:tcW w:w="1420" w:type="pct"/>
                  <w:tcBorders>
                    <w:tl2br w:val="nil"/>
                    <w:tr2bl w:val="nil"/>
                  </w:tcBorders>
                  <w:vAlign w:val="top"/>
                </w:tcPr>
                <w:p w14:paraId="6567B0A7">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工频电场强度（V/m）</w:t>
                  </w:r>
                </w:p>
              </w:tc>
              <w:tc>
                <w:tcPr>
                  <w:tcW w:w="1301" w:type="pct"/>
                  <w:tcBorders>
                    <w:tl2br w:val="nil"/>
                    <w:tr2bl w:val="nil"/>
                  </w:tcBorders>
                  <w:vAlign w:val="top"/>
                </w:tcPr>
                <w:p w14:paraId="5470F447">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工频磁感应强度</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rPr>
                    <w:t>µT）</w:t>
                  </w:r>
                </w:p>
              </w:tc>
            </w:tr>
            <w:tr w14:paraId="7DEDAC87">
              <w:tblPrEx>
                <w:tblW w:w="4998" w:type="pct"/>
                <w:jc w:val="center"/>
                <w:tblCellMar>
                  <w:top w:w="0" w:type="dxa"/>
                  <w:left w:w="0" w:type="dxa"/>
                  <w:bottom w:w="0" w:type="dxa"/>
                  <w:right w:w="0" w:type="dxa"/>
                </w:tblCellMar>
              </w:tblPrEx>
              <w:trPr>
                <w:trHeight w:val="398"/>
                <w:jc w:val="center"/>
              </w:trPr>
              <w:tc>
                <w:tcPr>
                  <w:tcW w:w="502" w:type="pct"/>
                  <w:tcBorders>
                    <w:tl2br w:val="nil"/>
                    <w:tr2bl w:val="nil"/>
                  </w:tcBorders>
                  <w:vAlign w:val="top"/>
                </w:tcPr>
                <w:p w14:paraId="0279230D">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1</w:t>
                  </w:r>
                </w:p>
              </w:tc>
              <w:tc>
                <w:tcPr>
                  <w:tcW w:w="1775" w:type="pct"/>
                  <w:tcBorders>
                    <w:tl2br w:val="nil"/>
                    <w:tr2bl w:val="nil"/>
                  </w:tcBorders>
                  <w:vAlign w:val="top"/>
                </w:tcPr>
                <w:p w14:paraId="0A290A95">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拟建</w:t>
                  </w:r>
                  <w:r>
                    <w:rPr>
                      <w:rFonts w:ascii="Times New Roman" w:eastAsia="宋体" w:hAnsi="Times New Roman" w:cs="Times New Roman" w:hint="default"/>
                      <w:color w:val="auto"/>
                      <w:lang w:val="en-US" w:eastAsia="zh-CN"/>
                    </w:rPr>
                    <w:t>储能站东</w:t>
                  </w:r>
                  <w:r>
                    <w:rPr>
                      <w:rFonts w:ascii="Times New Roman" w:eastAsia="宋体" w:hAnsi="Times New Roman" w:cs="Times New Roman" w:hint="default"/>
                      <w:color w:val="auto"/>
                    </w:rPr>
                    <w:t>侧</w:t>
                  </w:r>
                </w:p>
              </w:tc>
              <w:tc>
                <w:tcPr>
                  <w:tcW w:w="1420" w:type="pct"/>
                  <w:tcBorders>
                    <w:tl2br w:val="nil"/>
                    <w:tr2bl w:val="nil"/>
                  </w:tcBorders>
                  <w:vAlign w:val="top"/>
                </w:tcPr>
                <w:p w14:paraId="66167828">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rPr>
                    <w:t>0.</w:t>
                  </w:r>
                  <w:r>
                    <w:rPr>
                      <w:rFonts w:ascii="Times New Roman" w:eastAsia="宋体" w:hAnsi="Times New Roman" w:cs="Times New Roman" w:hint="default"/>
                      <w:color w:val="auto"/>
                      <w:lang w:val="en-US" w:eastAsia="zh-CN"/>
                    </w:rPr>
                    <w:t>74</w:t>
                  </w:r>
                </w:p>
              </w:tc>
              <w:tc>
                <w:tcPr>
                  <w:tcW w:w="1301" w:type="pct"/>
                  <w:tcBorders>
                    <w:tl2br w:val="nil"/>
                    <w:tr2bl w:val="nil"/>
                  </w:tcBorders>
                  <w:vAlign w:val="top"/>
                </w:tcPr>
                <w:p w14:paraId="2EAB9BE0">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rPr>
                    <w:t>0.</w:t>
                  </w:r>
                  <w:r>
                    <w:rPr>
                      <w:rFonts w:ascii="Times New Roman" w:eastAsia="宋体" w:hAnsi="Times New Roman" w:cs="Times New Roman" w:hint="default"/>
                      <w:color w:val="auto"/>
                      <w:lang w:val="en-US" w:eastAsia="zh-CN"/>
                    </w:rPr>
                    <w:t>0111</w:t>
                  </w:r>
                </w:p>
              </w:tc>
            </w:tr>
            <w:tr w14:paraId="3A6D583A">
              <w:tblPrEx>
                <w:tblW w:w="4998" w:type="pct"/>
                <w:jc w:val="center"/>
                <w:tblCellMar>
                  <w:top w:w="0" w:type="dxa"/>
                  <w:left w:w="0" w:type="dxa"/>
                  <w:bottom w:w="0" w:type="dxa"/>
                  <w:right w:w="0" w:type="dxa"/>
                </w:tblCellMar>
              </w:tblPrEx>
              <w:trPr>
                <w:trHeight w:val="398"/>
                <w:jc w:val="center"/>
              </w:trPr>
              <w:tc>
                <w:tcPr>
                  <w:tcW w:w="502" w:type="pct"/>
                  <w:tcBorders>
                    <w:tl2br w:val="nil"/>
                    <w:tr2bl w:val="nil"/>
                  </w:tcBorders>
                  <w:vAlign w:val="top"/>
                </w:tcPr>
                <w:p w14:paraId="33C0A515">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2</w:t>
                  </w:r>
                </w:p>
              </w:tc>
              <w:tc>
                <w:tcPr>
                  <w:tcW w:w="1775" w:type="pct"/>
                  <w:tcBorders>
                    <w:tl2br w:val="nil"/>
                    <w:tr2bl w:val="nil"/>
                  </w:tcBorders>
                  <w:vAlign w:val="top"/>
                </w:tcPr>
                <w:p w14:paraId="701B26AE">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拟建储能站南侧</w:t>
                  </w:r>
                </w:p>
              </w:tc>
              <w:tc>
                <w:tcPr>
                  <w:tcW w:w="1420" w:type="pct"/>
                  <w:tcBorders>
                    <w:tl2br w:val="nil"/>
                    <w:tr2bl w:val="nil"/>
                  </w:tcBorders>
                  <w:vAlign w:val="top"/>
                </w:tcPr>
                <w:p w14:paraId="06F9C58D">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23.05</w:t>
                  </w:r>
                  <w:r>
                    <w:rPr>
                      <w:rFonts w:cs="Times New Roman" w:hint="eastAsia"/>
                      <w:color w:val="auto"/>
                      <w:lang w:val="en-US" w:eastAsia="zh-CN"/>
                    </w:rPr>
                    <w:t>*</w:t>
                  </w:r>
                </w:p>
              </w:tc>
              <w:tc>
                <w:tcPr>
                  <w:tcW w:w="1301" w:type="pct"/>
                  <w:tcBorders>
                    <w:tl2br w:val="nil"/>
                    <w:tr2bl w:val="nil"/>
                  </w:tcBorders>
                  <w:vAlign w:val="top"/>
                </w:tcPr>
                <w:p w14:paraId="1C8D9E90">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rPr>
                    <w:t>0.</w:t>
                  </w:r>
                  <w:r>
                    <w:rPr>
                      <w:rFonts w:ascii="Times New Roman" w:eastAsia="宋体" w:hAnsi="Times New Roman" w:cs="Times New Roman" w:hint="default"/>
                      <w:color w:val="auto"/>
                      <w:lang w:val="en-US" w:eastAsia="zh-CN"/>
                    </w:rPr>
                    <w:t>0258</w:t>
                  </w:r>
                </w:p>
              </w:tc>
            </w:tr>
            <w:tr w14:paraId="3751053D">
              <w:tblPrEx>
                <w:tblW w:w="4998" w:type="pct"/>
                <w:jc w:val="center"/>
                <w:tblCellMar>
                  <w:top w:w="0" w:type="dxa"/>
                  <w:left w:w="0" w:type="dxa"/>
                  <w:bottom w:w="0" w:type="dxa"/>
                  <w:right w:w="0" w:type="dxa"/>
                </w:tblCellMar>
              </w:tblPrEx>
              <w:trPr>
                <w:trHeight w:val="398"/>
                <w:jc w:val="center"/>
              </w:trPr>
              <w:tc>
                <w:tcPr>
                  <w:tcW w:w="502" w:type="pct"/>
                  <w:tcBorders>
                    <w:tl2br w:val="nil"/>
                    <w:tr2bl w:val="nil"/>
                  </w:tcBorders>
                  <w:vAlign w:val="top"/>
                </w:tcPr>
                <w:p w14:paraId="19A341DE">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3</w:t>
                  </w:r>
                </w:p>
              </w:tc>
              <w:tc>
                <w:tcPr>
                  <w:tcW w:w="1775" w:type="pct"/>
                  <w:tcBorders>
                    <w:tl2br w:val="nil"/>
                    <w:tr2bl w:val="nil"/>
                  </w:tcBorders>
                  <w:vAlign w:val="top"/>
                </w:tcPr>
                <w:p w14:paraId="58B85425">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拟建储能站西侧</w:t>
                  </w:r>
                </w:p>
              </w:tc>
              <w:tc>
                <w:tcPr>
                  <w:tcW w:w="1420" w:type="pct"/>
                  <w:tcBorders>
                    <w:tl2br w:val="nil"/>
                    <w:tr2bl w:val="nil"/>
                  </w:tcBorders>
                  <w:vAlign w:val="top"/>
                </w:tcPr>
                <w:p w14:paraId="1B027165">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1.74</w:t>
                  </w:r>
                </w:p>
              </w:tc>
              <w:tc>
                <w:tcPr>
                  <w:tcW w:w="1301" w:type="pct"/>
                  <w:tcBorders>
                    <w:tl2br w:val="nil"/>
                    <w:tr2bl w:val="nil"/>
                  </w:tcBorders>
                  <w:vAlign w:val="top"/>
                </w:tcPr>
                <w:p w14:paraId="2B640852">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rPr>
                    <w:t>0.</w:t>
                  </w:r>
                  <w:r>
                    <w:rPr>
                      <w:rFonts w:ascii="Times New Roman" w:eastAsia="宋体" w:hAnsi="Times New Roman" w:cs="Times New Roman" w:hint="default"/>
                      <w:color w:val="auto"/>
                      <w:lang w:val="en-US" w:eastAsia="zh-CN"/>
                    </w:rPr>
                    <w:t>0184</w:t>
                  </w:r>
                </w:p>
              </w:tc>
            </w:tr>
            <w:tr w14:paraId="61840A15">
              <w:tblPrEx>
                <w:tblW w:w="4998" w:type="pct"/>
                <w:jc w:val="center"/>
                <w:tblCellMar>
                  <w:top w:w="0" w:type="dxa"/>
                  <w:left w:w="0" w:type="dxa"/>
                  <w:bottom w:w="0" w:type="dxa"/>
                  <w:right w:w="0" w:type="dxa"/>
                </w:tblCellMar>
              </w:tblPrEx>
              <w:trPr>
                <w:trHeight w:val="372"/>
                <w:jc w:val="center"/>
              </w:trPr>
              <w:tc>
                <w:tcPr>
                  <w:tcW w:w="502" w:type="pct"/>
                  <w:tcBorders>
                    <w:tl2br w:val="nil"/>
                    <w:tr2bl w:val="nil"/>
                  </w:tcBorders>
                  <w:vAlign w:val="top"/>
                </w:tcPr>
                <w:p w14:paraId="63EE25EC">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4</w:t>
                  </w:r>
                </w:p>
              </w:tc>
              <w:tc>
                <w:tcPr>
                  <w:tcW w:w="1775" w:type="pct"/>
                  <w:tcBorders>
                    <w:tl2br w:val="nil"/>
                    <w:tr2bl w:val="nil"/>
                  </w:tcBorders>
                  <w:vAlign w:val="top"/>
                </w:tcPr>
                <w:p w14:paraId="21808A96">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拟建储能站北侧</w:t>
                  </w:r>
                </w:p>
              </w:tc>
              <w:tc>
                <w:tcPr>
                  <w:tcW w:w="1420" w:type="pct"/>
                  <w:tcBorders>
                    <w:tl2br w:val="nil"/>
                    <w:tr2bl w:val="nil"/>
                  </w:tcBorders>
                  <w:vAlign w:val="top"/>
                </w:tcPr>
                <w:p w14:paraId="5CED6AD9">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1.05</w:t>
                  </w:r>
                </w:p>
              </w:tc>
              <w:tc>
                <w:tcPr>
                  <w:tcW w:w="1301" w:type="pct"/>
                  <w:tcBorders>
                    <w:tl2br w:val="nil"/>
                    <w:tr2bl w:val="nil"/>
                  </w:tcBorders>
                  <w:vAlign w:val="top"/>
                </w:tcPr>
                <w:p w14:paraId="6E20EBF9">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rPr>
                    <w:t>0.</w:t>
                  </w:r>
                  <w:r>
                    <w:rPr>
                      <w:rFonts w:ascii="Times New Roman" w:eastAsia="宋体" w:hAnsi="Times New Roman" w:cs="Times New Roman" w:hint="default"/>
                      <w:color w:val="auto"/>
                      <w:lang w:val="en-US" w:eastAsia="zh-CN"/>
                    </w:rPr>
                    <w:t>157</w:t>
                  </w:r>
                </w:p>
              </w:tc>
            </w:tr>
            <w:tr w14:paraId="64213533">
              <w:tblPrEx>
                <w:tblW w:w="4998" w:type="pct"/>
                <w:jc w:val="center"/>
                <w:tblCellMar>
                  <w:top w:w="0" w:type="dxa"/>
                  <w:left w:w="0" w:type="dxa"/>
                  <w:bottom w:w="0" w:type="dxa"/>
                  <w:right w:w="0" w:type="dxa"/>
                </w:tblCellMar>
              </w:tblPrEx>
              <w:trPr>
                <w:trHeight w:val="421"/>
                <w:jc w:val="center"/>
              </w:trPr>
              <w:tc>
                <w:tcPr>
                  <w:tcW w:w="2277" w:type="pct"/>
                  <w:gridSpan w:val="2"/>
                  <w:tcBorders>
                    <w:tl2br w:val="nil"/>
                    <w:tr2bl w:val="nil"/>
                  </w:tcBorders>
                  <w:vAlign w:val="top"/>
                </w:tcPr>
                <w:p w14:paraId="678EF5EF">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标准</w:t>
                  </w:r>
                </w:p>
              </w:tc>
              <w:tc>
                <w:tcPr>
                  <w:tcW w:w="1420" w:type="pct"/>
                  <w:tcBorders>
                    <w:tl2br w:val="nil"/>
                    <w:tr2bl w:val="nil"/>
                  </w:tcBorders>
                  <w:vAlign w:val="top"/>
                </w:tcPr>
                <w:p w14:paraId="03265DCC">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4000</w:t>
                  </w:r>
                </w:p>
              </w:tc>
              <w:tc>
                <w:tcPr>
                  <w:tcW w:w="1301" w:type="pct"/>
                  <w:tcBorders>
                    <w:tl2br w:val="nil"/>
                    <w:tr2bl w:val="nil"/>
                  </w:tcBorders>
                  <w:vAlign w:val="top"/>
                </w:tcPr>
                <w:p w14:paraId="67766D96">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lang w:val="en-US" w:eastAsia="zh-CN"/>
                    </w:rPr>
                    <w:t>1</w:t>
                  </w:r>
                  <w:r>
                    <w:rPr>
                      <w:rFonts w:ascii="Times New Roman" w:eastAsia="宋体" w:hAnsi="Times New Roman" w:cs="Times New Roman" w:hint="default"/>
                      <w:color w:val="auto"/>
                    </w:rPr>
                    <w:t>00</w:t>
                  </w:r>
                </w:p>
              </w:tc>
            </w:tr>
            <w:tr w14:paraId="4D332426">
              <w:tblPrEx>
                <w:tblW w:w="4998" w:type="pct"/>
                <w:jc w:val="center"/>
                <w:tblCellMar>
                  <w:top w:w="0" w:type="dxa"/>
                  <w:left w:w="0" w:type="dxa"/>
                  <w:bottom w:w="0" w:type="dxa"/>
                  <w:right w:w="0" w:type="dxa"/>
                </w:tblCellMar>
              </w:tblPrEx>
              <w:trPr>
                <w:trHeight w:val="421"/>
                <w:jc w:val="center"/>
              </w:trPr>
              <w:tc>
                <w:tcPr>
                  <w:tcW w:w="2277" w:type="pct"/>
                  <w:gridSpan w:val="2"/>
                  <w:tcBorders>
                    <w:tl2br w:val="nil"/>
                    <w:tr2bl w:val="nil"/>
                  </w:tcBorders>
                  <w:vAlign w:val="top"/>
                </w:tcPr>
                <w:p w14:paraId="30827E19">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达标情况</w:t>
                  </w:r>
                </w:p>
              </w:tc>
              <w:tc>
                <w:tcPr>
                  <w:tcW w:w="1420" w:type="pct"/>
                  <w:tcBorders>
                    <w:tl2br w:val="nil"/>
                    <w:tr2bl w:val="nil"/>
                  </w:tcBorders>
                  <w:vAlign w:val="top"/>
                </w:tcPr>
                <w:p w14:paraId="2B7B0062">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达标</w:t>
                  </w:r>
                </w:p>
              </w:tc>
              <w:tc>
                <w:tcPr>
                  <w:tcW w:w="1301" w:type="pct"/>
                  <w:tcBorders>
                    <w:tl2br w:val="nil"/>
                    <w:tr2bl w:val="nil"/>
                  </w:tcBorders>
                  <w:vAlign w:val="top"/>
                </w:tcPr>
                <w:p w14:paraId="7304A44D">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达标</w:t>
                  </w:r>
                </w:p>
              </w:tc>
            </w:tr>
          </w:tbl>
          <w:p w14:paraId="41B21E68">
            <w:pPr>
              <w:spacing w:before="184" w:line="359" w:lineRule="auto"/>
              <w:ind w:right="111"/>
              <w:jc w:val="both"/>
              <w:rPr>
                <w:rFonts w:ascii="Times New Roman" w:eastAsia="宋体" w:hAnsi="Times New Roman" w:cs="Times New Roman" w:hint="default"/>
                <w:b/>
                <w:bCs/>
                <w:color w:val="auto"/>
                <w:spacing w:val="-2"/>
                <w:sz w:val="22"/>
                <w:szCs w:val="22"/>
                <w:lang w:val="en-US" w:eastAsia="zh-CN"/>
              </w:rPr>
            </w:pPr>
            <w:r>
              <w:rPr>
                <w:rFonts w:cs="Times New Roman" w:hint="eastAsia"/>
                <w:b/>
                <w:bCs/>
                <w:color w:val="auto"/>
                <w:spacing w:val="-2"/>
                <w:sz w:val="22"/>
                <w:szCs w:val="22"/>
                <w:lang w:val="en-US" w:eastAsia="zh-CN"/>
              </w:rPr>
              <w:t>*注：由于拟建项目南侧有架空10kV电力线路通过因此检测结果数值较高。</w:t>
            </w:r>
          </w:p>
          <w:p w14:paraId="0CC16DB2">
            <w:pPr>
              <w:spacing w:before="184" w:line="359" w:lineRule="auto"/>
              <w:ind w:left="126" w:right="111" w:firstLine="476"/>
              <w:jc w:val="both"/>
              <w:rPr>
                <w:rFonts w:ascii="Times New Roman" w:eastAsia="宋体" w:hAnsi="Times New Roman" w:cs="Times New Roman" w:hint="default"/>
                <w:color w:val="auto"/>
                <w:spacing w:val="-2"/>
                <w:sz w:val="24"/>
                <w:szCs w:val="24"/>
              </w:rPr>
            </w:pPr>
            <w:r>
              <w:rPr>
                <w:rFonts w:ascii="Times New Roman" w:eastAsia="宋体" w:hAnsi="Times New Roman" w:cs="Times New Roman" w:hint="default"/>
                <w:color w:val="auto"/>
                <w:spacing w:val="-2"/>
                <w:sz w:val="24"/>
                <w:szCs w:val="24"/>
              </w:rPr>
              <w:t>根据实测结果，本工程拟建</w:t>
            </w:r>
            <w:r>
              <w:rPr>
                <w:rFonts w:ascii="Times New Roman" w:eastAsia="宋体" w:hAnsi="Times New Roman" w:cs="Times New Roman" w:hint="default"/>
                <w:color w:val="auto"/>
                <w:spacing w:val="-2"/>
                <w:sz w:val="24"/>
                <w:szCs w:val="24"/>
                <w:lang w:val="en-US" w:eastAsia="zh-CN"/>
              </w:rPr>
              <w:t>储能站</w:t>
            </w:r>
            <w:r>
              <w:rPr>
                <w:rFonts w:ascii="Times New Roman" w:eastAsia="宋体" w:hAnsi="Times New Roman" w:cs="Times New Roman" w:hint="default"/>
                <w:color w:val="auto"/>
                <w:spacing w:val="-2"/>
                <w:sz w:val="24"/>
                <w:szCs w:val="24"/>
              </w:rPr>
              <w:t>工频电场强度、工频磁感应强度的背景值</w:t>
            </w:r>
            <w:r>
              <w:rPr>
                <w:rFonts w:ascii="Times New Roman" w:eastAsia="宋体" w:hAnsi="Times New Roman" w:cs="Times New Roman" w:hint="default"/>
                <w:color w:val="auto"/>
                <w:spacing w:val="-2"/>
                <w:sz w:val="24"/>
                <w:szCs w:val="24"/>
                <w:lang w:val="en-US" w:eastAsia="zh-CN"/>
              </w:rPr>
              <w:t>均</w:t>
            </w:r>
            <w:r>
              <w:rPr>
                <w:rFonts w:ascii="Times New Roman" w:eastAsia="宋体" w:hAnsi="Times New Roman" w:cs="Times New Roman" w:hint="default"/>
                <w:color w:val="auto"/>
                <w:spacing w:val="-2"/>
                <w:sz w:val="24"/>
                <w:szCs w:val="24"/>
              </w:rPr>
              <w:t>满足GB8702-2014《电磁环境控制限值》中标准限值的要求。</w:t>
            </w:r>
          </w:p>
          <w:p w14:paraId="78107F68">
            <w:pPr>
              <w:pStyle w:val="0000"/>
              <w:bidi w:val="0"/>
              <w:rPr>
                <w:rFonts w:cs="Times New Roman" w:hint="default"/>
                <w:color w:val="auto"/>
                <w:lang w:val="en-US" w:eastAsia="zh-CN"/>
              </w:rPr>
            </w:pPr>
          </w:p>
        </w:tc>
      </w:tr>
      <w:tr w14:paraId="31C26A39">
        <w:tblPrEx>
          <w:tblW w:w="9061" w:type="dxa"/>
          <w:jc w:val="center"/>
          <w:tblCellMar>
            <w:top w:w="0" w:type="dxa"/>
            <w:left w:w="108" w:type="dxa"/>
            <w:bottom w:w="0" w:type="dxa"/>
            <w:right w:w="108" w:type="dxa"/>
          </w:tblCellMar>
        </w:tblPrEx>
        <w:trPr>
          <w:trHeight w:val="474"/>
          <w:jc w:val="center"/>
        </w:trPr>
        <w:tc>
          <w:tcPr>
            <w:tcW w:w="454" w:type="dxa"/>
            <w:vAlign w:val="center"/>
          </w:tcPr>
          <w:p w14:paraId="3AF0D052">
            <w:pPr>
              <w:adjustRightInd w:val="0"/>
              <w:snapToGrid w:val="0"/>
              <w:jc w:val="center"/>
              <w:rPr>
                <w:rFonts w:ascii="Times New Roman" w:eastAsia="宋体" w:hAnsi="Times New Roman" w:cs="Times New Roman" w:hint="default"/>
                <w:color w:val="auto"/>
                <w:kern w:val="0"/>
                <w:sz w:val="24"/>
                <w:szCs w:val="21"/>
                <w:highlight w:val="none"/>
              </w:rPr>
            </w:pPr>
            <w:r>
              <w:rPr>
                <w:rFonts w:ascii="Times New Roman" w:eastAsia="宋体" w:hAnsi="Times New Roman" w:cs="Times New Roman" w:hint="default"/>
                <w:color w:val="auto"/>
                <w:kern w:val="0"/>
                <w:sz w:val="24"/>
                <w:szCs w:val="21"/>
                <w:highlight w:val="none"/>
              </w:rPr>
              <w:t>环境</w:t>
            </w:r>
          </w:p>
          <w:p w14:paraId="1DE67EC9">
            <w:pPr>
              <w:adjustRightInd w:val="0"/>
              <w:snapToGrid w:val="0"/>
              <w:jc w:val="center"/>
              <w:rPr>
                <w:rFonts w:ascii="Times New Roman" w:eastAsia="宋体" w:hAnsi="Times New Roman" w:cs="Times New Roman" w:hint="default"/>
                <w:color w:val="auto"/>
                <w:kern w:val="0"/>
                <w:sz w:val="24"/>
                <w:szCs w:val="21"/>
                <w:highlight w:val="none"/>
              </w:rPr>
            </w:pPr>
            <w:r>
              <w:rPr>
                <w:rFonts w:ascii="Times New Roman" w:eastAsia="宋体" w:hAnsi="Times New Roman" w:cs="Times New Roman" w:hint="default"/>
                <w:color w:val="auto"/>
                <w:kern w:val="0"/>
                <w:sz w:val="24"/>
                <w:szCs w:val="21"/>
                <w:highlight w:val="none"/>
              </w:rPr>
              <w:t>保护</w:t>
            </w:r>
          </w:p>
          <w:p w14:paraId="2F043C54">
            <w:pPr>
              <w:adjustRightInd w:val="0"/>
              <w:snapToGrid w:val="0"/>
              <w:jc w:val="center"/>
              <w:rPr>
                <w:rFonts w:ascii="Times New Roman" w:eastAsia="宋体" w:hAnsi="Times New Roman" w:cs="Times New Roman" w:hint="default"/>
                <w:color w:val="auto"/>
                <w:kern w:val="0"/>
                <w:sz w:val="24"/>
                <w:szCs w:val="21"/>
                <w:highlight w:val="none"/>
                <w:lang w:val="en-US" w:eastAsia="zh-CN" w:bidi="ar-SA"/>
              </w:rPr>
            </w:pPr>
            <w:r>
              <w:rPr>
                <w:rFonts w:ascii="Times New Roman" w:eastAsia="宋体" w:hAnsi="Times New Roman" w:cs="Times New Roman" w:hint="default"/>
                <w:color w:val="auto"/>
                <w:kern w:val="0"/>
                <w:sz w:val="24"/>
                <w:szCs w:val="21"/>
                <w:highlight w:val="none"/>
              </w:rPr>
              <w:t>目标</w:t>
            </w:r>
          </w:p>
        </w:tc>
        <w:tc>
          <w:tcPr>
            <w:tcW w:w="8607" w:type="dxa"/>
            <w:vAlign w:val="center"/>
          </w:tcPr>
          <w:p w14:paraId="173107C5">
            <w:pPr>
              <w:spacing w:line="360" w:lineRule="auto"/>
              <w:ind w:left="105" w:right="105" w:firstLine="480" w:leftChars="50" w:rightChars="50" w:firstLineChars="200"/>
              <w:rPr>
                <w:rFonts w:ascii="Times New Roman" w:eastAsia="宋体" w:hAnsi="Times New Roman" w:cs="Times New Roman" w:hint="default"/>
                <w:color w:val="auto"/>
                <w:sz w:val="24"/>
                <w:highlight w:val="none"/>
              </w:rPr>
            </w:pPr>
            <w:r>
              <w:rPr>
                <w:rFonts w:ascii="Times New Roman" w:eastAsia="宋体" w:hAnsi="Times New Roman" w:cs="Times New Roman" w:hint="default"/>
                <w:color w:val="auto"/>
                <w:sz w:val="24"/>
                <w:highlight w:val="none"/>
              </w:rPr>
              <w:t>1、大气环境保护目标</w:t>
            </w:r>
          </w:p>
          <w:p w14:paraId="212C04AC">
            <w:pPr>
              <w:spacing w:line="360" w:lineRule="auto"/>
              <w:ind w:left="-105" w:right="-105" w:firstLine="480" w:leftChars="-50" w:rightChars="-50" w:firstLineChars="200"/>
              <w:rPr>
                <w:rFonts w:ascii="Times New Roman" w:eastAsia="宋体" w:hAnsi="Times New Roman" w:cs="Times New Roman" w:hint="default"/>
                <w:color w:val="auto"/>
                <w:kern w:val="0"/>
                <w:sz w:val="24"/>
                <w:lang w:val="en-US" w:eastAsia="zh-CN"/>
              </w:rPr>
            </w:pPr>
            <w:r>
              <w:rPr>
                <w:rFonts w:ascii="Times New Roman" w:eastAsia="宋体" w:hAnsi="Times New Roman" w:cs="Times New Roman" w:hint="default"/>
                <w:color w:val="auto"/>
                <w:kern w:val="0"/>
                <w:sz w:val="24"/>
              </w:rPr>
              <w:t>本项目厂界</w:t>
            </w:r>
            <w:r>
              <w:rPr>
                <w:rFonts w:ascii="Times New Roman" w:eastAsia="宋体" w:hAnsi="Times New Roman" w:cs="Times New Roman" w:hint="default"/>
                <w:color w:val="auto"/>
                <w:kern w:val="0"/>
                <w:sz w:val="24"/>
                <w:lang w:val="en-US" w:eastAsia="zh-CN"/>
              </w:rPr>
              <w:t>外</w:t>
            </w:r>
            <w:r>
              <w:rPr>
                <w:rFonts w:ascii="Times New Roman" w:eastAsia="宋体" w:hAnsi="Times New Roman" w:cs="Times New Roman" w:hint="default"/>
                <w:color w:val="auto"/>
                <w:kern w:val="0"/>
                <w:sz w:val="24"/>
              </w:rPr>
              <w:t>500米范围内</w:t>
            </w:r>
            <w:r>
              <w:rPr>
                <w:rFonts w:ascii="Times New Roman" w:eastAsia="宋体" w:hAnsi="Times New Roman" w:cs="Times New Roman" w:hint="default"/>
                <w:color w:val="auto"/>
                <w:kern w:val="0"/>
                <w:sz w:val="24"/>
                <w:lang w:val="en-US" w:eastAsia="zh-CN"/>
              </w:rPr>
              <w:t>大气环境保护目标情况如下：</w:t>
            </w:r>
          </w:p>
          <w:p w14:paraId="24DCD471">
            <w:pPr>
              <w:pStyle w:val="TOC2"/>
              <w:jc w:val="center"/>
              <w:rPr>
                <w:rFonts w:ascii="Times New Roman" w:eastAsia="宋体" w:hAnsi="Times New Roman" w:cs="Times New Roman" w:hint="default"/>
                <w:b/>
                <w:bCs/>
                <w:color w:val="auto"/>
                <w:sz w:val="24"/>
                <w:szCs w:val="24"/>
                <w:highlight w:val="none"/>
                <w:lang w:val="en-US" w:eastAsia="zh-CN"/>
              </w:rPr>
            </w:pPr>
            <w:r>
              <w:rPr>
                <w:rFonts w:ascii="Times New Roman" w:eastAsia="宋体" w:hAnsi="Times New Roman" w:cs="Times New Roman" w:hint="default"/>
                <w:b/>
                <w:bCs/>
                <w:color w:val="auto"/>
                <w:sz w:val="24"/>
                <w:szCs w:val="24"/>
                <w:highlight w:val="none"/>
                <w:lang w:val="en-US" w:eastAsia="zh-CN"/>
              </w:rPr>
              <w:t>表</w:t>
            </w:r>
            <w:r>
              <w:rPr>
                <w:rFonts w:ascii="Times New Roman" w:eastAsia="宋体" w:hAnsi="Times New Roman" w:cs="Times New Roman" w:hint="default"/>
                <w:b/>
                <w:bCs/>
                <w:color w:val="auto"/>
                <w:sz w:val="24"/>
                <w:szCs w:val="24"/>
                <w:highlight w:val="none"/>
              </w:rPr>
              <w:t xml:space="preserve">3- </w:t>
            </w:r>
            <w:r>
              <w:rPr>
                <w:rFonts w:ascii="Times New Roman" w:eastAsia="宋体" w:hAnsi="Times New Roman" w:cs="Times New Roman" w:hint="default"/>
                <w:b/>
                <w:bCs/>
                <w:color w:val="auto"/>
                <w:sz w:val="24"/>
                <w:szCs w:val="24"/>
                <w:highlight w:val="none"/>
              </w:rPr>
              <w:fldChar w:fldCharType="begin"/>
            </w:r>
            <w:r>
              <w:rPr>
                <w:rFonts w:ascii="Times New Roman" w:eastAsia="宋体" w:hAnsi="Times New Roman" w:cs="Times New Roman" w:hint="default"/>
                <w:b/>
                <w:bCs/>
                <w:color w:val="auto"/>
                <w:sz w:val="24"/>
                <w:szCs w:val="24"/>
                <w:highlight w:val="none"/>
              </w:rPr>
              <w:instrText xml:space="preserve"> SEQ 表3- \* ARABIC </w:instrText>
            </w:r>
            <w:r>
              <w:rPr>
                <w:rFonts w:ascii="Times New Roman" w:eastAsia="宋体" w:hAnsi="Times New Roman" w:cs="Times New Roman" w:hint="default"/>
                <w:b/>
                <w:bCs/>
                <w:color w:val="auto"/>
                <w:sz w:val="24"/>
                <w:szCs w:val="24"/>
                <w:highlight w:val="none"/>
              </w:rPr>
              <w:fldChar w:fldCharType="separate"/>
            </w:r>
            <w:r>
              <w:rPr>
                <w:rFonts w:ascii="Times New Roman" w:eastAsia="宋体" w:hAnsi="Times New Roman" w:cs="Times New Roman" w:hint="default"/>
                <w:b/>
                <w:bCs/>
                <w:color w:val="auto"/>
                <w:sz w:val="24"/>
                <w:szCs w:val="24"/>
                <w:highlight w:val="none"/>
              </w:rPr>
              <w:t>3</w:t>
            </w:r>
            <w:r>
              <w:rPr>
                <w:rFonts w:ascii="Times New Roman" w:eastAsia="宋体" w:hAnsi="Times New Roman" w:cs="Times New Roman" w:hint="default"/>
                <w:b/>
                <w:bCs/>
                <w:color w:val="auto"/>
                <w:sz w:val="24"/>
                <w:szCs w:val="24"/>
                <w:highlight w:val="none"/>
              </w:rPr>
              <w:fldChar w:fldCharType="end"/>
            </w:r>
            <w:r>
              <w:rPr>
                <w:rFonts w:ascii="Times New Roman" w:eastAsia="宋体" w:hAnsi="Times New Roman" w:cs="Times New Roman" w:hint="default"/>
                <w:b/>
                <w:bCs/>
                <w:color w:val="auto"/>
                <w:sz w:val="24"/>
                <w:szCs w:val="24"/>
                <w:highlight w:val="none"/>
                <w:lang w:val="en-US" w:eastAsia="zh-CN"/>
              </w:rPr>
              <w:t xml:space="preserve"> 大气保护目标情况表</w:t>
            </w:r>
          </w:p>
          <w:tbl>
            <w:tblPr>
              <w:tblStyle w:val="TableGrid"/>
              <w:tblW w:w="499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blGrid>
              <w:gridCol w:w="435"/>
              <w:gridCol w:w="514"/>
              <w:gridCol w:w="1018"/>
              <w:gridCol w:w="1548"/>
              <w:gridCol w:w="1528"/>
              <w:gridCol w:w="859"/>
              <w:gridCol w:w="849"/>
              <w:gridCol w:w="797"/>
              <w:gridCol w:w="814"/>
            </w:tblGrid>
            <w:tr w14:paraId="24DE9353">
              <w:tblPrEx>
                <w:tblW w:w="499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Ex>
              <w:trPr>
                <w:trHeight w:val="23"/>
                <w:jc w:val="center"/>
              </w:trPr>
              <w:tc>
                <w:tcPr>
                  <w:tcW w:w="260" w:type="pct"/>
                  <w:vMerge w:val="restart"/>
                  <w:tcBorders>
                    <w:tl2br w:val="nil"/>
                    <w:tr2bl w:val="nil"/>
                  </w:tcBorders>
                  <w:noWrap w:val="0"/>
                  <w:vAlign w:val="center"/>
                </w:tcPr>
                <w:p w14:paraId="7503C75C">
                  <w:pPr>
                    <w:pStyle w:val="a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leftChars="0" w:rightChars="0" w:firstLineChars="0"/>
                    <w:jc w:val="center"/>
                    <w:textAlignment w:val="auto"/>
                    <w:rPr>
                      <w:rFonts w:ascii="Times New Roman" w:eastAsia="宋体" w:hAnsi="Times New Roman" w:cs="Times New Roman" w:hint="default"/>
                      <w:b/>
                      <w:bCs/>
                      <w:color w:val="auto"/>
                      <w:sz w:val="21"/>
                      <w:szCs w:val="21"/>
                      <w:lang w:val="en-US" w:eastAsia="zh-CN"/>
                    </w:rPr>
                  </w:pPr>
                  <w:r>
                    <w:rPr>
                      <w:rFonts w:ascii="Times New Roman" w:eastAsia="宋体" w:hAnsi="Times New Roman" w:cs="Times New Roman" w:hint="default"/>
                      <w:b/>
                      <w:bCs/>
                      <w:color w:val="auto"/>
                      <w:sz w:val="21"/>
                      <w:szCs w:val="21"/>
                      <w:lang w:val="en-US" w:eastAsia="zh-CN"/>
                    </w:rPr>
                    <w:t>环境要素</w:t>
                  </w:r>
                </w:p>
              </w:tc>
              <w:tc>
                <w:tcPr>
                  <w:tcW w:w="307" w:type="pct"/>
                  <w:vMerge w:val="restart"/>
                  <w:tcBorders>
                    <w:tl2br w:val="nil"/>
                    <w:tr2bl w:val="nil"/>
                  </w:tcBorders>
                  <w:noWrap w:val="0"/>
                  <w:vAlign w:val="center"/>
                </w:tcPr>
                <w:p w14:paraId="76700F6D">
                  <w:pPr>
                    <w:pStyle w:val="a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leftChars="0" w:rightChars="0" w:firstLineChars="0"/>
                    <w:jc w:val="center"/>
                    <w:textAlignment w:val="auto"/>
                    <w:rPr>
                      <w:rFonts w:ascii="Times New Roman" w:eastAsia="宋体" w:hAnsi="Times New Roman" w:cs="Times New Roman" w:hint="default"/>
                      <w:b/>
                      <w:bCs/>
                      <w:color w:val="auto"/>
                      <w:sz w:val="21"/>
                      <w:szCs w:val="21"/>
                      <w:lang w:val="en-US" w:eastAsia="zh-CN"/>
                    </w:rPr>
                  </w:pPr>
                  <w:r>
                    <w:rPr>
                      <w:rFonts w:ascii="Times New Roman" w:eastAsia="宋体" w:hAnsi="Times New Roman" w:cs="Times New Roman" w:hint="default"/>
                      <w:b/>
                      <w:bCs/>
                      <w:color w:val="auto"/>
                      <w:sz w:val="21"/>
                      <w:szCs w:val="21"/>
                      <w:lang w:val="en-US" w:eastAsia="zh-CN"/>
                    </w:rPr>
                    <w:t>序号</w:t>
                  </w:r>
                </w:p>
              </w:tc>
              <w:tc>
                <w:tcPr>
                  <w:tcW w:w="608" w:type="pct"/>
                  <w:vMerge w:val="restart"/>
                  <w:tcBorders>
                    <w:tl2br w:val="nil"/>
                    <w:tr2bl w:val="nil"/>
                  </w:tcBorders>
                  <w:noWrap w:val="0"/>
                  <w:vAlign w:val="center"/>
                </w:tcPr>
                <w:p w14:paraId="72BCA1DA">
                  <w:pPr>
                    <w:pStyle w:val="a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leftChars="0" w:rightChars="0" w:firstLineChars="0"/>
                    <w:jc w:val="center"/>
                    <w:textAlignment w:val="auto"/>
                    <w:rPr>
                      <w:rFonts w:ascii="Times New Roman" w:eastAsia="宋体" w:hAnsi="Times New Roman" w:cs="Times New Roman" w:hint="default"/>
                      <w:b/>
                      <w:bCs/>
                      <w:color w:val="auto"/>
                      <w:sz w:val="21"/>
                      <w:szCs w:val="21"/>
                      <w:lang w:val="en-US" w:eastAsia="zh-CN"/>
                    </w:rPr>
                  </w:pPr>
                  <w:r>
                    <w:rPr>
                      <w:rFonts w:ascii="Times New Roman" w:eastAsia="宋体" w:hAnsi="Times New Roman" w:cs="Times New Roman" w:hint="default"/>
                      <w:b/>
                      <w:bCs/>
                      <w:color w:val="auto"/>
                      <w:sz w:val="21"/>
                      <w:szCs w:val="21"/>
                      <w:lang w:val="en-US" w:eastAsia="zh-CN"/>
                    </w:rPr>
                    <w:t>名称</w:t>
                  </w:r>
                </w:p>
              </w:tc>
              <w:tc>
                <w:tcPr>
                  <w:tcW w:w="1838" w:type="pct"/>
                  <w:gridSpan w:val="2"/>
                  <w:tcBorders>
                    <w:tl2br w:val="nil"/>
                    <w:tr2bl w:val="nil"/>
                  </w:tcBorders>
                  <w:noWrap w:val="0"/>
                  <w:vAlign w:val="center"/>
                </w:tcPr>
                <w:p w14:paraId="1168BAEB">
                  <w:pPr>
                    <w:pStyle w:val="a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leftChars="0" w:rightChars="0" w:firstLineChars="0"/>
                    <w:jc w:val="center"/>
                    <w:textAlignment w:val="auto"/>
                    <w:rPr>
                      <w:rFonts w:ascii="Times New Roman" w:eastAsia="宋体" w:hAnsi="Times New Roman" w:cs="Times New Roman" w:hint="default"/>
                      <w:b/>
                      <w:bCs/>
                      <w:color w:val="auto"/>
                      <w:sz w:val="21"/>
                      <w:szCs w:val="21"/>
                      <w:lang w:val="en-US" w:eastAsia="zh-CN"/>
                    </w:rPr>
                  </w:pPr>
                  <w:r>
                    <w:rPr>
                      <w:rFonts w:ascii="Times New Roman" w:eastAsia="宋体" w:hAnsi="Times New Roman" w:cs="Times New Roman" w:hint="default"/>
                      <w:b/>
                      <w:bCs/>
                      <w:color w:val="auto"/>
                      <w:sz w:val="21"/>
                      <w:szCs w:val="21"/>
                      <w:lang w:val="en-US" w:eastAsia="zh-CN"/>
                    </w:rPr>
                    <w:t>坐标</w:t>
                  </w:r>
                </w:p>
              </w:tc>
              <w:tc>
                <w:tcPr>
                  <w:tcW w:w="513" w:type="pct"/>
                  <w:vMerge w:val="restart"/>
                  <w:tcBorders>
                    <w:tl2br w:val="nil"/>
                    <w:tr2bl w:val="nil"/>
                  </w:tcBorders>
                  <w:noWrap w:val="0"/>
                  <w:vAlign w:val="center"/>
                </w:tcPr>
                <w:p w14:paraId="206F5D66">
                  <w:pPr>
                    <w:pStyle w:val="a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leftChars="0" w:rightChars="0" w:firstLineChars="0"/>
                    <w:jc w:val="center"/>
                    <w:textAlignment w:val="auto"/>
                    <w:rPr>
                      <w:rFonts w:ascii="Times New Roman" w:eastAsia="宋体" w:hAnsi="Times New Roman" w:cs="Times New Roman" w:hint="default"/>
                      <w:color w:val="auto"/>
                      <w:kern w:val="2"/>
                      <w:sz w:val="21"/>
                      <w:szCs w:val="21"/>
                      <w:lang w:val="en-US" w:eastAsia="zh-CN" w:bidi="ar-SA"/>
                    </w:rPr>
                  </w:pPr>
                  <w:r>
                    <w:rPr>
                      <w:rFonts w:ascii="Times New Roman" w:eastAsia="宋体" w:hAnsi="Times New Roman" w:cs="Times New Roman" w:hint="default"/>
                      <w:b/>
                      <w:bCs/>
                      <w:color w:val="auto"/>
                      <w:kern w:val="2"/>
                      <w:sz w:val="21"/>
                      <w:szCs w:val="21"/>
                      <w:lang w:val="en-US" w:eastAsia="zh-CN" w:bidi="ar-SA"/>
                    </w:rPr>
                    <w:t>属性</w:t>
                  </w:r>
                </w:p>
              </w:tc>
              <w:tc>
                <w:tcPr>
                  <w:tcW w:w="507" w:type="pct"/>
                  <w:vMerge w:val="restart"/>
                  <w:tcBorders>
                    <w:tl2br w:val="nil"/>
                    <w:tr2bl w:val="nil"/>
                  </w:tcBorders>
                  <w:noWrap w:val="0"/>
                  <w:vAlign w:val="center"/>
                </w:tcPr>
                <w:p w14:paraId="1435E787">
                  <w:pPr>
                    <w:pStyle w:val="a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leftChars="0" w:rightChars="0" w:firstLineChars="0"/>
                    <w:jc w:val="center"/>
                    <w:textAlignment w:val="auto"/>
                    <w:rPr>
                      <w:rFonts w:ascii="Times New Roman" w:eastAsia="宋体" w:hAnsi="Times New Roman" w:cs="Times New Roman" w:hint="default"/>
                      <w:b/>
                      <w:bCs/>
                      <w:color w:val="auto"/>
                      <w:sz w:val="21"/>
                      <w:szCs w:val="21"/>
                      <w:lang w:val="en-US" w:eastAsia="zh-CN"/>
                    </w:rPr>
                  </w:pPr>
                  <w:r>
                    <w:rPr>
                      <w:rFonts w:ascii="Times New Roman" w:eastAsia="宋体" w:hAnsi="Times New Roman" w:cs="Times New Roman" w:hint="default"/>
                      <w:b/>
                      <w:bCs/>
                      <w:color w:val="auto"/>
                      <w:sz w:val="21"/>
                      <w:szCs w:val="21"/>
                      <w:lang w:val="en-US" w:eastAsia="zh-CN"/>
                    </w:rPr>
                    <w:t>保护内容（人）</w:t>
                  </w:r>
                </w:p>
              </w:tc>
              <w:tc>
                <w:tcPr>
                  <w:tcW w:w="476" w:type="pct"/>
                  <w:vMerge w:val="restart"/>
                  <w:tcBorders>
                    <w:tl2br w:val="nil"/>
                    <w:tr2bl w:val="nil"/>
                  </w:tcBorders>
                  <w:noWrap w:val="0"/>
                  <w:vAlign w:val="center"/>
                </w:tcPr>
                <w:p w14:paraId="54D947F0">
                  <w:pPr>
                    <w:pStyle w:val="a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leftChars="0" w:rightChars="0" w:firstLineChars="0"/>
                    <w:jc w:val="center"/>
                    <w:textAlignment w:val="auto"/>
                    <w:rPr>
                      <w:rFonts w:ascii="Times New Roman" w:eastAsia="宋体" w:hAnsi="Times New Roman" w:cs="Times New Roman" w:hint="default"/>
                      <w:b/>
                      <w:bCs/>
                      <w:color w:val="auto"/>
                      <w:sz w:val="21"/>
                      <w:szCs w:val="21"/>
                      <w:lang w:val="en-US" w:eastAsia="zh-CN"/>
                    </w:rPr>
                  </w:pPr>
                  <w:r>
                    <w:rPr>
                      <w:rFonts w:ascii="Times New Roman" w:eastAsia="宋体" w:hAnsi="Times New Roman" w:cs="Times New Roman" w:hint="default"/>
                      <w:b/>
                      <w:bCs/>
                      <w:color w:val="auto"/>
                      <w:sz w:val="21"/>
                      <w:szCs w:val="21"/>
                      <w:lang w:val="en-US" w:eastAsia="zh-CN"/>
                    </w:rPr>
                    <w:t>相对厂址方位</w:t>
                  </w:r>
                </w:p>
              </w:tc>
              <w:tc>
                <w:tcPr>
                  <w:tcW w:w="486" w:type="pct"/>
                  <w:vMerge w:val="restart"/>
                  <w:tcBorders>
                    <w:tl2br w:val="nil"/>
                    <w:tr2bl w:val="nil"/>
                  </w:tcBorders>
                  <w:noWrap w:val="0"/>
                  <w:vAlign w:val="center"/>
                </w:tcPr>
                <w:p w14:paraId="7320B509">
                  <w:pPr>
                    <w:pStyle w:val="a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leftChars="0" w:rightChars="0" w:firstLineChars="0"/>
                    <w:jc w:val="center"/>
                    <w:textAlignment w:val="auto"/>
                    <w:rPr>
                      <w:rFonts w:ascii="Times New Roman" w:eastAsia="宋体" w:hAnsi="Times New Roman" w:cs="Times New Roman" w:hint="default"/>
                      <w:b/>
                      <w:bCs/>
                      <w:color w:val="auto"/>
                      <w:sz w:val="21"/>
                      <w:szCs w:val="21"/>
                      <w:lang w:val="en-US" w:eastAsia="zh-CN"/>
                    </w:rPr>
                  </w:pPr>
                  <w:r>
                    <w:rPr>
                      <w:rFonts w:ascii="Times New Roman" w:eastAsia="宋体" w:hAnsi="Times New Roman" w:cs="Times New Roman" w:hint="default"/>
                      <w:b/>
                      <w:bCs/>
                      <w:color w:val="auto"/>
                      <w:sz w:val="21"/>
                      <w:szCs w:val="21"/>
                      <w:lang w:val="en-US" w:eastAsia="zh-CN"/>
                    </w:rPr>
                    <w:t>相对厂界</w:t>
                  </w:r>
                  <w:r>
                    <w:rPr>
                      <w:rFonts w:ascii="Times New Roman" w:cs="Times New Roman" w:hint="eastAsia"/>
                      <w:b/>
                      <w:bCs/>
                      <w:color w:val="auto"/>
                      <w:sz w:val="21"/>
                      <w:szCs w:val="21"/>
                      <w:lang w:val="en-US" w:eastAsia="zh-CN"/>
                    </w:rPr>
                    <w:t>最近</w:t>
                  </w:r>
                  <w:r>
                    <w:rPr>
                      <w:rFonts w:ascii="Times New Roman" w:eastAsia="宋体" w:hAnsi="Times New Roman" w:cs="Times New Roman" w:hint="default"/>
                      <w:b/>
                      <w:bCs/>
                      <w:color w:val="auto"/>
                      <w:sz w:val="21"/>
                      <w:szCs w:val="21"/>
                      <w:lang w:val="en-US" w:eastAsia="zh-CN"/>
                    </w:rPr>
                    <w:t>距离（m）</w:t>
                  </w:r>
                </w:p>
              </w:tc>
            </w:tr>
            <w:tr w14:paraId="5CAF7B8C">
              <w:tblPrEx>
                <w:tblW w:w="4993" w:type="pct"/>
                <w:jc w:val="center"/>
                <w:tblCellMar>
                  <w:top w:w="0" w:type="dxa"/>
                  <w:left w:w="108" w:type="dxa"/>
                  <w:bottom w:w="0" w:type="dxa"/>
                  <w:right w:w="108" w:type="dxa"/>
                </w:tblCellMar>
              </w:tblPrEx>
              <w:trPr>
                <w:trHeight w:val="1044"/>
                <w:jc w:val="center"/>
              </w:trPr>
              <w:tc>
                <w:tcPr>
                  <w:tcW w:w="260" w:type="pct"/>
                  <w:vMerge/>
                  <w:tcBorders>
                    <w:tl2br w:val="nil"/>
                    <w:tr2bl w:val="nil"/>
                  </w:tcBorders>
                  <w:noWrap w:val="0"/>
                  <w:vAlign w:val="center"/>
                </w:tcPr>
                <w:p w14:paraId="6230389E">
                  <w:pPr>
                    <w:pStyle w:val="a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leftChars="0" w:rightChars="0" w:firstLineChars="0"/>
                    <w:jc w:val="center"/>
                    <w:textAlignment w:val="auto"/>
                    <w:rPr>
                      <w:rFonts w:ascii="Times New Roman" w:eastAsia="宋体" w:hAnsi="Times New Roman" w:cs="Times New Roman" w:hint="default"/>
                      <w:color w:val="auto"/>
                      <w:sz w:val="21"/>
                      <w:szCs w:val="21"/>
                    </w:rPr>
                  </w:pPr>
                </w:p>
              </w:tc>
              <w:tc>
                <w:tcPr>
                  <w:tcW w:w="307" w:type="pct"/>
                  <w:vMerge/>
                  <w:tcBorders>
                    <w:tl2br w:val="nil"/>
                    <w:tr2bl w:val="nil"/>
                  </w:tcBorders>
                  <w:noWrap w:val="0"/>
                  <w:vAlign w:val="center"/>
                </w:tcPr>
                <w:p w14:paraId="1AC626F8">
                  <w:pPr>
                    <w:pStyle w:val="a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leftChars="0" w:rightChars="0" w:firstLineChars="0"/>
                    <w:jc w:val="center"/>
                    <w:textAlignment w:val="auto"/>
                    <w:rPr>
                      <w:rFonts w:ascii="Times New Roman" w:eastAsia="宋体" w:hAnsi="Times New Roman" w:cs="Times New Roman" w:hint="default"/>
                      <w:color w:val="auto"/>
                      <w:sz w:val="21"/>
                      <w:szCs w:val="21"/>
                    </w:rPr>
                  </w:pPr>
                </w:p>
              </w:tc>
              <w:tc>
                <w:tcPr>
                  <w:tcW w:w="608" w:type="pct"/>
                  <w:vMerge/>
                  <w:tcBorders>
                    <w:tl2br w:val="nil"/>
                    <w:tr2bl w:val="nil"/>
                  </w:tcBorders>
                  <w:noWrap w:val="0"/>
                  <w:vAlign w:val="center"/>
                </w:tcPr>
                <w:p w14:paraId="480CB464">
                  <w:pPr>
                    <w:pStyle w:val="a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leftChars="0" w:rightChars="0" w:firstLineChars="0"/>
                    <w:jc w:val="center"/>
                    <w:textAlignment w:val="auto"/>
                    <w:rPr>
                      <w:rFonts w:ascii="Times New Roman" w:eastAsia="宋体" w:hAnsi="Times New Roman" w:cs="Times New Roman" w:hint="default"/>
                      <w:color w:val="auto"/>
                      <w:sz w:val="21"/>
                      <w:szCs w:val="21"/>
                    </w:rPr>
                  </w:pPr>
                </w:p>
              </w:tc>
              <w:tc>
                <w:tcPr>
                  <w:tcW w:w="925" w:type="pct"/>
                  <w:tcBorders>
                    <w:tl2br w:val="nil"/>
                    <w:tr2bl w:val="nil"/>
                  </w:tcBorders>
                  <w:noWrap w:val="0"/>
                  <w:vAlign w:val="center"/>
                </w:tcPr>
                <w:p w14:paraId="602FA396">
                  <w:pPr>
                    <w:pStyle w:val="a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leftChars="0" w:rightChars="0" w:firstLineChars="0"/>
                    <w:jc w:val="center"/>
                    <w:textAlignment w:val="auto"/>
                    <w:rPr>
                      <w:rFonts w:ascii="Times New Roman" w:eastAsia="宋体" w:hAnsi="Times New Roman" w:cs="Times New Roman" w:hint="default"/>
                      <w:b/>
                      <w:bCs/>
                      <w:color w:val="auto"/>
                      <w:sz w:val="21"/>
                      <w:szCs w:val="21"/>
                      <w:lang w:val="en-US" w:eastAsia="zh-CN"/>
                    </w:rPr>
                  </w:pPr>
                  <w:r>
                    <w:rPr>
                      <w:rFonts w:ascii="Times New Roman" w:eastAsia="宋体" w:hAnsi="Times New Roman" w:cs="Times New Roman" w:hint="default"/>
                      <w:b/>
                      <w:bCs/>
                      <w:color w:val="auto"/>
                      <w:sz w:val="21"/>
                      <w:szCs w:val="21"/>
                      <w:lang w:val="en-US" w:eastAsia="zh-CN"/>
                    </w:rPr>
                    <w:t>经度°</w:t>
                  </w:r>
                </w:p>
              </w:tc>
              <w:tc>
                <w:tcPr>
                  <w:tcW w:w="912" w:type="pct"/>
                  <w:tcBorders>
                    <w:tl2br w:val="nil"/>
                    <w:tr2bl w:val="nil"/>
                  </w:tcBorders>
                  <w:noWrap w:val="0"/>
                  <w:vAlign w:val="center"/>
                </w:tcPr>
                <w:p w14:paraId="000000D6">
                  <w:pPr>
                    <w:pStyle w:val="a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leftChars="0" w:rightChars="0" w:firstLineChars="0"/>
                    <w:jc w:val="center"/>
                    <w:textAlignment w:val="auto"/>
                    <w:rPr>
                      <w:rFonts w:ascii="Times New Roman" w:eastAsia="宋体" w:hAnsi="Times New Roman" w:cs="Times New Roman" w:hint="default"/>
                      <w:b/>
                      <w:bCs/>
                      <w:color w:val="auto"/>
                      <w:sz w:val="21"/>
                      <w:szCs w:val="21"/>
                      <w:lang w:val="en-US" w:eastAsia="zh-CN"/>
                    </w:rPr>
                  </w:pPr>
                  <w:r>
                    <w:rPr>
                      <w:rFonts w:ascii="Times New Roman" w:eastAsia="宋体" w:hAnsi="Times New Roman" w:cs="Times New Roman" w:hint="default"/>
                      <w:b/>
                      <w:bCs/>
                      <w:color w:val="auto"/>
                      <w:sz w:val="21"/>
                      <w:szCs w:val="21"/>
                      <w:lang w:val="en-US" w:eastAsia="zh-CN"/>
                    </w:rPr>
                    <w:t>纬度°</w:t>
                  </w:r>
                </w:p>
              </w:tc>
              <w:tc>
                <w:tcPr>
                  <w:tcW w:w="513" w:type="pct"/>
                  <w:vMerge/>
                  <w:tcBorders>
                    <w:tl2br w:val="nil"/>
                    <w:tr2bl w:val="nil"/>
                  </w:tcBorders>
                  <w:noWrap w:val="0"/>
                  <w:vAlign w:val="center"/>
                </w:tcPr>
                <w:p w14:paraId="56582153">
                  <w:pPr>
                    <w:pStyle w:val="a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leftChars="0" w:rightChars="0" w:firstLineChars="0"/>
                    <w:jc w:val="center"/>
                    <w:textAlignment w:val="auto"/>
                    <w:rPr>
                      <w:rFonts w:ascii="Times New Roman" w:eastAsia="宋体" w:hAnsi="Times New Roman" w:cs="Times New Roman" w:hint="default"/>
                      <w:color w:val="auto"/>
                      <w:sz w:val="21"/>
                      <w:szCs w:val="21"/>
                      <w:lang w:val="en-US" w:eastAsia="zh-CN"/>
                    </w:rPr>
                  </w:pPr>
                </w:p>
              </w:tc>
              <w:tc>
                <w:tcPr>
                  <w:tcW w:w="507" w:type="pct"/>
                  <w:vMerge/>
                  <w:tcBorders>
                    <w:tl2br w:val="nil"/>
                    <w:tr2bl w:val="nil"/>
                  </w:tcBorders>
                  <w:noWrap w:val="0"/>
                  <w:vAlign w:val="center"/>
                </w:tcPr>
                <w:p w14:paraId="6E7893D2">
                  <w:pPr>
                    <w:pStyle w:val="a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leftChars="0" w:rightChars="0" w:firstLineChars="0"/>
                    <w:jc w:val="center"/>
                    <w:textAlignment w:val="auto"/>
                    <w:rPr>
                      <w:rFonts w:ascii="Times New Roman" w:eastAsia="宋体" w:hAnsi="Times New Roman" w:cs="Times New Roman" w:hint="default"/>
                      <w:color w:val="auto"/>
                      <w:sz w:val="21"/>
                      <w:szCs w:val="21"/>
                      <w:lang w:val="en-US" w:eastAsia="zh-CN"/>
                    </w:rPr>
                  </w:pPr>
                </w:p>
              </w:tc>
              <w:tc>
                <w:tcPr>
                  <w:tcW w:w="476" w:type="pct"/>
                  <w:vMerge/>
                  <w:tcBorders>
                    <w:tl2br w:val="nil"/>
                    <w:tr2bl w:val="nil"/>
                  </w:tcBorders>
                  <w:noWrap w:val="0"/>
                  <w:vAlign w:val="center"/>
                </w:tcPr>
                <w:p w14:paraId="243297F4">
                  <w:pPr>
                    <w:pStyle w:val="a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leftChars="0" w:rightChars="0" w:firstLineChars="0"/>
                    <w:jc w:val="center"/>
                    <w:textAlignment w:val="auto"/>
                    <w:rPr>
                      <w:rFonts w:ascii="Times New Roman" w:eastAsia="宋体" w:hAnsi="Times New Roman" w:cs="Times New Roman" w:hint="default"/>
                      <w:color w:val="auto"/>
                      <w:sz w:val="21"/>
                      <w:szCs w:val="21"/>
                      <w:lang w:val="en-US" w:eastAsia="zh-CN"/>
                    </w:rPr>
                  </w:pPr>
                </w:p>
              </w:tc>
              <w:tc>
                <w:tcPr>
                  <w:tcW w:w="486" w:type="pct"/>
                  <w:vMerge/>
                  <w:tcBorders>
                    <w:tl2br w:val="nil"/>
                    <w:tr2bl w:val="nil"/>
                  </w:tcBorders>
                  <w:noWrap w:val="0"/>
                  <w:vAlign w:val="center"/>
                </w:tcPr>
                <w:p w14:paraId="1435D210">
                  <w:pPr>
                    <w:pStyle w:val="a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leftChars="0" w:rightChars="0" w:firstLineChars="0"/>
                    <w:jc w:val="center"/>
                    <w:textAlignment w:val="auto"/>
                    <w:rPr>
                      <w:rFonts w:ascii="Times New Roman" w:eastAsia="宋体" w:hAnsi="Times New Roman" w:cs="Times New Roman" w:hint="default"/>
                      <w:color w:val="auto"/>
                      <w:sz w:val="21"/>
                      <w:szCs w:val="21"/>
                      <w:lang w:val="en-US" w:eastAsia="zh-CN"/>
                    </w:rPr>
                  </w:pPr>
                </w:p>
              </w:tc>
            </w:tr>
            <w:tr w14:paraId="12751329">
              <w:tblPrEx>
                <w:tblW w:w="4993" w:type="pct"/>
                <w:jc w:val="center"/>
                <w:tblCellMar>
                  <w:top w:w="0" w:type="dxa"/>
                  <w:left w:w="108" w:type="dxa"/>
                  <w:bottom w:w="0" w:type="dxa"/>
                  <w:right w:w="108" w:type="dxa"/>
                </w:tblCellMar>
              </w:tblPrEx>
              <w:trPr>
                <w:trHeight w:val="23"/>
                <w:jc w:val="center"/>
              </w:trPr>
              <w:tc>
                <w:tcPr>
                  <w:tcW w:w="260" w:type="pct"/>
                  <w:tcBorders>
                    <w:tl2br w:val="nil"/>
                    <w:tr2bl w:val="nil"/>
                  </w:tcBorders>
                  <w:noWrap w:val="0"/>
                  <w:vAlign w:val="center"/>
                </w:tcPr>
                <w:p w14:paraId="5BEB5DB2">
                  <w:pPr>
                    <w:pStyle w:val="a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leftChars="0" w:rightChars="0" w:firstLineChars="0"/>
                    <w:jc w:val="center"/>
                    <w:textAlignment w:val="auto"/>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大气环境</w:t>
                  </w:r>
                </w:p>
              </w:tc>
              <w:tc>
                <w:tcPr>
                  <w:tcW w:w="307" w:type="pct"/>
                  <w:tcBorders>
                    <w:tl2br w:val="nil"/>
                    <w:tr2bl w:val="nil"/>
                  </w:tcBorders>
                  <w:noWrap w:val="0"/>
                  <w:vAlign w:val="center"/>
                </w:tcPr>
                <w:p w14:paraId="3CA0B1D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leftChars="0" w:rightChars="0"/>
                    <w:jc w:val="center"/>
                    <w:textAlignment w:val="auto"/>
                    <w:rPr>
                      <w:rFonts w:ascii="Times New Roman" w:eastAsia="宋体" w:hAnsi="Times New Roman" w:cs="Times New Roman" w:hint="default"/>
                      <w:snapToGrid/>
                      <w:color w:val="auto"/>
                      <w:sz w:val="21"/>
                      <w:lang w:val="en-US" w:eastAsia="zh-CN"/>
                    </w:rPr>
                  </w:pPr>
                  <w:r>
                    <w:rPr>
                      <w:rFonts w:ascii="Times New Roman" w:eastAsia="宋体" w:hAnsi="Times New Roman" w:cs="Times New Roman" w:hint="default"/>
                      <w:snapToGrid/>
                      <w:color w:val="auto"/>
                      <w:sz w:val="21"/>
                      <w:lang w:val="en-US" w:eastAsia="zh-CN"/>
                    </w:rPr>
                    <w:t>1</w:t>
                  </w:r>
                </w:p>
              </w:tc>
              <w:tc>
                <w:tcPr>
                  <w:tcW w:w="608" w:type="pct"/>
                  <w:tcBorders>
                    <w:tl2br w:val="nil"/>
                    <w:tr2bl w:val="nil"/>
                  </w:tcBorders>
                  <w:noWrap w:val="0"/>
                  <w:vAlign w:val="center"/>
                </w:tcPr>
                <w:p w14:paraId="1E0356B1">
                  <w:pPr>
                    <w:pStyle w:val="a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leftChars="0" w:rightChars="0" w:firstLineChars="0"/>
                    <w:jc w:val="both"/>
                    <w:textAlignment w:val="auto"/>
                    <w:rPr>
                      <w:rFonts w:ascii="Times New Roman" w:eastAsia="宋体" w:hAnsi="Times New Roman" w:cs="Times New Roman" w:hint="default"/>
                      <w:color w:val="auto"/>
                      <w:kern w:val="2"/>
                      <w:sz w:val="21"/>
                      <w:szCs w:val="21"/>
                      <w:lang w:val="en-US" w:eastAsia="zh-CN" w:bidi="ar-SA"/>
                    </w:rPr>
                  </w:pPr>
                  <w:r>
                    <w:rPr>
                      <w:rFonts w:ascii="Times New Roman" w:eastAsia="宋体" w:hAnsi="Times New Roman" w:cs="Times New Roman" w:hint="default"/>
                      <w:color w:val="auto"/>
                      <w:kern w:val="2"/>
                      <w:sz w:val="21"/>
                      <w:szCs w:val="21"/>
                      <w:lang w:val="en-US" w:eastAsia="zh-CN" w:bidi="ar-SA"/>
                    </w:rPr>
                    <w:t>半截塔村</w:t>
                  </w:r>
                </w:p>
              </w:tc>
              <w:tc>
                <w:tcPr>
                  <w:tcW w:w="925" w:type="pct"/>
                  <w:tcBorders>
                    <w:tl2br w:val="nil"/>
                    <w:tr2bl w:val="nil"/>
                  </w:tcBorders>
                  <w:noWrap w:val="0"/>
                  <w:vAlign w:val="center"/>
                </w:tcPr>
                <w:p w14:paraId="31823648">
                  <w:pPr>
                    <w:keepNext w:val="0"/>
                    <w:keepLines w:val="0"/>
                    <w:pageBreakBefore w:val="0"/>
                    <w:widowControl w:val="0"/>
                    <w:kinsoku/>
                    <w:wordWrap/>
                    <w:overflowPunct/>
                    <w:topLinePunct w:val="0"/>
                    <w:autoSpaceDE w:val="0"/>
                    <w:autoSpaceDN w:val="0"/>
                    <w:bidi w:val="0"/>
                    <w:adjustRightInd w:val="0"/>
                    <w:snapToGrid w:val="0"/>
                    <w:spacing w:line="240" w:lineRule="auto"/>
                    <w:ind w:left="0" w:right="0" w:leftChars="0" w:rightChars="0"/>
                    <w:jc w:val="center"/>
                    <w:textAlignment w:val="auto"/>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rPr>
                    <w:t>117.4623895</w:t>
                  </w:r>
                </w:p>
              </w:tc>
              <w:tc>
                <w:tcPr>
                  <w:tcW w:w="912" w:type="pct"/>
                  <w:tcBorders>
                    <w:tl2br w:val="nil"/>
                    <w:tr2bl w:val="nil"/>
                  </w:tcBorders>
                  <w:noWrap w:val="0"/>
                  <w:vAlign w:val="center"/>
                </w:tcPr>
                <w:p w14:paraId="4307AC24">
                  <w:pPr>
                    <w:keepNext w:val="0"/>
                    <w:keepLines w:val="0"/>
                    <w:pageBreakBefore w:val="0"/>
                    <w:widowControl w:val="0"/>
                    <w:kinsoku/>
                    <w:wordWrap/>
                    <w:overflowPunct/>
                    <w:topLinePunct w:val="0"/>
                    <w:autoSpaceDE w:val="0"/>
                    <w:autoSpaceDN w:val="0"/>
                    <w:bidi w:val="0"/>
                    <w:adjustRightInd w:val="0"/>
                    <w:snapToGrid w:val="0"/>
                    <w:spacing w:line="240" w:lineRule="auto"/>
                    <w:ind w:left="0" w:right="0" w:leftChars="0" w:rightChars="0"/>
                    <w:jc w:val="center"/>
                    <w:textAlignment w:val="auto"/>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rPr>
                    <w:t>41.91846528</w:t>
                  </w:r>
                </w:p>
              </w:tc>
              <w:tc>
                <w:tcPr>
                  <w:tcW w:w="513" w:type="pct"/>
                  <w:tcBorders>
                    <w:tl2br w:val="nil"/>
                    <w:tr2bl w:val="nil"/>
                  </w:tcBorders>
                  <w:noWrap w:val="0"/>
                  <w:vAlign w:val="center"/>
                </w:tcPr>
                <w:p w14:paraId="1838C5FC">
                  <w:pPr>
                    <w:keepNext w:val="0"/>
                    <w:keepLines w:val="0"/>
                    <w:pageBreakBefore w:val="0"/>
                    <w:widowControl w:val="0"/>
                    <w:kinsoku/>
                    <w:wordWrap/>
                    <w:overflowPunct/>
                    <w:topLinePunct w:val="0"/>
                    <w:autoSpaceDE w:val="0"/>
                    <w:autoSpaceDN w:val="0"/>
                    <w:bidi w:val="0"/>
                    <w:adjustRightInd w:val="0"/>
                    <w:snapToGrid w:val="0"/>
                    <w:spacing w:line="240" w:lineRule="auto"/>
                    <w:ind w:left="0" w:right="0" w:leftChars="0" w:rightChars="0"/>
                    <w:jc w:val="center"/>
                    <w:textAlignment w:val="auto"/>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eastAsia="zh-CN"/>
                    </w:rPr>
                    <w:t>居住</w:t>
                  </w:r>
                </w:p>
              </w:tc>
              <w:tc>
                <w:tcPr>
                  <w:tcW w:w="507" w:type="pct"/>
                  <w:tcBorders>
                    <w:tl2br w:val="nil"/>
                    <w:tr2bl w:val="nil"/>
                  </w:tcBorders>
                  <w:noWrap w:val="0"/>
                  <w:vAlign w:val="center"/>
                </w:tcPr>
                <w:p w14:paraId="523A857B">
                  <w:pPr>
                    <w:keepNext w:val="0"/>
                    <w:keepLines w:val="0"/>
                    <w:pageBreakBefore w:val="0"/>
                    <w:widowControl w:val="0"/>
                    <w:kinsoku/>
                    <w:wordWrap/>
                    <w:overflowPunct/>
                    <w:topLinePunct w:val="0"/>
                    <w:autoSpaceDE w:val="0"/>
                    <w:autoSpaceDN w:val="0"/>
                    <w:bidi w:val="0"/>
                    <w:adjustRightInd w:val="0"/>
                    <w:snapToGrid w:val="0"/>
                    <w:spacing w:line="240" w:lineRule="auto"/>
                    <w:ind w:left="0" w:right="0" w:leftChars="0" w:rightChars="0"/>
                    <w:jc w:val="center"/>
                    <w:textAlignment w:val="auto"/>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400</w:t>
                  </w:r>
                </w:p>
              </w:tc>
              <w:tc>
                <w:tcPr>
                  <w:tcW w:w="476" w:type="pct"/>
                  <w:tcBorders>
                    <w:tl2br w:val="nil"/>
                    <w:tr2bl w:val="nil"/>
                  </w:tcBorders>
                  <w:noWrap w:val="0"/>
                  <w:vAlign w:val="center"/>
                </w:tcPr>
                <w:p w14:paraId="54EC6AAD">
                  <w:pPr>
                    <w:keepNext w:val="0"/>
                    <w:keepLines w:val="0"/>
                    <w:pageBreakBefore w:val="0"/>
                    <w:widowControl w:val="0"/>
                    <w:kinsoku/>
                    <w:wordWrap/>
                    <w:overflowPunct/>
                    <w:topLinePunct w:val="0"/>
                    <w:autoSpaceDE w:val="0"/>
                    <w:autoSpaceDN w:val="0"/>
                    <w:bidi w:val="0"/>
                    <w:adjustRightInd w:val="0"/>
                    <w:snapToGrid w:val="0"/>
                    <w:spacing w:line="240" w:lineRule="auto"/>
                    <w:ind w:left="0" w:right="0" w:leftChars="0" w:rightChars="0"/>
                    <w:jc w:val="center"/>
                    <w:textAlignment w:val="auto"/>
                    <w:rPr>
                      <w:rFonts w:ascii="Times New Roman" w:eastAsia="宋体" w:hAnsi="Times New Roman" w:cs="Times New Roman" w:hint="default"/>
                      <w:color w:val="auto"/>
                      <w:sz w:val="21"/>
                      <w:szCs w:val="21"/>
                      <w:lang w:val="en-US" w:eastAsia="zh-CN"/>
                    </w:rPr>
                  </w:pPr>
                  <w:r>
                    <w:rPr>
                      <w:rFonts w:cs="Times New Roman" w:hint="eastAsia"/>
                      <w:color w:val="auto"/>
                      <w:sz w:val="21"/>
                      <w:szCs w:val="21"/>
                      <w:lang w:val="en-US" w:eastAsia="zh-CN"/>
                    </w:rPr>
                    <w:t>西侧、南侧</w:t>
                  </w:r>
                </w:p>
              </w:tc>
              <w:tc>
                <w:tcPr>
                  <w:tcW w:w="486" w:type="pct"/>
                  <w:tcBorders>
                    <w:tl2br w:val="nil"/>
                    <w:tr2bl w:val="nil"/>
                  </w:tcBorders>
                  <w:noWrap w:val="0"/>
                  <w:vAlign w:val="center"/>
                </w:tcPr>
                <w:p w14:paraId="5C4D253F">
                  <w:pPr>
                    <w:keepNext w:val="0"/>
                    <w:keepLines w:val="0"/>
                    <w:pageBreakBefore w:val="0"/>
                    <w:widowControl w:val="0"/>
                    <w:kinsoku/>
                    <w:wordWrap/>
                    <w:overflowPunct/>
                    <w:topLinePunct w:val="0"/>
                    <w:autoSpaceDE w:val="0"/>
                    <w:autoSpaceDN w:val="0"/>
                    <w:bidi w:val="0"/>
                    <w:adjustRightInd w:val="0"/>
                    <w:snapToGrid w:val="0"/>
                    <w:spacing w:line="240" w:lineRule="auto"/>
                    <w:ind w:left="0" w:right="0" w:leftChars="0" w:rightChars="0"/>
                    <w:jc w:val="center"/>
                    <w:textAlignment w:val="auto"/>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2</w:t>
                  </w:r>
                  <w:r>
                    <w:rPr>
                      <w:rFonts w:cs="Times New Roman" w:hint="eastAsia"/>
                      <w:color w:val="auto"/>
                      <w:sz w:val="21"/>
                      <w:szCs w:val="21"/>
                      <w:lang w:val="en-US" w:eastAsia="zh-CN"/>
                    </w:rPr>
                    <w:t>9</w:t>
                  </w:r>
                  <w:r>
                    <w:rPr>
                      <w:rFonts w:ascii="Times New Roman" w:eastAsia="宋体" w:hAnsi="Times New Roman" w:cs="Times New Roman" w:hint="default"/>
                      <w:color w:val="auto"/>
                      <w:sz w:val="21"/>
                      <w:szCs w:val="21"/>
                      <w:lang w:val="en-US" w:eastAsia="zh-CN"/>
                    </w:rPr>
                    <w:t>0</w:t>
                  </w:r>
                </w:p>
              </w:tc>
            </w:tr>
          </w:tbl>
          <w:p w14:paraId="7F9BB7D4">
            <w:pPr>
              <w:numPr>
                <w:ilvl w:val="0"/>
                <w:numId w:val="5"/>
              </w:numPr>
              <w:adjustRightInd w:val="0"/>
              <w:snapToGrid w:val="0"/>
              <w:spacing w:line="360" w:lineRule="auto"/>
              <w:ind w:firstLine="480"/>
              <w:rPr>
                <w:rFonts w:ascii="Times New Roman" w:eastAsia="宋体" w:hAnsi="Times New Roman" w:cs="Times New Roman" w:hint="default"/>
                <w:color w:val="auto"/>
                <w:sz w:val="24"/>
                <w:highlight w:val="none"/>
              </w:rPr>
            </w:pPr>
            <w:r>
              <w:rPr>
                <w:rFonts w:ascii="Times New Roman" w:eastAsia="宋体" w:hAnsi="Times New Roman" w:cs="Times New Roman" w:hint="default"/>
                <w:color w:val="auto"/>
                <w:sz w:val="24"/>
                <w:szCs w:val="24"/>
                <w:highlight w:val="none"/>
              </w:rPr>
              <w:t>本项目厂界外50m范围内无声环境保护目标</w:t>
            </w:r>
            <w:r>
              <w:rPr>
                <w:rFonts w:ascii="Times New Roman" w:eastAsia="宋体" w:hAnsi="Times New Roman" w:cs="Times New Roman" w:hint="default"/>
                <w:color w:val="auto"/>
                <w:sz w:val="24"/>
                <w:szCs w:val="24"/>
                <w:highlight w:val="none"/>
                <w:lang w:eastAsia="zh-CN"/>
              </w:rPr>
              <w:t>。</w:t>
            </w:r>
          </w:p>
          <w:p w14:paraId="3468272D">
            <w:pPr>
              <w:numPr>
                <w:ilvl w:val="0"/>
                <w:numId w:val="5"/>
              </w:numPr>
              <w:adjustRightInd w:val="0"/>
              <w:snapToGrid w:val="0"/>
              <w:spacing w:line="360" w:lineRule="auto"/>
              <w:ind w:firstLine="480"/>
              <w:rPr>
                <w:rFonts w:ascii="Times New Roman" w:eastAsia="宋体" w:hAnsi="Times New Roman" w:cs="Times New Roman" w:hint="default"/>
                <w:color w:val="auto"/>
                <w:sz w:val="24"/>
                <w:highlight w:val="none"/>
              </w:rPr>
            </w:pPr>
            <w:r>
              <w:rPr>
                <w:rFonts w:ascii="Times New Roman" w:eastAsia="宋体" w:hAnsi="Times New Roman" w:cs="Times New Roman" w:hint="default"/>
                <w:color w:val="auto"/>
                <w:sz w:val="24"/>
                <w:highlight w:val="none"/>
              </w:rPr>
              <w:t>本项目厂界500米范围内无地下水集中式饮用水</w:t>
            </w:r>
            <w:r>
              <w:rPr>
                <w:rFonts w:ascii="Times New Roman" w:eastAsia="宋体" w:hAnsi="Times New Roman" w:cs="Times New Roman" w:hint="default"/>
                <w:color w:val="auto"/>
                <w:sz w:val="24"/>
                <w:highlight w:val="none"/>
                <w:lang w:eastAsia="zh-CN"/>
              </w:rPr>
              <w:t>源</w:t>
            </w:r>
            <w:r>
              <w:rPr>
                <w:rFonts w:ascii="Times New Roman" w:eastAsia="宋体" w:hAnsi="Times New Roman" w:cs="Times New Roman" w:hint="default"/>
                <w:color w:val="auto"/>
                <w:sz w:val="24"/>
                <w:highlight w:val="none"/>
              </w:rPr>
              <w:t>、热水、矿泉水、温泉等特殊地下水资源。</w:t>
            </w:r>
          </w:p>
          <w:p w14:paraId="36EA6F36">
            <w:pPr>
              <w:numPr>
                <w:ilvl w:val="0"/>
                <w:numId w:val="5"/>
              </w:numPr>
              <w:spacing w:line="360" w:lineRule="auto"/>
              <w:ind w:left="0" w:firstLine="480" w:leftChars="0" w:firstLineChars="0"/>
              <w:rPr>
                <w:rFonts w:ascii="Times New Roman" w:eastAsia="宋体" w:hAnsi="Times New Roman" w:cs="Times New Roman" w:hint="default"/>
                <w:color w:val="auto"/>
                <w:sz w:val="24"/>
                <w:highlight w:val="none"/>
              </w:rPr>
            </w:pPr>
            <w:r>
              <w:rPr>
                <w:rFonts w:ascii="Times New Roman" w:eastAsia="宋体" w:hAnsi="Times New Roman" w:cs="Times New Roman" w:hint="default"/>
                <w:color w:val="auto"/>
                <w:sz w:val="24"/>
                <w:highlight w:val="none"/>
                <w:lang w:val="en-US" w:eastAsia="zh-CN"/>
              </w:rPr>
              <w:t>本项目无生态环境保护目标</w:t>
            </w:r>
            <w:r>
              <w:rPr>
                <w:rFonts w:ascii="Times New Roman" w:eastAsia="宋体" w:hAnsi="Times New Roman" w:cs="Times New Roman" w:hint="default"/>
                <w:color w:val="auto"/>
                <w:sz w:val="24"/>
                <w:highlight w:val="none"/>
              </w:rPr>
              <w:t>。</w:t>
            </w:r>
          </w:p>
          <w:p w14:paraId="13D90C04">
            <w:pPr>
              <w:numPr>
                <w:ilvl w:val="0"/>
                <w:numId w:val="5"/>
              </w:numPr>
              <w:spacing w:line="360" w:lineRule="auto"/>
              <w:ind w:left="0" w:firstLine="480" w:leftChars="0" w:firstLineChars="0"/>
              <w:rPr>
                <w:rFonts w:ascii="Times New Roman" w:eastAsia="宋体" w:hAnsi="Times New Roman" w:cs="Times New Roman" w:hint="default"/>
                <w:color w:val="auto"/>
                <w:sz w:val="24"/>
                <w:highlight w:val="none"/>
                <w:lang w:val="en-US" w:eastAsia="zh-CN"/>
              </w:rPr>
            </w:pPr>
            <w:r>
              <w:rPr>
                <w:rFonts w:ascii="Times New Roman" w:eastAsia="宋体" w:hAnsi="Times New Roman" w:cs="Times New Roman" w:hint="default"/>
                <w:color w:val="auto"/>
                <w:sz w:val="24"/>
                <w:highlight w:val="none"/>
                <w:lang w:val="en-US" w:eastAsia="zh-CN"/>
              </w:rPr>
              <w:t>本项目围墙外40m无电磁环境敏感目标。</w:t>
            </w:r>
          </w:p>
        </w:tc>
      </w:tr>
      <w:tr w14:paraId="04FB29B5">
        <w:tblPrEx>
          <w:tblW w:w="9061" w:type="dxa"/>
          <w:jc w:val="center"/>
          <w:tblCellMar>
            <w:top w:w="0" w:type="dxa"/>
            <w:left w:w="108" w:type="dxa"/>
            <w:bottom w:w="0" w:type="dxa"/>
            <w:right w:w="108" w:type="dxa"/>
          </w:tblCellMar>
        </w:tblPrEx>
        <w:trPr>
          <w:trHeight w:val="2908"/>
          <w:jc w:val="center"/>
        </w:trPr>
        <w:tc>
          <w:tcPr>
            <w:tcW w:w="454" w:type="dxa"/>
            <w:vAlign w:val="center"/>
          </w:tcPr>
          <w:p w14:paraId="25079DB9">
            <w:pPr>
              <w:adjustRightInd w:val="0"/>
              <w:snapToGrid w:val="0"/>
              <w:jc w:val="center"/>
              <w:rPr>
                <w:rFonts w:ascii="Times New Roman" w:eastAsia="宋体" w:hAnsi="Times New Roman" w:cs="Times New Roman" w:hint="default"/>
                <w:color w:val="auto"/>
                <w:kern w:val="0"/>
                <w:sz w:val="24"/>
                <w:szCs w:val="21"/>
                <w:highlight w:val="none"/>
              </w:rPr>
            </w:pPr>
            <w:r>
              <w:rPr>
                <w:rFonts w:ascii="Times New Roman" w:eastAsia="宋体" w:hAnsi="Times New Roman" w:cs="Times New Roman" w:hint="default"/>
                <w:color w:val="auto"/>
                <w:kern w:val="0"/>
                <w:sz w:val="24"/>
                <w:szCs w:val="21"/>
                <w:highlight w:val="none"/>
              </w:rPr>
              <w:t>污染</w:t>
            </w:r>
          </w:p>
          <w:p w14:paraId="62C82308">
            <w:pPr>
              <w:adjustRightInd w:val="0"/>
              <w:snapToGrid w:val="0"/>
              <w:jc w:val="center"/>
              <w:rPr>
                <w:rFonts w:ascii="Times New Roman" w:eastAsia="宋体" w:hAnsi="Times New Roman" w:cs="Times New Roman" w:hint="default"/>
                <w:color w:val="auto"/>
                <w:kern w:val="0"/>
                <w:sz w:val="24"/>
                <w:szCs w:val="21"/>
                <w:highlight w:val="none"/>
              </w:rPr>
            </w:pPr>
            <w:r>
              <w:rPr>
                <w:rFonts w:ascii="Times New Roman" w:eastAsia="宋体" w:hAnsi="Times New Roman" w:cs="Times New Roman" w:hint="default"/>
                <w:color w:val="auto"/>
                <w:kern w:val="0"/>
                <w:sz w:val="24"/>
                <w:szCs w:val="21"/>
                <w:highlight w:val="none"/>
              </w:rPr>
              <w:t>物排</w:t>
            </w:r>
          </w:p>
          <w:p w14:paraId="13FF0724">
            <w:pPr>
              <w:adjustRightInd w:val="0"/>
              <w:snapToGrid w:val="0"/>
              <w:jc w:val="center"/>
              <w:rPr>
                <w:rFonts w:ascii="Times New Roman" w:eastAsia="宋体" w:hAnsi="Times New Roman" w:cs="Times New Roman" w:hint="default"/>
                <w:color w:val="auto"/>
                <w:kern w:val="0"/>
                <w:sz w:val="24"/>
                <w:szCs w:val="21"/>
                <w:highlight w:val="none"/>
              </w:rPr>
            </w:pPr>
            <w:r>
              <w:rPr>
                <w:rFonts w:ascii="Times New Roman" w:eastAsia="宋体" w:hAnsi="Times New Roman" w:cs="Times New Roman" w:hint="default"/>
                <w:color w:val="auto"/>
                <w:kern w:val="0"/>
                <w:sz w:val="24"/>
                <w:szCs w:val="21"/>
                <w:highlight w:val="none"/>
              </w:rPr>
              <w:t>放控</w:t>
            </w:r>
          </w:p>
          <w:p w14:paraId="2454E35E">
            <w:pPr>
              <w:adjustRightInd w:val="0"/>
              <w:snapToGrid w:val="0"/>
              <w:jc w:val="center"/>
              <w:rPr>
                <w:rFonts w:ascii="Times New Roman" w:eastAsia="宋体" w:hAnsi="Times New Roman" w:cs="Times New Roman" w:hint="default"/>
                <w:color w:val="auto"/>
                <w:kern w:val="0"/>
                <w:sz w:val="24"/>
                <w:szCs w:val="21"/>
                <w:highlight w:val="none"/>
              </w:rPr>
            </w:pPr>
            <w:r>
              <w:rPr>
                <w:rFonts w:ascii="Times New Roman" w:eastAsia="宋体" w:hAnsi="Times New Roman" w:cs="Times New Roman" w:hint="default"/>
                <w:color w:val="auto"/>
                <w:kern w:val="0"/>
                <w:sz w:val="24"/>
                <w:szCs w:val="21"/>
                <w:highlight w:val="none"/>
              </w:rPr>
              <w:t>制标</w:t>
            </w:r>
          </w:p>
          <w:p w14:paraId="6487FB90">
            <w:pPr>
              <w:adjustRightInd w:val="0"/>
              <w:snapToGrid w:val="0"/>
              <w:jc w:val="center"/>
              <w:rPr>
                <w:rFonts w:ascii="Times New Roman" w:eastAsia="宋体" w:hAnsi="Times New Roman" w:cs="Times New Roman" w:hint="default"/>
                <w:color w:val="auto"/>
                <w:kern w:val="0"/>
                <w:sz w:val="24"/>
                <w:szCs w:val="21"/>
                <w:highlight w:val="none"/>
              </w:rPr>
            </w:pPr>
            <w:r>
              <w:rPr>
                <w:rFonts w:ascii="Times New Roman" w:eastAsia="宋体" w:hAnsi="Times New Roman" w:cs="Times New Roman" w:hint="default"/>
                <w:color w:val="auto"/>
                <w:kern w:val="0"/>
                <w:sz w:val="24"/>
                <w:szCs w:val="21"/>
                <w:highlight w:val="none"/>
              </w:rPr>
              <w:t>准</w:t>
            </w:r>
          </w:p>
        </w:tc>
        <w:tc>
          <w:tcPr>
            <w:tcW w:w="8607" w:type="dxa"/>
            <w:vAlign w:val="center"/>
          </w:tcPr>
          <w:p w14:paraId="79F8BD39">
            <w:pPr>
              <w:pStyle w:val="TableText"/>
              <w:spacing w:before="49" w:line="221" w:lineRule="auto"/>
              <w:ind w:left="594"/>
              <w:outlineLvl w:val="0"/>
              <w:rPr>
                <w:rFonts w:ascii="Times New Roman" w:eastAsia="宋体" w:hAnsi="Times New Roman" w:cs="Times New Roman" w:hint="default"/>
                <w:color w:val="auto"/>
              </w:rPr>
            </w:pPr>
            <w:r>
              <w:rPr>
                <w:rFonts w:ascii="Times New Roman" w:eastAsia="宋体" w:hAnsi="Times New Roman" w:cs="Times New Roman" w:hint="default"/>
                <w:b/>
                <w:bCs/>
                <w:color w:val="auto"/>
                <w:spacing w:val="-8"/>
              </w:rPr>
              <w:t>1</w:t>
            </w:r>
            <w:r>
              <w:rPr>
                <w:rFonts w:ascii="Times New Roman" w:eastAsia="宋体" w:hAnsi="Times New Roman" w:cs="Times New Roman" w:hint="default"/>
                <w:b/>
                <w:bCs/>
                <w:color w:val="auto"/>
                <w:spacing w:val="-34"/>
              </w:rPr>
              <w:t xml:space="preserve"> </w:t>
            </w:r>
            <w:r>
              <w:rPr>
                <w:rFonts w:ascii="Times New Roman" w:eastAsia="宋体" w:hAnsi="Times New Roman" w:cs="Times New Roman" w:hint="default"/>
                <w:color w:val="auto"/>
                <w:spacing w:val="-8"/>
                <w14:textOutline w14:w="4358" w14:cap="sq">
                  <w14:solidFill>
                    <w14:srgbClr w14:val="000000"/>
                  </w14:solidFill>
                  <w14:bevel/>
                </w14:textOutline>
              </w:rPr>
              <w:t>、施工期</w:t>
            </w:r>
          </w:p>
          <w:p w14:paraId="0D809A71">
            <w:pPr>
              <w:pStyle w:val="TableText"/>
              <w:spacing w:before="178" w:line="221" w:lineRule="auto"/>
              <w:ind w:left="599"/>
              <w:rPr>
                <w:rFonts w:ascii="Times New Roman" w:eastAsia="宋体" w:hAnsi="Times New Roman" w:cs="Times New Roman" w:hint="default"/>
                <w:color w:val="auto"/>
              </w:rPr>
            </w:pPr>
            <w:r>
              <w:rPr>
                <w:rFonts w:ascii="Times New Roman" w:eastAsia="宋体" w:hAnsi="Times New Roman" w:cs="Times New Roman" w:hint="default"/>
                <w:color w:val="auto"/>
                <w:spacing w:val="-5"/>
              </w:rPr>
              <w:t>（1）废气</w:t>
            </w:r>
          </w:p>
          <w:p w14:paraId="7E40631B">
            <w:pPr>
              <w:pStyle w:val="0000"/>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施工期扬尘执行《施工场地扬尘排放标准》（DB13/2934-2019）表1中排放浓度限值。具体标准限值详见下表：</w:t>
            </w:r>
          </w:p>
          <w:p w14:paraId="44A0D4E1">
            <w:pPr>
              <w:pStyle w:val="TableText"/>
              <w:spacing w:before="196" w:line="229" w:lineRule="auto"/>
              <w:ind w:left="3005"/>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7"/>
                <w:sz w:val="24"/>
                <w:szCs w:val="24"/>
                <w14:textOutline w14:w="3795" w14:cap="sq">
                  <w14:solidFill>
                    <w14:srgbClr w14:val="000000"/>
                  </w14:solidFill>
                  <w14:bevel/>
                </w14:textOutline>
              </w:rPr>
              <w:t>表</w:t>
            </w:r>
            <w:r>
              <w:rPr>
                <w:rFonts w:ascii="Times New Roman" w:eastAsia="宋体" w:hAnsi="Times New Roman" w:cs="Times New Roman" w:hint="default"/>
                <w:b/>
                <w:bCs/>
                <w:color w:val="auto"/>
                <w:spacing w:val="7"/>
                <w:sz w:val="24"/>
                <w:szCs w:val="24"/>
              </w:rPr>
              <w:t>3-</w:t>
            </w:r>
            <w:r>
              <w:rPr>
                <w:rFonts w:ascii="Times New Roman" w:eastAsia="宋体" w:hAnsi="Times New Roman" w:cs="Times New Roman" w:hint="default"/>
                <w:b/>
                <w:bCs/>
                <w:color w:val="auto"/>
                <w:spacing w:val="7"/>
                <w:sz w:val="24"/>
                <w:szCs w:val="24"/>
                <w:lang w:val="en-US" w:eastAsia="zh-CN"/>
              </w:rPr>
              <w:t>4</w:t>
            </w:r>
            <w:r>
              <w:rPr>
                <w:rFonts w:ascii="Times New Roman" w:eastAsia="宋体" w:hAnsi="Times New Roman" w:cs="Times New Roman" w:hint="default"/>
                <w:b/>
                <w:bCs/>
                <w:color w:val="auto"/>
                <w:spacing w:val="7"/>
                <w:sz w:val="24"/>
                <w:szCs w:val="24"/>
              </w:rPr>
              <w:t xml:space="preserve">    </w:t>
            </w:r>
            <w:r>
              <w:rPr>
                <w:rFonts w:ascii="Times New Roman" w:eastAsia="宋体" w:hAnsi="Times New Roman" w:cs="Times New Roman" w:hint="default"/>
                <w:color w:val="auto"/>
                <w:spacing w:val="7"/>
                <w:sz w:val="24"/>
                <w:szCs w:val="24"/>
                <w14:textOutline w14:w="3795" w14:cap="sq">
                  <w14:solidFill>
                    <w14:srgbClr w14:val="000000"/>
                  </w14:solidFill>
                  <w14:bevel/>
                </w14:textOutline>
              </w:rPr>
              <w:t>大气污染物排放标准</w:t>
            </w:r>
          </w:p>
          <w:p w14:paraId="4C33948A">
            <w:pPr>
              <w:spacing w:line="14" w:lineRule="exact"/>
              <w:rPr>
                <w:rFonts w:ascii="Times New Roman" w:eastAsia="宋体" w:hAnsi="Times New Roman" w:cs="Times New Roman" w:hint="default"/>
                <w:color w:val="auto"/>
              </w:rPr>
            </w:pPr>
          </w:p>
          <w:tbl>
            <w:tblPr>
              <w:tblStyle w:val="TableNormal0"/>
              <w:tblW w:w="499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585"/>
              <w:gridCol w:w="1061"/>
              <w:gridCol w:w="1026"/>
              <w:gridCol w:w="909"/>
              <w:gridCol w:w="2758"/>
              <w:gridCol w:w="2038"/>
            </w:tblGrid>
            <w:tr w14:paraId="722B51A9">
              <w:tblPrEx>
                <w:tblW w:w="499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463"/>
              </w:trPr>
              <w:tc>
                <w:tcPr>
                  <w:tcW w:w="395" w:type="pct"/>
                  <w:tcBorders>
                    <w:tl2br w:val="nil"/>
                    <w:tr2bl w:val="nil"/>
                  </w:tcBorders>
                  <w:vAlign w:val="center"/>
                </w:tcPr>
                <w:p w14:paraId="750349AD">
                  <w:pPr>
                    <w:pStyle w:val="a7"/>
                    <w:spacing w:before="0"/>
                    <w:jc w:val="center"/>
                    <w:rPr>
                      <w:rFonts w:ascii="Times New Roman" w:eastAsia="宋体" w:hAnsi="Times New Roman" w:cs="Times New Roman" w:hint="default"/>
                      <w:color w:val="auto"/>
                      <w:sz w:val="21"/>
                      <w:szCs w:val="21"/>
                      <w:highlight w:val="none"/>
                    </w:rPr>
                  </w:pPr>
                  <w:r>
                    <w:rPr>
                      <w:rFonts w:ascii="Times New Roman" w:eastAsia="宋体" w:hAnsi="Times New Roman" w:cs="Times New Roman" w:hint="default"/>
                      <w:color w:val="auto"/>
                      <w:sz w:val="21"/>
                      <w:szCs w:val="21"/>
                      <w:highlight w:val="none"/>
                    </w:rPr>
                    <w:t>类别</w:t>
                  </w:r>
                </w:p>
              </w:tc>
              <w:tc>
                <w:tcPr>
                  <w:tcW w:w="679" w:type="pct"/>
                  <w:tcBorders>
                    <w:tl2br w:val="nil"/>
                    <w:tr2bl w:val="nil"/>
                  </w:tcBorders>
                  <w:vAlign w:val="center"/>
                </w:tcPr>
                <w:p w14:paraId="4A00E454">
                  <w:pPr>
                    <w:pStyle w:val="a7"/>
                    <w:spacing w:before="0"/>
                    <w:jc w:val="center"/>
                    <w:rPr>
                      <w:rFonts w:ascii="Times New Roman" w:eastAsia="宋体" w:hAnsi="Times New Roman" w:cs="Times New Roman" w:hint="default"/>
                      <w:color w:val="auto"/>
                      <w:sz w:val="21"/>
                      <w:szCs w:val="21"/>
                      <w:highlight w:val="none"/>
                    </w:rPr>
                  </w:pPr>
                  <w:r>
                    <w:rPr>
                      <w:rFonts w:ascii="Times New Roman" w:eastAsia="宋体" w:hAnsi="Times New Roman" w:cs="Times New Roman" w:hint="default"/>
                      <w:color w:val="auto"/>
                      <w:sz w:val="21"/>
                      <w:szCs w:val="21"/>
                      <w:highlight w:val="none"/>
                    </w:rPr>
                    <w:t>排放类型</w:t>
                  </w:r>
                </w:p>
              </w:tc>
              <w:tc>
                <w:tcPr>
                  <w:tcW w:w="658" w:type="pct"/>
                  <w:tcBorders>
                    <w:tl2br w:val="nil"/>
                    <w:tr2bl w:val="nil"/>
                  </w:tcBorders>
                  <w:vAlign w:val="center"/>
                </w:tcPr>
                <w:p w14:paraId="6F6D62DB">
                  <w:pPr>
                    <w:pStyle w:val="a7"/>
                    <w:spacing w:before="0"/>
                    <w:jc w:val="center"/>
                    <w:rPr>
                      <w:rFonts w:ascii="Times New Roman" w:eastAsia="宋体" w:hAnsi="Times New Roman" w:cs="Times New Roman" w:hint="default"/>
                      <w:color w:val="auto"/>
                      <w:sz w:val="21"/>
                      <w:szCs w:val="21"/>
                      <w:highlight w:val="none"/>
                    </w:rPr>
                  </w:pPr>
                  <w:r>
                    <w:rPr>
                      <w:rFonts w:ascii="Times New Roman" w:eastAsia="宋体" w:hAnsi="Times New Roman" w:cs="Times New Roman" w:hint="default"/>
                      <w:color w:val="auto"/>
                      <w:sz w:val="21"/>
                      <w:szCs w:val="21"/>
                      <w:highlight w:val="none"/>
                    </w:rPr>
                    <w:t>污染因子</w:t>
                  </w:r>
                </w:p>
              </w:tc>
              <w:tc>
                <w:tcPr>
                  <w:tcW w:w="588" w:type="pct"/>
                  <w:tcBorders>
                    <w:tl2br w:val="nil"/>
                    <w:tr2bl w:val="nil"/>
                  </w:tcBorders>
                  <w:vAlign w:val="center"/>
                </w:tcPr>
                <w:p w14:paraId="513379C8">
                  <w:pPr>
                    <w:pStyle w:val="a7"/>
                    <w:spacing w:before="0"/>
                    <w:jc w:val="center"/>
                    <w:rPr>
                      <w:rFonts w:ascii="Times New Roman" w:eastAsia="宋体" w:hAnsi="Times New Roman" w:cs="Times New Roman" w:hint="default"/>
                      <w:color w:val="auto"/>
                      <w:sz w:val="21"/>
                      <w:szCs w:val="21"/>
                      <w:highlight w:val="none"/>
                    </w:rPr>
                  </w:pPr>
                  <w:r>
                    <w:rPr>
                      <w:rFonts w:ascii="Times New Roman" w:eastAsia="宋体" w:hAnsi="Times New Roman" w:cs="Times New Roman" w:hint="default"/>
                      <w:color w:val="auto"/>
                      <w:sz w:val="21"/>
                      <w:szCs w:val="21"/>
                      <w:highlight w:val="none"/>
                    </w:rPr>
                    <w:t>时期</w:t>
                  </w:r>
                </w:p>
              </w:tc>
              <w:tc>
                <w:tcPr>
                  <w:tcW w:w="1691" w:type="pct"/>
                  <w:tcBorders>
                    <w:tl2br w:val="nil"/>
                    <w:tr2bl w:val="nil"/>
                  </w:tcBorders>
                  <w:vAlign w:val="center"/>
                </w:tcPr>
                <w:p w14:paraId="5A4CF88D">
                  <w:pPr>
                    <w:pStyle w:val="a7"/>
                    <w:spacing w:before="0"/>
                    <w:jc w:val="center"/>
                    <w:rPr>
                      <w:rFonts w:ascii="Times New Roman" w:eastAsia="宋体" w:hAnsi="Times New Roman" w:cs="Times New Roman" w:hint="default"/>
                      <w:color w:val="auto"/>
                      <w:sz w:val="21"/>
                      <w:szCs w:val="21"/>
                      <w:highlight w:val="none"/>
                    </w:rPr>
                  </w:pPr>
                  <w:r>
                    <w:rPr>
                      <w:rFonts w:ascii="Times New Roman" w:eastAsia="宋体" w:hAnsi="Times New Roman" w:cs="Times New Roman" w:hint="default"/>
                      <w:color w:val="auto"/>
                      <w:sz w:val="21"/>
                      <w:szCs w:val="21"/>
                      <w:highlight w:val="none"/>
                    </w:rPr>
                    <w:t>标准</w:t>
                  </w:r>
                </w:p>
              </w:tc>
              <w:tc>
                <w:tcPr>
                  <w:tcW w:w="986" w:type="pct"/>
                  <w:tcBorders>
                    <w:tl2br w:val="nil"/>
                    <w:tr2bl w:val="nil"/>
                  </w:tcBorders>
                  <w:vAlign w:val="center"/>
                </w:tcPr>
                <w:p w14:paraId="73B8B41F">
                  <w:pPr>
                    <w:pStyle w:val="a7"/>
                    <w:spacing w:before="0"/>
                    <w:jc w:val="center"/>
                    <w:rPr>
                      <w:rFonts w:ascii="Times New Roman" w:eastAsia="宋体" w:hAnsi="Times New Roman" w:cs="Times New Roman" w:hint="default"/>
                      <w:color w:val="auto"/>
                      <w:sz w:val="21"/>
                      <w:szCs w:val="21"/>
                      <w:highlight w:val="none"/>
                    </w:rPr>
                  </w:pPr>
                  <w:r>
                    <w:rPr>
                      <w:rFonts w:ascii="Times New Roman" w:eastAsia="宋体" w:hAnsi="Times New Roman" w:cs="Times New Roman" w:hint="default"/>
                      <w:color w:val="auto"/>
                      <w:sz w:val="21"/>
                      <w:szCs w:val="21"/>
                      <w:highlight w:val="none"/>
                    </w:rPr>
                    <w:t>标准来源</w:t>
                  </w:r>
                </w:p>
              </w:tc>
            </w:tr>
            <w:tr w14:paraId="44B92C37">
              <w:tblPrEx>
                <w:tblW w:w="4996" w:type="pct"/>
                <w:tblInd w:w="0" w:type="dxa"/>
                <w:tblCellMar>
                  <w:top w:w="0" w:type="dxa"/>
                  <w:left w:w="0" w:type="dxa"/>
                  <w:bottom w:w="0" w:type="dxa"/>
                  <w:right w:w="0" w:type="dxa"/>
                </w:tblCellMar>
              </w:tblPrEx>
              <w:trPr>
                <w:trHeight w:val="2452"/>
              </w:trPr>
              <w:tc>
                <w:tcPr>
                  <w:tcW w:w="395" w:type="pct"/>
                  <w:tcBorders>
                    <w:tl2br w:val="nil"/>
                    <w:tr2bl w:val="nil"/>
                  </w:tcBorders>
                  <w:vAlign w:val="center"/>
                </w:tcPr>
                <w:p w14:paraId="4BDFD226">
                  <w:pPr>
                    <w:pStyle w:val="a7"/>
                    <w:spacing w:before="0"/>
                    <w:jc w:val="center"/>
                    <w:rPr>
                      <w:rFonts w:ascii="Times New Roman" w:eastAsia="宋体" w:hAnsi="Times New Roman" w:cs="Times New Roman" w:hint="default"/>
                      <w:color w:val="auto"/>
                      <w:sz w:val="21"/>
                      <w:szCs w:val="21"/>
                      <w:highlight w:val="none"/>
                    </w:rPr>
                  </w:pPr>
                  <w:r>
                    <w:rPr>
                      <w:rFonts w:ascii="Times New Roman" w:eastAsia="宋体" w:hAnsi="Times New Roman" w:cs="Times New Roman" w:hint="default"/>
                      <w:color w:val="auto"/>
                      <w:sz w:val="21"/>
                      <w:szCs w:val="21"/>
                      <w:highlight w:val="none"/>
                    </w:rPr>
                    <w:t>废气</w:t>
                  </w:r>
                </w:p>
              </w:tc>
              <w:tc>
                <w:tcPr>
                  <w:tcW w:w="679" w:type="pct"/>
                  <w:tcBorders>
                    <w:tl2br w:val="nil"/>
                    <w:tr2bl w:val="nil"/>
                  </w:tcBorders>
                  <w:vAlign w:val="center"/>
                </w:tcPr>
                <w:p w14:paraId="09619EAA">
                  <w:pPr>
                    <w:pStyle w:val="a7"/>
                    <w:spacing w:before="0"/>
                    <w:jc w:val="center"/>
                    <w:rPr>
                      <w:rFonts w:ascii="Times New Roman" w:eastAsia="宋体" w:hAnsi="Times New Roman" w:cs="Times New Roman" w:hint="default"/>
                      <w:color w:val="auto"/>
                      <w:sz w:val="21"/>
                      <w:szCs w:val="21"/>
                      <w:highlight w:val="none"/>
                    </w:rPr>
                  </w:pPr>
                  <w:r>
                    <w:rPr>
                      <w:rFonts w:ascii="Times New Roman" w:eastAsia="宋体" w:hAnsi="Times New Roman" w:cs="Times New Roman" w:hint="default"/>
                      <w:color w:val="auto"/>
                      <w:sz w:val="21"/>
                      <w:szCs w:val="21"/>
                      <w:highlight w:val="none"/>
                    </w:rPr>
                    <w:t>无组织排放</w:t>
                  </w:r>
                </w:p>
              </w:tc>
              <w:tc>
                <w:tcPr>
                  <w:tcW w:w="658" w:type="pct"/>
                  <w:tcBorders>
                    <w:tl2br w:val="nil"/>
                    <w:tr2bl w:val="nil"/>
                  </w:tcBorders>
                  <w:vAlign w:val="center"/>
                </w:tcPr>
                <w:p w14:paraId="7B9CAA29">
                  <w:pPr>
                    <w:pStyle w:val="a7"/>
                    <w:spacing w:before="0"/>
                    <w:jc w:val="center"/>
                    <w:rPr>
                      <w:rFonts w:ascii="Times New Roman" w:eastAsia="宋体" w:hAnsi="Times New Roman" w:cs="Times New Roman" w:hint="default"/>
                      <w:color w:val="auto"/>
                      <w:sz w:val="21"/>
                      <w:szCs w:val="21"/>
                      <w:highlight w:val="none"/>
                    </w:rPr>
                  </w:pPr>
                  <w:r>
                    <w:rPr>
                      <w:rFonts w:ascii="Times New Roman" w:eastAsia="宋体" w:hAnsi="Times New Roman" w:cs="Times New Roman" w:hint="default"/>
                      <w:color w:val="auto"/>
                      <w:sz w:val="21"/>
                      <w:szCs w:val="21"/>
                      <w:highlight w:val="none"/>
                    </w:rPr>
                    <w:t>颗粒物</w:t>
                  </w:r>
                </w:p>
              </w:tc>
              <w:tc>
                <w:tcPr>
                  <w:tcW w:w="588" w:type="pct"/>
                  <w:tcBorders>
                    <w:tl2br w:val="nil"/>
                    <w:tr2bl w:val="nil"/>
                  </w:tcBorders>
                  <w:vAlign w:val="center"/>
                </w:tcPr>
                <w:p w14:paraId="705E8748">
                  <w:pPr>
                    <w:pStyle w:val="a7"/>
                    <w:spacing w:before="0"/>
                    <w:jc w:val="center"/>
                    <w:rPr>
                      <w:rFonts w:ascii="Times New Roman" w:eastAsia="宋体" w:hAnsi="Times New Roman" w:cs="Times New Roman" w:hint="default"/>
                      <w:color w:val="auto"/>
                      <w:sz w:val="21"/>
                      <w:szCs w:val="21"/>
                      <w:highlight w:val="none"/>
                    </w:rPr>
                  </w:pPr>
                  <w:r>
                    <w:rPr>
                      <w:rFonts w:ascii="Times New Roman" w:eastAsia="宋体" w:hAnsi="Times New Roman" w:cs="Times New Roman" w:hint="default"/>
                      <w:color w:val="auto"/>
                      <w:sz w:val="21"/>
                      <w:szCs w:val="21"/>
                      <w:highlight w:val="none"/>
                    </w:rPr>
                    <w:t>施工期</w:t>
                  </w:r>
                </w:p>
              </w:tc>
              <w:tc>
                <w:tcPr>
                  <w:tcW w:w="1691" w:type="pct"/>
                  <w:tcBorders>
                    <w:tl2br w:val="nil"/>
                    <w:tr2bl w:val="nil"/>
                  </w:tcBorders>
                  <w:vAlign w:val="center"/>
                </w:tcPr>
                <w:p w14:paraId="3AC6F154">
                  <w:pPr>
                    <w:pStyle w:val="a7"/>
                    <w:spacing w:before="0"/>
                    <w:jc w:val="center"/>
                    <w:rPr>
                      <w:rFonts w:ascii="Times New Roman" w:eastAsia="宋体" w:hAnsi="Times New Roman" w:cs="Times New Roman" w:hint="default"/>
                      <w:color w:val="auto"/>
                      <w:sz w:val="21"/>
                      <w:szCs w:val="21"/>
                      <w:highlight w:val="none"/>
                    </w:rPr>
                  </w:pPr>
                  <w:r>
                    <w:rPr>
                      <w:rFonts w:ascii="Times New Roman" w:eastAsia="宋体" w:hAnsi="Times New Roman" w:cs="Times New Roman" w:hint="default"/>
                      <w:color w:val="auto"/>
                      <w:sz w:val="21"/>
                      <w:szCs w:val="21"/>
                      <w:highlight w:val="none"/>
                    </w:rPr>
                    <w:t>监测点浓度限值，指监测</w:t>
                  </w:r>
                </w:p>
                <w:p w14:paraId="3DC4AE0B">
                  <w:pPr>
                    <w:pStyle w:val="a7"/>
                    <w:spacing w:before="0"/>
                    <w:jc w:val="center"/>
                    <w:rPr>
                      <w:rFonts w:ascii="Times New Roman" w:eastAsia="宋体" w:hAnsi="Times New Roman" w:cs="Times New Roman" w:hint="default"/>
                      <w:color w:val="auto"/>
                      <w:sz w:val="21"/>
                      <w:szCs w:val="21"/>
                      <w:highlight w:val="none"/>
                    </w:rPr>
                  </w:pPr>
                  <w:r>
                    <w:rPr>
                      <w:rFonts w:ascii="Times New Roman" w:eastAsia="宋体" w:hAnsi="Times New Roman" w:cs="Times New Roman" w:hint="default"/>
                      <w:color w:val="auto"/>
                      <w:sz w:val="21"/>
                      <w:szCs w:val="21"/>
                      <w:highlight w:val="none"/>
                    </w:rPr>
                    <w:t>点PM</w:t>
                  </w:r>
                  <w:r>
                    <w:rPr>
                      <w:rFonts w:ascii="Times New Roman" w:eastAsia="宋体" w:hAnsi="Times New Roman" w:cs="Times New Roman" w:hint="default"/>
                      <w:color w:val="auto"/>
                      <w:sz w:val="21"/>
                      <w:szCs w:val="21"/>
                      <w:highlight w:val="none"/>
                      <w:vertAlign w:val="subscript"/>
                    </w:rPr>
                    <w:t>10</w:t>
                  </w:r>
                  <w:r>
                    <w:rPr>
                      <w:rFonts w:ascii="Times New Roman" w:eastAsia="宋体" w:hAnsi="Times New Roman" w:cs="Times New Roman" w:hint="default"/>
                      <w:color w:val="auto"/>
                      <w:sz w:val="21"/>
                      <w:szCs w:val="21"/>
                      <w:highlight w:val="none"/>
                    </w:rPr>
                    <w:t>小时平均浓度实测值与同时段所属县（市、区）PM</w:t>
                  </w:r>
                  <w:r>
                    <w:rPr>
                      <w:rFonts w:ascii="Times New Roman" w:eastAsia="宋体" w:hAnsi="Times New Roman" w:cs="Times New Roman" w:hint="default"/>
                      <w:color w:val="auto"/>
                      <w:sz w:val="21"/>
                      <w:szCs w:val="21"/>
                      <w:highlight w:val="none"/>
                      <w:vertAlign w:val="subscript"/>
                    </w:rPr>
                    <w:t>10</w:t>
                  </w:r>
                  <w:r>
                    <w:rPr>
                      <w:rFonts w:ascii="Times New Roman" w:eastAsia="宋体" w:hAnsi="Times New Roman" w:cs="Times New Roman" w:hint="default"/>
                      <w:color w:val="auto"/>
                      <w:sz w:val="21"/>
                      <w:szCs w:val="21"/>
                      <w:highlight w:val="none"/>
                    </w:rPr>
                    <w:t>小时平均浓度的差值。当县（市、区）PM</w:t>
                  </w:r>
                  <w:r>
                    <w:rPr>
                      <w:rFonts w:ascii="Times New Roman" w:eastAsia="宋体" w:hAnsi="Times New Roman" w:cs="Times New Roman" w:hint="default"/>
                      <w:color w:val="auto"/>
                      <w:sz w:val="21"/>
                      <w:szCs w:val="21"/>
                      <w:highlight w:val="none"/>
                      <w:vertAlign w:val="subscript"/>
                    </w:rPr>
                    <w:t>10</w:t>
                  </w:r>
                  <w:r>
                    <w:rPr>
                      <w:rFonts w:ascii="Times New Roman" w:eastAsia="宋体" w:hAnsi="Times New Roman" w:cs="Times New Roman" w:hint="default"/>
                      <w:color w:val="auto"/>
                      <w:sz w:val="21"/>
                      <w:szCs w:val="21"/>
                      <w:highlight w:val="none"/>
                    </w:rPr>
                    <w:t>小时平均浓度值大于80μg/m</w:t>
                  </w:r>
                  <w:r>
                    <w:rPr>
                      <w:rFonts w:ascii="Times New Roman" w:eastAsia="宋体" w:hAnsi="Times New Roman" w:cs="Times New Roman" w:hint="default"/>
                      <w:color w:val="auto"/>
                      <w:sz w:val="21"/>
                      <w:szCs w:val="21"/>
                      <w:highlight w:val="none"/>
                      <w:vertAlign w:val="superscript"/>
                    </w:rPr>
                    <w:t>3</w:t>
                  </w:r>
                  <w:r>
                    <w:rPr>
                      <w:rFonts w:ascii="Times New Roman" w:eastAsia="宋体" w:hAnsi="Times New Roman" w:cs="Times New Roman" w:hint="default"/>
                      <w:color w:val="auto"/>
                      <w:sz w:val="21"/>
                      <w:szCs w:val="21"/>
                      <w:highlight w:val="none"/>
                    </w:rPr>
                    <w:t>时，以80μg/m</w:t>
                  </w:r>
                  <w:r>
                    <w:rPr>
                      <w:rFonts w:ascii="Times New Roman" w:eastAsia="宋体" w:hAnsi="Times New Roman" w:cs="Times New Roman" w:hint="default"/>
                      <w:color w:val="auto"/>
                      <w:sz w:val="21"/>
                      <w:szCs w:val="21"/>
                      <w:highlight w:val="none"/>
                      <w:vertAlign w:val="superscript"/>
                    </w:rPr>
                    <w:t>3</w:t>
                  </w:r>
                  <w:r>
                    <w:rPr>
                      <w:rFonts w:ascii="Times New Roman" w:eastAsia="宋体" w:hAnsi="Times New Roman" w:cs="Times New Roman" w:hint="default"/>
                      <w:color w:val="auto"/>
                      <w:sz w:val="21"/>
                      <w:szCs w:val="21"/>
                      <w:highlight w:val="none"/>
                    </w:rPr>
                    <w:t>计，达标判定依据≤2次/天。</w:t>
                  </w:r>
                </w:p>
              </w:tc>
              <w:tc>
                <w:tcPr>
                  <w:tcW w:w="986" w:type="pct"/>
                  <w:tcBorders>
                    <w:tl2br w:val="nil"/>
                    <w:tr2bl w:val="nil"/>
                  </w:tcBorders>
                  <w:vAlign w:val="center"/>
                </w:tcPr>
                <w:p w14:paraId="6CC62401">
                  <w:pPr>
                    <w:pStyle w:val="a7"/>
                    <w:spacing w:before="0"/>
                    <w:jc w:val="center"/>
                    <w:rPr>
                      <w:rFonts w:ascii="Times New Roman" w:eastAsia="宋体" w:hAnsi="Times New Roman" w:cs="Times New Roman" w:hint="default"/>
                      <w:color w:val="auto"/>
                      <w:sz w:val="21"/>
                      <w:szCs w:val="21"/>
                      <w:highlight w:val="none"/>
                    </w:rPr>
                  </w:pPr>
                  <w:r>
                    <w:rPr>
                      <w:rFonts w:ascii="Times New Roman" w:eastAsia="宋体" w:hAnsi="Times New Roman" w:cs="Times New Roman" w:hint="default"/>
                      <w:color w:val="auto"/>
                      <w:sz w:val="21"/>
                      <w:szCs w:val="21"/>
                      <w:highlight w:val="none"/>
                    </w:rPr>
                    <w:t>《施工场地扬尘排放标准》（DB13/2934—2019）表1中扬尘排放浓度限值</w:t>
                  </w:r>
                </w:p>
              </w:tc>
            </w:tr>
          </w:tbl>
          <w:p w14:paraId="5D7C31E8">
            <w:pPr>
              <w:pStyle w:val="TableText"/>
              <w:spacing w:before="178" w:line="221" w:lineRule="auto"/>
              <w:ind w:left="599"/>
              <w:rPr>
                <w:rFonts w:ascii="Times New Roman" w:eastAsia="宋体" w:hAnsi="Times New Roman" w:cs="Times New Roman" w:hint="default"/>
                <w:color w:val="auto"/>
              </w:rPr>
            </w:pPr>
            <w:r>
              <w:rPr>
                <w:rFonts w:ascii="Times New Roman" w:eastAsia="宋体" w:hAnsi="Times New Roman" w:cs="Times New Roman" w:hint="eastAsia"/>
                <w:color w:val="auto"/>
                <w:lang w:val="en-US" w:eastAsia="zh-CN"/>
              </w:rPr>
              <w:t>（</w:t>
            </w:r>
            <w:r>
              <w:rPr>
                <w:rFonts w:ascii="Times New Roman" w:hAnsi="Times New Roman" w:cs="Times New Roman" w:hint="eastAsia"/>
                <w:color w:val="auto"/>
                <w:lang w:val="en-US" w:eastAsia="zh-CN"/>
              </w:rPr>
              <w:t>2</w:t>
            </w:r>
            <w:r>
              <w:rPr>
                <w:rFonts w:ascii="Times New Roman" w:eastAsia="宋体" w:hAnsi="Times New Roman" w:cs="Times New Roman" w:hint="eastAsia"/>
                <w:color w:val="auto"/>
                <w:lang w:val="en-US" w:eastAsia="zh-CN"/>
              </w:rPr>
              <w:t>）</w:t>
            </w:r>
            <w:r>
              <w:rPr>
                <w:rFonts w:ascii="Times New Roman" w:eastAsia="宋体" w:hAnsi="Times New Roman" w:cs="Times New Roman" w:hint="default"/>
                <w:color w:val="auto"/>
              </w:rPr>
              <w:t>、噪声</w:t>
            </w:r>
          </w:p>
          <w:p w14:paraId="461B185A">
            <w:pPr>
              <w:adjustRightInd w:val="0"/>
              <w:snapToGrid w:val="0"/>
              <w:spacing w:line="360" w:lineRule="auto"/>
              <w:ind w:firstLine="480" w:firstLineChars="200"/>
              <w:jc w:val="left"/>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施工期噪声执行GB12523-2011《建筑施工场界环境噪声排放标准》，见下表。</w:t>
            </w:r>
          </w:p>
          <w:p w14:paraId="7DAD0D43">
            <w:pPr>
              <w:pStyle w:val="00000-"/>
              <w:adjustRightInd w:val="0"/>
              <w:snapToGrid w:val="0"/>
              <w:spacing w:line="360" w:lineRule="auto"/>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b/>
                <w:bCs/>
                <w:color w:val="auto"/>
                <w:sz w:val="24"/>
                <w:szCs w:val="24"/>
                <w:highlight w:val="none"/>
              </w:rPr>
              <w:t xml:space="preserve">表3- </w:t>
            </w:r>
            <w:r>
              <w:rPr>
                <w:rFonts w:ascii="Times New Roman" w:eastAsia="宋体" w:hAnsi="Times New Roman" w:cs="Times New Roman" w:hint="default"/>
                <w:b/>
                <w:bCs/>
                <w:color w:val="auto"/>
                <w:sz w:val="24"/>
                <w:szCs w:val="24"/>
                <w:highlight w:val="none"/>
                <w:lang w:val="en-US" w:eastAsia="zh-CN"/>
              </w:rPr>
              <w:t>5</w:t>
            </w:r>
            <w:r>
              <w:rPr>
                <w:rFonts w:ascii="Times New Roman" w:eastAsia="宋体" w:hAnsi="Times New Roman" w:cs="Times New Roman" w:hint="default"/>
                <w:b/>
                <w:bCs/>
                <w:color w:val="auto"/>
                <w:sz w:val="24"/>
                <w:szCs w:val="24"/>
                <w:highlight w:val="none"/>
              </w:rPr>
              <w:t xml:space="preserve"> </w:t>
            </w:r>
            <w:r>
              <w:rPr>
                <w:rFonts w:ascii="Times New Roman" w:eastAsia="宋体" w:hAnsi="Times New Roman" w:cs="Times New Roman" w:hint="default"/>
                <w:color w:val="auto"/>
                <w:sz w:val="24"/>
                <w:szCs w:val="24"/>
                <w:highlight w:val="none"/>
              </w:rPr>
              <w:t xml:space="preserve">   建筑施工场界环境噪声排放标准  单位：dB(A)</w:t>
            </w:r>
          </w:p>
          <w:tbl>
            <w:tblPr>
              <w:tblStyle w:val="TableNormal"/>
              <w:tblW w:w="499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blGrid>
              <w:gridCol w:w="2479"/>
              <w:gridCol w:w="2735"/>
              <w:gridCol w:w="3157"/>
            </w:tblGrid>
            <w:tr w14:paraId="3BD6A6CB">
              <w:tblPrEx>
                <w:tblW w:w="499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Ex>
              <w:trPr>
                <w:trHeight w:val="23"/>
                <w:jc w:val="center"/>
              </w:trPr>
              <w:tc>
                <w:tcPr>
                  <w:tcW w:w="1480" w:type="pct"/>
                  <w:tcBorders>
                    <w:tl2br w:val="single" w:sz="6" w:space="0" w:color="auto"/>
                  </w:tcBorders>
                  <w:noWrap w:val="0"/>
                  <w:vAlign w:val="center"/>
                </w:tcPr>
                <w:p w14:paraId="4164DB12">
                  <w:pPr>
                    <w:pStyle w:val="a7"/>
                    <w:spacing w:before="0"/>
                    <w:jc w:val="left"/>
                    <w:rPr>
                      <w:rFonts w:ascii="Times New Roman" w:eastAsia="宋体" w:hAnsi="Times New Roman" w:cs="Times New Roman" w:hint="default"/>
                      <w:color w:val="auto"/>
                      <w:sz w:val="21"/>
                      <w:szCs w:val="21"/>
                      <w:highlight w:val="none"/>
                    </w:rPr>
                  </w:pPr>
                  <w:r>
                    <w:rPr>
                      <w:rFonts w:ascii="Times New Roman" w:eastAsia="宋体" w:hAnsi="Times New Roman" w:cs="Times New Roman" w:hint="default"/>
                      <w:color w:val="auto"/>
                      <w:sz w:val="21"/>
                      <w:szCs w:val="21"/>
                      <w:highlight w:val="none"/>
                    </w:rPr>
                    <w:t xml:space="preserve">                 标准</w:t>
                  </w:r>
                </w:p>
                <w:p w14:paraId="2C343696">
                  <w:pPr>
                    <w:pStyle w:val="a7"/>
                    <w:spacing w:before="0"/>
                    <w:jc w:val="left"/>
                    <w:rPr>
                      <w:rFonts w:ascii="Times New Roman" w:eastAsia="宋体" w:hAnsi="Times New Roman" w:cs="Times New Roman" w:hint="default"/>
                      <w:color w:val="auto"/>
                      <w:sz w:val="21"/>
                      <w:szCs w:val="21"/>
                      <w:highlight w:val="none"/>
                    </w:rPr>
                  </w:pPr>
                  <w:r>
                    <w:rPr>
                      <w:rFonts w:ascii="Times New Roman" w:eastAsia="宋体" w:hAnsi="Times New Roman" w:cs="Times New Roman" w:hint="default"/>
                      <w:color w:val="auto"/>
                      <w:sz w:val="21"/>
                      <w:szCs w:val="21"/>
                      <w:highlight w:val="none"/>
                    </w:rPr>
                    <w:t>时段</w:t>
                  </w:r>
                </w:p>
              </w:tc>
              <w:tc>
                <w:tcPr>
                  <w:tcW w:w="1633" w:type="pct"/>
                  <w:noWrap w:val="0"/>
                  <w:vAlign w:val="center"/>
                </w:tcPr>
                <w:p w14:paraId="6279B5AB">
                  <w:pPr>
                    <w:pStyle w:val="a7"/>
                    <w:spacing w:before="0"/>
                    <w:rPr>
                      <w:rFonts w:ascii="Times New Roman" w:eastAsia="宋体" w:hAnsi="Times New Roman" w:cs="Times New Roman" w:hint="default"/>
                      <w:color w:val="auto"/>
                      <w:sz w:val="21"/>
                      <w:szCs w:val="21"/>
                      <w:highlight w:val="none"/>
                    </w:rPr>
                  </w:pPr>
                  <w:r>
                    <w:rPr>
                      <w:rFonts w:ascii="Times New Roman" w:eastAsia="宋体" w:hAnsi="Times New Roman" w:cs="Times New Roman" w:hint="default"/>
                      <w:color w:val="auto"/>
                      <w:sz w:val="21"/>
                      <w:szCs w:val="21"/>
                      <w:highlight w:val="none"/>
                    </w:rPr>
                    <w:t>昼  间</w:t>
                  </w:r>
                </w:p>
              </w:tc>
              <w:tc>
                <w:tcPr>
                  <w:tcW w:w="1885" w:type="pct"/>
                  <w:noWrap w:val="0"/>
                  <w:vAlign w:val="center"/>
                </w:tcPr>
                <w:p w14:paraId="32C989BC">
                  <w:pPr>
                    <w:pStyle w:val="a7"/>
                    <w:spacing w:before="0"/>
                    <w:rPr>
                      <w:rFonts w:ascii="Times New Roman" w:eastAsia="宋体" w:hAnsi="Times New Roman" w:cs="Times New Roman" w:hint="default"/>
                      <w:color w:val="auto"/>
                      <w:sz w:val="21"/>
                      <w:szCs w:val="21"/>
                      <w:highlight w:val="none"/>
                    </w:rPr>
                  </w:pPr>
                  <w:r>
                    <w:rPr>
                      <w:rFonts w:ascii="Times New Roman" w:eastAsia="宋体" w:hAnsi="Times New Roman" w:cs="Times New Roman" w:hint="default"/>
                      <w:color w:val="auto"/>
                      <w:sz w:val="21"/>
                      <w:szCs w:val="21"/>
                      <w:highlight w:val="none"/>
                    </w:rPr>
                    <w:t>夜  间</w:t>
                  </w:r>
                </w:p>
              </w:tc>
            </w:tr>
            <w:tr w14:paraId="25466601">
              <w:tblPrEx>
                <w:tblW w:w="4998" w:type="pct"/>
                <w:jc w:val="center"/>
                <w:tblCellMar>
                  <w:top w:w="0" w:type="dxa"/>
                  <w:left w:w="108" w:type="dxa"/>
                  <w:bottom w:w="0" w:type="dxa"/>
                  <w:right w:w="108" w:type="dxa"/>
                </w:tblCellMar>
              </w:tblPrEx>
              <w:trPr>
                <w:trHeight w:val="23"/>
                <w:jc w:val="center"/>
              </w:trPr>
              <w:tc>
                <w:tcPr>
                  <w:tcW w:w="1480" w:type="pct"/>
                  <w:noWrap w:val="0"/>
                  <w:vAlign w:val="center"/>
                </w:tcPr>
                <w:p w14:paraId="7F76E23F">
                  <w:pPr>
                    <w:pStyle w:val="a7"/>
                    <w:spacing w:before="0"/>
                    <w:rPr>
                      <w:rFonts w:ascii="Times New Roman" w:eastAsia="宋体" w:hAnsi="Times New Roman" w:cs="Times New Roman" w:hint="default"/>
                      <w:color w:val="auto"/>
                      <w:sz w:val="21"/>
                      <w:szCs w:val="21"/>
                      <w:highlight w:val="none"/>
                    </w:rPr>
                  </w:pPr>
                  <w:r>
                    <w:rPr>
                      <w:rFonts w:ascii="Times New Roman" w:eastAsia="宋体" w:hAnsi="Times New Roman" w:cs="Times New Roman" w:hint="default"/>
                      <w:color w:val="auto"/>
                      <w:sz w:val="21"/>
                      <w:szCs w:val="21"/>
                      <w:highlight w:val="none"/>
                    </w:rPr>
                    <w:t>GB12523-2011</w:t>
                  </w:r>
                </w:p>
              </w:tc>
              <w:tc>
                <w:tcPr>
                  <w:tcW w:w="1633" w:type="pct"/>
                  <w:noWrap w:val="0"/>
                  <w:vAlign w:val="center"/>
                </w:tcPr>
                <w:p w14:paraId="760F2CF0">
                  <w:pPr>
                    <w:pStyle w:val="a7"/>
                    <w:spacing w:before="0"/>
                    <w:rPr>
                      <w:rFonts w:ascii="Times New Roman" w:eastAsia="宋体" w:hAnsi="Times New Roman" w:cs="Times New Roman" w:hint="default"/>
                      <w:color w:val="auto"/>
                      <w:sz w:val="21"/>
                      <w:szCs w:val="21"/>
                      <w:highlight w:val="none"/>
                    </w:rPr>
                  </w:pPr>
                  <w:r>
                    <w:rPr>
                      <w:rFonts w:ascii="Times New Roman" w:eastAsia="宋体" w:hAnsi="Times New Roman" w:cs="Times New Roman" w:hint="default"/>
                      <w:color w:val="auto"/>
                      <w:sz w:val="21"/>
                      <w:szCs w:val="21"/>
                      <w:highlight w:val="none"/>
                    </w:rPr>
                    <w:t>70</w:t>
                  </w:r>
                </w:p>
              </w:tc>
              <w:tc>
                <w:tcPr>
                  <w:tcW w:w="1885" w:type="pct"/>
                  <w:noWrap w:val="0"/>
                  <w:vAlign w:val="center"/>
                </w:tcPr>
                <w:p w14:paraId="372CB473">
                  <w:pPr>
                    <w:pStyle w:val="a7"/>
                    <w:spacing w:before="0"/>
                    <w:rPr>
                      <w:rFonts w:ascii="Times New Roman" w:eastAsia="宋体" w:hAnsi="Times New Roman" w:cs="Times New Roman" w:hint="default"/>
                      <w:color w:val="auto"/>
                      <w:sz w:val="21"/>
                      <w:szCs w:val="21"/>
                      <w:highlight w:val="none"/>
                    </w:rPr>
                  </w:pPr>
                  <w:r>
                    <w:rPr>
                      <w:rFonts w:ascii="Times New Roman" w:eastAsia="宋体" w:hAnsi="Times New Roman" w:cs="Times New Roman" w:hint="default"/>
                      <w:color w:val="auto"/>
                      <w:sz w:val="21"/>
                      <w:szCs w:val="21"/>
                      <w:highlight w:val="none"/>
                    </w:rPr>
                    <w:t>55</w:t>
                  </w:r>
                </w:p>
              </w:tc>
            </w:tr>
          </w:tbl>
          <w:p w14:paraId="427F1B12">
            <w:pPr>
              <w:pStyle w:val="00005"/>
              <w:ind w:firstLine="461"/>
              <w:rPr>
                <w:rFonts w:ascii="Times New Roman" w:eastAsia="宋体" w:hAnsi="Times New Roman" w:cs="Times New Roman" w:hint="default"/>
                <w:b/>
                <w:bCs/>
                <w:color w:val="auto"/>
                <w:sz w:val="24"/>
                <w:szCs w:val="24"/>
                <w:highlight w:val="none"/>
              </w:rPr>
            </w:pPr>
            <w:r>
              <w:rPr>
                <w:rFonts w:cs="Times New Roman" w:hint="eastAsia"/>
                <w:b/>
                <w:bCs/>
                <w:color w:val="auto"/>
                <w:sz w:val="24"/>
                <w:szCs w:val="24"/>
                <w:highlight w:val="none"/>
                <w:lang w:val="en-US" w:eastAsia="zh-CN"/>
              </w:rPr>
              <w:t>2、</w:t>
            </w:r>
            <w:r>
              <w:rPr>
                <w:rFonts w:ascii="Times New Roman" w:eastAsia="宋体" w:hAnsi="Times New Roman" w:cs="Times New Roman" w:hint="default"/>
                <w:b/>
                <w:bCs/>
                <w:color w:val="auto"/>
                <w:sz w:val="24"/>
                <w:szCs w:val="24"/>
                <w:highlight w:val="none"/>
              </w:rPr>
              <w:t>运营期</w:t>
            </w:r>
          </w:p>
          <w:p w14:paraId="5A2510CC">
            <w:pPr>
              <w:pStyle w:val="00005"/>
              <w:ind w:firstLine="461"/>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（1）废气</w:t>
            </w:r>
          </w:p>
          <w:p w14:paraId="0915FC5D">
            <w:pPr>
              <w:pStyle w:val="00005"/>
              <w:ind w:firstLine="461"/>
              <w:rPr>
                <w:rFonts w:cs="Times New Roman" w:hint="eastAsia"/>
                <w:color w:val="auto"/>
                <w:sz w:val="24"/>
                <w:szCs w:val="24"/>
                <w:highlight w:val="none"/>
                <w:lang w:val="en-US" w:eastAsia="zh-CN"/>
              </w:rPr>
            </w:pPr>
            <w:r>
              <w:rPr>
                <w:rFonts w:cs="Times New Roman" w:hint="eastAsia"/>
                <w:color w:val="auto"/>
                <w:sz w:val="24"/>
                <w:szCs w:val="24"/>
                <w:highlight w:val="none"/>
                <w:lang w:val="en-US" w:eastAsia="zh-CN"/>
              </w:rPr>
              <w:t>本项目食堂设置两个灶头，食堂油烟执行《餐饮业大气污染物排放标准》（DB13/5808—2023）小型餐饮服务单位，见下表：</w:t>
            </w:r>
          </w:p>
          <w:p w14:paraId="68003F00">
            <w:pPr>
              <w:pStyle w:val="00000-"/>
              <w:adjustRightInd w:val="0"/>
              <w:snapToGrid w:val="0"/>
              <w:spacing w:line="360" w:lineRule="auto"/>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b/>
                <w:bCs/>
                <w:color w:val="auto"/>
                <w:sz w:val="24"/>
                <w:szCs w:val="24"/>
                <w:highlight w:val="none"/>
              </w:rPr>
              <w:t xml:space="preserve">表3- </w:t>
            </w:r>
            <w:r>
              <w:rPr>
                <w:rFonts w:ascii="Times New Roman" w:hAnsi="Times New Roman" w:cs="Times New Roman" w:hint="eastAsia"/>
                <w:b/>
                <w:bCs/>
                <w:color w:val="auto"/>
                <w:sz w:val="24"/>
                <w:szCs w:val="24"/>
                <w:highlight w:val="none"/>
                <w:lang w:val="en-US" w:eastAsia="zh-CN"/>
              </w:rPr>
              <w:t>5</w:t>
            </w:r>
            <w:r>
              <w:rPr>
                <w:rFonts w:ascii="Times New Roman" w:eastAsia="宋体" w:hAnsi="Times New Roman" w:cs="Times New Roman" w:hint="default"/>
                <w:b/>
                <w:bCs/>
                <w:color w:val="auto"/>
                <w:sz w:val="24"/>
                <w:szCs w:val="24"/>
                <w:highlight w:val="none"/>
              </w:rPr>
              <w:t xml:space="preserve"> </w:t>
            </w:r>
            <w:r>
              <w:rPr>
                <w:rFonts w:ascii="Times New Roman" w:eastAsia="宋体" w:hAnsi="Times New Roman" w:cs="Times New Roman" w:hint="default"/>
                <w:color w:val="auto"/>
                <w:sz w:val="24"/>
                <w:szCs w:val="24"/>
                <w:highlight w:val="none"/>
              </w:rPr>
              <w:t xml:space="preserve">   </w:t>
            </w:r>
            <w:r>
              <w:rPr>
                <w:rFonts w:ascii="Times New Roman" w:hAnsi="Times New Roman" w:cs="Times New Roman" w:hint="eastAsia"/>
                <w:color w:val="auto"/>
                <w:sz w:val="24"/>
                <w:szCs w:val="24"/>
                <w:highlight w:val="none"/>
                <w:lang w:val="en-US" w:eastAsia="zh-CN"/>
              </w:rPr>
              <w:t>食堂油烟</w:t>
            </w:r>
            <w:r>
              <w:rPr>
                <w:rFonts w:ascii="Times New Roman" w:eastAsia="宋体" w:hAnsi="Times New Roman" w:cs="Times New Roman" w:hint="default"/>
                <w:color w:val="auto"/>
                <w:sz w:val="24"/>
                <w:szCs w:val="24"/>
                <w:highlight w:val="none"/>
              </w:rPr>
              <w:t>排放标准  单位：mg/m3</w:t>
            </w:r>
          </w:p>
          <w:tbl>
            <w:tblPr>
              <w:tblStyle w:val="TableNormal"/>
              <w:tblW w:w="499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blGrid>
              <w:gridCol w:w="2479"/>
              <w:gridCol w:w="2735"/>
              <w:gridCol w:w="3157"/>
            </w:tblGrid>
            <w:tr w14:paraId="250CD6AD">
              <w:tblPrEx>
                <w:tblW w:w="499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Ex>
              <w:trPr>
                <w:trHeight w:val="23"/>
                <w:jc w:val="center"/>
              </w:trPr>
              <w:tc>
                <w:tcPr>
                  <w:tcW w:w="1480" w:type="pct"/>
                  <w:tcBorders>
                    <w:tl2br w:val="single" w:sz="6" w:space="0" w:color="auto"/>
                  </w:tcBorders>
                  <w:noWrap w:val="0"/>
                  <w:vAlign w:val="center"/>
                </w:tcPr>
                <w:p w14:paraId="0FD6542B">
                  <w:pPr>
                    <w:pStyle w:val="a7"/>
                    <w:bidi w:val="0"/>
                    <w:rPr>
                      <w:rFonts w:ascii="Times New Roman" w:hAnsi="Times New Roman" w:cs="Times New Roman" w:hint="default"/>
                      <w:color w:val="auto"/>
                      <w:lang w:val="en-US" w:eastAsia="zh-CN"/>
                    </w:rPr>
                  </w:pPr>
                  <w:r>
                    <w:rPr>
                      <w:rFonts w:ascii="Times New Roman" w:hAnsi="Times New Roman" w:cs="Times New Roman" w:hint="default"/>
                      <w:color w:val="auto"/>
                    </w:rPr>
                    <w:t xml:space="preserve">               </w:t>
                  </w:r>
                  <w:r>
                    <w:rPr>
                      <w:rFonts w:ascii="Times New Roman" w:hAnsi="Times New Roman" w:cs="Times New Roman" w:hint="default"/>
                      <w:color w:val="auto"/>
                      <w:lang w:val="en-US" w:eastAsia="zh-CN"/>
                    </w:rPr>
                    <w:t>类型</w:t>
                  </w:r>
                </w:p>
                <w:p w14:paraId="1E6DC138">
                  <w:pPr>
                    <w:pStyle w:val="a7"/>
                    <w:bidi w:val="0"/>
                    <w:rPr>
                      <w:rFonts w:ascii="Times New Roman" w:hAnsi="Times New Roman" w:cs="Times New Roman" w:hint="default"/>
                      <w:color w:val="auto"/>
                      <w:lang w:eastAsia="zh-CN"/>
                    </w:rPr>
                  </w:pPr>
                  <w:r>
                    <w:rPr>
                      <w:rFonts w:ascii="Times New Roman" w:hAnsi="Times New Roman" w:cs="Times New Roman" w:hint="default"/>
                      <w:color w:val="auto"/>
                      <w:lang w:val="en-US" w:eastAsia="zh-CN"/>
                    </w:rPr>
                    <w:t>污染物</w:t>
                  </w:r>
                </w:p>
              </w:tc>
              <w:tc>
                <w:tcPr>
                  <w:tcW w:w="1633" w:type="pct"/>
                  <w:noWrap w:val="0"/>
                  <w:vAlign w:val="center"/>
                </w:tcPr>
                <w:p w14:paraId="66A8D0C8">
                  <w:pPr>
                    <w:pStyle w:val="a7"/>
                    <w:bidi w:val="0"/>
                    <w:rPr>
                      <w:rFonts w:ascii="Times New Roman" w:hAnsi="Times New Roman" w:cs="Times New Roman" w:hint="default"/>
                      <w:color w:val="auto"/>
                      <w:lang w:val="en-US" w:eastAsia="zh-CN"/>
                    </w:rPr>
                  </w:pPr>
                  <w:r>
                    <w:rPr>
                      <w:rFonts w:ascii="Times New Roman" w:hAnsi="Times New Roman" w:cs="Times New Roman" w:hint="default"/>
                      <w:color w:val="auto"/>
                      <w:lang w:val="en-US" w:eastAsia="zh-CN"/>
                    </w:rPr>
                    <w:t>小型</w:t>
                  </w:r>
                </w:p>
              </w:tc>
              <w:tc>
                <w:tcPr>
                  <w:tcW w:w="1885" w:type="pct"/>
                  <w:noWrap w:val="0"/>
                  <w:vAlign w:val="center"/>
                </w:tcPr>
                <w:p w14:paraId="2500E553">
                  <w:pPr>
                    <w:pStyle w:val="a7"/>
                    <w:bidi w:val="0"/>
                    <w:rPr>
                      <w:rFonts w:ascii="Times New Roman" w:hAnsi="Times New Roman" w:cs="Times New Roman" w:hint="default"/>
                      <w:color w:val="auto"/>
                    </w:rPr>
                  </w:pPr>
                  <w:r>
                    <w:rPr>
                      <w:rFonts w:ascii="Times New Roman" w:hAnsi="Times New Roman" w:cs="Times New Roman" w:hint="default"/>
                      <w:color w:val="auto"/>
                    </w:rPr>
                    <w:t>污染物排放监控位置</w:t>
                  </w:r>
                </w:p>
              </w:tc>
            </w:tr>
            <w:tr w14:paraId="7277CDDD">
              <w:tblPrEx>
                <w:tblW w:w="4998" w:type="pct"/>
                <w:jc w:val="center"/>
                <w:tblCellMar>
                  <w:top w:w="0" w:type="dxa"/>
                  <w:left w:w="108" w:type="dxa"/>
                  <w:bottom w:w="0" w:type="dxa"/>
                  <w:right w:w="108" w:type="dxa"/>
                </w:tblCellMar>
              </w:tblPrEx>
              <w:trPr>
                <w:trHeight w:val="23"/>
                <w:jc w:val="center"/>
              </w:trPr>
              <w:tc>
                <w:tcPr>
                  <w:tcW w:w="1480" w:type="pct"/>
                  <w:noWrap w:val="0"/>
                  <w:vAlign w:val="center"/>
                </w:tcPr>
                <w:p w14:paraId="479BF3EE">
                  <w:pPr>
                    <w:pStyle w:val="a7"/>
                    <w:bidi w:val="0"/>
                    <w:rPr>
                      <w:rFonts w:ascii="Times New Roman" w:hAnsi="Times New Roman" w:cs="Times New Roman" w:hint="default"/>
                      <w:color w:val="auto"/>
                    </w:rPr>
                  </w:pPr>
                  <w:r>
                    <w:rPr>
                      <w:rFonts w:ascii="Times New Roman" w:hAnsi="Times New Roman" w:cs="Times New Roman" w:hint="default"/>
                      <w:color w:val="auto"/>
                      <w:lang w:val="en-US" w:eastAsia="zh-CN"/>
                    </w:rPr>
                    <w:t>油烟</w:t>
                  </w:r>
                </w:p>
              </w:tc>
              <w:tc>
                <w:tcPr>
                  <w:tcW w:w="1633" w:type="pct"/>
                  <w:noWrap w:val="0"/>
                  <w:vAlign w:val="center"/>
                </w:tcPr>
                <w:p w14:paraId="6A00E2D5">
                  <w:pPr>
                    <w:pStyle w:val="a7"/>
                    <w:bidi w:val="0"/>
                    <w:rPr>
                      <w:rFonts w:ascii="Times New Roman" w:hAnsi="Times New Roman" w:cs="Times New Roman" w:hint="default"/>
                      <w:color w:val="auto"/>
                      <w:lang w:val="en-US" w:eastAsia="zh-CN"/>
                    </w:rPr>
                  </w:pPr>
                  <w:r>
                    <w:rPr>
                      <w:rFonts w:ascii="Times New Roman" w:hAnsi="Times New Roman" w:cs="Times New Roman" w:hint="default"/>
                      <w:color w:val="auto"/>
                      <w:lang w:val="en-US" w:eastAsia="zh-CN"/>
                    </w:rPr>
                    <w:t>1.5</w:t>
                  </w:r>
                </w:p>
              </w:tc>
              <w:tc>
                <w:tcPr>
                  <w:tcW w:w="1885" w:type="pct"/>
                  <w:noWrap w:val="0"/>
                  <w:vAlign w:val="center"/>
                </w:tcPr>
                <w:p w14:paraId="24334932">
                  <w:pPr>
                    <w:pStyle w:val="a7"/>
                    <w:bidi w:val="0"/>
                    <w:rPr>
                      <w:rFonts w:ascii="Times New Roman" w:hAnsi="Times New Roman" w:cs="Times New Roman" w:hint="default"/>
                      <w:color w:val="auto"/>
                    </w:rPr>
                  </w:pPr>
                  <w:r>
                    <w:rPr>
                      <w:rFonts w:ascii="Times New Roman" w:hAnsi="Times New Roman" w:cs="Times New Roman" w:hint="default"/>
                      <w:color w:val="auto"/>
                    </w:rPr>
                    <w:t>排气筒或排入公共烟道之前净化设施排放口</w:t>
                  </w:r>
                </w:p>
              </w:tc>
            </w:tr>
          </w:tbl>
          <w:p w14:paraId="1272836B">
            <w:pPr>
              <w:pStyle w:val="00005"/>
              <w:numPr>
                <w:ilvl w:val="0"/>
                <w:numId w:val="6"/>
              </w:numPr>
              <w:ind w:firstLine="461"/>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噪声</w:t>
            </w:r>
          </w:p>
          <w:p w14:paraId="2F6FDA68">
            <w:pPr>
              <w:pStyle w:val="00005"/>
              <w:numPr>
                <w:ilvl w:val="0"/>
                <w:numId w:val="0"/>
              </w:numPr>
              <w:ind w:firstLine="480" w:firstLineChars="200"/>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执行《工业企业厂界环境噪声排放标准》</w:t>
            </w:r>
            <w:r>
              <w:rPr>
                <w:rFonts w:ascii="Times New Roman" w:eastAsia="宋体" w:hAnsi="Times New Roman" w:cs="Times New Roman" w:hint="default"/>
                <w:color w:val="auto"/>
                <w:sz w:val="24"/>
                <w:szCs w:val="24"/>
                <w:highlight w:val="none"/>
                <w:lang w:eastAsia="zh-CN"/>
              </w:rPr>
              <w:t>（</w:t>
            </w:r>
            <w:r>
              <w:rPr>
                <w:rFonts w:ascii="Times New Roman" w:eastAsia="宋体" w:hAnsi="Times New Roman" w:cs="Times New Roman" w:hint="default"/>
                <w:color w:val="auto"/>
                <w:sz w:val="24"/>
                <w:szCs w:val="24"/>
                <w:highlight w:val="none"/>
              </w:rPr>
              <w:t>GB12348-2008</w:t>
            </w:r>
            <w:r>
              <w:rPr>
                <w:rFonts w:ascii="Times New Roman" w:eastAsia="宋体" w:hAnsi="Times New Roman" w:cs="Times New Roman" w:hint="default"/>
                <w:color w:val="auto"/>
                <w:sz w:val="24"/>
                <w:szCs w:val="24"/>
                <w:highlight w:val="none"/>
                <w:lang w:eastAsia="zh-CN"/>
              </w:rPr>
              <w:t>）</w:t>
            </w:r>
            <w:r>
              <w:rPr>
                <w:rFonts w:ascii="Times New Roman" w:eastAsia="宋体" w:hAnsi="Times New Roman" w:cs="Times New Roman" w:hint="default"/>
                <w:color w:val="auto"/>
                <w:sz w:val="24"/>
                <w:szCs w:val="24"/>
                <w:highlight w:val="none"/>
              </w:rPr>
              <w:t>中</w:t>
            </w:r>
            <w:r>
              <w:rPr>
                <w:rFonts w:cs="Times New Roman" w:hint="eastAsia"/>
                <w:color w:val="auto"/>
                <w:sz w:val="24"/>
                <w:szCs w:val="24"/>
                <w:highlight w:val="none"/>
                <w:lang w:val="en-US" w:eastAsia="zh-CN"/>
              </w:rPr>
              <w:t>2</w:t>
            </w:r>
            <w:r>
              <w:rPr>
                <w:rFonts w:ascii="Times New Roman" w:eastAsia="宋体" w:hAnsi="Times New Roman" w:cs="Times New Roman" w:hint="default"/>
                <w:color w:val="auto"/>
                <w:sz w:val="24"/>
                <w:szCs w:val="24"/>
                <w:highlight w:val="none"/>
              </w:rPr>
              <w:t>类标准，详见下表。</w:t>
            </w:r>
          </w:p>
          <w:p w14:paraId="540A4ED9">
            <w:pPr>
              <w:pStyle w:val="00000-"/>
              <w:adjustRightInd w:val="0"/>
              <w:snapToGrid w:val="0"/>
              <w:spacing w:line="360" w:lineRule="auto"/>
              <w:rPr>
                <w:rFonts w:ascii="Times New Roman" w:eastAsia="宋体" w:hAnsi="Times New Roman" w:cs="Times New Roman" w:hint="default"/>
                <w:color w:val="auto"/>
                <w:sz w:val="24"/>
                <w:szCs w:val="24"/>
                <w:highlight w:val="none"/>
                <w:lang w:val="en-GB"/>
              </w:rPr>
            </w:pPr>
            <w:r>
              <w:rPr>
                <w:rFonts w:ascii="Times New Roman" w:eastAsia="宋体" w:hAnsi="Times New Roman" w:cs="Times New Roman" w:hint="default"/>
                <w:b/>
                <w:bCs/>
                <w:color w:val="auto"/>
                <w:sz w:val="24"/>
                <w:szCs w:val="24"/>
                <w:highlight w:val="none"/>
              </w:rPr>
              <w:t xml:space="preserve">表3- </w:t>
            </w:r>
            <w:r>
              <w:rPr>
                <w:rFonts w:ascii="Times New Roman" w:eastAsia="宋体" w:hAnsi="Times New Roman" w:cs="Times New Roman" w:hint="default"/>
                <w:b/>
                <w:bCs/>
                <w:color w:val="auto"/>
                <w:sz w:val="24"/>
                <w:szCs w:val="24"/>
                <w:highlight w:val="none"/>
                <w:lang w:val="en-US" w:eastAsia="zh-CN"/>
              </w:rPr>
              <w:t>6</w:t>
            </w:r>
            <w:r>
              <w:rPr>
                <w:rFonts w:ascii="Times New Roman" w:eastAsia="宋体" w:hAnsi="Times New Roman" w:cs="Times New Roman" w:hint="default"/>
                <w:b/>
                <w:bCs/>
                <w:color w:val="auto"/>
                <w:sz w:val="24"/>
                <w:szCs w:val="24"/>
                <w:highlight w:val="none"/>
              </w:rPr>
              <w:t xml:space="preserve"> </w:t>
            </w:r>
            <w:r>
              <w:rPr>
                <w:rFonts w:ascii="Times New Roman" w:eastAsia="宋体" w:hAnsi="Times New Roman" w:cs="Times New Roman" w:hint="default"/>
                <w:color w:val="auto"/>
                <w:sz w:val="24"/>
                <w:szCs w:val="24"/>
                <w:highlight w:val="none"/>
              </w:rPr>
              <w:t xml:space="preserve">   工业企业厂界环境噪声排放标准    单位：</w:t>
            </w:r>
            <w:r>
              <w:rPr>
                <w:rFonts w:ascii="Times New Roman" w:eastAsia="宋体" w:hAnsi="Times New Roman" w:cs="Times New Roman" w:hint="default"/>
                <w:color w:val="auto"/>
                <w:sz w:val="24"/>
                <w:szCs w:val="24"/>
                <w:highlight w:val="none"/>
                <w:lang w:val="en-GB"/>
              </w:rPr>
              <w:t>dB(A)</w:t>
            </w:r>
          </w:p>
          <w:tbl>
            <w:tblPr>
              <w:tblStyle w:val="TableNormal"/>
              <w:tblW w:w="499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Grid>
              <w:gridCol w:w="2789"/>
              <w:gridCol w:w="2789"/>
              <w:gridCol w:w="2789"/>
            </w:tblGrid>
            <w:tr w14:paraId="1469B938">
              <w:tblPrEx>
                <w:tblW w:w="499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Ex>
              <w:trPr>
                <w:trHeight w:val="397"/>
                <w:jc w:val="center"/>
              </w:trPr>
              <w:tc>
                <w:tcPr>
                  <w:tcW w:w="1667" w:type="pct"/>
                  <w:noWrap w:val="0"/>
                  <w:vAlign w:val="center"/>
                </w:tcPr>
                <w:p w14:paraId="4A3898B8">
                  <w:pPr>
                    <w:pStyle w:val="00"/>
                    <w:adjustRightInd w:val="0"/>
                    <w:snapToGrid w:val="0"/>
                    <w:rPr>
                      <w:rFonts w:ascii="Times New Roman" w:eastAsia="宋体" w:hAnsi="Times New Roman" w:cs="Times New Roman" w:hint="default"/>
                      <w:color w:val="auto"/>
                      <w:sz w:val="21"/>
                      <w:szCs w:val="21"/>
                      <w:highlight w:val="none"/>
                    </w:rPr>
                  </w:pPr>
                  <w:r>
                    <w:rPr>
                      <w:rFonts w:ascii="Times New Roman" w:eastAsia="宋体" w:hAnsi="Times New Roman" w:cs="Times New Roman" w:hint="default"/>
                      <w:color w:val="auto"/>
                      <w:sz w:val="21"/>
                      <w:szCs w:val="21"/>
                      <w:highlight w:val="none"/>
                    </w:rPr>
                    <w:t>声环境功能区类别</w:t>
                  </w:r>
                </w:p>
              </w:tc>
              <w:tc>
                <w:tcPr>
                  <w:tcW w:w="1666" w:type="pct"/>
                  <w:noWrap w:val="0"/>
                  <w:vAlign w:val="center"/>
                </w:tcPr>
                <w:p w14:paraId="45D0CC29">
                  <w:pPr>
                    <w:pStyle w:val="00"/>
                    <w:adjustRightInd w:val="0"/>
                    <w:snapToGrid w:val="0"/>
                    <w:rPr>
                      <w:rFonts w:ascii="Times New Roman" w:eastAsia="宋体" w:hAnsi="Times New Roman" w:cs="Times New Roman" w:hint="default"/>
                      <w:color w:val="auto"/>
                      <w:sz w:val="21"/>
                      <w:szCs w:val="21"/>
                      <w:highlight w:val="none"/>
                    </w:rPr>
                  </w:pPr>
                  <w:r>
                    <w:rPr>
                      <w:rFonts w:ascii="Times New Roman" w:eastAsia="宋体" w:hAnsi="Times New Roman" w:cs="Times New Roman" w:hint="default"/>
                      <w:color w:val="auto"/>
                      <w:sz w:val="21"/>
                      <w:szCs w:val="21"/>
                      <w:highlight w:val="none"/>
                    </w:rPr>
                    <w:t>昼间</w:t>
                  </w:r>
                </w:p>
              </w:tc>
              <w:tc>
                <w:tcPr>
                  <w:tcW w:w="1666" w:type="pct"/>
                  <w:noWrap w:val="0"/>
                  <w:vAlign w:val="center"/>
                </w:tcPr>
                <w:p w14:paraId="58A601A6">
                  <w:pPr>
                    <w:pStyle w:val="00"/>
                    <w:adjustRightInd w:val="0"/>
                    <w:snapToGrid w:val="0"/>
                    <w:rPr>
                      <w:rFonts w:ascii="Times New Roman" w:eastAsia="宋体" w:hAnsi="Times New Roman" w:cs="Times New Roman" w:hint="default"/>
                      <w:color w:val="auto"/>
                      <w:sz w:val="21"/>
                      <w:szCs w:val="21"/>
                      <w:highlight w:val="none"/>
                    </w:rPr>
                  </w:pPr>
                  <w:r>
                    <w:rPr>
                      <w:rFonts w:ascii="Times New Roman" w:eastAsia="宋体" w:hAnsi="Times New Roman" w:cs="Times New Roman" w:hint="default"/>
                      <w:color w:val="auto"/>
                      <w:sz w:val="21"/>
                      <w:szCs w:val="21"/>
                      <w:highlight w:val="none"/>
                    </w:rPr>
                    <w:t>夜间</w:t>
                  </w:r>
                </w:p>
              </w:tc>
            </w:tr>
            <w:tr w14:paraId="765E2E69">
              <w:tblPrEx>
                <w:tblW w:w="4999" w:type="pct"/>
                <w:jc w:val="center"/>
                <w:tblCellMar>
                  <w:top w:w="0" w:type="dxa"/>
                  <w:left w:w="108" w:type="dxa"/>
                  <w:bottom w:w="0" w:type="dxa"/>
                  <w:right w:w="108" w:type="dxa"/>
                </w:tblCellMar>
              </w:tblPrEx>
              <w:trPr>
                <w:trHeight w:val="397"/>
                <w:jc w:val="center"/>
              </w:trPr>
              <w:tc>
                <w:tcPr>
                  <w:tcW w:w="1667" w:type="pct"/>
                  <w:noWrap w:val="0"/>
                  <w:vAlign w:val="center"/>
                </w:tcPr>
                <w:p w14:paraId="546D78BC">
                  <w:pPr>
                    <w:pStyle w:val="00"/>
                    <w:adjustRightInd w:val="0"/>
                    <w:snapToGrid w:val="0"/>
                    <w:rPr>
                      <w:rFonts w:ascii="Times New Roman" w:eastAsia="宋体" w:hAnsi="Times New Roman" w:cs="Times New Roman" w:hint="default"/>
                      <w:color w:val="auto"/>
                      <w:sz w:val="21"/>
                      <w:szCs w:val="21"/>
                      <w:highlight w:val="none"/>
                    </w:rPr>
                  </w:pPr>
                  <w:r>
                    <w:rPr>
                      <w:rFonts w:cs="Times New Roman" w:hint="eastAsia"/>
                      <w:color w:val="auto"/>
                      <w:sz w:val="21"/>
                      <w:szCs w:val="21"/>
                      <w:highlight w:val="none"/>
                      <w:lang w:val="en-US" w:eastAsia="zh-CN"/>
                    </w:rPr>
                    <w:t>2</w:t>
                  </w:r>
                  <w:r>
                    <w:rPr>
                      <w:rFonts w:ascii="Times New Roman" w:eastAsia="宋体" w:hAnsi="Times New Roman" w:cs="Times New Roman" w:hint="default"/>
                      <w:color w:val="auto"/>
                      <w:sz w:val="21"/>
                      <w:szCs w:val="21"/>
                      <w:highlight w:val="none"/>
                    </w:rPr>
                    <w:t>类</w:t>
                  </w:r>
                </w:p>
              </w:tc>
              <w:tc>
                <w:tcPr>
                  <w:tcW w:w="1666" w:type="pct"/>
                  <w:noWrap w:val="0"/>
                  <w:vAlign w:val="center"/>
                </w:tcPr>
                <w:p w14:paraId="2E6D4AB0">
                  <w:pPr>
                    <w:pStyle w:val="00"/>
                    <w:adjustRightInd w:val="0"/>
                    <w:snapToGrid w:val="0"/>
                    <w:rPr>
                      <w:rFonts w:ascii="Times New Roman" w:eastAsia="宋体" w:hAnsi="Times New Roman" w:cs="Times New Roman" w:hint="default"/>
                      <w:color w:val="auto"/>
                      <w:sz w:val="21"/>
                      <w:szCs w:val="21"/>
                      <w:highlight w:val="none"/>
                      <w:lang w:val="en-US"/>
                    </w:rPr>
                  </w:pPr>
                  <w:r>
                    <w:rPr>
                      <w:rFonts w:cs="Times New Roman" w:hint="eastAsia"/>
                      <w:color w:val="auto"/>
                      <w:sz w:val="21"/>
                      <w:szCs w:val="21"/>
                      <w:highlight w:val="none"/>
                      <w:lang w:val="en-US" w:eastAsia="zh-CN"/>
                    </w:rPr>
                    <w:t>60</w:t>
                  </w:r>
                </w:p>
              </w:tc>
              <w:tc>
                <w:tcPr>
                  <w:tcW w:w="1666" w:type="pct"/>
                  <w:noWrap w:val="0"/>
                  <w:vAlign w:val="center"/>
                </w:tcPr>
                <w:p w14:paraId="65B84657">
                  <w:pPr>
                    <w:pStyle w:val="00"/>
                    <w:adjustRightInd w:val="0"/>
                    <w:snapToGrid w:val="0"/>
                    <w:rPr>
                      <w:rFonts w:ascii="Times New Roman" w:eastAsia="宋体" w:hAnsi="Times New Roman" w:cs="Times New Roman" w:hint="default"/>
                      <w:color w:val="auto"/>
                      <w:sz w:val="21"/>
                      <w:szCs w:val="21"/>
                      <w:highlight w:val="none"/>
                      <w:lang w:val="en-US" w:eastAsia="zh-CN"/>
                    </w:rPr>
                  </w:pPr>
                  <w:r>
                    <w:rPr>
                      <w:rFonts w:cs="Times New Roman" w:hint="eastAsia"/>
                      <w:color w:val="auto"/>
                      <w:sz w:val="21"/>
                      <w:szCs w:val="21"/>
                      <w:highlight w:val="none"/>
                      <w:lang w:val="en-US" w:eastAsia="zh-CN"/>
                    </w:rPr>
                    <w:t>50</w:t>
                  </w:r>
                </w:p>
              </w:tc>
            </w:tr>
          </w:tbl>
          <w:p w14:paraId="18457DC4">
            <w:pPr>
              <w:pStyle w:val="Heading4"/>
              <w:adjustRightInd w:val="0"/>
              <w:snapToGrid w:val="0"/>
              <w:spacing w:before="0" w:after="0" w:line="360" w:lineRule="auto"/>
              <w:ind w:firstLine="480" w:firstLineChars="200"/>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lang w:val="en-US" w:eastAsia="zh-CN"/>
              </w:rPr>
              <w:t>3、</w:t>
            </w:r>
            <w:r>
              <w:rPr>
                <w:rFonts w:ascii="Times New Roman" w:eastAsia="宋体" w:hAnsi="Times New Roman" w:cs="Times New Roman" w:hint="default"/>
                <w:color w:val="auto"/>
                <w:sz w:val="24"/>
                <w:szCs w:val="24"/>
                <w:highlight w:val="none"/>
              </w:rPr>
              <w:t>工频电场、工频磁场</w:t>
            </w:r>
          </w:p>
          <w:p w14:paraId="5A4B8E55">
            <w:pPr>
              <w:numPr>
                <w:ilvl w:val="0"/>
                <w:numId w:val="5"/>
              </w:numPr>
              <w:adjustRightInd w:val="0"/>
              <w:snapToGrid w:val="0"/>
              <w:spacing w:line="360" w:lineRule="auto"/>
              <w:ind w:firstLine="480"/>
              <w:rPr>
                <w:rFonts w:ascii="Times New Roman" w:eastAsia="宋体" w:hAnsi="Times New Roman" w:cs="Times New Roman" w:hint="default"/>
                <w:color w:val="auto"/>
                <w:sz w:val="24"/>
                <w:highlight w:val="none"/>
              </w:rPr>
            </w:pPr>
            <w:r>
              <w:rPr>
                <w:rFonts w:ascii="Times New Roman" w:eastAsia="宋体" w:hAnsi="Times New Roman" w:cs="Times New Roman" w:hint="default"/>
                <w:color w:val="auto"/>
                <w:sz w:val="24"/>
                <w:highlight w:val="none"/>
              </w:rPr>
              <w:t>工频电场强度、工频磁感应强度，执行《电磁环境控制限值》（GB8702-2014）中规定的4kV/m和100μT公众</w:t>
            </w:r>
            <w:r>
              <w:rPr>
                <w:rFonts w:ascii="Times New Roman" w:eastAsia="宋体" w:hAnsi="Times New Roman" w:cs="Times New Roman" w:hint="default"/>
                <w:color w:val="auto"/>
                <w:sz w:val="24"/>
                <w:highlight w:val="none"/>
                <w:lang w:eastAsia="zh-CN"/>
              </w:rPr>
              <w:t>暴露</w:t>
            </w:r>
            <w:r>
              <w:rPr>
                <w:rFonts w:ascii="Times New Roman" w:eastAsia="宋体" w:hAnsi="Times New Roman" w:cs="Times New Roman" w:hint="default"/>
                <w:color w:val="auto"/>
                <w:sz w:val="24"/>
                <w:highlight w:val="none"/>
              </w:rPr>
              <w:t>控制限值标准要求。</w:t>
            </w:r>
          </w:p>
          <w:p w14:paraId="053272E6">
            <w:pPr>
              <w:pStyle w:val="Heading4"/>
              <w:adjustRightInd w:val="0"/>
              <w:snapToGrid w:val="0"/>
              <w:spacing w:before="0" w:after="0" w:line="360" w:lineRule="auto"/>
              <w:ind w:firstLine="480" w:firstLineChars="200"/>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lang w:val="en-US" w:eastAsia="zh-CN"/>
              </w:rPr>
              <w:t>4、</w:t>
            </w:r>
            <w:r>
              <w:rPr>
                <w:rFonts w:ascii="Times New Roman" w:eastAsia="宋体" w:hAnsi="Times New Roman" w:cs="Times New Roman" w:hint="default"/>
                <w:color w:val="auto"/>
                <w:sz w:val="24"/>
                <w:szCs w:val="24"/>
                <w:highlight w:val="none"/>
              </w:rPr>
              <w:t>固体废物</w:t>
            </w:r>
          </w:p>
          <w:p w14:paraId="3468D4EE">
            <w:pPr>
              <w:pStyle w:val="0715"/>
              <w:bidi w:val="0"/>
              <w:rPr>
                <w:rFonts w:ascii="Times New Roman" w:eastAsia="宋体" w:hAnsi="Times New Roman" w:cs="Times New Roman" w:hint="default"/>
                <w:color w:val="auto"/>
                <w:kern w:val="0"/>
                <w:szCs w:val="21"/>
                <w:highlight w:val="none"/>
                <w:lang w:val="en-US" w:eastAsia="zh-CN" w:bidi="ar-SA"/>
              </w:rPr>
            </w:pPr>
            <w:r>
              <w:rPr>
                <w:rFonts w:hint="default"/>
                <w:lang w:val="en-US" w:eastAsia="zh-CN"/>
              </w:rPr>
              <w:t>一般工业固体废物处置执行《一般工业固体废物贮存和填埋污染控制标准》(GB18599-2020)，危险废物执行《危险废物贮存污染控制标准》（GB18597-2023）相关规定要求。</w:t>
            </w:r>
          </w:p>
        </w:tc>
      </w:tr>
    </w:tbl>
    <w:p w14:paraId="4C365594">
      <w:pPr>
        <w:pStyle w:val="NormalWeb"/>
        <w:jc w:val="center"/>
        <w:rPr>
          <w:rFonts w:ascii="Times New Roman" w:eastAsia="宋体" w:hAnsi="Times New Roman" w:cs="Times New Roman" w:hint="default"/>
          <w:snapToGrid w:val="0"/>
          <w:color w:val="auto"/>
          <w:sz w:val="30"/>
          <w:szCs w:val="30"/>
          <w:highlight w:val="none"/>
        </w:rPr>
        <w:sectPr>
          <w:pgSz w:w="11907" w:h="16840"/>
          <w:pgMar w:top="1701" w:right="1531" w:bottom="2126" w:left="1531" w:header="851" w:footer="851" w:gutter="0"/>
          <w:pgBorders>
            <w:top w:val="none" w:sz="0" w:space="0" w:color="auto"/>
            <w:left w:val="none" w:sz="0" w:space="0" w:color="auto"/>
            <w:bottom w:val="none" w:sz="0" w:space="0" w:color="auto"/>
            <w:right w:val="none" w:sz="0" w:space="0" w:color="auto"/>
          </w:pgBorders>
          <w:pgNumType w:fmt="decimal"/>
          <w:cols w:num="1" w:space="720"/>
          <w:docGrid w:type="lines" w:linePitch="312" w:charSpace="0"/>
        </w:sectPr>
      </w:pPr>
    </w:p>
    <w:tbl>
      <w:tblPr>
        <w:tblStyle w:val="TableNormal"/>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108" w:type="dxa"/>
          <w:bottom w:w="0" w:type="dxa"/>
          <w:right w:w="108" w:type="dxa"/>
        </w:tblCellMar>
      </w:tblPr>
      <w:tblGrid>
        <w:gridCol w:w="456"/>
        <w:gridCol w:w="8409"/>
      </w:tblGrid>
      <w:tr w14:paraId="59FE6BFE">
        <w:tblPrEx>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108" w:type="dxa"/>
            <w:bottom w:w="0" w:type="dxa"/>
            <w:right w:w="108" w:type="dxa"/>
          </w:tblCellMar>
        </w:tblPrEx>
        <w:trPr>
          <w:trHeight w:val="3330"/>
          <w:jc w:val="center"/>
        </w:trPr>
        <w:tc>
          <w:tcPr>
            <w:tcW w:w="456" w:type="dxa"/>
            <w:vAlign w:val="center"/>
          </w:tcPr>
          <w:p w14:paraId="7AC254E0">
            <w:pPr>
              <w:adjustRightInd w:val="0"/>
              <w:snapToGrid w:val="0"/>
              <w:jc w:val="center"/>
              <w:rPr>
                <w:rFonts w:ascii="Times New Roman" w:eastAsia="宋体" w:hAnsi="Times New Roman" w:cs="Times New Roman" w:hint="default"/>
                <w:color w:val="auto"/>
                <w:kern w:val="0"/>
                <w:sz w:val="24"/>
                <w:szCs w:val="21"/>
                <w:highlight w:val="none"/>
              </w:rPr>
            </w:pPr>
            <w:r>
              <w:rPr>
                <w:rFonts w:ascii="Times New Roman" w:eastAsia="宋体" w:hAnsi="Times New Roman" w:cs="Times New Roman" w:hint="default"/>
                <w:color w:val="auto"/>
                <w:kern w:val="0"/>
                <w:sz w:val="24"/>
                <w:szCs w:val="21"/>
                <w:highlight w:val="none"/>
              </w:rPr>
              <w:t>总量控制指标</w:t>
            </w:r>
          </w:p>
        </w:tc>
        <w:tc>
          <w:tcPr>
            <w:tcW w:w="8409" w:type="dxa"/>
          </w:tcPr>
          <w:p w14:paraId="1A3F5074">
            <w:pPr>
              <w:pStyle w:val="lh--"/>
              <w:bidi w:val="0"/>
              <w:rPr>
                <w:rFonts w:ascii="Times New Roman" w:eastAsia="宋体" w:hAnsi="Times New Roman" w:cs="Times New Roman" w:hint="default"/>
                <w:color w:val="auto"/>
                <w:highlight w:val="none"/>
              </w:rPr>
            </w:pPr>
            <w:r>
              <w:rPr>
                <w:rFonts w:ascii="Times New Roman" w:eastAsia="宋体" w:hAnsi="Times New Roman" w:cs="Times New Roman" w:hint="default"/>
                <w:color w:val="auto"/>
              </w:rPr>
              <w:t>根据国家污染物排放执行总量控制的规定，结合本项目污染源及污染物排放特征，本项目运行期间不涉及</w:t>
            </w:r>
            <w:r>
              <w:rPr>
                <w:rFonts w:ascii="Times New Roman" w:eastAsia="宋体" w:hAnsi="Times New Roman" w:cs="Times New Roman" w:hint="default"/>
                <w:color w:val="auto"/>
                <w:lang w:val="en-US" w:eastAsia="zh-CN"/>
              </w:rPr>
              <w:t>重点</w:t>
            </w:r>
            <w:r>
              <w:rPr>
                <w:rFonts w:ascii="Times New Roman" w:eastAsia="宋体" w:hAnsi="Times New Roman" w:cs="Times New Roman" w:hint="default"/>
                <w:color w:val="auto"/>
              </w:rPr>
              <w:t>大气污染物和水污染物的排放</w:t>
            </w:r>
            <w:r>
              <w:rPr>
                <w:rFonts w:ascii="Times New Roman" w:eastAsia="宋体" w:hAnsi="Times New Roman" w:cs="Times New Roman" w:hint="default"/>
                <w:color w:val="auto"/>
                <w:lang w:eastAsia="zh-CN"/>
              </w:rPr>
              <w:t>。</w:t>
            </w:r>
          </w:p>
          <w:p w14:paraId="181E4B32">
            <w:pPr>
              <w:pStyle w:val="lh--"/>
              <w:ind w:left="0" w:firstLine="0" w:leftChars="0" w:firstLineChars="0"/>
              <w:rPr>
                <w:rFonts w:ascii="Times New Roman" w:eastAsia="宋体" w:hAnsi="Times New Roman" w:cs="Times New Roman" w:hint="default"/>
                <w:color w:val="auto"/>
                <w:highlight w:val="none"/>
              </w:rPr>
            </w:pPr>
          </w:p>
        </w:tc>
      </w:tr>
    </w:tbl>
    <w:p w14:paraId="4C9AF329">
      <w:pPr>
        <w:pStyle w:val="NormalWeb"/>
        <w:jc w:val="center"/>
        <w:rPr>
          <w:rFonts w:ascii="Times New Roman" w:eastAsia="宋体" w:hAnsi="Times New Roman" w:cs="Times New Roman" w:hint="default"/>
          <w:snapToGrid w:val="0"/>
          <w:color w:val="auto"/>
          <w:sz w:val="30"/>
          <w:szCs w:val="30"/>
          <w:highlight w:val="none"/>
        </w:rPr>
        <w:sectPr>
          <w:pgSz w:w="11907" w:h="16840"/>
          <w:pgMar w:top="1701" w:right="1531" w:bottom="2126" w:left="1531" w:header="851" w:footer="851" w:gutter="0"/>
          <w:pgBorders>
            <w:top w:val="none" w:sz="0" w:space="0" w:color="auto"/>
            <w:left w:val="none" w:sz="0" w:space="0" w:color="auto"/>
            <w:bottom w:val="none" w:sz="0" w:space="0" w:color="auto"/>
            <w:right w:val="none" w:sz="0" w:space="0" w:color="auto"/>
          </w:pgBorders>
          <w:pgNumType w:fmt="decimal"/>
          <w:cols w:num="1" w:space="720"/>
          <w:docGrid w:type="lines" w:linePitch="312" w:charSpace="0"/>
        </w:sectPr>
      </w:pPr>
    </w:p>
    <w:p w14:paraId="4281D5CE">
      <w:pPr>
        <w:pStyle w:val="NormalWeb"/>
        <w:spacing w:before="0" w:beforeAutospacing="0" w:after="0" w:afterAutospacing="0" w:line="480" w:lineRule="auto"/>
        <w:jc w:val="center"/>
        <w:outlineLvl w:val="0"/>
        <w:rPr>
          <w:rFonts w:ascii="Times New Roman" w:eastAsia="宋体" w:hAnsi="Times New Roman" w:cs="Times New Roman" w:hint="default"/>
          <w:snapToGrid w:val="0"/>
          <w:color w:val="auto"/>
          <w:sz w:val="30"/>
          <w:szCs w:val="30"/>
          <w:highlight w:val="none"/>
        </w:rPr>
      </w:pPr>
      <w:r>
        <w:rPr>
          <w:rFonts w:ascii="Times New Roman" w:eastAsia="宋体" w:hAnsi="Times New Roman" w:cs="Times New Roman" w:hint="default"/>
          <w:snapToGrid w:val="0"/>
          <w:color w:val="auto"/>
          <w:sz w:val="30"/>
          <w:szCs w:val="30"/>
          <w:highlight w:val="none"/>
        </w:rPr>
        <w:t>四、主要环境影响和保护措施</w:t>
      </w:r>
    </w:p>
    <w:tbl>
      <w:tblPr>
        <w:tblStyle w:val="TableNormal"/>
        <w:tblW w:w="508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108" w:type="dxa"/>
          <w:bottom w:w="0" w:type="dxa"/>
          <w:right w:w="108" w:type="dxa"/>
        </w:tblCellMar>
      </w:tblPr>
      <w:tblGrid>
        <w:gridCol w:w="379"/>
        <w:gridCol w:w="8945"/>
      </w:tblGrid>
      <w:tr w14:paraId="10CB2E06">
        <w:tblPrEx>
          <w:tblW w:w="508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108" w:type="dxa"/>
            <w:bottom w:w="0" w:type="dxa"/>
            <w:right w:w="108" w:type="dxa"/>
          </w:tblCellMar>
        </w:tblPrEx>
        <w:trPr>
          <w:trHeight w:hRule="auto" w:val="0"/>
          <w:jc w:val="center"/>
        </w:trPr>
        <w:tc>
          <w:tcPr>
            <w:tcW w:w="203" w:type="pct"/>
            <w:tcMar>
              <w:left w:w="28" w:type="dxa"/>
              <w:right w:w="28" w:type="dxa"/>
            </w:tcMar>
            <w:vAlign w:val="center"/>
          </w:tcPr>
          <w:p w14:paraId="1B81E94C">
            <w:pPr>
              <w:pStyle w:val="NormalWeb"/>
              <w:adjustRightInd w:val="0"/>
              <w:snapToGrid w:val="0"/>
              <w:spacing w:before="0" w:beforeAutospacing="0" w:after="0" w:afterAutospacing="0"/>
              <w:jc w:val="center"/>
              <w:rPr>
                <w:rFonts w:ascii="Times New Roman" w:eastAsia="宋体" w:hAnsi="Times New Roman" w:cs="Times New Roman" w:hint="default"/>
                <w:bCs/>
                <w:color w:val="auto"/>
                <w:kern w:val="2"/>
                <w:sz w:val="21"/>
                <w:szCs w:val="21"/>
                <w:highlight w:val="none"/>
              </w:rPr>
            </w:pPr>
            <w:r>
              <w:rPr>
                <w:rFonts w:ascii="Times New Roman" w:eastAsia="宋体" w:hAnsi="Times New Roman" w:cs="Times New Roman" w:hint="default"/>
                <w:color w:val="auto"/>
                <w:kern w:val="2"/>
                <w:szCs w:val="21"/>
                <w:highlight w:val="none"/>
              </w:rPr>
              <w:t>施工期环境保护措施</w:t>
            </w:r>
          </w:p>
        </w:tc>
        <w:tc>
          <w:tcPr>
            <w:tcW w:w="4796" w:type="pct"/>
            <w:vAlign w:val="center"/>
          </w:tcPr>
          <w:p w14:paraId="313E730E">
            <w:pPr>
              <w:adjustRightInd w:val="0"/>
              <w:snapToGrid w:val="0"/>
              <w:spacing w:line="360" w:lineRule="auto"/>
              <w:rPr>
                <w:rFonts w:ascii="Times New Roman" w:eastAsia="宋体" w:hAnsi="Times New Roman" w:cs="Times New Roman" w:hint="default"/>
                <w:b/>
                <w:bCs/>
                <w:color w:val="auto"/>
                <w:sz w:val="24"/>
                <w:szCs w:val="24"/>
                <w:highlight w:val="none"/>
                <w:lang w:val="en-US" w:eastAsia="zh-CN"/>
              </w:rPr>
            </w:pPr>
            <w:r>
              <w:rPr>
                <w:rFonts w:ascii="Times New Roman" w:eastAsia="宋体" w:hAnsi="Times New Roman" w:cs="Times New Roman" w:hint="default"/>
                <w:b/>
                <w:bCs/>
                <w:color w:val="auto"/>
                <w:sz w:val="24"/>
                <w:szCs w:val="24"/>
                <w:highlight w:val="none"/>
                <w:lang w:val="en-US" w:eastAsia="zh-CN"/>
              </w:rPr>
              <w:t>施工期设计阶段环境保护措施</w:t>
            </w:r>
          </w:p>
          <w:p w14:paraId="5768A882">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（1）合理选择站址位置，周围无环境保护目标，无自然保护区、风景名胜区、疗养区等，区内无珍稀濒危动植物。</w:t>
            </w:r>
          </w:p>
          <w:p w14:paraId="35B73314">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（2）合理布置主变及配电装置，减少对周围环境的电磁辐射影响，减少事故状态下的环境风险。</w:t>
            </w:r>
          </w:p>
          <w:p w14:paraId="0FEF0A32">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（3）合理布置主变等产噪设备，采取院墙围挡等方式减小对升压站周围声环境的影响。</w:t>
            </w:r>
          </w:p>
          <w:p w14:paraId="754792EE">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（4）设置120m</w:t>
            </w:r>
            <w:r>
              <w:rPr>
                <w:rFonts w:ascii="Times New Roman" w:eastAsia="宋体" w:hAnsi="Times New Roman" w:cs="Times New Roman" w:hint="default"/>
                <w:color w:val="auto"/>
                <w:sz w:val="24"/>
                <w:szCs w:val="24"/>
                <w:highlight w:val="none"/>
                <w:vertAlign w:val="superscript"/>
                <w:lang w:val="en-US" w:eastAsia="zh-CN"/>
              </w:rPr>
              <w:t>3</w:t>
            </w:r>
            <w:r>
              <w:rPr>
                <w:rFonts w:ascii="Times New Roman" w:eastAsia="宋体" w:hAnsi="Times New Roman" w:cs="Times New Roman" w:hint="default"/>
                <w:color w:val="auto"/>
                <w:sz w:val="24"/>
                <w:szCs w:val="24"/>
                <w:highlight w:val="none"/>
                <w:lang w:val="en-US" w:eastAsia="zh-CN"/>
              </w:rPr>
              <w:t>的防渗事故油池，用于收集事故状态下产生的变压器事故油。</w:t>
            </w:r>
          </w:p>
          <w:p w14:paraId="38EFA17E">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（5）设置</w:t>
            </w:r>
            <w:r>
              <w:rPr>
                <w:rFonts w:cs="Times New Roman" w:hint="eastAsia"/>
                <w:color w:val="auto"/>
                <w:sz w:val="24"/>
                <w:szCs w:val="24"/>
                <w:highlight w:val="none"/>
                <w:lang w:val="en-US" w:eastAsia="zh-CN"/>
              </w:rPr>
              <w:t>59.7</w:t>
            </w:r>
            <w:r>
              <w:rPr>
                <w:rFonts w:ascii="Times New Roman" w:eastAsia="宋体" w:hAnsi="Times New Roman" w:cs="Times New Roman" w:hint="default"/>
                <w:color w:val="auto"/>
                <w:sz w:val="24"/>
                <w:szCs w:val="24"/>
                <w:highlight w:val="none"/>
                <w:lang w:val="en-US" w:eastAsia="zh-CN"/>
              </w:rPr>
              <w:t>m</w:t>
            </w:r>
            <w:r>
              <w:rPr>
                <w:rFonts w:ascii="Times New Roman" w:eastAsia="宋体" w:hAnsi="Times New Roman" w:cs="Times New Roman" w:hint="default"/>
                <w:color w:val="auto"/>
                <w:sz w:val="24"/>
                <w:szCs w:val="24"/>
                <w:highlight w:val="none"/>
                <w:vertAlign w:val="superscript"/>
                <w:lang w:val="en-US" w:eastAsia="zh-CN"/>
              </w:rPr>
              <w:t>2</w:t>
            </w:r>
            <w:r>
              <w:rPr>
                <w:rFonts w:ascii="Times New Roman" w:eastAsia="宋体" w:hAnsi="Times New Roman" w:cs="Times New Roman" w:hint="default"/>
                <w:color w:val="auto"/>
                <w:sz w:val="24"/>
                <w:szCs w:val="24"/>
                <w:highlight w:val="none"/>
                <w:lang w:val="en-US" w:eastAsia="zh-CN"/>
              </w:rPr>
              <w:t>的危废暂存间，防渗层渗透系数≤10</w:t>
            </w:r>
            <w:r>
              <w:rPr>
                <w:rFonts w:ascii="Times New Roman" w:eastAsia="宋体" w:hAnsi="Times New Roman" w:cs="Times New Roman" w:hint="default"/>
                <w:color w:val="auto"/>
                <w:sz w:val="24"/>
                <w:szCs w:val="24"/>
                <w:highlight w:val="none"/>
                <w:vertAlign w:val="superscript"/>
                <w:lang w:val="en-US" w:eastAsia="zh-CN"/>
              </w:rPr>
              <w:t xml:space="preserve"> -10</w:t>
            </w:r>
            <w:r>
              <w:rPr>
                <w:rFonts w:ascii="Times New Roman" w:eastAsia="宋体" w:hAnsi="Times New Roman" w:cs="Times New Roman" w:hint="default"/>
                <w:color w:val="auto"/>
                <w:sz w:val="24"/>
                <w:szCs w:val="24"/>
                <w:highlight w:val="none"/>
                <w:lang w:val="en-US" w:eastAsia="zh-CN"/>
              </w:rPr>
              <w:t>cm/s，可收集运行过程中产生的废旧蓄电池</w:t>
            </w:r>
            <w:r>
              <w:rPr>
                <w:rFonts w:cs="Times New Roman" w:hint="eastAsia"/>
                <w:color w:val="auto"/>
                <w:sz w:val="24"/>
                <w:szCs w:val="24"/>
                <w:highlight w:val="none"/>
                <w:lang w:val="en-US" w:eastAsia="zh-CN"/>
              </w:rPr>
              <w:t>等危险废物</w:t>
            </w:r>
            <w:r>
              <w:rPr>
                <w:rFonts w:ascii="Times New Roman" w:eastAsia="宋体" w:hAnsi="Times New Roman" w:cs="Times New Roman" w:hint="default"/>
                <w:color w:val="auto"/>
                <w:sz w:val="24"/>
                <w:szCs w:val="24"/>
                <w:highlight w:val="none"/>
                <w:lang w:val="en-US" w:eastAsia="zh-CN"/>
              </w:rPr>
              <w:t>。</w:t>
            </w:r>
          </w:p>
          <w:p w14:paraId="5641EB56">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（6）液流电池系统</w:t>
            </w:r>
            <w:r>
              <w:rPr>
                <w:rFonts w:cs="Times New Roman" w:hint="eastAsia"/>
                <w:color w:val="auto"/>
                <w:sz w:val="24"/>
                <w:szCs w:val="24"/>
                <w:highlight w:val="none"/>
                <w:lang w:val="en-US" w:eastAsia="zh-CN"/>
              </w:rPr>
              <w:t>电解液储罐区</w:t>
            </w:r>
            <w:r>
              <w:rPr>
                <w:rFonts w:ascii="Times New Roman" w:eastAsia="宋体" w:hAnsi="Times New Roman" w:cs="Times New Roman" w:hint="default"/>
                <w:color w:val="auto"/>
                <w:sz w:val="24"/>
                <w:szCs w:val="24"/>
                <w:highlight w:val="none"/>
                <w:lang w:val="en-US" w:eastAsia="zh-CN"/>
              </w:rPr>
              <w:t>设置围堰，</w:t>
            </w:r>
            <w:r>
              <w:rPr>
                <w:rFonts w:cs="Times New Roman" w:hint="eastAsia"/>
                <w:color w:val="auto"/>
                <w:sz w:val="24"/>
                <w:szCs w:val="24"/>
                <w:highlight w:val="none"/>
                <w:lang w:val="en-US" w:eastAsia="zh-CN"/>
              </w:rPr>
              <w:t>围堰内设有导流槽连接到废液收集池（容量62.5</w:t>
            </w:r>
            <w:r>
              <w:rPr>
                <w:rFonts w:ascii="Times New Roman" w:eastAsia="宋体" w:hAnsi="Times New Roman" w:cs="Times New Roman" w:hint="default"/>
                <w:color w:val="auto"/>
                <w:sz w:val="24"/>
                <w:szCs w:val="24"/>
                <w:highlight w:val="none"/>
                <w:lang w:val="en-US" w:eastAsia="zh-CN"/>
              </w:rPr>
              <w:t>m</w:t>
            </w:r>
            <w:r>
              <w:rPr>
                <w:rFonts w:ascii="Times New Roman" w:eastAsia="宋体" w:hAnsi="Times New Roman" w:cs="Times New Roman" w:hint="default"/>
                <w:color w:val="auto"/>
                <w:sz w:val="24"/>
                <w:szCs w:val="24"/>
                <w:highlight w:val="none"/>
                <w:vertAlign w:val="superscript"/>
                <w:lang w:val="en-US" w:eastAsia="zh-CN"/>
              </w:rPr>
              <w:t>3</w:t>
            </w:r>
            <w:r>
              <w:rPr>
                <w:rFonts w:cs="Times New Roman" w:hint="eastAsia"/>
                <w:color w:val="auto"/>
                <w:sz w:val="24"/>
                <w:szCs w:val="24"/>
                <w:highlight w:val="none"/>
                <w:vertAlign w:val="baseline"/>
                <w:lang w:val="en-US" w:eastAsia="zh-CN"/>
              </w:rPr>
              <w:t>）</w:t>
            </w:r>
            <w:r>
              <w:rPr>
                <w:rFonts w:ascii="Times New Roman" w:eastAsia="宋体" w:hAnsi="Times New Roman" w:cs="Times New Roman" w:hint="default"/>
                <w:color w:val="auto"/>
                <w:sz w:val="24"/>
                <w:szCs w:val="24"/>
                <w:highlight w:val="none"/>
                <w:vertAlign w:val="baseline"/>
                <w:lang w:val="en-US" w:eastAsia="zh-CN"/>
              </w:rPr>
              <w:t>，</w:t>
            </w:r>
            <w:r>
              <w:rPr>
                <w:rFonts w:cs="Times New Roman" w:hint="eastAsia"/>
                <w:color w:val="auto"/>
                <w:sz w:val="24"/>
                <w:szCs w:val="24"/>
                <w:highlight w:val="none"/>
                <w:vertAlign w:val="baseline"/>
                <w:lang w:val="en-US" w:eastAsia="zh-CN"/>
              </w:rPr>
              <w:t>池体</w:t>
            </w:r>
            <w:r>
              <w:rPr>
                <w:rFonts w:ascii="Times New Roman" w:eastAsia="宋体" w:hAnsi="Times New Roman" w:cs="Times New Roman" w:hint="default"/>
                <w:color w:val="auto"/>
                <w:sz w:val="24"/>
                <w:szCs w:val="24"/>
                <w:highlight w:val="none"/>
                <w:vertAlign w:val="baseline"/>
                <w:lang w:val="en-US" w:eastAsia="zh-CN"/>
              </w:rPr>
              <w:t>进行</w:t>
            </w:r>
            <w:r>
              <w:rPr>
                <w:rFonts w:cs="Times New Roman" w:hint="eastAsia"/>
                <w:color w:val="auto"/>
                <w:sz w:val="24"/>
                <w:szCs w:val="24"/>
                <w:highlight w:val="none"/>
                <w:vertAlign w:val="baseline"/>
                <w:lang w:val="en-US" w:eastAsia="zh-CN"/>
              </w:rPr>
              <w:t>防腐</w:t>
            </w:r>
            <w:r>
              <w:rPr>
                <w:rFonts w:ascii="Times New Roman" w:eastAsia="宋体" w:hAnsi="Times New Roman" w:cs="Times New Roman" w:hint="default"/>
                <w:color w:val="auto"/>
                <w:sz w:val="24"/>
                <w:szCs w:val="24"/>
                <w:highlight w:val="none"/>
                <w:vertAlign w:val="baseline"/>
                <w:lang w:val="en-US" w:eastAsia="zh-CN"/>
              </w:rPr>
              <w:t>防渗处理，</w:t>
            </w:r>
            <w:r>
              <w:rPr>
                <w:rFonts w:ascii="Times New Roman" w:eastAsia="宋体" w:hAnsi="Times New Roman" w:cs="Times New Roman" w:hint="default"/>
                <w:color w:val="auto"/>
                <w:sz w:val="24"/>
                <w:szCs w:val="24"/>
                <w:highlight w:val="none"/>
                <w:lang w:val="en-US" w:eastAsia="zh-CN"/>
              </w:rPr>
              <w:t>防渗层渗透系数≤10</w:t>
            </w:r>
            <w:r>
              <w:rPr>
                <w:rFonts w:ascii="Times New Roman" w:eastAsia="宋体" w:hAnsi="Times New Roman" w:cs="Times New Roman" w:hint="default"/>
                <w:color w:val="auto"/>
                <w:sz w:val="24"/>
                <w:szCs w:val="24"/>
                <w:highlight w:val="none"/>
                <w:vertAlign w:val="superscript"/>
                <w:lang w:val="en-US" w:eastAsia="zh-CN"/>
              </w:rPr>
              <w:t xml:space="preserve"> -10</w:t>
            </w:r>
            <w:r>
              <w:rPr>
                <w:rFonts w:ascii="Times New Roman" w:eastAsia="宋体" w:hAnsi="Times New Roman" w:cs="Times New Roman" w:hint="default"/>
                <w:color w:val="auto"/>
                <w:sz w:val="24"/>
                <w:szCs w:val="24"/>
                <w:highlight w:val="none"/>
                <w:lang w:val="en-US" w:eastAsia="zh-CN"/>
              </w:rPr>
              <w:t>cm/s，可收集</w:t>
            </w:r>
            <w:r>
              <w:rPr>
                <w:rFonts w:cs="Times New Roman" w:hint="eastAsia"/>
                <w:color w:val="auto"/>
                <w:sz w:val="24"/>
                <w:szCs w:val="24"/>
                <w:highlight w:val="none"/>
                <w:lang w:val="en-US" w:eastAsia="zh-CN"/>
              </w:rPr>
              <w:t>事故</w:t>
            </w:r>
            <w:r>
              <w:rPr>
                <w:rFonts w:ascii="Times New Roman" w:eastAsia="宋体" w:hAnsi="Times New Roman" w:cs="Times New Roman" w:hint="default"/>
                <w:color w:val="auto"/>
                <w:sz w:val="24"/>
                <w:szCs w:val="24"/>
                <w:highlight w:val="none"/>
                <w:lang w:val="en-US" w:eastAsia="zh-CN"/>
              </w:rPr>
              <w:t>泄漏过程中产生的</w:t>
            </w:r>
            <w:r>
              <w:rPr>
                <w:rFonts w:cs="Times New Roman" w:hint="eastAsia"/>
                <w:color w:val="auto"/>
                <w:sz w:val="24"/>
                <w:szCs w:val="24"/>
                <w:highlight w:val="none"/>
                <w:lang w:val="en-US" w:eastAsia="zh-CN"/>
              </w:rPr>
              <w:t>废</w:t>
            </w:r>
            <w:r>
              <w:rPr>
                <w:rFonts w:ascii="Times New Roman" w:eastAsia="宋体" w:hAnsi="Times New Roman" w:cs="Times New Roman" w:hint="default"/>
                <w:color w:val="auto"/>
                <w:sz w:val="24"/>
                <w:szCs w:val="24"/>
                <w:highlight w:val="none"/>
                <w:lang w:val="en-US" w:eastAsia="zh-CN"/>
              </w:rPr>
              <w:t>电解液。</w:t>
            </w:r>
          </w:p>
          <w:p w14:paraId="3B833153">
            <w:pPr>
              <w:adjustRightInd w:val="0"/>
              <w:snapToGrid w:val="0"/>
              <w:spacing w:line="360" w:lineRule="auto"/>
              <w:rPr>
                <w:rFonts w:ascii="Times New Roman" w:eastAsia="宋体" w:hAnsi="Times New Roman" w:cs="Times New Roman" w:hint="default"/>
                <w:b/>
                <w:bCs/>
                <w:color w:val="auto"/>
                <w:sz w:val="24"/>
                <w:szCs w:val="24"/>
                <w:highlight w:val="none"/>
                <w:lang w:val="en-US" w:eastAsia="zh-CN"/>
              </w:rPr>
            </w:pPr>
            <w:r>
              <w:rPr>
                <w:rFonts w:ascii="Times New Roman" w:eastAsia="宋体" w:hAnsi="Times New Roman" w:cs="Times New Roman" w:hint="default"/>
                <w:b/>
                <w:bCs/>
                <w:color w:val="auto"/>
                <w:sz w:val="24"/>
                <w:szCs w:val="24"/>
                <w:highlight w:val="none"/>
                <w:lang w:val="en-US" w:eastAsia="zh-CN"/>
              </w:rPr>
              <w:t>施工期环境保护措施</w:t>
            </w:r>
          </w:p>
          <w:p w14:paraId="05BC0A04">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1、施工大气污染影响分析</w:t>
            </w:r>
          </w:p>
          <w:p w14:paraId="569DBB14">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施工阶段，尤其是施工初期，主要有基础开挖、土地平整、车辆行驶等施工活动和裸露场地风蚀产生扬尘。同时施工机械、车辆大多数以汽油和柴油为燃料，其废气主要排放的污染物为SO</w:t>
            </w:r>
            <w:r>
              <w:rPr>
                <w:rFonts w:ascii="Times New Roman" w:eastAsia="宋体" w:hAnsi="Times New Roman" w:cs="Times New Roman" w:hint="default"/>
                <w:color w:val="auto"/>
                <w:sz w:val="24"/>
                <w:szCs w:val="24"/>
                <w:highlight w:val="none"/>
                <w:vertAlign w:val="subscript"/>
                <w:lang w:val="en-US" w:eastAsia="zh-CN"/>
              </w:rPr>
              <w:t>2</w:t>
            </w:r>
            <w:r>
              <w:rPr>
                <w:rFonts w:ascii="Times New Roman" w:eastAsia="宋体" w:hAnsi="Times New Roman" w:cs="Times New Roman" w:hint="default"/>
                <w:color w:val="auto"/>
                <w:sz w:val="24"/>
                <w:szCs w:val="24"/>
                <w:highlight w:val="none"/>
                <w:lang w:val="en-US" w:eastAsia="zh-CN"/>
              </w:rPr>
              <w:t>、NOx和CO等。</w:t>
            </w:r>
          </w:p>
          <w:p w14:paraId="581B3621">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为了有效地控制施工期间的扬尘，根据河北省建筑施工扬尘防治强化措施18条、《输变电建设项目环境保护技术要求》（HJ1113-2020）、《河北省扬尘污染防治办法》、《河北省2021年建筑施工扬尘污染防治工作方案》的有关要求，主要采取的防尘措施有：</w:t>
            </w:r>
          </w:p>
          <w:p w14:paraId="61EC02C4">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①应合理安排施工期，施工现场必须建立现场保洁制度，有专人负责保洁工作，做到工完场清，及时洒水清扫，大风时增加洒水量及次数。遇到干燥、易起尘的土方工程作业时，应辅以洒水压尘，尽量缩短起尘操作时间，覆土施工时应湿化，不得凌空抛掷、抛撒；</w:t>
            </w:r>
          </w:p>
          <w:p w14:paraId="6AEC860D">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②文明施工，加强施工管理，大风（四级及以上）天气时避免进行地表扰动的施工；</w:t>
            </w:r>
          </w:p>
          <w:p w14:paraId="44DDC8BE">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③采用商品混凝土进行施工；</w:t>
            </w:r>
          </w:p>
          <w:p w14:paraId="0328CED6">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④涉及开挖过程中四周采取洒水、喷雾等降尘措施；</w:t>
            </w:r>
          </w:p>
          <w:p w14:paraId="1DEFD8EC">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⑤运输车辆进入施工场地应低速行驶或限速行驶（＜5km/h），对运载建筑材料及建筑垃圾的车辆加盖篷布减少洒落，同时车辆驶出装、卸场地时低速行驶，减少汽车行驶扬尘的产生；</w:t>
            </w:r>
          </w:p>
          <w:p w14:paraId="612E9404">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⑥施工现场集中存放和裸露的场地采取覆盖的方式，应当采取密闭或者遮盖等防尘措施，装卸、搬运时应当采取防尘措施；</w:t>
            </w:r>
          </w:p>
          <w:p w14:paraId="2DFC2EDD">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⑦施工现场建筑垃圾设置垃圾存放点，集中堆放并严密覆盖，对建筑垃圾及时处理清运，防止扬尘污染，改善施工场地周围环境；</w:t>
            </w:r>
          </w:p>
          <w:p w14:paraId="1DC6641B">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⑧施工阶段选用低能耗、低污染排放的施工机械、车辆，对于排放废气较多的车辆，应安装尾气净化装置，另外，应选用质量高、大气环境影响小的燃料。在大气敏感点附近工程施工时应减少燃油设备的使用，并采取分散设置方式；</w:t>
            </w:r>
          </w:p>
          <w:p w14:paraId="3A7BB5F4">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⑨在开工前做到“六个到位”，即审批到位、报备到位、治理方案到位、配套措施到位、监控到位、人员（施工单位管理人员、责任部门监管人员、专职保洁人员）到位；施工过程中做到“六个百分之百”，即工地周边百分之百围挡、裸露土地和细颗粒建筑材料百分之百覆盖、出入车辆百分之百冲洗、施工现场道路百分之百硬化、拆除和土方作业百分之百湿法作业、渣土车辆百分之百密闭运输。</w:t>
            </w:r>
          </w:p>
          <w:p w14:paraId="64DACF57">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综上，经过严格采取上述一系列措施，施工期扬尘可控制在合理范围内。由于施工期较短，采取措施后可有效抑制扬尘的产生，对周围村庄大气环境产生影响较小。因此，施工扬尘对周围环境的影响很小。并且专项作业车和非道路移动机械尾气排放得到有效控制，符合排放要求，尾气排放对环境影响较小。</w:t>
            </w:r>
          </w:p>
          <w:p w14:paraId="30599FC0">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2、水环境影响分析</w:t>
            </w:r>
          </w:p>
          <w:p w14:paraId="2CAE61A4">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本项目施工期主要产生的废水为施工人员生活污水，施工人员产生的生活污水，利用化粪池收集处理，定期清掏不外排；采用人员素质较高的施工队伍，文明施工；施工期间，应加强管理，做好污水防治措施。综上，本工程施工期对周围地表水影响很小。</w:t>
            </w:r>
          </w:p>
          <w:p w14:paraId="51ACC2DC">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3、固体废物影响分析</w:t>
            </w:r>
          </w:p>
          <w:p w14:paraId="7F9D0BF9">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储能站施工期的固体废物主要有设备安装使用的废包装袋、边角料、建筑垃圾、生活垃圾等，施工期严格按照《输变电建设项目环境保护技术要求》（HJ1113-2020）中第7.6款要求执行，施工过程中产生的废包装袋、生活垃圾应分类集中收集，生活垃圾经集中收集后，清运至当地的垃圾收集点，由环卫部门收集处理；废包装袋、边角料进行回收处理，再利用。施工完成后及时做好迹地清理工作，施工临时占地采取隔离保护措施，施工结束后应将混凝土余料和残渣及时清除，以免影响后期土地功能的恢复；施工过程中产生的土石方余方用于站区四周平整土地、修建道路，不随意堆放丢弃。</w:t>
            </w:r>
          </w:p>
          <w:p w14:paraId="74A9371B">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4、生态环境影响分析</w:t>
            </w:r>
          </w:p>
          <w:p w14:paraId="2E75D335">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本项目仅在已规划好的电力设施用地范围内开展，不涉及</w:t>
            </w:r>
            <w:r>
              <w:rPr>
                <w:rFonts w:cs="Times New Roman" w:hint="eastAsia"/>
                <w:color w:val="auto"/>
                <w:sz w:val="24"/>
                <w:szCs w:val="24"/>
                <w:highlight w:val="none"/>
                <w:lang w:val="en-US" w:eastAsia="zh-CN"/>
              </w:rPr>
              <w:t>珍稀植物及保护动物</w:t>
            </w:r>
            <w:r>
              <w:rPr>
                <w:rFonts w:ascii="Times New Roman" w:eastAsia="宋体" w:hAnsi="Times New Roman" w:cs="Times New Roman" w:hint="default"/>
                <w:color w:val="auto"/>
                <w:sz w:val="24"/>
                <w:szCs w:val="24"/>
                <w:highlight w:val="none"/>
                <w:lang w:val="en-US" w:eastAsia="zh-CN"/>
              </w:rPr>
              <w:t>，对周围区域生态环境基本无影响。</w:t>
            </w:r>
          </w:p>
          <w:p w14:paraId="00BCDF1D">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 xml:space="preserve">5、声环境影响分析 </w:t>
            </w:r>
          </w:p>
          <w:p w14:paraId="173631AD">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项目施工阶段的噪声主要来自施工机械和运输车辆的运作，该类噪声虽然是暂时的，但是施工过程中采用的机械设备大部分具有噪声高、无规则等特点，且施工过程中往往是多种机械同时工作，各种噪声源相互叠加，噪声级将更高，影响范围也更大，所以施工过程中必须采取有效措施，减少其对环境的影响。施工期施工场地噪声对周围环境的影响，采用《建筑施工场界环境噪声排放标准》（GB12523-2011）进行评价。</w:t>
            </w:r>
          </w:p>
          <w:p w14:paraId="19537FD3">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工程施工过程中使用的施工机械所产生的噪声大多数属于中低频噪声，因此在预测其影响时可只考虑其扩散衰减，可近似视为点声源处理。点声源受传播距离、空气吸收、阻挡物的反射与屏蔽等因素的影响，声级产生衰减。</w:t>
            </w:r>
          </w:p>
          <w:p w14:paraId="65339830">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施工期噪声影响具有间歇性、短暂性的特点，将随着施工期的结束而终止。距本项目最近的声环境保护目标为项目西南侧260m处的半截塔村民，施工边界满足《建筑施工场界环境噪声排放标准》(GB12523-2011)要求。</w:t>
            </w:r>
          </w:p>
          <w:p w14:paraId="5FE0C4B6">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 xml:space="preserve">本次评价要求建设单位采取以下措施： </w:t>
            </w:r>
          </w:p>
          <w:p w14:paraId="12D6334B">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（1）采用低噪音、振动小的设备，并注意对设备的维护和保养，合理操作，保证施工机械在最佳状态。</w:t>
            </w:r>
          </w:p>
          <w:p w14:paraId="4A1ADDE9">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2）合理布置施工现场，尽量避免在施工现场的同一地点安排大量的高噪声设备，造成局部声级过高，利用隔声构件对高噪声设备进行隔声降噪。通过采取以上措施后，施工噪声可得到较好的控制，通过距离衰减，噪声影响程度进一步降低，施工期噪声可以满足《建筑施工场界环境噪声排放标准》（GB12523-2011）中限值要求。</w:t>
            </w:r>
          </w:p>
          <w:p w14:paraId="08B18439">
            <w:pPr>
              <w:adjustRightInd w:val="0"/>
              <w:snapToGrid w:val="0"/>
              <w:spacing w:line="360" w:lineRule="auto"/>
              <w:ind w:firstLine="480" w:firstLineChars="200"/>
              <w:rPr>
                <w:rFonts w:ascii="Times New Roman" w:eastAsia="宋体" w:hAnsi="Times New Roman" w:cs="Times New Roman" w:hint="default"/>
                <w:bCs/>
                <w:color w:val="auto"/>
                <w:spacing w:val="-10"/>
                <w:highlight w:val="none"/>
              </w:rPr>
            </w:pPr>
            <w:r>
              <w:rPr>
                <w:rFonts w:ascii="Times New Roman" w:eastAsia="宋体" w:hAnsi="Times New Roman" w:cs="Times New Roman" w:hint="default"/>
                <w:color w:val="auto"/>
                <w:sz w:val="24"/>
                <w:szCs w:val="24"/>
                <w:highlight w:val="none"/>
                <w:lang w:val="en-US" w:eastAsia="zh-CN"/>
              </w:rPr>
              <w:t>本工程施工期产生的噪声影响是小范围的和暂时的，随着施工活动的结束，对周围环境的影响也随之消除。综上所述，本项目的环境影响主要表现在建设过程中的施工扬尘、施工废气、施工噪声以及施工废水、固废等对周边环境的影响及建设对生态环境产生一定影响，但通过采取适当的环境保护措施后，本项目施工期对周围环境影响较小。</w:t>
            </w:r>
          </w:p>
        </w:tc>
      </w:tr>
      <w:tr w14:paraId="34AF4CD8">
        <w:tblPrEx>
          <w:tblW w:w="5088" w:type="pct"/>
          <w:jc w:val="center"/>
          <w:tblCellMar>
            <w:top w:w="0" w:type="dxa"/>
            <w:left w:w="108" w:type="dxa"/>
            <w:bottom w:w="0" w:type="dxa"/>
            <w:right w:w="108" w:type="dxa"/>
          </w:tblCellMar>
        </w:tblPrEx>
        <w:trPr>
          <w:trHeight w:val="1319"/>
          <w:jc w:val="center"/>
        </w:trPr>
        <w:tc>
          <w:tcPr>
            <w:tcW w:w="203" w:type="pct"/>
            <w:tcMar>
              <w:left w:w="28" w:type="dxa"/>
              <w:right w:w="28" w:type="dxa"/>
            </w:tcMar>
            <w:vAlign w:val="center"/>
          </w:tcPr>
          <w:p w14:paraId="780B925A">
            <w:pPr>
              <w:adjustRightInd w:val="0"/>
              <w:snapToGrid w:val="0"/>
              <w:jc w:val="center"/>
              <w:rPr>
                <w:rFonts w:ascii="Times New Roman" w:eastAsia="宋体" w:hAnsi="Times New Roman" w:cs="Times New Roman" w:hint="default"/>
                <w:bCs/>
                <w:color w:val="auto"/>
                <w:sz w:val="24"/>
                <w:szCs w:val="21"/>
                <w:highlight w:val="none"/>
              </w:rPr>
            </w:pPr>
            <w:r>
              <w:rPr>
                <w:rFonts w:ascii="Times New Roman" w:eastAsia="宋体" w:hAnsi="Times New Roman" w:cs="Times New Roman" w:hint="default"/>
                <w:bCs/>
                <w:color w:val="auto"/>
                <w:sz w:val="24"/>
                <w:szCs w:val="21"/>
                <w:highlight w:val="none"/>
              </w:rPr>
              <w:t>运营期环境影响和保护措施</w:t>
            </w:r>
          </w:p>
        </w:tc>
        <w:tc>
          <w:tcPr>
            <w:tcW w:w="4796" w:type="pct"/>
            <w:vAlign w:val="top"/>
          </w:tcPr>
          <w:p w14:paraId="3D2077C9">
            <w:pPr>
              <w:pStyle w:val="033"/>
              <w:bidi w:val="0"/>
              <w:rPr>
                <w:rFonts w:ascii="Times New Roman" w:eastAsia="宋体" w:hAnsi="Times New Roman" w:cs="Times New Roman" w:hint="default"/>
                <w:color w:val="auto"/>
              </w:rPr>
            </w:pPr>
            <w:r>
              <w:rPr>
                <w:rFonts w:ascii="Times New Roman" w:eastAsia="宋体" w:hAnsi="Times New Roman" w:cs="Times New Roman" w:hint="default"/>
                <w:color w:val="auto"/>
              </w:rPr>
              <w:t>运营期环境影响和保护措施：</w:t>
            </w:r>
          </w:p>
          <w:p w14:paraId="67EA7B63">
            <w:pPr>
              <w:pStyle w:val="033"/>
              <w:bidi w:val="0"/>
              <w:rPr>
                <w:rFonts w:ascii="Times New Roman" w:eastAsia="宋体" w:hAnsi="Times New Roman" w:cs="Times New Roman" w:hint="default"/>
                <w:color w:val="auto"/>
              </w:rPr>
            </w:pPr>
            <w:r>
              <w:rPr>
                <w:rFonts w:ascii="Times New Roman" w:eastAsia="宋体" w:hAnsi="Times New Roman" w:cs="Times New Roman" w:hint="default"/>
                <w:color w:val="auto"/>
              </w:rPr>
              <w:t>1、电磁环境影响预测及评价</w:t>
            </w:r>
          </w:p>
          <w:p w14:paraId="3CF8836E">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根据本工程电磁环境影响专题评价，本次评价采用类比分析的方法预测本项目升压站运行后产生的工频电磁场对周围环境的影响范围及程度。</w:t>
            </w:r>
          </w:p>
          <w:p w14:paraId="54EA6339">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经类比，当本项目升压站投入运行后，站区围墙外的工频电场强度、工频磁感应强度分别满足《电磁环境控制限值》（GB8702-2014）中规定的4kV/m和100μT公众暴露控制限值标准要求。本项目升压站产生的电磁辐射不会对站外环境产生显著影响，详见电磁环境影响专篇。</w:t>
            </w:r>
          </w:p>
          <w:p w14:paraId="014BB1F0">
            <w:pPr>
              <w:pStyle w:val="033"/>
              <w:bidi w:val="0"/>
              <w:rPr>
                <w:rFonts w:ascii="Times New Roman" w:eastAsia="宋体" w:hAnsi="Times New Roman" w:cs="Times New Roman" w:hint="default"/>
                <w:color w:val="auto"/>
              </w:rPr>
            </w:pPr>
            <w:r>
              <w:rPr>
                <w:rFonts w:ascii="Times New Roman" w:eastAsia="宋体" w:hAnsi="Times New Roman" w:cs="Times New Roman" w:hint="default"/>
                <w:color w:val="auto"/>
              </w:rPr>
              <w:t>2 、噪声</w:t>
            </w:r>
          </w:p>
          <w:p w14:paraId="3C5BC33F">
            <w:pPr>
              <w:pStyle w:val="033"/>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2.1噪声源</w:t>
            </w:r>
          </w:p>
          <w:p w14:paraId="18A51B61">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本项目运营期的噪声源包括液流电池系统储能电池电解液泵，储能变流</w:t>
            </w:r>
            <w:r>
              <w:rPr>
                <w:rFonts w:cs="Times New Roman" w:hint="eastAsia"/>
                <w:color w:val="auto"/>
                <w:sz w:val="24"/>
                <w:szCs w:val="24"/>
                <w:highlight w:val="none"/>
                <w:lang w:val="en-US" w:eastAsia="zh-CN"/>
              </w:rPr>
              <w:t>升压一体机等设备噪声源强较小</w:t>
            </w:r>
            <w:r>
              <w:rPr>
                <w:rFonts w:ascii="Times New Roman" w:eastAsia="宋体" w:hAnsi="Times New Roman" w:cs="Times New Roman" w:hint="default"/>
                <w:color w:val="auto"/>
                <w:sz w:val="24"/>
                <w:szCs w:val="24"/>
                <w:highlight w:val="none"/>
                <w:lang w:val="en-US" w:eastAsia="zh-CN"/>
              </w:rPr>
              <w:t>，</w:t>
            </w:r>
            <w:r>
              <w:rPr>
                <w:rFonts w:cs="Times New Roman" w:hint="eastAsia"/>
                <w:color w:val="auto"/>
                <w:sz w:val="24"/>
                <w:szCs w:val="24"/>
                <w:highlight w:val="none"/>
                <w:lang w:val="en-US" w:eastAsia="zh-CN"/>
              </w:rPr>
              <w:t>且均位于室内</w:t>
            </w:r>
            <w:r>
              <w:rPr>
                <w:rFonts w:ascii="Times New Roman" w:eastAsia="宋体" w:hAnsi="Times New Roman" w:cs="Times New Roman" w:hint="default"/>
                <w:color w:val="auto"/>
                <w:sz w:val="24"/>
                <w:szCs w:val="24"/>
                <w:highlight w:val="none"/>
                <w:lang w:val="en-US" w:eastAsia="zh-CN"/>
              </w:rPr>
              <w:t>经基础减振、建筑或集装箱隔声等措施降噪，噪声对周围声环境的影响很小</w:t>
            </w:r>
            <w:r>
              <w:rPr>
                <w:rFonts w:cs="Times New Roman" w:hint="eastAsia"/>
                <w:color w:val="auto"/>
                <w:sz w:val="24"/>
                <w:szCs w:val="24"/>
                <w:highlight w:val="none"/>
                <w:lang w:val="en-US" w:eastAsia="zh-CN"/>
              </w:rPr>
              <w:t>，本次不在进行预测分析</w:t>
            </w:r>
            <w:r>
              <w:rPr>
                <w:rFonts w:ascii="Times New Roman" w:eastAsia="宋体" w:hAnsi="Times New Roman" w:cs="Times New Roman" w:hint="default"/>
                <w:color w:val="auto"/>
                <w:sz w:val="24"/>
                <w:szCs w:val="24"/>
                <w:highlight w:val="none"/>
                <w:lang w:val="en-US" w:eastAsia="zh-CN"/>
              </w:rPr>
              <w:t>。</w:t>
            </w:r>
            <w:r>
              <w:rPr>
                <w:rFonts w:cs="Times New Roman" w:hint="eastAsia"/>
                <w:color w:val="auto"/>
                <w:sz w:val="24"/>
                <w:szCs w:val="24"/>
                <w:highlight w:val="none"/>
                <w:lang w:val="en-US" w:eastAsia="zh-CN"/>
              </w:rPr>
              <w:t>本次主要预测分析</w:t>
            </w:r>
            <w:r>
              <w:rPr>
                <w:rFonts w:ascii="Times New Roman" w:eastAsia="宋体" w:hAnsi="Times New Roman" w:cs="Times New Roman" w:hint="default"/>
                <w:color w:val="auto"/>
                <w:sz w:val="24"/>
                <w:szCs w:val="24"/>
                <w:highlight w:val="none"/>
                <w:lang w:val="en-US" w:eastAsia="zh-CN"/>
              </w:rPr>
              <w:t>主变压器</w:t>
            </w:r>
            <w:r>
              <w:rPr>
                <w:rFonts w:cs="Times New Roman" w:hint="eastAsia"/>
                <w:color w:val="auto"/>
                <w:sz w:val="24"/>
                <w:szCs w:val="24"/>
                <w:highlight w:val="none"/>
                <w:lang w:val="en-US" w:eastAsia="zh-CN"/>
              </w:rPr>
              <w:t>、排风扇产生的噪声对周边环境的影响，</w:t>
            </w:r>
            <w:r>
              <w:rPr>
                <w:rFonts w:ascii="Times New Roman" w:eastAsia="宋体" w:hAnsi="Times New Roman" w:cs="Times New Roman" w:hint="default"/>
                <w:color w:val="auto"/>
                <w:sz w:val="24"/>
                <w:szCs w:val="24"/>
                <w:highlight w:val="none"/>
                <w:lang w:val="en-US" w:eastAsia="zh-CN"/>
              </w:rPr>
              <w:t>经</w:t>
            </w:r>
            <w:r>
              <w:rPr>
                <w:rFonts w:cs="Times New Roman" w:hint="eastAsia"/>
                <w:color w:val="auto"/>
                <w:sz w:val="24"/>
                <w:szCs w:val="24"/>
                <w:highlight w:val="none"/>
                <w:lang w:val="en-US" w:eastAsia="zh-CN"/>
              </w:rPr>
              <w:t>采取低噪声设备、</w:t>
            </w:r>
            <w:r>
              <w:rPr>
                <w:rFonts w:ascii="Times New Roman" w:eastAsia="宋体" w:hAnsi="Times New Roman" w:cs="Times New Roman" w:hint="default"/>
                <w:color w:val="auto"/>
                <w:sz w:val="24"/>
                <w:szCs w:val="24"/>
                <w:highlight w:val="none"/>
                <w:lang w:val="en-US" w:eastAsia="zh-CN"/>
              </w:rPr>
              <w:t>基础减振</w:t>
            </w:r>
            <w:r>
              <w:rPr>
                <w:rFonts w:cs="Times New Roman" w:hint="eastAsia"/>
                <w:color w:val="auto"/>
                <w:sz w:val="24"/>
                <w:szCs w:val="24"/>
                <w:highlight w:val="none"/>
                <w:lang w:val="en-US" w:eastAsia="zh-CN"/>
              </w:rPr>
              <w:t>、消声器</w:t>
            </w:r>
            <w:r>
              <w:rPr>
                <w:rFonts w:ascii="Times New Roman" w:eastAsia="宋体" w:hAnsi="Times New Roman" w:cs="Times New Roman" w:hint="default"/>
                <w:color w:val="auto"/>
                <w:sz w:val="24"/>
                <w:szCs w:val="24"/>
                <w:highlight w:val="none"/>
                <w:lang w:val="en-US" w:eastAsia="zh-CN"/>
              </w:rPr>
              <w:t>等措施降噪，主变压器规模为2×</w:t>
            </w:r>
            <w:r>
              <w:rPr>
                <w:rFonts w:cs="Times New Roman" w:hint="eastAsia"/>
                <w:color w:val="auto"/>
                <w:sz w:val="24"/>
                <w:szCs w:val="24"/>
                <w:highlight w:val="none"/>
                <w:lang w:val="en-US" w:eastAsia="zh-CN"/>
              </w:rPr>
              <w:t>180MVA</w:t>
            </w:r>
            <w:r>
              <w:rPr>
                <w:rFonts w:ascii="Times New Roman" w:eastAsia="宋体" w:hAnsi="Times New Roman" w:cs="Times New Roman" w:hint="default"/>
                <w:color w:val="auto"/>
                <w:sz w:val="24"/>
                <w:szCs w:val="24"/>
                <w:highlight w:val="none"/>
                <w:lang w:val="en-US" w:eastAsia="zh-CN"/>
              </w:rPr>
              <w:t>，</w:t>
            </w:r>
            <w:r>
              <w:rPr>
                <w:rFonts w:cs="Times New Roman" w:hint="eastAsia"/>
                <w:color w:val="auto"/>
                <w:sz w:val="24"/>
                <w:szCs w:val="24"/>
                <w:highlight w:val="none"/>
                <w:lang w:val="en-US" w:eastAsia="zh-CN"/>
              </w:rPr>
              <w:t>参照《</w:t>
            </w:r>
            <w:r>
              <w:rPr>
                <w:rFonts w:ascii="Times New Roman" w:eastAsia="宋体" w:hAnsi="Times New Roman" w:cs="Times New Roman" w:hint="default"/>
                <w:color w:val="auto"/>
                <w:sz w:val="24"/>
                <w:szCs w:val="24"/>
                <w:highlight w:val="none"/>
                <w:lang w:val="en-US" w:eastAsia="zh-CN"/>
              </w:rPr>
              <w:t>变电站噪声控制技术导则</w:t>
            </w:r>
            <w:r>
              <w:rPr>
                <w:rFonts w:cs="Times New Roman" w:hint="eastAsia"/>
                <w:color w:val="auto"/>
                <w:sz w:val="24"/>
                <w:szCs w:val="24"/>
                <w:highlight w:val="none"/>
                <w:lang w:val="en-US" w:eastAsia="zh-CN"/>
              </w:rPr>
              <w:t>》（</w:t>
            </w:r>
            <w:r>
              <w:rPr>
                <w:rFonts w:ascii="Times New Roman" w:eastAsia="宋体" w:hAnsi="Times New Roman" w:cs="Times New Roman" w:hint="default"/>
                <w:color w:val="auto"/>
                <w:sz w:val="24"/>
                <w:szCs w:val="24"/>
                <w:highlight w:val="none"/>
                <w:lang w:val="en-US" w:eastAsia="zh-CN"/>
              </w:rPr>
              <w:t>DLT 1518-2016</w:t>
            </w:r>
            <w:r>
              <w:rPr>
                <w:rFonts w:cs="Times New Roman" w:hint="eastAsia"/>
                <w:color w:val="auto"/>
                <w:sz w:val="24"/>
                <w:szCs w:val="24"/>
                <w:highlight w:val="none"/>
                <w:lang w:val="en-US" w:eastAsia="zh-CN"/>
              </w:rPr>
              <w:t>）本项目主变</w:t>
            </w:r>
            <w:r>
              <w:rPr>
                <w:rFonts w:ascii="Times New Roman" w:eastAsia="宋体" w:hAnsi="Times New Roman" w:cs="Times New Roman" w:hint="default"/>
                <w:color w:val="auto"/>
                <w:sz w:val="24"/>
                <w:szCs w:val="24"/>
                <w:highlight w:val="none"/>
                <w:lang w:val="en-US" w:eastAsia="zh-CN"/>
              </w:rPr>
              <w:t>噪声</w:t>
            </w:r>
            <w:r>
              <w:rPr>
                <w:rFonts w:cs="Times New Roman" w:hint="eastAsia"/>
                <w:color w:val="auto"/>
                <w:sz w:val="24"/>
                <w:szCs w:val="24"/>
                <w:highlight w:val="none"/>
                <w:lang w:val="en-US" w:eastAsia="zh-CN"/>
              </w:rPr>
              <w:t>声压级约</w:t>
            </w:r>
            <w:r>
              <w:rPr>
                <w:rFonts w:ascii="Times New Roman" w:eastAsia="宋体" w:hAnsi="Times New Roman" w:cs="Times New Roman" w:hint="default"/>
                <w:color w:val="auto"/>
                <w:sz w:val="24"/>
                <w:szCs w:val="24"/>
                <w:highlight w:val="none"/>
                <w:lang w:val="en-US" w:eastAsia="zh-CN"/>
              </w:rPr>
              <w:t>为</w:t>
            </w:r>
            <w:r>
              <w:rPr>
                <w:rFonts w:cs="Times New Roman" w:hint="eastAsia"/>
                <w:color w:val="auto"/>
                <w:sz w:val="24"/>
                <w:szCs w:val="24"/>
                <w:highlight w:val="none"/>
                <w:lang w:val="en-US" w:eastAsia="zh-CN"/>
              </w:rPr>
              <w:t>68</w:t>
            </w:r>
            <w:r>
              <w:rPr>
                <w:rFonts w:ascii="Times New Roman" w:eastAsia="宋体" w:hAnsi="Times New Roman" w:cs="Times New Roman" w:hint="default"/>
                <w:color w:val="auto"/>
                <w:sz w:val="24"/>
                <w:szCs w:val="24"/>
                <w:highlight w:val="none"/>
                <w:lang w:val="en-US" w:eastAsia="zh-CN"/>
              </w:rPr>
              <w:t>dB（A）；</w:t>
            </w:r>
            <w:r>
              <w:rPr>
                <w:rFonts w:cs="Times New Roman" w:hint="eastAsia"/>
                <w:color w:val="auto"/>
                <w:sz w:val="24"/>
                <w:szCs w:val="24"/>
                <w:highlight w:val="none"/>
                <w:lang w:val="en-US" w:eastAsia="zh-CN"/>
              </w:rPr>
              <w:t>排风扇</w:t>
            </w:r>
            <w:r>
              <w:rPr>
                <w:rFonts w:ascii="Times New Roman" w:eastAsia="宋体" w:hAnsi="Times New Roman" w:cs="Times New Roman" w:hint="default"/>
                <w:color w:val="auto"/>
                <w:sz w:val="24"/>
                <w:szCs w:val="24"/>
                <w:highlight w:val="none"/>
                <w:lang w:val="en-US" w:eastAsia="zh-CN"/>
              </w:rPr>
              <w:t>噪声约为</w:t>
            </w:r>
            <w:r>
              <w:rPr>
                <w:rFonts w:ascii="Times New Roman" w:eastAsia="宋体" w:hAnsi="Times New Roman" w:cs="Times New Roman" w:hint="eastAsia"/>
                <w:color w:val="auto"/>
                <w:sz w:val="24"/>
                <w:szCs w:val="24"/>
                <w:highlight w:val="none"/>
                <w:lang w:val="en-US" w:eastAsia="zh-CN"/>
              </w:rPr>
              <w:t>75</w:t>
            </w:r>
            <w:r>
              <w:rPr>
                <w:rFonts w:ascii="Times New Roman" w:eastAsia="宋体" w:hAnsi="Times New Roman" w:cs="Times New Roman" w:hint="default"/>
                <w:color w:val="auto"/>
                <w:sz w:val="24"/>
                <w:szCs w:val="24"/>
                <w:highlight w:val="none"/>
                <w:lang w:val="en-US" w:eastAsia="zh-CN"/>
              </w:rPr>
              <w:t>B（A）。</w:t>
            </w:r>
          </w:p>
          <w:p w14:paraId="4D4D8E20">
            <w:pPr>
              <w:adjustRightInd w:val="0"/>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按照《环境影响评价技术导则声环境》（HJ2.4-2021）中推荐的模式进行预测。预测过程中，各噪声设备在一定的距离处可以被视作点源，设备所处位置、与预测点的距离等均按实际布设确定，同时忽略地形、大气吸收因素的影响。</w:t>
            </w:r>
          </w:p>
          <w:p w14:paraId="73ADE94B">
            <w:pPr>
              <w:pStyle w:val="TOC2"/>
              <w:spacing w:line="360" w:lineRule="auto"/>
              <w:ind w:left="0" w:leftChars="0"/>
              <w:jc w:val="center"/>
              <w:rPr>
                <w:rFonts w:ascii="Times New Roman" w:eastAsia="宋体" w:hAnsi="Times New Roman" w:cs="Times New Roman" w:hint="default"/>
                <w:b/>
                <w:bCs/>
                <w:color w:val="auto"/>
                <w:sz w:val="24"/>
                <w:highlight w:val="none"/>
              </w:rPr>
            </w:pPr>
            <w:r>
              <w:rPr>
                <w:rFonts w:ascii="Times New Roman" w:eastAsia="宋体" w:hAnsi="Times New Roman" w:cs="Times New Roman" w:hint="default"/>
                <w:b/>
                <w:bCs/>
                <w:color w:val="auto"/>
                <w:sz w:val="24"/>
                <w:highlight w:val="none"/>
              </w:rPr>
              <w:t>表4-23 工业企业噪声源强调查清单（室外声源）</w:t>
            </w:r>
          </w:p>
          <w:tbl>
            <w:tblPr>
              <w:tblStyle w:val="TableNormal"/>
              <w:tblW w:w="4998"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0" w:type="dxa"/>
                <w:left w:w="108" w:type="dxa"/>
                <w:bottom w:w="0" w:type="dxa"/>
                <w:right w:w="108" w:type="dxa"/>
              </w:tblCellMar>
            </w:tblPr>
            <w:tblGrid>
              <w:gridCol w:w="426"/>
              <w:gridCol w:w="625"/>
              <w:gridCol w:w="922"/>
              <w:gridCol w:w="943"/>
              <w:gridCol w:w="547"/>
              <w:gridCol w:w="883"/>
              <w:gridCol w:w="763"/>
              <w:gridCol w:w="883"/>
              <w:gridCol w:w="615"/>
              <w:gridCol w:w="554"/>
              <w:gridCol w:w="622"/>
              <w:gridCol w:w="923"/>
            </w:tblGrid>
            <w:tr w14:paraId="0472BC67">
              <w:tblPrEx>
                <w:tblW w:w="4998"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0" w:type="dxa"/>
                  <w:left w:w="108" w:type="dxa"/>
                  <w:bottom w:w="0" w:type="dxa"/>
                  <w:right w:w="108" w:type="dxa"/>
                </w:tblCellMar>
              </w:tblPrEx>
              <w:trPr>
                <w:trHeight w:val="450"/>
                <w:jc w:val="center"/>
              </w:trPr>
              <w:tc>
                <w:tcPr>
                  <w:tcW w:w="244" w:type="pct"/>
                  <w:vMerge w:val="restart"/>
                  <w:noWrap w:val="0"/>
                  <w:vAlign w:val="center"/>
                </w:tcPr>
                <w:p w14:paraId="0BD63F70">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序号</w:t>
                  </w:r>
                </w:p>
              </w:tc>
              <w:tc>
                <w:tcPr>
                  <w:tcW w:w="359" w:type="pct"/>
                  <w:vMerge w:val="restart"/>
                  <w:noWrap w:val="0"/>
                  <w:vAlign w:val="center"/>
                </w:tcPr>
                <w:p w14:paraId="61C59549">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名称</w:t>
                  </w:r>
                </w:p>
              </w:tc>
              <w:tc>
                <w:tcPr>
                  <w:tcW w:w="529" w:type="pct"/>
                  <w:vMerge w:val="restart"/>
                  <w:noWrap w:val="0"/>
                  <w:vAlign w:val="center"/>
                </w:tcPr>
                <w:p w14:paraId="2C9D3808">
                  <w:pPr>
                    <w:jc w:val="center"/>
                    <w:rPr>
                      <w:rFonts w:ascii="Times New Roman" w:eastAsia="宋体" w:hAnsi="Times New Roman" w:cs="Times New Roman" w:hint="default"/>
                      <w:color w:val="auto"/>
                      <w:szCs w:val="21"/>
                      <w:highlight w:val="none"/>
                    </w:rPr>
                  </w:pPr>
                  <w:r>
                    <w:rPr>
                      <w:rFonts w:cs="Times New Roman" w:hint="eastAsia"/>
                      <w:color w:val="auto"/>
                      <w:szCs w:val="21"/>
                      <w:highlight w:val="none"/>
                      <w:lang w:val="en-US" w:eastAsia="zh-CN"/>
                    </w:rPr>
                    <w:t>声压级</w:t>
                  </w:r>
                  <w:r>
                    <w:rPr>
                      <w:rFonts w:ascii="Times New Roman" w:eastAsia="宋体" w:hAnsi="Times New Roman" w:cs="Times New Roman" w:hint="default"/>
                      <w:color w:val="auto"/>
                      <w:szCs w:val="21"/>
                      <w:highlight w:val="none"/>
                    </w:rPr>
                    <w:t>（dB）A</w:t>
                  </w:r>
                </w:p>
              </w:tc>
              <w:tc>
                <w:tcPr>
                  <w:tcW w:w="541" w:type="pct"/>
                  <w:vMerge w:val="restart"/>
                  <w:noWrap w:val="0"/>
                  <w:vAlign w:val="center"/>
                </w:tcPr>
                <w:p w14:paraId="3DB5ED7E">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隔声降噪措施</w:t>
                  </w:r>
                </w:p>
              </w:tc>
              <w:tc>
                <w:tcPr>
                  <w:tcW w:w="3324" w:type="pct"/>
                  <w:gridSpan w:val="8"/>
                  <w:noWrap w:val="0"/>
                  <w:vAlign w:val="center"/>
                </w:tcPr>
                <w:p w14:paraId="394A69A6">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与厂界距离及厂界处贡献值源强</w:t>
                  </w:r>
                </w:p>
              </w:tc>
            </w:tr>
            <w:tr w14:paraId="20D90B54">
              <w:tblPrEx>
                <w:tblW w:w="4998" w:type="pct"/>
                <w:jc w:val="center"/>
                <w:tblCellMar>
                  <w:top w:w="0" w:type="dxa"/>
                  <w:left w:w="108" w:type="dxa"/>
                  <w:bottom w:w="0" w:type="dxa"/>
                  <w:right w:w="108" w:type="dxa"/>
                </w:tblCellMar>
              </w:tblPrEx>
              <w:trPr>
                <w:trHeight w:val="450"/>
                <w:jc w:val="center"/>
              </w:trPr>
              <w:tc>
                <w:tcPr>
                  <w:tcW w:w="244" w:type="pct"/>
                  <w:vMerge/>
                  <w:noWrap w:val="0"/>
                  <w:vAlign w:val="center"/>
                </w:tcPr>
                <w:p w14:paraId="194049C8">
                  <w:pPr>
                    <w:jc w:val="center"/>
                    <w:rPr>
                      <w:rFonts w:ascii="Times New Roman" w:eastAsia="宋体" w:hAnsi="Times New Roman" w:cs="Times New Roman" w:hint="default"/>
                      <w:color w:val="auto"/>
                      <w:szCs w:val="21"/>
                      <w:highlight w:val="none"/>
                    </w:rPr>
                  </w:pPr>
                </w:p>
              </w:tc>
              <w:tc>
                <w:tcPr>
                  <w:tcW w:w="359" w:type="pct"/>
                  <w:vMerge/>
                  <w:noWrap w:val="0"/>
                  <w:vAlign w:val="center"/>
                </w:tcPr>
                <w:p w14:paraId="66AC13F0">
                  <w:pPr>
                    <w:jc w:val="center"/>
                    <w:rPr>
                      <w:rFonts w:ascii="Times New Roman" w:eastAsia="宋体" w:hAnsi="Times New Roman" w:cs="Times New Roman" w:hint="default"/>
                      <w:color w:val="auto"/>
                      <w:szCs w:val="21"/>
                      <w:highlight w:val="none"/>
                    </w:rPr>
                  </w:pPr>
                </w:p>
              </w:tc>
              <w:tc>
                <w:tcPr>
                  <w:tcW w:w="529" w:type="pct"/>
                  <w:vMerge/>
                  <w:noWrap w:val="0"/>
                  <w:vAlign w:val="center"/>
                </w:tcPr>
                <w:p w14:paraId="4038FBEF">
                  <w:pPr>
                    <w:jc w:val="center"/>
                    <w:rPr>
                      <w:rFonts w:ascii="Times New Roman" w:eastAsia="宋体" w:hAnsi="Times New Roman" w:cs="Times New Roman" w:hint="default"/>
                      <w:color w:val="auto"/>
                      <w:szCs w:val="21"/>
                      <w:highlight w:val="none"/>
                    </w:rPr>
                  </w:pPr>
                </w:p>
              </w:tc>
              <w:tc>
                <w:tcPr>
                  <w:tcW w:w="541" w:type="pct"/>
                  <w:vMerge/>
                  <w:noWrap w:val="0"/>
                  <w:vAlign w:val="center"/>
                </w:tcPr>
                <w:p w14:paraId="50C06EFF">
                  <w:pPr>
                    <w:jc w:val="center"/>
                    <w:rPr>
                      <w:rFonts w:ascii="Times New Roman" w:eastAsia="宋体" w:hAnsi="Times New Roman" w:cs="Times New Roman" w:hint="default"/>
                      <w:color w:val="auto"/>
                      <w:szCs w:val="21"/>
                      <w:highlight w:val="none"/>
                    </w:rPr>
                  </w:pPr>
                </w:p>
              </w:tc>
              <w:tc>
                <w:tcPr>
                  <w:tcW w:w="821" w:type="pct"/>
                  <w:gridSpan w:val="2"/>
                  <w:noWrap w:val="0"/>
                  <w:vAlign w:val="center"/>
                </w:tcPr>
                <w:p w14:paraId="541B90A1">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东侧</w:t>
                  </w:r>
                </w:p>
              </w:tc>
              <w:tc>
                <w:tcPr>
                  <w:tcW w:w="945" w:type="pct"/>
                  <w:gridSpan w:val="2"/>
                  <w:noWrap w:val="0"/>
                  <w:vAlign w:val="center"/>
                </w:tcPr>
                <w:p w14:paraId="53EC1590">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南侧</w:t>
                  </w:r>
                </w:p>
              </w:tc>
              <w:tc>
                <w:tcPr>
                  <w:tcW w:w="671" w:type="pct"/>
                  <w:gridSpan w:val="2"/>
                  <w:noWrap w:val="0"/>
                  <w:vAlign w:val="center"/>
                </w:tcPr>
                <w:p w14:paraId="5BF8309C">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西侧</w:t>
                  </w:r>
                </w:p>
              </w:tc>
              <w:tc>
                <w:tcPr>
                  <w:tcW w:w="886" w:type="pct"/>
                  <w:gridSpan w:val="2"/>
                  <w:noWrap w:val="0"/>
                  <w:vAlign w:val="center"/>
                </w:tcPr>
                <w:p w14:paraId="0C807206">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北侧</w:t>
                  </w:r>
                </w:p>
              </w:tc>
            </w:tr>
            <w:tr w14:paraId="0E088483">
              <w:tblPrEx>
                <w:tblW w:w="4998" w:type="pct"/>
                <w:jc w:val="center"/>
                <w:tblCellMar>
                  <w:top w:w="0" w:type="dxa"/>
                  <w:left w:w="108" w:type="dxa"/>
                  <w:bottom w:w="0" w:type="dxa"/>
                  <w:right w:w="108" w:type="dxa"/>
                </w:tblCellMar>
              </w:tblPrEx>
              <w:trPr>
                <w:trHeight w:val="450"/>
                <w:jc w:val="center"/>
              </w:trPr>
              <w:tc>
                <w:tcPr>
                  <w:tcW w:w="244" w:type="pct"/>
                  <w:vMerge/>
                  <w:noWrap w:val="0"/>
                  <w:vAlign w:val="center"/>
                </w:tcPr>
                <w:p w14:paraId="29BDFC91">
                  <w:pPr>
                    <w:jc w:val="center"/>
                    <w:rPr>
                      <w:rFonts w:ascii="Times New Roman" w:eastAsia="宋体" w:hAnsi="Times New Roman" w:cs="Times New Roman" w:hint="default"/>
                      <w:color w:val="auto"/>
                      <w:highlight w:val="none"/>
                    </w:rPr>
                  </w:pPr>
                </w:p>
              </w:tc>
              <w:tc>
                <w:tcPr>
                  <w:tcW w:w="359" w:type="pct"/>
                  <w:vMerge/>
                  <w:noWrap w:val="0"/>
                  <w:vAlign w:val="center"/>
                </w:tcPr>
                <w:p w14:paraId="3FBC8FE5">
                  <w:pPr>
                    <w:jc w:val="center"/>
                    <w:rPr>
                      <w:rFonts w:ascii="Times New Roman" w:eastAsia="宋体" w:hAnsi="Times New Roman" w:cs="Times New Roman" w:hint="default"/>
                      <w:color w:val="auto"/>
                      <w:highlight w:val="none"/>
                    </w:rPr>
                  </w:pPr>
                </w:p>
              </w:tc>
              <w:tc>
                <w:tcPr>
                  <w:tcW w:w="529" w:type="pct"/>
                  <w:vMerge/>
                  <w:noWrap w:val="0"/>
                  <w:vAlign w:val="center"/>
                </w:tcPr>
                <w:p w14:paraId="07FAC5C8">
                  <w:pPr>
                    <w:jc w:val="center"/>
                    <w:rPr>
                      <w:rFonts w:ascii="Times New Roman" w:eastAsia="宋体" w:hAnsi="Times New Roman" w:cs="Times New Roman" w:hint="default"/>
                      <w:color w:val="auto"/>
                      <w:highlight w:val="none"/>
                    </w:rPr>
                  </w:pPr>
                </w:p>
              </w:tc>
              <w:tc>
                <w:tcPr>
                  <w:tcW w:w="541" w:type="pct"/>
                  <w:vMerge/>
                  <w:noWrap w:val="0"/>
                  <w:vAlign w:val="center"/>
                </w:tcPr>
                <w:p w14:paraId="5C03E517">
                  <w:pPr>
                    <w:jc w:val="center"/>
                    <w:rPr>
                      <w:rFonts w:ascii="Times New Roman" w:eastAsia="宋体" w:hAnsi="Times New Roman" w:cs="Times New Roman" w:hint="default"/>
                      <w:color w:val="auto"/>
                      <w:highlight w:val="none"/>
                    </w:rPr>
                  </w:pPr>
                </w:p>
              </w:tc>
              <w:tc>
                <w:tcPr>
                  <w:tcW w:w="314" w:type="pct"/>
                  <w:noWrap w:val="0"/>
                  <w:vAlign w:val="center"/>
                </w:tcPr>
                <w:p w14:paraId="3F640D4D">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距离m</w:t>
                  </w:r>
                </w:p>
              </w:tc>
              <w:tc>
                <w:tcPr>
                  <w:tcW w:w="507" w:type="pct"/>
                  <w:noWrap w:val="0"/>
                  <w:vAlign w:val="center"/>
                </w:tcPr>
                <w:p w14:paraId="1659354D">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噪声源强（dB）A</w:t>
                  </w:r>
                </w:p>
              </w:tc>
              <w:tc>
                <w:tcPr>
                  <w:tcW w:w="438" w:type="pct"/>
                  <w:noWrap w:val="0"/>
                  <w:vAlign w:val="center"/>
                </w:tcPr>
                <w:p w14:paraId="3BB1D697">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距离m</w:t>
                  </w:r>
                </w:p>
              </w:tc>
              <w:tc>
                <w:tcPr>
                  <w:tcW w:w="507" w:type="pct"/>
                  <w:noWrap w:val="0"/>
                  <w:vAlign w:val="center"/>
                </w:tcPr>
                <w:p w14:paraId="2DE414C4">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噪声源强（dB）A</w:t>
                  </w:r>
                </w:p>
              </w:tc>
              <w:tc>
                <w:tcPr>
                  <w:tcW w:w="353" w:type="pct"/>
                  <w:noWrap w:val="0"/>
                  <w:vAlign w:val="center"/>
                </w:tcPr>
                <w:p w14:paraId="1C5AE070">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距离m</w:t>
                  </w:r>
                </w:p>
              </w:tc>
              <w:tc>
                <w:tcPr>
                  <w:tcW w:w="318" w:type="pct"/>
                  <w:noWrap w:val="0"/>
                  <w:vAlign w:val="center"/>
                </w:tcPr>
                <w:p w14:paraId="0FCA4D74">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噪声源强</w:t>
                  </w:r>
                </w:p>
              </w:tc>
              <w:tc>
                <w:tcPr>
                  <w:tcW w:w="357" w:type="pct"/>
                  <w:noWrap w:val="0"/>
                  <w:vAlign w:val="center"/>
                </w:tcPr>
                <w:p w14:paraId="0B7C9BC8">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距离m</w:t>
                  </w:r>
                </w:p>
              </w:tc>
              <w:tc>
                <w:tcPr>
                  <w:tcW w:w="529" w:type="pct"/>
                  <w:noWrap w:val="0"/>
                  <w:vAlign w:val="center"/>
                </w:tcPr>
                <w:p w14:paraId="4C380B92">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噪声源强（dB）A</w:t>
                  </w:r>
                </w:p>
              </w:tc>
            </w:tr>
            <w:tr w14:paraId="45A65F49">
              <w:tblPrEx>
                <w:tblW w:w="4998" w:type="pct"/>
                <w:jc w:val="center"/>
                <w:tblCellMar>
                  <w:top w:w="0" w:type="dxa"/>
                  <w:left w:w="108" w:type="dxa"/>
                  <w:bottom w:w="0" w:type="dxa"/>
                  <w:right w:w="108" w:type="dxa"/>
                </w:tblCellMar>
              </w:tblPrEx>
              <w:trPr>
                <w:jc w:val="center"/>
              </w:trPr>
              <w:tc>
                <w:tcPr>
                  <w:tcW w:w="244" w:type="pct"/>
                  <w:noWrap w:val="0"/>
                  <w:vAlign w:val="center"/>
                </w:tcPr>
                <w:p w14:paraId="3819BBB1">
                  <w:pPr>
                    <w:jc w:val="center"/>
                    <w:rPr>
                      <w:rFonts w:ascii="Times New Roman" w:eastAsia="宋体" w:hAnsi="Times New Roman" w:cs="Times New Roman" w:hint="default"/>
                      <w:color w:val="auto"/>
                      <w:szCs w:val="21"/>
                      <w:highlight w:val="none"/>
                      <w:lang w:val="en-US" w:eastAsia="zh-CN"/>
                    </w:rPr>
                  </w:pPr>
                  <w:r>
                    <w:rPr>
                      <w:rFonts w:ascii="Times New Roman" w:eastAsia="宋体" w:hAnsi="Times New Roman" w:cs="Times New Roman" w:hint="default"/>
                      <w:color w:val="auto"/>
                      <w:szCs w:val="21"/>
                      <w:highlight w:val="none"/>
                      <w:lang w:val="en-US" w:eastAsia="zh-CN"/>
                    </w:rPr>
                    <w:t>1</w:t>
                  </w:r>
                </w:p>
              </w:tc>
              <w:tc>
                <w:tcPr>
                  <w:tcW w:w="359" w:type="pct"/>
                  <w:noWrap w:val="0"/>
                  <w:vAlign w:val="center"/>
                </w:tcPr>
                <w:p w14:paraId="1030EF05">
                  <w:pPr>
                    <w:jc w:val="center"/>
                    <w:rPr>
                      <w:rFonts w:ascii="Times New Roman" w:eastAsia="宋体" w:hAnsi="Times New Roman" w:cs="Times New Roman" w:hint="default"/>
                      <w:color w:val="auto"/>
                      <w:szCs w:val="21"/>
                      <w:highlight w:val="none"/>
                      <w:lang w:eastAsia="zh-CN"/>
                    </w:rPr>
                  </w:pPr>
                  <w:r>
                    <w:rPr>
                      <w:rFonts w:ascii="Times New Roman" w:eastAsia="宋体" w:hAnsi="Times New Roman" w:cs="Times New Roman" w:hint="default"/>
                      <w:color w:val="auto"/>
                      <w:lang w:val="en-US" w:eastAsia="zh-CN"/>
                    </w:rPr>
                    <w:t>变压器</w:t>
                  </w:r>
                  <w:r>
                    <w:rPr>
                      <w:rFonts w:ascii="Times New Roman" w:eastAsia="宋体" w:hAnsi="Times New Roman" w:cs="Times New Roman" w:hint="default"/>
                      <w:color w:val="auto"/>
                      <w:szCs w:val="21"/>
                      <w:highlight w:val="none"/>
                      <w:lang w:val="en-US" w:eastAsia="zh-CN"/>
                    </w:rPr>
                    <w:t>1</w:t>
                  </w:r>
                </w:p>
              </w:tc>
              <w:tc>
                <w:tcPr>
                  <w:tcW w:w="529" w:type="pct"/>
                  <w:noWrap w:val="0"/>
                  <w:vAlign w:val="center"/>
                </w:tcPr>
                <w:p w14:paraId="4FCECCCC">
                  <w:pPr>
                    <w:jc w:val="center"/>
                    <w:rPr>
                      <w:rFonts w:ascii="Times New Roman" w:eastAsia="宋体" w:hAnsi="Times New Roman" w:cs="Times New Roman" w:hint="default"/>
                      <w:color w:val="auto"/>
                      <w:szCs w:val="21"/>
                      <w:highlight w:val="none"/>
                      <w:lang w:val="en-US" w:eastAsia="zh-CN"/>
                    </w:rPr>
                  </w:pPr>
                  <w:r>
                    <w:rPr>
                      <w:rFonts w:cs="Times New Roman" w:hint="eastAsia"/>
                      <w:color w:val="auto"/>
                      <w:szCs w:val="21"/>
                      <w:highlight w:val="none"/>
                      <w:lang w:val="en-US" w:eastAsia="zh-CN"/>
                    </w:rPr>
                    <w:t>68</w:t>
                  </w:r>
                </w:p>
              </w:tc>
              <w:tc>
                <w:tcPr>
                  <w:tcW w:w="541" w:type="pct"/>
                  <w:vMerge w:val="restart"/>
                  <w:noWrap w:val="0"/>
                  <w:vAlign w:val="center"/>
                </w:tcPr>
                <w:p w14:paraId="05EC4B4C">
                  <w:pPr>
                    <w:jc w:val="both"/>
                    <w:rPr>
                      <w:rFonts w:ascii="Times New Roman" w:eastAsia="宋体" w:hAnsi="Times New Roman" w:cs="Times New Roman" w:hint="default"/>
                      <w:color w:val="auto"/>
                      <w:szCs w:val="21"/>
                      <w:highlight w:val="none"/>
                    </w:rPr>
                  </w:pPr>
                  <w:r>
                    <w:rPr>
                      <w:rFonts w:cs="Times New Roman" w:hint="eastAsia"/>
                      <w:color w:val="auto"/>
                      <w:sz w:val="24"/>
                      <w:szCs w:val="24"/>
                      <w:highlight w:val="none"/>
                      <w:lang w:val="en-US" w:eastAsia="zh-CN"/>
                    </w:rPr>
                    <w:t>低噪声设备、</w:t>
                  </w:r>
                  <w:r>
                    <w:rPr>
                      <w:rFonts w:ascii="Times New Roman" w:eastAsia="宋体" w:hAnsi="Times New Roman" w:cs="Times New Roman" w:hint="default"/>
                      <w:color w:val="auto"/>
                      <w:sz w:val="24"/>
                      <w:szCs w:val="24"/>
                      <w:highlight w:val="none"/>
                      <w:lang w:val="en-US" w:eastAsia="zh-CN"/>
                    </w:rPr>
                    <w:t>基础减振</w:t>
                  </w:r>
                </w:p>
              </w:tc>
              <w:tc>
                <w:tcPr>
                  <w:tcW w:w="314" w:type="pct"/>
                  <w:noWrap w:val="0"/>
                  <w:vAlign w:val="center"/>
                </w:tcPr>
                <w:p w14:paraId="3AAD85CD">
                  <w:pPr>
                    <w:jc w:val="center"/>
                    <w:rPr>
                      <w:rFonts w:ascii="Times New Roman" w:eastAsia="宋体" w:hAnsi="Times New Roman" w:cs="Times New Roman" w:hint="default"/>
                      <w:color w:val="auto"/>
                      <w:kern w:val="2"/>
                      <w:sz w:val="21"/>
                      <w:szCs w:val="21"/>
                      <w:highlight w:val="none"/>
                      <w:lang w:val="en-US" w:eastAsia="zh-CN" w:bidi="ar-SA"/>
                    </w:rPr>
                  </w:pPr>
                  <w:r>
                    <w:rPr>
                      <w:rFonts w:cs="Times New Roman" w:hint="eastAsia"/>
                      <w:color w:val="auto"/>
                      <w:szCs w:val="21"/>
                      <w:highlight w:val="none"/>
                      <w:lang w:val="en-US" w:eastAsia="zh-CN"/>
                    </w:rPr>
                    <w:t>99</w:t>
                  </w:r>
                </w:p>
              </w:tc>
              <w:tc>
                <w:tcPr>
                  <w:tcW w:w="507" w:type="pct"/>
                  <w:noWrap w:val="0"/>
                  <w:vAlign w:val="center"/>
                </w:tcPr>
                <w:p w14:paraId="769545E8">
                  <w:pPr>
                    <w:jc w:val="center"/>
                    <w:rPr>
                      <w:rFonts w:ascii="Times New Roman" w:eastAsia="宋体" w:hAnsi="Times New Roman" w:cs="Times New Roman" w:hint="default"/>
                      <w:color w:val="auto"/>
                      <w:kern w:val="2"/>
                      <w:sz w:val="21"/>
                      <w:szCs w:val="21"/>
                      <w:highlight w:val="none"/>
                      <w:lang w:val="en-US" w:eastAsia="zh-CN" w:bidi="ar-SA"/>
                    </w:rPr>
                  </w:pPr>
                  <w:r>
                    <w:rPr>
                      <w:rFonts w:cs="Times New Roman" w:hint="eastAsia"/>
                      <w:color w:val="auto"/>
                      <w:kern w:val="2"/>
                      <w:sz w:val="21"/>
                      <w:szCs w:val="21"/>
                      <w:highlight w:val="none"/>
                      <w:lang w:val="en-US" w:eastAsia="zh-CN" w:bidi="ar-SA"/>
                    </w:rPr>
                    <w:t>28</w:t>
                  </w:r>
                </w:p>
              </w:tc>
              <w:tc>
                <w:tcPr>
                  <w:tcW w:w="438" w:type="pct"/>
                  <w:noWrap w:val="0"/>
                  <w:vAlign w:val="center"/>
                </w:tcPr>
                <w:p w14:paraId="2D8BF31F">
                  <w:pPr>
                    <w:jc w:val="center"/>
                    <w:rPr>
                      <w:rFonts w:ascii="Times New Roman" w:eastAsia="宋体" w:hAnsi="Times New Roman" w:cs="Times New Roman" w:hint="default"/>
                      <w:color w:val="auto"/>
                      <w:kern w:val="2"/>
                      <w:sz w:val="21"/>
                      <w:szCs w:val="21"/>
                      <w:highlight w:val="none"/>
                      <w:lang w:val="en-US" w:eastAsia="zh-CN" w:bidi="ar-SA"/>
                    </w:rPr>
                  </w:pPr>
                  <w:r>
                    <w:rPr>
                      <w:rFonts w:cs="Times New Roman" w:hint="eastAsia"/>
                      <w:color w:val="auto"/>
                      <w:szCs w:val="21"/>
                      <w:highlight w:val="none"/>
                      <w:lang w:val="en-US" w:eastAsia="zh-CN"/>
                    </w:rPr>
                    <w:t>247</w:t>
                  </w:r>
                </w:p>
              </w:tc>
              <w:tc>
                <w:tcPr>
                  <w:tcW w:w="507" w:type="pct"/>
                  <w:noWrap w:val="0"/>
                  <w:vAlign w:val="center"/>
                </w:tcPr>
                <w:p w14:paraId="0261A10B">
                  <w:pPr>
                    <w:jc w:val="center"/>
                    <w:rPr>
                      <w:rFonts w:ascii="Times New Roman" w:eastAsia="宋体" w:hAnsi="Times New Roman" w:cs="Times New Roman" w:hint="default"/>
                      <w:color w:val="auto"/>
                      <w:kern w:val="2"/>
                      <w:sz w:val="21"/>
                      <w:szCs w:val="21"/>
                      <w:highlight w:val="none"/>
                      <w:lang w:val="en-US" w:eastAsia="zh-CN" w:bidi="ar-SA"/>
                    </w:rPr>
                  </w:pPr>
                  <w:r>
                    <w:rPr>
                      <w:rFonts w:cs="Times New Roman" w:hint="eastAsia"/>
                      <w:color w:val="auto"/>
                      <w:kern w:val="2"/>
                      <w:sz w:val="21"/>
                      <w:szCs w:val="21"/>
                      <w:highlight w:val="none"/>
                      <w:lang w:val="en-US" w:eastAsia="zh-CN" w:bidi="ar-SA"/>
                    </w:rPr>
                    <w:t>20</w:t>
                  </w:r>
                </w:p>
              </w:tc>
              <w:tc>
                <w:tcPr>
                  <w:tcW w:w="353" w:type="pct"/>
                  <w:noWrap w:val="0"/>
                  <w:vAlign w:val="center"/>
                </w:tcPr>
                <w:p w14:paraId="302A6276">
                  <w:pPr>
                    <w:jc w:val="center"/>
                    <w:rPr>
                      <w:rFonts w:ascii="Times New Roman" w:eastAsia="宋体" w:hAnsi="Times New Roman" w:cs="Times New Roman" w:hint="default"/>
                      <w:color w:val="auto"/>
                      <w:kern w:val="2"/>
                      <w:sz w:val="21"/>
                      <w:szCs w:val="21"/>
                      <w:highlight w:val="none"/>
                      <w:lang w:val="en-US" w:eastAsia="zh-CN" w:bidi="ar-SA"/>
                    </w:rPr>
                  </w:pPr>
                  <w:r>
                    <w:rPr>
                      <w:rFonts w:cs="Times New Roman" w:hint="eastAsia"/>
                      <w:color w:val="auto"/>
                      <w:szCs w:val="21"/>
                      <w:highlight w:val="none"/>
                      <w:lang w:val="en-US" w:eastAsia="zh-CN"/>
                    </w:rPr>
                    <w:t>192</w:t>
                  </w:r>
                </w:p>
              </w:tc>
              <w:tc>
                <w:tcPr>
                  <w:tcW w:w="318" w:type="pct"/>
                  <w:noWrap w:val="0"/>
                  <w:vAlign w:val="center"/>
                </w:tcPr>
                <w:p w14:paraId="130AC30F">
                  <w:pPr>
                    <w:jc w:val="center"/>
                    <w:rPr>
                      <w:rFonts w:ascii="Times New Roman" w:eastAsia="宋体" w:hAnsi="Times New Roman" w:cs="Times New Roman" w:hint="default"/>
                      <w:color w:val="auto"/>
                      <w:kern w:val="2"/>
                      <w:sz w:val="21"/>
                      <w:szCs w:val="21"/>
                      <w:highlight w:val="none"/>
                      <w:lang w:val="en-US" w:eastAsia="zh-CN" w:bidi="ar-SA"/>
                    </w:rPr>
                  </w:pPr>
                  <w:r>
                    <w:rPr>
                      <w:rFonts w:cs="Times New Roman" w:hint="eastAsia"/>
                      <w:color w:val="auto"/>
                      <w:kern w:val="2"/>
                      <w:sz w:val="21"/>
                      <w:szCs w:val="21"/>
                      <w:highlight w:val="none"/>
                      <w:lang w:val="en-US" w:eastAsia="zh-CN" w:bidi="ar-SA"/>
                    </w:rPr>
                    <w:t>22</w:t>
                  </w:r>
                </w:p>
              </w:tc>
              <w:tc>
                <w:tcPr>
                  <w:tcW w:w="357" w:type="pct"/>
                  <w:noWrap w:val="0"/>
                  <w:vAlign w:val="center"/>
                </w:tcPr>
                <w:p w14:paraId="3C4CAB53">
                  <w:pPr>
                    <w:jc w:val="center"/>
                    <w:rPr>
                      <w:rFonts w:ascii="Times New Roman" w:eastAsia="宋体" w:hAnsi="Times New Roman" w:cs="Times New Roman" w:hint="default"/>
                      <w:color w:val="auto"/>
                      <w:kern w:val="2"/>
                      <w:sz w:val="21"/>
                      <w:szCs w:val="21"/>
                      <w:highlight w:val="none"/>
                      <w:lang w:val="en-US" w:eastAsia="zh-CN" w:bidi="ar-SA"/>
                    </w:rPr>
                  </w:pPr>
                  <w:r>
                    <w:rPr>
                      <w:rFonts w:cs="Times New Roman" w:hint="eastAsia"/>
                      <w:color w:val="auto"/>
                      <w:szCs w:val="21"/>
                      <w:highlight w:val="none"/>
                      <w:lang w:val="en-US" w:eastAsia="zh-CN"/>
                    </w:rPr>
                    <w:t>50</w:t>
                  </w:r>
                </w:p>
              </w:tc>
              <w:tc>
                <w:tcPr>
                  <w:tcW w:w="529" w:type="pct"/>
                  <w:noWrap w:val="0"/>
                  <w:vAlign w:val="center"/>
                </w:tcPr>
                <w:p w14:paraId="5C0ED0B1">
                  <w:pPr>
                    <w:jc w:val="center"/>
                    <w:rPr>
                      <w:rFonts w:ascii="Times New Roman" w:eastAsia="宋体" w:hAnsi="Times New Roman" w:cs="Times New Roman" w:hint="default"/>
                      <w:color w:val="auto"/>
                      <w:szCs w:val="21"/>
                      <w:highlight w:val="none"/>
                      <w:lang w:val="en-US" w:eastAsia="zh-CN"/>
                    </w:rPr>
                  </w:pPr>
                  <w:r>
                    <w:rPr>
                      <w:rFonts w:cs="Times New Roman" w:hint="eastAsia"/>
                      <w:color w:val="auto"/>
                      <w:szCs w:val="21"/>
                      <w:highlight w:val="none"/>
                      <w:lang w:val="en-US" w:eastAsia="zh-CN"/>
                    </w:rPr>
                    <w:t>34</w:t>
                  </w:r>
                </w:p>
              </w:tc>
            </w:tr>
            <w:tr w14:paraId="71C5B10D">
              <w:tblPrEx>
                <w:tblW w:w="4998" w:type="pct"/>
                <w:jc w:val="center"/>
                <w:tblCellMar>
                  <w:top w:w="0" w:type="dxa"/>
                  <w:left w:w="108" w:type="dxa"/>
                  <w:bottom w:w="0" w:type="dxa"/>
                  <w:right w:w="108" w:type="dxa"/>
                </w:tblCellMar>
              </w:tblPrEx>
              <w:trPr>
                <w:jc w:val="center"/>
              </w:trPr>
              <w:tc>
                <w:tcPr>
                  <w:tcW w:w="244" w:type="pct"/>
                  <w:noWrap w:val="0"/>
                  <w:vAlign w:val="center"/>
                </w:tcPr>
                <w:p w14:paraId="4FA16221">
                  <w:pPr>
                    <w:jc w:val="center"/>
                    <w:rPr>
                      <w:rFonts w:ascii="Times New Roman" w:eastAsia="宋体" w:hAnsi="Times New Roman" w:cs="Times New Roman" w:hint="default"/>
                      <w:color w:val="auto"/>
                      <w:szCs w:val="21"/>
                      <w:highlight w:val="none"/>
                      <w:lang w:eastAsia="zh-CN"/>
                    </w:rPr>
                  </w:pPr>
                  <w:r>
                    <w:rPr>
                      <w:rFonts w:ascii="Times New Roman" w:eastAsia="宋体" w:hAnsi="Times New Roman" w:cs="Times New Roman" w:hint="default"/>
                      <w:color w:val="auto"/>
                      <w:szCs w:val="21"/>
                      <w:highlight w:val="none"/>
                      <w:lang w:val="en-US" w:eastAsia="zh-CN"/>
                    </w:rPr>
                    <w:t>2</w:t>
                  </w:r>
                </w:p>
              </w:tc>
              <w:tc>
                <w:tcPr>
                  <w:tcW w:w="359" w:type="pct"/>
                  <w:noWrap w:val="0"/>
                  <w:vAlign w:val="center"/>
                </w:tcPr>
                <w:p w14:paraId="75E908CF">
                  <w:pPr>
                    <w:jc w:val="center"/>
                    <w:rPr>
                      <w:rFonts w:ascii="Times New Roman" w:eastAsia="宋体" w:hAnsi="Times New Roman" w:cs="Times New Roman" w:hint="default"/>
                      <w:color w:val="auto"/>
                      <w:szCs w:val="21"/>
                      <w:highlight w:val="none"/>
                      <w:lang w:val="en-US"/>
                    </w:rPr>
                  </w:pPr>
                  <w:r>
                    <w:rPr>
                      <w:rFonts w:ascii="Times New Roman" w:eastAsia="宋体" w:hAnsi="Times New Roman" w:cs="Times New Roman" w:hint="default"/>
                      <w:color w:val="auto"/>
                      <w:lang w:val="en-US" w:eastAsia="zh-CN"/>
                    </w:rPr>
                    <w:t>变压器2</w:t>
                  </w:r>
                </w:p>
              </w:tc>
              <w:tc>
                <w:tcPr>
                  <w:tcW w:w="529" w:type="pct"/>
                  <w:noWrap w:val="0"/>
                  <w:vAlign w:val="center"/>
                </w:tcPr>
                <w:p w14:paraId="4F5DA427">
                  <w:pPr>
                    <w:jc w:val="center"/>
                    <w:rPr>
                      <w:rFonts w:ascii="Times New Roman" w:eastAsia="宋体" w:hAnsi="Times New Roman" w:cs="Times New Roman" w:hint="default"/>
                      <w:color w:val="auto"/>
                      <w:szCs w:val="21"/>
                      <w:highlight w:val="none"/>
                      <w:lang w:val="en-US"/>
                    </w:rPr>
                  </w:pPr>
                  <w:r>
                    <w:rPr>
                      <w:rFonts w:cs="Times New Roman" w:hint="eastAsia"/>
                      <w:color w:val="auto"/>
                      <w:szCs w:val="21"/>
                      <w:highlight w:val="none"/>
                      <w:lang w:val="en-US" w:eastAsia="zh-CN"/>
                    </w:rPr>
                    <w:t>68</w:t>
                  </w:r>
                </w:p>
              </w:tc>
              <w:tc>
                <w:tcPr>
                  <w:tcW w:w="541" w:type="pct"/>
                  <w:vMerge/>
                  <w:noWrap w:val="0"/>
                  <w:vAlign w:val="center"/>
                </w:tcPr>
                <w:p w14:paraId="5E1A3230">
                  <w:pPr>
                    <w:jc w:val="center"/>
                    <w:rPr>
                      <w:rFonts w:ascii="Times New Roman" w:eastAsia="宋体" w:hAnsi="Times New Roman" w:cs="Times New Roman" w:hint="default"/>
                      <w:color w:val="auto"/>
                      <w:szCs w:val="21"/>
                      <w:highlight w:val="none"/>
                    </w:rPr>
                  </w:pPr>
                </w:p>
              </w:tc>
              <w:tc>
                <w:tcPr>
                  <w:tcW w:w="314" w:type="pct"/>
                  <w:noWrap w:val="0"/>
                  <w:vAlign w:val="center"/>
                </w:tcPr>
                <w:p w14:paraId="3D829FD9">
                  <w:pPr>
                    <w:jc w:val="center"/>
                    <w:rPr>
                      <w:rFonts w:ascii="Times New Roman" w:eastAsia="宋体" w:hAnsi="Times New Roman" w:cs="Times New Roman" w:hint="default"/>
                      <w:color w:val="auto"/>
                      <w:kern w:val="2"/>
                      <w:sz w:val="21"/>
                      <w:szCs w:val="21"/>
                      <w:highlight w:val="none"/>
                      <w:lang w:val="en-US" w:eastAsia="zh-CN" w:bidi="ar-SA"/>
                    </w:rPr>
                  </w:pPr>
                  <w:r>
                    <w:rPr>
                      <w:rFonts w:cs="Times New Roman" w:hint="eastAsia"/>
                      <w:color w:val="auto"/>
                      <w:szCs w:val="21"/>
                      <w:highlight w:val="none"/>
                      <w:lang w:val="en-US" w:eastAsia="zh-CN"/>
                    </w:rPr>
                    <w:t>84</w:t>
                  </w:r>
                </w:p>
              </w:tc>
              <w:tc>
                <w:tcPr>
                  <w:tcW w:w="507" w:type="pct"/>
                  <w:noWrap w:val="0"/>
                  <w:vAlign w:val="center"/>
                </w:tcPr>
                <w:p w14:paraId="737F5F2B">
                  <w:pPr>
                    <w:jc w:val="center"/>
                    <w:rPr>
                      <w:rFonts w:ascii="Times New Roman" w:eastAsia="宋体" w:hAnsi="Times New Roman" w:cs="Times New Roman" w:hint="default"/>
                      <w:color w:val="auto"/>
                      <w:kern w:val="2"/>
                      <w:sz w:val="21"/>
                      <w:szCs w:val="21"/>
                      <w:highlight w:val="none"/>
                      <w:lang w:val="en-US" w:eastAsia="zh-CN" w:bidi="ar-SA"/>
                    </w:rPr>
                  </w:pPr>
                  <w:r>
                    <w:rPr>
                      <w:rFonts w:cs="Times New Roman" w:hint="eastAsia"/>
                      <w:color w:val="auto"/>
                      <w:kern w:val="2"/>
                      <w:sz w:val="21"/>
                      <w:szCs w:val="21"/>
                      <w:highlight w:val="none"/>
                      <w:lang w:val="en-US" w:eastAsia="zh-CN" w:bidi="ar-SA"/>
                    </w:rPr>
                    <w:t>30</w:t>
                  </w:r>
                </w:p>
              </w:tc>
              <w:tc>
                <w:tcPr>
                  <w:tcW w:w="438" w:type="pct"/>
                  <w:noWrap w:val="0"/>
                  <w:vAlign w:val="center"/>
                </w:tcPr>
                <w:p w14:paraId="2F888D4A">
                  <w:pPr>
                    <w:jc w:val="center"/>
                    <w:rPr>
                      <w:rFonts w:ascii="Times New Roman" w:eastAsia="宋体" w:hAnsi="Times New Roman" w:cs="Times New Roman" w:hint="default"/>
                      <w:color w:val="auto"/>
                      <w:kern w:val="2"/>
                      <w:sz w:val="21"/>
                      <w:szCs w:val="21"/>
                      <w:highlight w:val="none"/>
                      <w:lang w:val="en-US" w:eastAsia="zh-CN" w:bidi="ar-SA"/>
                    </w:rPr>
                  </w:pPr>
                  <w:r>
                    <w:rPr>
                      <w:rFonts w:cs="Times New Roman" w:hint="eastAsia"/>
                      <w:color w:val="auto"/>
                      <w:szCs w:val="21"/>
                      <w:highlight w:val="none"/>
                      <w:lang w:val="en-US" w:eastAsia="zh-CN"/>
                    </w:rPr>
                    <w:t>247</w:t>
                  </w:r>
                </w:p>
              </w:tc>
              <w:tc>
                <w:tcPr>
                  <w:tcW w:w="507" w:type="pct"/>
                  <w:noWrap w:val="0"/>
                  <w:vAlign w:val="center"/>
                </w:tcPr>
                <w:p w14:paraId="67A1512E">
                  <w:pPr>
                    <w:jc w:val="center"/>
                    <w:rPr>
                      <w:rFonts w:ascii="Times New Roman" w:eastAsia="宋体" w:hAnsi="Times New Roman" w:cs="Times New Roman" w:hint="default"/>
                      <w:color w:val="auto"/>
                      <w:kern w:val="2"/>
                      <w:sz w:val="21"/>
                      <w:szCs w:val="21"/>
                      <w:highlight w:val="none"/>
                      <w:lang w:val="en-US" w:eastAsia="zh-CN" w:bidi="ar-SA"/>
                    </w:rPr>
                  </w:pPr>
                  <w:r>
                    <w:rPr>
                      <w:rFonts w:cs="Times New Roman" w:hint="eastAsia"/>
                      <w:color w:val="auto"/>
                      <w:kern w:val="2"/>
                      <w:sz w:val="21"/>
                      <w:szCs w:val="21"/>
                      <w:highlight w:val="none"/>
                      <w:lang w:val="en-US" w:eastAsia="zh-CN" w:bidi="ar-SA"/>
                    </w:rPr>
                    <w:t>20</w:t>
                  </w:r>
                </w:p>
              </w:tc>
              <w:tc>
                <w:tcPr>
                  <w:tcW w:w="353" w:type="pct"/>
                  <w:noWrap w:val="0"/>
                  <w:vAlign w:val="center"/>
                </w:tcPr>
                <w:p w14:paraId="757AB35F">
                  <w:pPr>
                    <w:jc w:val="center"/>
                    <w:rPr>
                      <w:rFonts w:ascii="Times New Roman" w:eastAsia="宋体" w:hAnsi="Times New Roman" w:cs="Times New Roman" w:hint="default"/>
                      <w:color w:val="auto"/>
                      <w:kern w:val="2"/>
                      <w:sz w:val="21"/>
                      <w:szCs w:val="21"/>
                      <w:highlight w:val="none"/>
                      <w:lang w:val="en-US" w:eastAsia="zh-CN" w:bidi="ar-SA"/>
                    </w:rPr>
                  </w:pPr>
                  <w:r>
                    <w:rPr>
                      <w:rFonts w:cs="Times New Roman" w:hint="eastAsia"/>
                      <w:color w:val="auto"/>
                      <w:szCs w:val="21"/>
                      <w:highlight w:val="none"/>
                      <w:lang w:val="en-US" w:eastAsia="zh-CN"/>
                    </w:rPr>
                    <w:t>205</w:t>
                  </w:r>
                </w:p>
              </w:tc>
              <w:tc>
                <w:tcPr>
                  <w:tcW w:w="318" w:type="pct"/>
                  <w:noWrap w:val="0"/>
                  <w:vAlign w:val="center"/>
                </w:tcPr>
                <w:p w14:paraId="0BAE17FC">
                  <w:pPr>
                    <w:jc w:val="center"/>
                    <w:rPr>
                      <w:rFonts w:ascii="Times New Roman" w:eastAsia="宋体" w:hAnsi="Times New Roman" w:cs="Times New Roman" w:hint="default"/>
                      <w:color w:val="auto"/>
                      <w:kern w:val="2"/>
                      <w:sz w:val="21"/>
                      <w:szCs w:val="21"/>
                      <w:highlight w:val="none"/>
                      <w:lang w:val="en-US" w:eastAsia="zh-CN" w:bidi="ar-SA"/>
                    </w:rPr>
                  </w:pPr>
                  <w:r>
                    <w:rPr>
                      <w:rFonts w:cs="Times New Roman" w:hint="eastAsia"/>
                      <w:color w:val="auto"/>
                      <w:kern w:val="2"/>
                      <w:sz w:val="21"/>
                      <w:szCs w:val="21"/>
                      <w:highlight w:val="none"/>
                      <w:lang w:val="en-US" w:eastAsia="zh-CN" w:bidi="ar-SA"/>
                    </w:rPr>
                    <w:t>22</w:t>
                  </w:r>
                </w:p>
              </w:tc>
              <w:tc>
                <w:tcPr>
                  <w:tcW w:w="357" w:type="pct"/>
                  <w:noWrap w:val="0"/>
                  <w:vAlign w:val="center"/>
                </w:tcPr>
                <w:p w14:paraId="5DDE822F">
                  <w:pPr>
                    <w:jc w:val="center"/>
                    <w:rPr>
                      <w:rFonts w:ascii="Times New Roman" w:eastAsia="宋体" w:hAnsi="Times New Roman" w:cs="Times New Roman" w:hint="default"/>
                      <w:color w:val="auto"/>
                      <w:kern w:val="2"/>
                      <w:sz w:val="21"/>
                      <w:szCs w:val="21"/>
                      <w:highlight w:val="none"/>
                      <w:lang w:val="en-US" w:eastAsia="zh-CN" w:bidi="ar-SA"/>
                    </w:rPr>
                  </w:pPr>
                  <w:r>
                    <w:rPr>
                      <w:rFonts w:cs="Times New Roman" w:hint="eastAsia"/>
                      <w:color w:val="auto"/>
                      <w:szCs w:val="21"/>
                      <w:highlight w:val="none"/>
                      <w:lang w:val="en-US" w:eastAsia="zh-CN"/>
                    </w:rPr>
                    <w:t>50</w:t>
                  </w:r>
                </w:p>
              </w:tc>
              <w:tc>
                <w:tcPr>
                  <w:tcW w:w="529" w:type="pct"/>
                  <w:noWrap w:val="0"/>
                  <w:vAlign w:val="center"/>
                </w:tcPr>
                <w:p w14:paraId="00745C9B">
                  <w:pPr>
                    <w:jc w:val="center"/>
                    <w:rPr>
                      <w:rFonts w:ascii="Times New Roman" w:eastAsia="宋体" w:hAnsi="Times New Roman" w:cs="Times New Roman" w:hint="default"/>
                      <w:color w:val="auto"/>
                      <w:szCs w:val="21"/>
                      <w:highlight w:val="none"/>
                      <w:lang w:val="en-US" w:eastAsia="zh-CN"/>
                    </w:rPr>
                  </w:pPr>
                  <w:r>
                    <w:rPr>
                      <w:rFonts w:cs="Times New Roman" w:hint="eastAsia"/>
                      <w:color w:val="auto"/>
                      <w:szCs w:val="21"/>
                      <w:highlight w:val="none"/>
                      <w:lang w:val="en-US" w:eastAsia="zh-CN"/>
                    </w:rPr>
                    <w:t>34</w:t>
                  </w:r>
                </w:p>
              </w:tc>
            </w:tr>
            <w:tr w14:paraId="02518D48">
              <w:tblPrEx>
                <w:tblW w:w="4998" w:type="pct"/>
                <w:jc w:val="center"/>
                <w:tblCellMar>
                  <w:top w:w="0" w:type="dxa"/>
                  <w:left w:w="108" w:type="dxa"/>
                  <w:bottom w:w="0" w:type="dxa"/>
                  <w:right w:w="108" w:type="dxa"/>
                </w:tblCellMar>
              </w:tblPrEx>
              <w:trPr>
                <w:jc w:val="center"/>
              </w:trPr>
              <w:tc>
                <w:tcPr>
                  <w:tcW w:w="244" w:type="pct"/>
                  <w:noWrap w:val="0"/>
                  <w:vAlign w:val="center"/>
                </w:tcPr>
                <w:p w14:paraId="7BD11A02">
                  <w:pPr>
                    <w:jc w:val="center"/>
                    <w:rPr>
                      <w:rFonts w:ascii="Times New Roman" w:eastAsia="宋体" w:hAnsi="Times New Roman" w:cs="Times New Roman" w:hint="default"/>
                      <w:color w:val="auto"/>
                      <w:szCs w:val="21"/>
                      <w:highlight w:val="none"/>
                      <w:lang w:eastAsia="zh-CN"/>
                    </w:rPr>
                  </w:pPr>
                  <w:r>
                    <w:rPr>
                      <w:rFonts w:ascii="Times New Roman" w:eastAsia="宋体" w:hAnsi="Times New Roman" w:cs="Times New Roman" w:hint="default"/>
                      <w:color w:val="auto"/>
                      <w:szCs w:val="21"/>
                      <w:highlight w:val="none"/>
                      <w:lang w:val="en-US" w:eastAsia="zh-CN"/>
                    </w:rPr>
                    <w:t>3</w:t>
                  </w:r>
                </w:p>
              </w:tc>
              <w:tc>
                <w:tcPr>
                  <w:tcW w:w="359" w:type="pct"/>
                  <w:noWrap w:val="0"/>
                  <w:vAlign w:val="center"/>
                </w:tcPr>
                <w:p w14:paraId="2B24CBD0">
                  <w:pPr>
                    <w:jc w:val="center"/>
                    <w:rPr>
                      <w:rFonts w:ascii="Times New Roman" w:eastAsia="宋体" w:hAnsi="Times New Roman" w:cs="Times New Roman" w:hint="eastAsia"/>
                      <w:color w:val="auto"/>
                      <w:szCs w:val="21"/>
                      <w:highlight w:val="none"/>
                      <w:lang w:val="en-US" w:eastAsia="zh-CN"/>
                    </w:rPr>
                  </w:pPr>
                  <w:r>
                    <w:rPr>
                      <w:rFonts w:cs="Times New Roman" w:hint="eastAsia"/>
                      <w:color w:val="auto"/>
                      <w:szCs w:val="21"/>
                      <w:highlight w:val="none"/>
                      <w:lang w:val="en-US" w:eastAsia="zh-CN"/>
                    </w:rPr>
                    <w:t>排风扇</w:t>
                  </w:r>
                </w:p>
              </w:tc>
              <w:tc>
                <w:tcPr>
                  <w:tcW w:w="529" w:type="pct"/>
                  <w:noWrap w:val="0"/>
                  <w:vAlign w:val="center"/>
                </w:tcPr>
                <w:p w14:paraId="43CBAD43">
                  <w:pPr>
                    <w:jc w:val="center"/>
                    <w:rPr>
                      <w:rFonts w:ascii="Times New Roman" w:eastAsia="宋体" w:hAnsi="Times New Roman" w:cs="Times New Roman" w:hint="default"/>
                      <w:color w:val="auto"/>
                      <w:szCs w:val="21"/>
                      <w:highlight w:val="none"/>
                      <w:lang w:val="en-US" w:eastAsia="zh-CN"/>
                    </w:rPr>
                  </w:pPr>
                  <w:r>
                    <w:rPr>
                      <w:rFonts w:cs="Times New Roman" w:hint="eastAsia"/>
                      <w:color w:val="auto"/>
                      <w:szCs w:val="21"/>
                      <w:highlight w:val="none"/>
                      <w:lang w:val="en-US" w:eastAsia="zh-CN"/>
                    </w:rPr>
                    <w:t>75</w:t>
                  </w:r>
                </w:p>
              </w:tc>
              <w:tc>
                <w:tcPr>
                  <w:tcW w:w="541" w:type="pct"/>
                  <w:vMerge/>
                  <w:noWrap w:val="0"/>
                  <w:vAlign w:val="center"/>
                </w:tcPr>
                <w:p w14:paraId="149C1A32">
                  <w:pPr>
                    <w:jc w:val="center"/>
                    <w:rPr>
                      <w:rFonts w:ascii="Times New Roman" w:eastAsia="宋体" w:hAnsi="Times New Roman" w:cs="Times New Roman" w:hint="default"/>
                      <w:color w:val="auto"/>
                      <w:szCs w:val="21"/>
                      <w:highlight w:val="none"/>
                    </w:rPr>
                  </w:pPr>
                </w:p>
              </w:tc>
              <w:tc>
                <w:tcPr>
                  <w:tcW w:w="314" w:type="pct"/>
                  <w:noWrap w:val="0"/>
                  <w:vAlign w:val="center"/>
                </w:tcPr>
                <w:p w14:paraId="5EBDAE7F">
                  <w:pPr>
                    <w:jc w:val="center"/>
                    <w:rPr>
                      <w:rFonts w:ascii="Times New Roman" w:eastAsia="宋体" w:hAnsi="Times New Roman" w:cs="Times New Roman" w:hint="default"/>
                      <w:color w:val="auto"/>
                      <w:szCs w:val="21"/>
                      <w:highlight w:val="none"/>
                      <w:lang w:val="en-US" w:eastAsia="zh-CN"/>
                    </w:rPr>
                  </w:pPr>
                  <w:r>
                    <w:rPr>
                      <w:rFonts w:cs="Times New Roman" w:hint="eastAsia"/>
                      <w:color w:val="auto"/>
                      <w:szCs w:val="21"/>
                      <w:highlight w:val="none"/>
                      <w:lang w:val="en-US" w:eastAsia="zh-CN"/>
                    </w:rPr>
                    <w:t>83</w:t>
                  </w:r>
                </w:p>
              </w:tc>
              <w:tc>
                <w:tcPr>
                  <w:tcW w:w="507" w:type="pct"/>
                  <w:noWrap w:val="0"/>
                  <w:vAlign w:val="center"/>
                </w:tcPr>
                <w:p w14:paraId="6353ED2C">
                  <w:pPr>
                    <w:jc w:val="center"/>
                    <w:rPr>
                      <w:rFonts w:ascii="Times New Roman" w:eastAsia="宋体" w:hAnsi="Times New Roman" w:cs="Times New Roman" w:hint="default"/>
                      <w:color w:val="auto"/>
                      <w:szCs w:val="21"/>
                      <w:highlight w:val="none"/>
                      <w:lang w:val="en-US" w:eastAsia="zh-CN"/>
                    </w:rPr>
                  </w:pPr>
                  <w:r>
                    <w:rPr>
                      <w:rFonts w:cs="Times New Roman" w:hint="eastAsia"/>
                      <w:color w:val="auto"/>
                      <w:szCs w:val="21"/>
                      <w:highlight w:val="none"/>
                      <w:lang w:val="en-US" w:eastAsia="zh-CN"/>
                    </w:rPr>
                    <w:t>37</w:t>
                  </w:r>
                </w:p>
              </w:tc>
              <w:tc>
                <w:tcPr>
                  <w:tcW w:w="438" w:type="pct"/>
                  <w:noWrap w:val="0"/>
                  <w:vAlign w:val="center"/>
                </w:tcPr>
                <w:p w14:paraId="70496A37">
                  <w:pPr>
                    <w:jc w:val="center"/>
                    <w:rPr>
                      <w:rFonts w:ascii="Times New Roman" w:eastAsia="宋体" w:hAnsi="Times New Roman" w:cs="Times New Roman" w:hint="default"/>
                      <w:color w:val="auto"/>
                      <w:szCs w:val="21"/>
                      <w:highlight w:val="none"/>
                      <w:lang w:val="en-US" w:eastAsia="zh-CN"/>
                    </w:rPr>
                  </w:pPr>
                  <w:r>
                    <w:rPr>
                      <w:rFonts w:cs="Times New Roman" w:hint="eastAsia"/>
                      <w:color w:val="auto"/>
                      <w:szCs w:val="21"/>
                      <w:highlight w:val="none"/>
                      <w:lang w:val="en-US" w:eastAsia="zh-CN"/>
                    </w:rPr>
                    <w:t>222</w:t>
                  </w:r>
                </w:p>
              </w:tc>
              <w:tc>
                <w:tcPr>
                  <w:tcW w:w="507" w:type="pct"/>
                  <w:noWrap w:val="0"/>
                  <w:vAlign w:val="center"/>
                </w:tcPr>
                <w:p w14:paraId="029FAB85">
                  <w:pPr>
                    <w:jc w:val="center"/>
                    <w:rPr>
                      <w:rFonts w:ascii="Times New Roman" w:eastAsia="宋体" w:hAnsi="Times New Roman" w:cs="Times New Roman" w:hint="default"/>
                      <w:color w:val="auto"/>
                      <w:szCs w:val="21"/>
                      <w:highlight w:val="none"/>
                      <w:lang w:val="en-US" w:eastAsia="zh-CN"/>
                    </w:rPr>
                  </w:pPr>
                  <w:r>
                    <w:rPr>
                      <w:rFonts w:cs="Times New Roman" w:hint="eastAsia"/>
                      <w:color w:val="auto"/>
                      <w:szCs w:val="21"/>
                      <w:highlight w:val="none"/>
                      <w:lang w:val="en-US" w:eastAsia="zh-CN"/>
                    </w:rPr>
                    <w:t>28</w:t>
                  </w:r>
                </w:p>
              </w:tc>
              <w:tc>
                <w:tcPr>
                  <w:tcW w:w="353" w:type="pct"/>
                  <w:noWrap w:val="0"/>
                  <w:vAlign w:val="center"/>
                </w:tcPr>
                <w:p w14:paraId="10FEC460">
                  <w:pPr>
                    <w:jc w:val="center"/>
                    <w:rPr>
                      <w:rFonts w:ascii="Times New Roman" w:eastAsia="宋体" w:hAnsi="Times New Roman" w:cs="Times New Roman" w:hint="default"/>
                      <w:color w:val="auto"/>
                      <w:szCs w:val="21"/>
                      <w:highlight w:val="none"/>
                      <w:lang w:val="en-US" w:eastAsia="zh-CN"/>
                    </w:rPr>
                  </w:pPr>
                  <w:r>
                    <w:rPr>
                      <w:rFonts w:cs="Times New Roman" w:hint="eastAsia"/>
                      <w:color w:val="auto"/>
                      <w:szCs w:val="21"/>
                      <w:highlight w:val="none"/>
                      <w:lang w:val="en-US" w:eastAsia="zh-CN"/>
                    </w:rPr>
                    <w:t>221</w:t>
                  </w:r>
                </w:p>
              </w:tc>
              <w:tc>
                <w:tcPr>
                  <w:tcW w:w="318" w:type="pct"/>
                  <w:noWrap w:val="0"/>
                  <w:vAlign w:val="center"/>
                </w:tcPr>
                <w:p w14:paraId="2C813EFC">
                  <w:pPr>
                    <w:jc w:val="center"/>
                    <w:rPr>
                      <w:rFonts w:ascii="Times New Roman" w:eastAsia="宋体" w:hAnsi="Times New Roman" w:cs="Times New Roman" w:hint="default"/>
                      <w:color w:val="auto"/>
                      <w:szCs w:val="21"/>
                      <w:highlight w:val="none"/>
                      <w:lang w:val="en-US" w:eastAsia="zh-CN"/>
                    </w:rPr>
                  </w:pPr>
                  <w:r>
                    <w:rPr>
                      <w:rFonts w:cs="Times New Roman" w:hint="eastAsia"/>
                      <w:color w:val="auto"/>
                      <w:szCs w:val="21"/>
                      <w:highlight w:val="none"/>
                      <w:lang w:val="en-US" w:eastAsia="zh-CN"/>
                    </w:rPr>
                    <w:t>28</w:t>
                  </w:r>
                </w:p>
              </w:tc>
              <w:tc>
                <w:tcPr>
                  <w:tcW w:w="357" w:type="pct"/>
                  <w:noWrap w:val="0"/>
                  <w:vAlign w:val="center"/>
                </w:tcPr>
                <w:p w14:paraId="0E3505F8">
                  <w:pPr>
                    <w:jc w:val="center"/>
                    <w:rPr>
                      <w:rFonts w:ascii="Times New Roman" w:eastAsia="宋体" w:hAnsi="Times New Roman" w:cs="Times New Roman" w:hint="default"/>
                      <w:color w:val="auto"/>
                      <w:szCs w:val="21"/>
                      <w:highlight w:val="none"/>
                      <w:lang w:val="en-US" w:eastAsia="zh-CN"/>
                    </w:rPr>
                  </w:pPr>
                  <w:r>
                    <w:rPr>
                      <w:rFonts w:cs="Times New Roman" w:hint="eastAsia"/>
                      <w:color w:val="auto"/>
                      <w:szCs w:val="21"/>
                      <w:highlight w:val="none"/>
                      <w:lang w:val="en-US" w:eastAsia="zh-CN"/>
                    </w:rPr>
                    <w:t>72</w:t>
                  </w:r>
                </w:p>
              </w:tc>
              <w:tc>
                <w:tcPr>
                  <w:tcW w:w="529" w:type="pct"/>
                  <w:noWrap w:val="0"/>
                  <w:vAlign w:val="center"/>
                </w:tcPr>
                <w:p w14:paraId="13FED219">
                  <w:pPr>
                    <w:jc w:val="center"/>
                    <w:rPr>
                      <w:rFonts w:ascii="Times New Roman" w:eastAsia="宋体" w:hAnsi="Times New Roman" w:cs="Times New Roman" w:hint="default"/>
                      <w:color w:val="auto"/>
                      <w:szCs w:val="21"/>
                      <w:highlight w:val="none"/>
                      <w:lang w:val="en-US" w:eastAsia="zh-CN"/>
                    </w:rPr>
                  </w:pPr>
                  <w:r>
                    <w:rPr>
                      <w:rFonts w:cs="Times New Roman" w:hint="eastAsia"/>
                      <w:color w:val="auto"/>
                      <w:szCs w:val="21"/>
                      <w:highlight w:val="none"/>
                      <w:lang w:val="en-US" w:eastAsia="zh-CN"/>
                    </w:rPr>
                    <w:t>39</w:t>
                  </w:r>
                </w:p>
              </w:tc>
            </w:tr>
            <w:tr w14:paraId="75486BA2">
              <w:tblPrEx>
                <w:tblW w:w="4998" w:type="pct"/>
                <w:jc w:val="center"/>
                <w:tblCellMar>
                  <w:top w:w="0" w:type="dxa"/>
                  <w:left w:w="108" w:type="dxa"/>
                  <w:bottom w:w="0" w:type="dxa"/>
                  <w:right w:w="108" w:type="dxa"/>
                </w:tblCellMar>
              </w:tblPrEx>
              <w:trPr>
                <w:jc w:val="center"/>
              </w:trPr>
              <w:tc>
                <w:tcPr>
                  <w:tcW w:w="244" w:type="pct"/>
                  <w:noWrap w:val="0"/>
                  <w:vAlign w:val="center"/>
                </w:tcPr>
                <w:p w14:paraId="2F645003">
                  <w:pPr>
                    <w:jc w:val="center"/>
                    <w:rPr>
                      <w:rFonts w:ascii="Times New Roman" w:eastAsia="宋体" w:hAnsi="Times New Roman" w:cs="Times New Roman" w:hint="default"/>
                      <w:color w:val="auto"/>
                      <w:szCs w:val="21"/>
                      <w:highlight w:val="none"/>
                      <w:lang w:val="en-US" w:eastAsia="zh-CN"/>
                    </w:rPr>
                  </w:pPr>
                </w:p>
              </w:tc>
              <w:tc>
                <w:tcPr>
                  <w:tcW w:w="359" w:type="pct"/>
                  <w:noWrap w:val="0"/>
                  <w:vAlign w:val="center"/>
                </w:tcPr>
                <w:p w14:paraId="009ACC67">
                  <w:pPr>
                    <w:jc w:val="center"/>
                    <w:rPr>
                      <w:rFonts w:ascii="Times New Roman" w:eastAsia="宋体" w:hAnsi="Times New Roman" w:cs="Times New Roman" w:hint="default"/>
                      <w:color w:val="auto"/>
                      <w:lang w:val="en-US" w:eastAsia="zh-CN"/>
                    </w:rPr>
                  </w:pPr>
                  <w:r>
                    <w:rPr>
                      <w:rFonts w:cs="Times New Roman" w:hint="eastAsia"/>
                      <w:color w:val="auto"/>
                      <w:lang w:val="en-US" w:eastAsia="zh-CN"/>
                    </w:rPr>
                    <w:t>排风扇</w:t>
                  </w:r>
                </w:p>
              </w:tc>
              <w:tc>
                <w:tcPr>
                  <w:tcW w:w="529" w:type="pct"/>
                  <w:noWrap w:val="0"/>
                  <w:vAlign w:val="center"/>
                </w:tcPr>
                <w:p w14:paraId="61F1F630">
                  <w:pPr>
                    <w:jc w:val="center"/>
                    <w:rPr>
                      <w:rFonts w:ascii="Times New Roman" w:eastAsia="宋体" w:hAnsi="Times New Roman" w:cs="Times New Roman" w:hint="default"/>
                      <w:color w:val="auto"/>
                      <w:szCs w:val="21"/>
                      <w:highlight w:val="none"/>
                      <w:lang w:val="en-US" w:eastAsia="zh-CN"/>
                    </w:rPr>
                  </w:pPr>
                  <w:r>
                    <w:rPr>
                      <w:rFonts w:cs="Times New Roman" w:hint="eastAsia"/>
                      <w:color w:val="auto"/>
                      <w:szCs w:val="21"/>
                      <w:highlight w:val="none"/>
                      <w:lang w:val="en-US" w:eastAsia="zh-CN"/>
                    </w:rPr>
                    <w:t>75</w:t>
                  </w:r>
                </w:p>
              </w:tc>
              <w:tc>
                <w:tcPr>
                  <w:tcW w:w="541" w:type="pct"/>
                  <w:vMerge/>
                  <w:noWrap w:val="0"/>
                  <w:vAlign w:val="center"/>
                </w:tcPr>
                <w:p w14:paraId="61AC53D0">
                  <w:pPr>
                    <w:jc w:val="center"/>
                    <w:rPr>
                      <w:rFonts w:ascii="Times New Roman" w:eastAsia="宋体" w:hAnsi="Times New Roman" w:cs="Times New Roman" w:hint="default"/>
                      <w:color w:val="auto"/>
                      <w:szCs w:val="21"/>
                      <w:highlight w:val="none"/>
                    </w:rPr>
                  </w:pPr>
                </w:p>
              </w:tc>
              <w:tc>
                <w:tcPr>
                  <w:tcW w:w="314" w:type="pct"/>
                  <w:noWrap w:val="0"/>
                  <w:vAlign w:val="center"/>
                </w:tcPr>
                <w:p w14:paraId="44A8F3CD">
                  <w:pPr>
                    <w:jc w:val="center"/>
                    <w:rPr>
                      <w:rFonts w:ascii="Times New Roman" w:eastAsia="宋体" w:hAnsi="Times New Roman" w:cs="Times New Roman" w:hint="default"/>
                      <w:color w:val="auto"/>
                      <w:szCs w:val="21"/>
                      <w:highlight w:val="none"/>
                      <w:lang w:val="en-US" w:eastAsia="zh-CN"/>
                    </w:rPr>
                  </w:pPr>
                  <w:r>
                    <w:rPr>
                      <w:rFonts w:cs="Times New Roman" w:hint="eastAsia"/>
                      <w:color w:val="auto"/>
                      <w:szCs w:val="21"/>
                      <w:highlight w:val="none"/>
                      <w:lang w:val="en-US" w:eastAsia="zh-CN"/>
                    </w:rPr>
                    <w:t>83</w:t>
                  </w:r>
                </w:p>
              </w:tc>
              <w:tc>
                <w:tcPr>
                  <w:tcW w:w="507" w:type="pct"/>
                  <w:noWrap w:val="0"/>
                  <w:vAlign w:val="center"/>
                </w:tcPr>
                <w:p w14:paraId="6D39DCA6">
                  <w:pPr>
                    <w:jc w:val="center"/>
                    <w:rPr>
                      <w:rFonts w:ascii="Times New Roman" w:eastAsia="宋体" w:hAnsi="Times New Roman" w:cs="Times New Roman" w:hint="default"/>
                      <w:color w:val="auto"/>
                      <w:szCs w:val="21"/>
                      <w:highlight w:val="none"/>
                      <w:lang w:val="en-US" w:eastAsia="zh-CN"/>
                    </w:rPr>
                  </w:pPr>
                  <w:r>
                    <w:rPr>
                      <w:rFonts w:cs="Times New Roman" w:hint="eastAsia"/>
                      <w:color w:val="auto"/>
                      <w:szCs w:val="21"/>
                      <w:highlight w:val="none"/>
                      <w:lang w:val="en-US" w:eastAsia="zh-CN"/>
                    </w:rPr>
                    <w:t>37</w:t>
                  </w:r>
                </w:p>
              </w:tc>
              <w:tc>
                <w:tcPr>
                  <w:tcW w:w="438" w:type="pct"/>
                  <w:noWrap w:val="0"/>
                  <w:vAlign w:val="center"/>
                </w:tcPr>
                <w:p w14:paraId="70937B2F">
                  <w:pPr>
                    <w:jc w:val="center"/>
                    <w:rPr>
                      <w:rFonts w:ascii="Times New Roman" w:eastAsia="宋体" w:hAnsi="Times New Roman" w:cs="Times New Roman" w:hint="default"/>
                      <w:color w:val="auto"/>
                      <w:szCs w:val="21"/>
                      <w:highlight w:val="none"/>
                      <w:lang w:val="en-US" w:eastAsia="zh-CN"/>
                    </w:rPr>
                  </w:pPr>
                  <w:r>
                    <w:rPr>
                      <w:rFonts w:cs="Times New Roman" w:hint="eastAsia"/>
                      <w:color w:val="auto"/>
                      <w:szCs w:val="21"/>
                      <w:highlight w:val="none"/>
                      <w:lang w:val="en-US" w:eastAsia="zh-CN"/>
                    </w:rPr>
                    <w:t>227</w:t>
                  </w:r>
                </w:p>
              </w:tc>
              <w:tc>
                <w:tcPr>
                  <w:tcW w:w="507" w:type="pct"/>
                  <w:noWrap w:val="0"/>
                  <w:vAlign w:val="center"/>
                </w:tcPr>
                <w:p w14:paraId="6C646001">
                  <w:pPr>
                    <w:jc w:val="center"/>
                    <w:rPr>
                      <w:rFonts w:ascii="Times New Roman" w:eastAsia="宋体" w:hAnsi="Times New Roman" w:cs="Times New Roman" w:hint="default"/>
                      <w:color w:val="auto"/>
                      <w:szCs w:val="21"/>
                      <w:highlight w:val="none"/>
                      <w:lang w:val="en-US" w:eastAsia="zh-CN"/>
                    </w:rPr>
                  </w:pPr>
                  <w:r>
                    <w:rPr>
                      <w:rFonts w:cs="Times New Roman" w:hint="eastAsia"/>
                      <w:color w:val="auto"/>
                      <w:szCs w:val="21"/>
                      <w:highlight w:val="none"/>
                      <w:lang w:val="en-US" w:eastAsia="zh-CN"/>
                    </w:rPr>
                    <w:t>28</w:t>
                  </w:r>
                </w:p>
              </w:tc>
              <w:tc>
                <w:tcPr>
                  <w:tcW w:w="353" w:type="pct"/>
                  <w:noWrap w:val="0"/>
                  <w:vAlign w:val="center"/>
                </w:tcPr>
                <w:p w14:paraId="1276962B">
                  <w:pPr>
                    <w:jc w:val="center"/>
                    <w:rPr>
                      <w:rFonts w:ascii="Times New Roman" w:eastAsia="宋体" w:hAnsi="Times New Roman" w:cs="Times New Roman" w:hint="default"/>
                      <w:color w:val="auto"/>
                      <w:szCs w:val="21"/>
                      <w:highlight w:val="none"/>
                      <w:lang w:val="en-US" w:eastAsia="zh-CN"/>
                    </w:rPr>
                  </w:pPr>
                  <w:r>
                    <w:rPr>
                      <w:rFonts w:cs="Times New Roman" w:hint="eastAsia"/>
                      <w:color w:val="auto"/>
                      <w:szCs w:val="21"/>
                      <w:highlight w:val="none"/>
                      <w:lang w:val="en-US" w:eastAsia="zh-CN"/>
                    </w:rPr>
                    <w:t>221</w:t>
                  </w:r>
                </w:p>
              </w:tc>
              <w:tc>
                <w:tcPr>
                  <w:tcW w:w="318" w:type="pct"/>
                  <w:noWrap w:val="0"/>
                  <w:vAlign w:val="center"/>
                </w:tcPr>
                <w:p w14:paraId="5FCA297D">
                  <w:pPr>
                    <w:jc w:val="center"/>
                    <w:rPr>
                      <w:rFonts w:ascii="Times New Roman" w:eastAsia="宋体" w:hAnsi="Times New Roman" w:cs="Times New Roman" w:hint="default"/>
                      <w:color w:val="auto"/>
                      <w:szCs w:val="21"/>
                      <w:highlight w:val="none"/>
                      <w:lang w:val="en-US" w:eastAsia="zh-CN"/>
                    </w:rPr>
                  </w:pPr>
                  <w:r>
                    <w:rPr>
                      <w:rFonts w:cs="Times New Roman" w:hint="eastAsia"/>
                      <w:color w:val="auto"/>
                      <w:szCs w:val="21"/>
                      <w:highlight w:val="none"/>
                      <w:lang w:val="en-US" w:eastAsia="zh-CN"/>
                    </w:rPr>
                    <w:t>28</w:t>
                  </w:r>
                </w:p>
              </w:tc>
              <w:tc>
                <w:tcPr>
                  <w:tcW w:w="357" w:type="pct"/>
                  <w:noWrap w:val="0"/>
                  <w:vAlign w:val="center"/>
                </w:tcPr>
                <w:p w14:paraId="54328F1B">
                  <w:pPr>
                    <w:jc w:val="center"/>
                    <w:rPr>
                      <w:rFonts w:ascii="Times New Roman" w:eastAsia="宋体" w:hAnsi="Times New Roman" w:cs="Times New Roman" w:hint="default"/>
                      <w:color w:val="auto"/>
                      <w:szCs w:val="21"/>
                      <w:highlight w:val="none"/>
                      <w:lang w:val="en-US" w:eastAsia="zh-CN"/>
                    </w:rPr>
                  </w:pPr>
                  <w:r>
                    <w:rPr>
                      <w:rFonts w:cs="Times New Roman" w:hint="eastAsia"/>
                      <w:color w:val="auto"/>
                      <w:szCs w:val="21"/>
                      <w:highlight w:val="none"/>
                      <w:lang w:val="en-US" w:eastAsia="zh-CN"/>
                    </w:rPr>
                    <w:t>77</w:t>
                  </w:r>
                </w:p>
              </w:tc>
              <w:tc>
                <w:tcPr>
                  <w:tcW w:w="529" w:type="pct"/>
                  <w:noWrap w:val="0"/>
                  <w:vAlign w:val="center"/>
                </w:tcPr>
                <w:p w14:paraId="51E38C65">
                  <w:pPr>
                    <w:jc w:val="center"/>
                    <w:rPr>
                      <w:rFonts w:ascii="Times New Roman" w:eastAsia="宋体" w:hAnsi="Times New Roman" w:cs="Times New Roman" w:hint="default"/>
                      <w:color w:val="auto"/>
                      <w:szCs w:val="21"/>
                      <w:highlight w:val="none"/>
                      <w:lang w:val="en-US" w:eastAsia="zh-CN"/>
                    </w:rPr>
                  </w:pPr>
                  <w:r>
                    <w:rPr>
                      <w:rFonts w:cs="Times New Roman" w:hint="eastAsia"/>
                      <w:color w:val="auto"/>
                      <w:szCs w:val="21"/>
                      <w:highlight w:val="none"/>
                      <w:lang w:val="en-US" w:eastAsia="zh-CN"/>
                    </w:rPr>
                    <w:t>37</w:t>
                  </w:r>
                </w:p>
              </w:tc>
            </w:tr>
          </w:tbl>
          <w:p w14:paraId="36C08853">
            <w:pPr>
              <w:pStyle w:val="0715"/>
              <w:adjustRightInd w:val="0"/>
              <w:snapToGrid w:val="0"/>
              <w:ind w:firstLine="482"/>
              <w:rPr>
                <w:rFonts w:ascii="Times New Roman" w:eastAsia="宋体" w:hAnsi="Times New Roman" w:cs="Times New Roman" w:hint="default"/>
                <w:b/>
                <w:bCs/>
                <w:color w:val="auto"/>
                <w:highlight w:val="none"/>
              </w:rPr>
            </w:pPr>
            <w:r>
              <w:rPr>
                <w:rFonts w:ascii="Times New Roman" w:eastAsia="宋体" w:hAnsi="Times New Roman" w:cs="Times New Roman" w:hint="default"/>
                <w:b/>
                <w:bCs/>
                <w:color w:val="auto"/>
                <w:highlight w:val="none"/>
                <w:lang w:val="en-US" w:eastAsia="zh-CN"/>
              </w:rPr>
              <w:t>2</w:t>
            </w:r>
            <w:r>
              <w:rPr>
                <w:rFonts w:ascii="Times New Roman" w:eastAsia="宋体" w:hAnsi="Times New Roman" w:cs="Times New Roman" w:hint="default"/>
                <w:b/>
                <w:bCs/>
                <w:color w:val="auto"/>
                <w:highlight w:val="none"/>
              </w:rPr>
              <w:t>.2噪声预测模式</w:t>
            </w:r>
          </w:p>
          <w:p w14:paraId="35C32EDD">
            <w:pPr>
              <w:tabs>
                <w:tab w:val="center" w:pos="4153"/>
                <w:tab w:val="right" w:pos="8306"/>
              </w:tabs>
              <w:adjustRightInd w:val="0"/>
              <w:snapToGrid w:val="0"/>
              <w:spacing w:line="360" w:lineRule="auto"/>
              <w:ind w:firstLine="480"/>
              <w:rPr>
                <w:rFonts w:ascii="Times New Roman" w:eastAsia="宋体" w:hAnsi="Times New Roman" w:cs="Times New Roman" w:hint="default"/>
                <w:color w:val="auto"/>
                <w:sz w:val="24"/>
                <w:highlight w:val="none"/>
              </w:rPr>
            </w:pPr>
            <w:r>
              <w:rPr>
                <w:rFonts w:ascii="Times New Roman" w:eastAsia="宋体" w:hAnsi="Times New Roman" w:cs="Times New Roman" w:hint="default"/>
                <w:color w:val="auto"/>
                <w:sz w:val="24"/>
                <w:highlight w:val="none"/>
              </w:rPr>
              <w:t>根据建设项目声源特性，结合《环境影响评价技术导则--声环境》（HJ2.4-2021）选用预测模式，对厂界噪声值进行预测。</w:t>
            </w:r>
          </w:p>
          <w:p w14:paraId="5F95607C">
            <w:pPr>
              <w:widowControl/>
              <w:adjustRightInd w:val="0"/>
              <w:snapToGrid w:val="0"/>
              <w:spacing w:line="360" w:lineRule="auto"/>
              <w:ind w:firstLine="480"/>
              <w:jc w:val="left"/>
              <w:rPr>
                <w:rFonts w:ascii="Times New Roman" w:eastAsia="宋体" w:hAnsi="Times New Roman" w:cs="Times New Roman" w:hint="default"/>
                <w:color w:val="auto"/>
                <w:sz w:val="24"/>
                <w:highlight w:val="none"/>
              </w:rPr>
            </w:pPr>
            <w:r>
              <w:rPr>
                <w:rFonts w:ascii="Times New Roman" w:eastAsia="宋体" w:hAnsi="Times New Roman" w:cs="Times New Roman" w:hint="default"/>
                <w:color w:val="auto"/>
                <w:sz w:val="24"/>
                <w:highlight w:val="none"/>
              </w:rPr>
              <w:t>（1）</w:t>
            </w:r>
            <w:r>
              <w:rPr>
                <w:rFonts w:ascii="Times New Roman" w:eastAsia="宋体" w:hAnsi="Times New Roman" w:cs="Times New Roman" w:hint="default"/>
                <w:color w:val="auto"/>
                <w:kern w:val="0"/>
                <w:sz w:val="24"/>
                <w:highlight w:val="none"/>
                <w:lang w:bidi="ar"/>
              </w:rPr>
              <w:t>室外声源在预测点产生的声级计算模型：</w:t>
            </w:r>
          </w:p>
          <w:p w14:paraId="7F43A26C">
            <w:pPr>
              <w:tabs>
                <w:tab w:val="center" w:pos="4153"/>
                <w:tab w:val="right" w:pos="8306"/>
              </w:tabs>
              <w:adjustRightInd w:val="0"/>
              <w:snapToGrid w:val="0"/>
              <w:spacing w:line="360" w:lineRule="auto"/>
              <w:ind w:firstLine="480"/>
              <w:rPr>
                <w:rFonts w:ascii="Times New Roman" w:eastAsia="宋体" w:hAnsi="Times New Roman" w:cs="Times New Roman" w:hint="default"/>
                <w:color w:val="auto"/>
                <w:sz w:val="24"/>
                <w:highlight w:val="none"/>
              </w:rPr>
            </w:pPr>
            <w:r>
              <w:rPr>
                <w:rFonts w:ascii="Times New Roman" w:eastAsia="宋体" w:hAnsi="Times New Roman" w:cs="Times New Roman" w:hint="default"/>
                <w:color w:val="auto"/>
                <w:sz w:val="24"/>
                <w:highlight w:val="none"/>
              </w:rPr>
              <w:t>噪声距离衰减公式如下：</w:t>
            </w:r>
          </w:p>
          <w:p w14:paraId="4FD088FC">
            <w:pPr>
              <w:adjustRightInd w:val="0"/>
              <w:snapToGrid w:val="0"/>
              <w:spacing w:line="360" w:lineRule="auto"/>
              <w:ind w:firstLine="480"/>
              <w:jc w:val="center"/>
              <w:rPr>
                <w:rFonts w:ascii="Times New Roman" w:eastAsia="宋体" w:hAnsi="Times New Roman" w:cs="Times New Roman" w:hint="default"/>
                <w:color w:val="auto"/>
                <w:sz w:val="24"/>
                <w:highlight w:val="none"/>
              </w:rPr>
            </w:pPr>
            <w:r>
              <w:rPr>
                <w:rFonts w:ascii="Times New Roman" w:eastAsia="宋体" w:hAnsi="Times New Roman" w:cs="Times New Roman" w:hint="default"/>
                <w:color w:val="auto"/>
                <w:sz w:val="24"/>
                <w:highlight w:val="none"/>
              </w:rPr>
              <w:t>Lr</w:t>
            </w:r>
            <w:r>
              <w:rPr>
                <w:rFonts w:ascii="Times New Roman" w:eastAsia="宋体" w:hAnsi="Times New Roman" w:cs="Times New Roman" w:hint="default"/>
                <w:color w:val="auto"/>
                <w:sz w:val="24"/>
                <w:highlight w:val="none"/>
                <w:lang w:val="en-GB"/>
              </w:rPr>
              <w:t>＝</w:t>
            </w:r>
            <w:r>
              <w:rPr>
                <w:rFonts w:ascii="Times New Roman" w:eastAsia="宋体" w:hAnsi="Times New Roman" w:cs="Times New Roman" w:hint="default"/>
                <w:color w:val="auto"/>
                <w:sz w:val="24"/>
                <w:highlight w:val="none"/>
              </w:rPr>
              <w:t>L</w:t>
            </w:r>
            <w:r>
              <w:rPr>
                <w:rFonts w:ascii="Times New Roman" w:eastAsia="宋体" w:hAnsi="Times New Roman" w:cs="Times New Roman" w:hint="default"/>
                <w:color w:val="auto"/>
                <w:sz w:val="24"/>
                <w:highlight w:val="none"/>
                <w:vertAlign w:val="subscript"/>
              </w:rPr>
              <w:t>0</w:t>
            </w:r>
            <w:r>
              <w:rPr>
                <w:rFonts w:ascii="Times New Roman" w:eastAsia="宋体" w:hAnsi="Times New Roman" w:cs="Times New Roman" w:hint="default"/>
                <w:color w:val="auto"/>
                <w:sz w:val="24"/>
                <w:highlight w:val="none"/>
              </w:rPr>
              <w:t>–20lg(r/ro)</w:t>
            </w:r>
          </w:p>
          <w:p w14:paraId="54BFE2B6">
            <w:pPr>
              <w:adjustRightInd w:val="0"/>
              <w:snapToGrid w:val="0"/>
              <w:spacing w:line="360" w:lineRule="auto"/>
              <w:ind w:firstLine="480"/>
              <w:rPr>
                <w:rFonts w:ascii="Times New Roman" w:eastAsia="宋体" w:hAnsi="Times New Roman" w:cs="Times New Roman" w:hint="default"/>
                <w:color w:val="auto"/>
                <w:sz w:val="24"/>
                <w:highlight w:val="none"/>
              </w:rPr>
            </w:pPr>
            <w:r>
              <w:rPr>
                <w:rFonts w:ascii="Times New Roman" w:eastAsia="宋体" w:hAnsi="Times New Roman" w:cs="Times New Roman" w:hint="default"/>
                <w:color w:val="auto"/>
                <w:sz w:val="24"/>
                <w:highlight w:val="none"/>
              </w:rPr>
              <w:t>式中：Lr——预测点所接受的声压级，dB(A)；</w:t>
            </w:r>
          </w:p>
          <w:p w14:paraId="748FBB63">
            <w:pPr>
              <w:adjustRightInd w:val="0"/>
              <w:snapToGrid w:val="0"/>
              <w:spacing w:line="360" w:lineRule="auto"/>
              <w:ind w:firstLine="480"/>
              <w:rPr>
                <w:rFonts w:ascii="Times New Roman" w:eastAsia="宋体" w:hAnsi="Times New Roman" w:cs="Times New Roman" w:hint="default"/>
                <w:color w:val="auto"/>
                <w:sz w:val="24"/>
                <w:highlight w:val="none"/>
              </w:rPr>
            </w:pPr>
            <w:r>
              <w:rPr>
                <w:rFonts w:ascii="Times New Roman" w:eastAsia="宋体" w:hAnsi="Times New Roman" w:cs="Times New Roman" w:hint="default"/>
                <w:color w:val="auto"/>
                <w:sz w:val="24"/>
                <w:highlight w:val="none"/>
              </w:rPr>
              <w:t>L0——参考点的声压级，dB(A)；</w:t>
            </w:r>
          </w:p>
          <w:p w14:paraId="162F98C1">
            <w:pPr>
              <w:adjustRightInd w:val="0"/>
              <w:snapToGrid w:val="0"/>
              <w:spacing w:line="360" w:lineRule="auto"/>
              <w:ind w:firstLine="480"/>
              <w:rPr>
                <w:rFonts w:ascii="Times New Roman" w:eastAsia="宋体" w:hAnsi="Times New Roman" w:cs="Times New Roman" w:hint="default"/>
                <w:color w:val="auto"/>
                <w:sz w:val="24"/>
                <w:highlight w:val="none"/>
              </w:rPr>
            </w:pPr>
            <w:r>
              <w:rPr>
                <w:rFonts w:ascii="Times New Roman" w:eastAsia="宋体" w:hAnsi="Times New Roman" w:cs="Times New Roman" w:hint="default"/>
                <w:color w:val="auto"/>
                <w:sz w:val="24"/>
                <w:highlight w:val="none"/>
              </w:rPr>
              <w:t>r——预测点至声源的距离，m；</w:t>
            </w:r>
          </w:p>
          <w:p w14:paraId="6B54A1B2">
            <w:pPr>
              <w:adjustRightInd w:val="0"/>
              <w:snapToGrid w:val="0"/>
              <w:spacing w:line="360" w:lineRule="auto"/>
              <w:ind w:firstLine="480"/>
              <w:rPr>
                <w:rFonts w:ascii="Times New Roman" w:eastAsia="宋体" w:hAnsi="Times New Roman" w:cs="Times New Roman" w:hint="default"/>
                <w:color w:val="auto"/>
                <w:sz w:val="24"/>
                <w:highlight w:val="none"/>
              </w:rPr>
            </w:pPr>
            <w:r>
              <w:rPr>
                <w:rFonts w:ascii="Times New Roman" w:eastAsia="宋体" w:hAnsi="Times New Roman" w:cs="Times New Roman" w:hint="default"/>
                <w:color w:val="auto"/>
                <w:sz w:val="24"/>
                <w:highlight w:val="none"/>
              </w:rPr>
              <w:t>ro——参考位置距声源的距离，m，取ro=1m；</w:t>
            </w:r>
          </w:p>
          <w:p w14:paraId="1F95DCB0">
            <w:pPr>
              <w:widowControl/>
              <w:adjustRightInd w:val="0"/>
              <w:snapToGrid w:val="0"/>
              <w:spacing w:line="360" w:lineRule="auto"/>
              <w:ind w:firstLine="480"/>
              <w:jc w:val="left"/>
              <w:rPr>
                <w:rFonts w:ascii="Times New Roman" w:eastAsia="宋体" w:hAnsi="Times New Roman" w:cs="Times New Roman" w:hint="default"/>
                <w:color w:val="auto"/>
                <w:sz w:val="24"/>
                <w:highlight w:val="none"/>
              </w:rPr>
            </w:pPr>
            <w:r>
              <w:rPr>
                <w:rFonts w:ascii="Times New Roman" w:eastAsia="宋体" w:hAnsi="Times New Roman" w:cs="Times New Roman" w:hint="default"/>
                <w:color w:val="auto"/>
                <w:kern w:val="0"/>
                <w:sz w:val="24"/>
                <w:highlight w:val="none"/>
                <w:lang w:bidi="ar"/>
              </w:rPr>
              <w:t>（2）噪</w:t>
            </w:r>
            <w:r>
              <w:rPr>
                <w:rFonts w:ascii="Times New Roman" w:eastAsia="宋体" w:hAnsi="Times New Roman" w:cs="Times New Roman" w:hint="default"/>
                <w:color w:val="auto"/>
                <w:sz w:val="24"/>
                <w:highlight w:val="none"/>
              </w:rPr>
              <w:t>声叠加模式</w:t>
            </w:r>
          </w:p>
          <w:p w14:paraId="47ABAA3B">
            <w:pPr>
              <w:adjustRightInd w:val="0"/>
              <w:snapToGrid w:val="0"/>
              <w:spacing w:line="360" w:lineRule="auto"/>
              <w:ind w:firstLine="480"/>
              <w:rPr>
                <w:rFonts w:ascii="Times New Roman" w:eastAsia="宋体" w:hAnsi="Times New Roman" w:cs="Times New Roman" w:hint="default"/>
                <w:color w:val="auto"/>
                <w:sz w:val="24"/>
                <w:highlight w:val="none"/>
              </w:rPr>
            </w:pPr>
            <w:r>
              <w:rPr>
                <w:rFonts w:ascii="Times New Roman" w:eastAsia="宋体" w:hAnsi="Times New Roman" w:cs="Times New Roman" w:hint="default"/>
                <w:color w:val="auto"/>
                <w:sz w:val="24"/>
                <w:highlight w:val="none"/>
              </w:rPr>
              <w:t>噪声叠加模式如下：</w:t>
            </w:r>
          </w:p>
          <w:p w14:paraId="70D22E37">
            <w:pPr>
              <w:adjustRightInd w:val="0"/>
              <w:snapToGrid w:val="0"/>
              <w:spacing w:line="360" w:lineRule="auto"/>
              <w:ind w:firstLine="480"/>
              <w:jc w:val="center"/>
              <w:rPr>
                <w:rFonts w:ascii="Times New Roman" w:eastAsia="宋体" w:hAnsi="Times New Roman" w:cs="Times New Roman" w:hint="default"/>
                <w:color w:val="auto"/>
                <w:sz w:val="24"/>
                <w:highlight w:val="none"/>
              </w:rPr>
            </w:pPr>
            <w:r>
              <w:rPr>
                <w:rFonts w:ascii="Times New Roman" w:eastAsia="宋体" w:hAnsi="Times New Roman" w:cs="Times New Roman" w:hint="default"/>
                <w:color w:val="auto"/>
                <w:sz w:val="24"/>
                <w:highlight w:val="none"/>
              </w:rPr>
              <w:object>
                <v:shape id="_x0000_i1028" type="#_x0000_t75" style="width:81pt;height:41pt" o:oleicon="f" o:ole="" coordsize="21600,21600" o:preferrelative="t" filled="f" stroked="f">
                  <v:imagedata r:id="rId16" o:title=""/>
                  <o:lock v:ext="edit" aspectratio="t"/>
                  <w10:anchorlock/>
                </v:shape>
                <o:OLEObject Type="Embed" ProgID="Equation.KSEE3" ShapeID="_x0000_i1028" DrawAspect="Content" ObjectID="_1468075726" r:id="rId17"/>
              </w:object>
            </w:r>
          </w:p>
          <w:p w14:paraId="64178F6F">
            <w:pPr>
              <w:adjustRightInd w:val="0"/>
              <w:snapToGrid w:val="0"/>
              <w:spacing w:line="360" w:lineRule="auto"/>
              <w:ind w:firstLine="480"/>
              <w:rPr>
                <w:rFonts w:ascii="Times New Roman" w:eastAsia="宋体" w:hAnsi="Times New Roman" w:cs="Times New Roman" w:hint="default"/>
                <w:color w:val="auto"/>
                <w:sz w:val="24"/>
                <w:highlight w:val="none"/>
              </w:rPr>
            </w:pPr>
            <w:r>
              <w:rPr>
                <w:rFonts w:ascii="Times New Roman" w:eastAsia="宋体" w:hAnsi="Times New Roman" w:cs="Times New Roman" w:hint="default"/>
                <w:color w:val="auto"/>
                <w:sz w:val="24"/>
                <w:highlight w:val="none"/>
              </w:rPr>
              <w:t>式中：L——为n个噪声源的声级，dB(A)；</w:t>
            </w:r>
          </w:p>
          <w:p w14:paraId="0C8ED878">
            <w:pPr>
              <w:adjustRightInd w:val="0"/>
              <w:snapToGrid w:val="0"/>
              <w:spacing w:line="360" w:lineRule="auto"/>
              <w:ind w:firstLine="480"/>
              <w:rPr>
                <w:rFonts w:ascii="Times New Roman" w:eastAsia="宋体" w:hAnsi="Times New Roman" w:cs="Times New Roman" w:hint="default"/>
                <w:color w:val="auto"/>
                <w:sz w:val="24"/>
                <w:highlight w:val="none"/>
              </w:rPr>
            </w:pPr>
            <w:r>
              <w:rPr>
                <w:rFonts w:ascii="Times New Roman" w:eastAsia="宋体" w:hAnsi="Times New Roman" w:cs="Times New Roman" w:hint="default"/>
                <w:color w:val="auto"/>
                <w:sz w:val="24"/>
                <w:highlight w:val="none"/>
              </w:rPr>
              <w:t>Li——为第i个噪声源的声级，dB(A)；</w:t>
            </w:r>
          </w:p>
          <w:p w14:paraId="7C71EE8A">
            <w:pPr>
              <w:adjustRightInd w:val="0"/>
              <w:snapToGrid w:val="0"/>
              <w:spacing w:line="360" w:lineRule="auto"/>
              <w:ind w:firstLine="480"/>
              <w:rPr>
                <w:rFonts w:ascii="Times New Roman" w:eastAsia="宋体" w:hAnsi="Times New Roman" w:cs="Times New Roman" w:hint="default"/>
                <w:color w:val="auto"/>
                <w:sz w:val="24"/>
                <w:highlight w:val="none"/>
              </w:rPr>
            </w:pPr>
            <w:r>
              <w:rPr>
                <w:rFonts w:ascii="Times New Roman" w:eastAsia="宋体" w:hAnsi="Times New Roman" w:cs="Times New Roman" w:hint="default"/>
                <w:color w:val="auto"/>
                <w:sz w:val="24"/>
                <w:highlight w:val="none"/>
              </w:rPr>
              <w:t>n——为噪声源的个数，dB(A)。</w:t>
            </w:r>
          </w:p>
          <w:p w14:paraId="5AA17110">
            <w:pPr>
              <w:pStyle w:val="lh---"/>
              <w:numPr>
                <w:ilvl w:val="0"/>
                <w:numId w:val="0"/>
              </w:numPr>
              <w:spacing w:before="120" w:line="360" w:lineRule="auto"/>
              <w:rPr>
                <w:rFonts w:ascii="Times New Roman" w:eastAsia="宋体" w:hAnsi="Times New Roman" w:cs="Times New Roman" w:hint="default"/>
                <w:b/>
                <w:bCs/>
                <w:color w:val="auto"/>
                <w:szCs w:val="24"/>
                <w:highlight w:val="none"/>
              </w:rPr>
            </w:pPr>
            <w:r>
              <w:rPr>
                <w:rFonts w:ascii="Times New Roman" w:eastAsia="宋体" w:hAnsi="Times New Roman" w:cs="Times New Roman" w:hint="default"/>
                <w:b/>
                <w:bCs/>
                <w:color w:val="auto"/>
                <w:szCs w:val="24"/>
                <w:highlight w:val="none"/>
              </w:rPr>
              <w:t xml:space="preserve">表4- </w:t>
            </w:r>
            <w:r>
              <w:rPr>
                <w:rFonts w:ascii="Times New Roman" w:eastAsia="宋体" w:hAnsi="Times New Roman" w:cs="Times New Roman" w:hint="default"/>
                <w:b/>
                <w:bCs/>
                <w:color w:val="auto"/>
                <w:szCs w:val="24"/>
                <w:highlight w:val="none"/>
              </w:rPr>
              <w:fldChar w:fldCharType="begin"/>
            </w:r>
            <w:r>
              <w:rPr>
                <w:rFonts w:ascii="Times New Roman" w:eastAsia="宋体" w:hAnsi="Times New Roman" w:cs="Times New Roman" w:hint="default"/>
                <w:b/>
                <w:bCs/>
                <w:color w:val="auto"/>
                <w:szCs w:val="24"/>
                <w:highlight w:val="none"/>
              </w:rPr>
              <w:instrText xml:space="preserve"> SEQ 表4- \* ARABIC </w:instrText>
            </w:r>
            <w:r>
              <w:rPr>
                <w:rFonts w:ascii="Times New Roman" w:eastAsia="宋体" w:hAnsi="Times New Roman" w:cs="Times New Roman" w:hint="default"/>
                <w:b/>
                <w:bCs/>
                <w:color w:val="auto"/>
                <w:szCs w:val="24"/>
                <w:highlight w:val="none"/>
              </w:rPr>
              <w:fldChar w:fldCharType="separate"/>
            </w:r>
            <w:r>
              <w:rPr>
                <w:rFonts w:ascii="Times New Roman" w:eastAsia="宋体" w:hAnsi="Times New Roman" w:cs="Times New Roman" w:hint="default"/>
                <w:b/>
                <w:bCs/>
                <w:color w:val="auto"/>
                <w:szCs w:val="24"/>
                <w:highlight w:val="none"/>
              </w:rPr>
              <w:t>24</w:t>
            </w:r>
            <w:r>
              <w:rPr>
                <w:rFonts w:ascii="Times New Roman" w:eastAsia="宋体" w:hAnsi="Times New Roman" w:cs="Times New Roman" w:hint="default"/>
                <w:b/>
                <w:bCs/>
                <w:color w:val="auto"/>
                <w:szCs w:val="24"/>
                <w:highlight w:val="none"/>
              </w:rPr>
              <w:fldChar w:fldCharType="end"/>
            </w:r>
            <w:r>
              <w:rPr>
                <w:rFonts w:ascii="Times New Roman" w:eastAsia="宋体" w:hAnsi="Times New Roman" w:cs="Times New Roman" w:hint="default"/>
                <w:b/>
                <w:bCs/>
                <w:color w:val="auto"/>
                <w:szCs w:val="24"/>
                <w:highlight w:val="none"/>
              </w:rPr>
              <w:t xml:space="preserve">  噪声源对厂界噪声贡献值达标情况表</w:t>
            </w:r>
          </w:p>
          <w:tbl>
            <w:tblPr>
              <w:tblStyle w:val="TableNormal"/>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092"/>
              <w:gridCol w:w="1995"/>
              <w:gridCol w:w="2129"/>
              <w:gridCol w:w="1742"/>
              <w:gridCol w:w="1758"/>
            </w:tblGrid>
            <w:tr w14:paraId="17B3CF99">
              <w:tblPrEx>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jc w:val="center"/>
              </w:trPr>
              <w:tc>
                <w:tcPr>
                  <w:tcW w:w="627" w:type="pct"/>
                  <w:noWrap w:val="0"/>
                  <w:vAlign w:val="center"/>
                </w:tcPr>
                <w:p w14:paraId="76C8B4B3">
                  <w:pPr>
                    <w:jc w:val="center"/>
                    <w:rPr>
                      <w:rFonts w:ascii="Times New Roman" w:eastAsia="宋体" w:hAnsi="Times New Roman" w:cs="Times New Roman" w:hint="default"/>
                      <w:b/>
                      <w:bCs/>
                      <w:color w:val="auto"/>
                      <w:szCs w:val="21"/>
                      <w:highlight w:val="none"/>
                    </w:rPr>
                  </w:pPr>
                  <w:r>
                    <w:rPr>
                      <w:rFonts w:ascii="Times New Roman" w:eastAsia="宋体" w:hAnsi="Times New Roman" w:cs="Times New Roman" w:hint="default"/>
                      <w:b/>
                      <w:bCs/>
                      <w:color w:val="auto"/>
                      <w:szCs w:val="21"/>
                      <w:highlight w:val="none"/>
                    </w:rPr>
                    <w:t>项目</w:t>
                  </w:r>
                </w:p>
              </w:tc>
              <w:tc>
                <w:tcPr>
                  <w:tcW w:w="1144" w:type="pct"/>
                  <w:noWrap w:val="0"/>
                  <w:vAlign w:val="center"/>
                </w:tcPr>
                <w:p w14:paraId="21B4E2BD">
                  <w:pPr>
                    <w:jc w:val="center"/>
                    <w:rPr>
                      <w:rFonts w:ascii="Times New Roman" w:eastAsia="宋体" w:hAnsi="Times New Roman" w:cs="Times New Roman" w:hint="default"/>
                      <w:b/>
                      <w:bCs/>
                      <w:color w:val="auto"/>
                      <w:szCs w:val="21"/>
                      <w:highlight w:val="none"/>
                    </w:rPr>
                  </w:pPr>
                  <w:r>
                    <w:rPr>
                      <w:rFonts w:ascii="Times New Roman" w:eastAsia="宋体" w:hAnsi="Times New Roman" w:cs="Times New Roman" w:hint="default"/>
                      <w:b/>
                      <w:bCs/>
                      <w:color w:val="auto"/>
                      <w:szCs w:val="21"/>
                      <w:highlight w:val="none"/>
                    </w:rPr>
                    <w:t>东厂界dB（A）</w:t>
                  </w:r>
                </w:p>
              </w:tc>
              <w:tc>
                <w:tcPr>
                  <w:tcW w:w="1221" w:type="pct"/>
                  <w:noWrap w:val="0"/>
                  <w:vAlign w:val="center"/>
                </w:tcPr>
                <w:p w14:paraId="77CB6225">
                  <w:pPr>
                    <w:jc w:val="center"/>
                    <w:rPr>
                      <w:rFonts w:ascii="Times New Roman" w:eastAsia="宋体" w:hAnsi="Times New Roman" w:cs="Times New Roman" w:hint="default"/>
                      <w:b/>
                      <w:bCs/>
                      <w:color w:val="auto"/>
                      <w:szCs w:val="21"/>
                      <w:highlight w:val="none"/>
                    </w:rPr>
                  </w:pPr>
                  <w:r>
                    <w:rPr>
                      <w:rFonts w:ascii="Times New Roman" w:eastAsia="宋体" w:hAnsi="Times New Roman" w:cs="Times New Roman" w:hint="default"/>
                      <w:b/>
                      <w:bCs/>
                      <w:color w:val="auto"/>
                      <w:szCs w:val="21"/>
                      <w:highlight w:val="none"/>
                    </w:rPr>
                    <w:t>南厂界dB（A）</w:t>
                  </w:r>
                </w:p>
              </w:tc>
              <w:tc>
                <w:tcPr>
                  <w:tcW w:w="999" w:type="pct"/>
                  <w:noWrap w:val="0"/>
                  <w:vAlign w:val="center"/>
                </w:tcPr>
                <w:p w14:paraId="585CF853">
                  <w:pPr>
                    <w:jc w:val="center"/>
                    <w:rPr>
                      <w:rFonts w:ascii="Times New Roman" w:eastAsia="宋体" w:hAnsi="Times New Roman" w:cs="Times New Roman" w:hint="default"/>
                      <w:b/>
                      <w:bCs/>
                      <w:color w:val="auto"/>
                      <w:szCs w:val="21"/>
                      <w:highlight w:val="none"/>
                    </w:rPr>
                  </w:pPr>
                  <w:r>
                    <w:rPr>
                      <w:rFonts w:ascii="Times New Roman" w:eastAsia="宋体" w:hAnsi="Times New Roman" w:cs="Times New Roman" w:hint="default"/>
                      <w:b/>
                      <w:bCs/>
                      <w:color w:val="auto"/>
                      <w:szCs w:val="21"/>
                      <w:highlight w:val="none"/>
                    </w:rPr>
                    <w:t>西厂界dB（A）</w:t>
                  </w:r>
                </w:p>
              </w:tc>
              <w:tc>
                <w:tcPr>
                  <w:tcW w:w="1007" w:type="pct"/>
                  <w:noWrap w:val="0"/>
                  <w:vAlign w:val="center"/>
                </w:tcPr>
                <w:p w14:paraId="17909D3D">
                  <w:pPr>
                    <w:jc w:val="center"/>
                    <w:rPr>
                      <w:rFonts w:ascii="Times New Roman" w:eastAsia="宋体" w:hAnsi="Times New Roman" w:cs="Times New Roman" w:hint="default"/>
                      <w:b/>
                      <w:bCs/>
                      <w:color w:val="auto"/>
                      <w:szCs w:val="21"/>
                      <w:highlight w:val="none"/>
                    </w:rPr>
                  </w:pPr>
                  <w:r>
                    <w:rPr>
                      <w:rFonts w:ascii="Times New Roman" w:eastAsia="宋体" w:hAnsi="Times New Roman" w:cs="Times New Roman" w:hint="default"/>
                      <w:b/>
                      <w:bCs/>
                      <w:color w:val="auto"/>
                      <w:szCs w:val="21"/>
                      <w:highlight w:val="none"/>
                    </w:rPr>
                    <w:t>北厂界dB（A）</w:t>
                  </w:r>
                </w:p>
              </w:tc>
            </w:tr>
            <w:tr w14:paraId="611807CF">
              <w:tblPrEx>
                <w:tblW w:w="4998" w:type="pct"/>
                <w:jc w:val="center"/>
                <w:tblCellMar>
                  <w:top w:w="0" w:type="dxa"/>
                  <w:left w:w="108" w:type="dxa"/>
                  <w:bottom w:w="0" w:type="dxa"/>
                  <w:right w:w="108" w:type="dxa"/>
                </w:tblCellMar>
              </w:tblPrEx>
              <w:trPr>
                <w:trHeight w:val="187"/>
                <w:jc w:val="center"/>
              </w:trPr>
              <w:tc>
                <w:tcPr>
                  <w:tcW w:w="627" w:type="pct"/>
                  <w:noWrap w:val="0"/>
                  <w:vAlign w:val="center"/>
                </w:tcPr>
                <w:p w14:paraId="09DDE5BB">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贡献值</w:t>
                  </w:r>
                </w:p>
              </w:tc>
              <w:tc>
                <w:tcPr>
                  <w:tcW w:w="1144" w:type="pct"/>
                  <w:noWrap w:val="0"/>
                  <w:vAlign w:val="center"/>
                </w:tcPr>
                <w:p w14:paraId="234661FB">
                  <w:pPr>
                    <w:jc w:val="center"/>
                    <w:rPr>
                      <w:rFonts w:ascii="Times New Roman" w:eastAsia="宋体" w:hAnsi="Times New Roman" w:cs="Times New Roman" w:hint="default"/>
                      <w:color w:val="auto"/>
                      <w:szCs w:val="21"/>
                      <w:highlight w:val="none"/>
                      <w:lang w:val="en-US" w:eastAsia="zh-CN"/>
                    </w:rPr>
                  </w:pPr>
                  <w:r>
                    <w:rPr>
                      <w:rFonts w:cs="Times New Roman" w:hint="eastAsia"/>
                      <w:color w:val="auto"/>
                      <w:szCs w:val="21"/>
                      <w:highlight w:val="none"/>
                      <w:lang w:val="en-US" w:eastAsia="zh-CN"/>
                    </w:rPr>
                    <w:t>41</w:t>
                  </w:r>
                </w:p>
              </w:tc>
              <w:tc>
                <w:tcPr>
                  <w:tcW w:w="1221" w:type="pct"/>
                  <w:noWrap w:val="0"/>
                  <w:vAlign w:val="center"/>
                </w:tcPr>
                <w:p w14:paraId="451CE48E">
                  <w:pPr>
                    <w:jc w:val="center"/>
                    <w:rPr>
                      <w:rFonts w:ascii="Times New Roman" w:eastAsia="宋体" w:hAnsi="Times New Roman" w:cs="Times New Roman" w:hint="default"/>
                      <w:color w:val="auto"/>
                      <w:szCs w:val="21"/>
                      <w:highlight w:val="none"/>
                      <w:lang w:val="en-US" w:eastAsia="zh-CN"/>
                    </w:rPr>
                  </w:pPr>
                  <w:r>
                    <w:rPr>
                      <w:rFonts w:cs="Times New Roman" w:hint="eastAsia"/>
                      <w:color w:val="auto"/>
                      <w:szCs w:val="21"/>
                      <w:highlight w:val="none"/>
                      <w:lang w:val="en-US" w:eastAsia="zh-CN"/>
                    </w:rPr>
                    <w:t>32</w:t>
                  </w:r>
                </w:p>
              </w:tc>
              <w:tc>
                <w:tcPr>
                  <w:tcW w:w="999" w:type="pct"/>
                  <w:noWrap w:val="0"/>
                  <w:vAlign w:val="center"/>
                </w:tcPr>
                <w:p w14:paraId="56A18941">
                  <w:pPr>
                    <w:jc w:val="center"/>
                    <w:rPr>
                      <w:rFonts w:ascii="Times New Roman" w:eastAsia="宋体" w:hAnsi="Times New Roman" w:cs="Times New Roman" w:hint="default"/>
                      <w:color w:val="auto"/>
                      <w:szCs w:val="21"/>
                      <w:highlight w:val="none"/>
                      <w:lang w:val="en-US" w:eastAsia="zh-CN"/>
                    </w:rPr>
                  </w:pPr>
                  <w:r>
                    <w:rPr>
                      <w:rFonts w:cs="Times New Roman" w:hint="eastAsia"/>
                      <w:color w:val="auto"/>
                      <w:szCs w:val="21"/>
                      <w:highlight w:val="none"/>
                      <w:lang w:val="en-US" w:eastAsia="zh-CN"/>
                    </w:rPr>
                    <w:t>32</w:t>
                  </w:r>
                </w:p>
              </w:tc>
              <w:tc>
                <w:tcPr>
                  <w:tcW w:w="1007" w:type="pct"/>
                  <w:noWrap w:val="0"/>
                  <w:vAlign w:val="center"/>
                </w:tcPr>
                <w:p w14:paraId="08E72F85">
                  <w:pPr>
                    <w:jc w:val="center"/>
                    <w:rPr>
                      <w:rFonts w:ascii="Times New Roman" w:eastAsia="宋体" w:hAnsi="Times New Roman" w:cs="Times New Roman" w:hint="default"/>
                      <w:color w:val="auto"/>
                      <w:szCs w:val="21"/>
                      <w:highlight w:val="none"/>
                      <w:lang w:val="en-US" w:eastAsia="zh-CN"/>
                    </w:rPr>
                  </w:pPr>
                  <w:r>
                    <w:rPr>
                      <w:rFonts w:cs="Times New Roman" w:hint="eastAsia"/>
                      <w:color w:val="auto"/>
                      <w:szCs w:val="21"/>
                      <w:highlight w:val="none"/>
                      <w:lang w:val="en-US" w:eastAsia="zh-CN"/>
                    </w:rPr>
                    <w:t>43</w:t>
                  </w:r>
                </w:p>
              </w:tc>
            </w:tr>
            <w:tr w14:paraId="4F7392C6">
              <w:tblPrEx>
                <w:tblW w:w="4998" w:type="pct"/>
                <w:jc w:val="center"/>
                <w:tblCellMar>
                  <w:top w:w="0" w:type="dxa"/>
                  <w:left w:w="108" w:type="dxa"/>
                  <w:bottom w:w="0" w:type="dxa"/>
                  <w:right w:w="108" w:type="dxa"/>
                </w:tblCellMar>
              </w:tblPrEx>
              <w:trPr>
                <w:trHeight w:val="990"/>
                <w:jc w:val="center"/>
              </w:trPr>
              <w:tc>
                <w:tcPr>
                  <w:tcW w:w="627" w:type="pct"/>
                  <w:noWrap w:val="0"/>
                  <w:vAlign w:val="center"/>
                </w:tcPr>
                <w:p w14:paraId="24946DE4">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执行标准</w:t>
                  </w:r>
                </w:p>
              </w:tc>
              <w:tc>
                <w:tcPr>
                  <w:tcW w:w="4372" w:type="pct"/>
                  <w:gridSpan w:val="4"/>
                  <w:noWrap w:val="0"/>
                  <w:vAlign w:val="center"/>
                </w:tcPr>
                <w:p w14:paraId="768CADEF">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《工业企业厂界环境噪声排放标准》（GB12348-2008）</w:t>
                  </w:r>
                  <w:r>
                    <w:rPr>
                      <w:rFonts w:cs="Times New Roman" w:hint="eastAsia"/>
                      <w:color w:val="auto"/>
                      <w:szCs w:val="21"/>
                      <w:highlight w:val="none"/>
                      <w:lang w:val="en-US" w:eastAsia="zh-CN"/>
                    </w:rPr>
                    <w:t>2</w:t>
                  </w:r>
                  <w:r>
                    <w:rPr>
                      <w:rFonts w:ascii="Times New Roman" w:eastAsia="宋体" w:hAnsi="Times New Roman" w:cs="Times New Roman" w:hint="default"/>
                      <w:color w:val="auto"/>
                      <w:szCs w:val="21"/>
                      <w:highlight w:val="none"/>
                    </w:rPr>
                    <w:t>类标准（昼间≤</w:t>
                  </w:r>
                  <w:r>
                    <w:rPr>
                      <w:rFonts w:cs="Times New Roman" w:hint="eastAsia"/>
                      <w:color w:val="auto"/>
                      <w:szCs w:val="21"/>
                      <w:highlight w:val="none"/>
                      <w:lang w:val="en-US" w:eastAsia="zh-CN"/>
                    </w:rPr>
                    <w:t>60</w:t>
                  </w:r>
                  <w:r>
                    <w:rPr>
                      <w:rFonts w:ascii="Times New Roman" w:eastAsia="宋体" w:hAnsi="Times New Roman" w:cs="Times New Roman" w:hint="default"/>
                      <w:color w:val="auto"/>
                      <w:szCs w:val="21"/>
                      <w:highlight w:val="none"/>
                    </w:rPr>
                    <w:t>dB（A）夜间≤</w:t>
                  </w:r>
                  <w:r>
                    <w:rPr>
                      <w:rFonts w:cs="Times New Roman" w:hint="eastAsia"/>
                      <w:color w:val="auto"/>
                      <w:szCs w:val="21"/>
                      <w:highlight w:val="none"/>
                      <w:lang w:val="en-US" w:eastAsia="zh-CN"/>
                    </w:rPr>
                    <w:t>50</w:t>
                  </w:r>
                  <w:r>
                    <w:rPr>
                      <w:rFonts w:ascii="Times New Roman" w:eastAsia="宋体" w:hAnsi="Times New Roman" w:cs="Times New Roman" w:hint="default"/>
                      <w:color w:val="auto"/>
                      <w:szCs w:val="21"/>
                      <w:highlight w:val="none"/>
                    </w:rPr>
                    <w:t>dB（A））</w:t>
                  </w:r>
                </w:p>
              </w:tc>
            </w:tr>
            <w:tr w14:paraId="7D659439">
              <w:tblPrEx>
                <w:tblW w:w="4998" w:type="pct"/>
                <w:jc w:val="center"/>
                <w:tblCellMar>
                  <w:top w:w="0" w:type="dxa"/>
                  <w:left w:w="108" w:type="dxa"/>
                  <w:bottom w:w="0" w:type="dxa"/>
                  <w:right w:w="108" w:type="dxa"/>
                </w:tblCellMar>
              </w:tblPrEx>
              <w:trPr>
                <w:jc w:val="center"/>
              </w:trPr>
              <w:tc>
                <w:tcPr>
                  <w:tcW w:w="627" w:type="pct"/>
                  <w:noWrap w:val="0"/>
                  <w:vAlign w:val="center"/>
                </w:tcPr>
                <w:p w14:paraId="0229D551">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达标情况</w:t>
                  </w:r>
                </w:p>
              </w:tc>
              <w:tc>
                <w:tcPr>
                  <w:tcW w:w="1144" w:type="pct"/>
                  <w:noWrap w:val="0"/>
                  <w:vAlign w:val="center"/>
                </w:tcPr>
                <w:p w14:paraId="63F2D223">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达标</w:t>
                  </w:r>
                </w:p>
              </w:tc>
              <w:tc>
                <w:tcPr>
                  <w:tcW w:w="1221" w:type="pct"/>
                  <w:noWrap w:val="0"/>
                  <w:vAlign w:val="center"/>
                </w:tcPr>
                <w:p w14:paraId="1125CC1F">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达标</w:t>
                  </w:r>
                </w:p>
              </w:tc>
              <w:tc>
                <w:tcPr>
                  <w:tcW w:w="999" w:type="pct"/>
                  <w:noWrap w:val="0"/>
                  <w:vAlign w:val="center"/>
                </w:tcPr>
                <w:p w14:paraId="200E8D57">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达标</w:t>
                  </w:r>
                </w:p>
              </w:tc>
              <w:tc>
                <w:tcPr>
                  <w:tcW w:w="1007" w:type="pct"/>
                  <w:noWrap w:val="0"/>
                  <w:vAlign w:val="center"/>
                </w:tcPr>
                <w:p w14:paraId="50541B91">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达标</w:t>
                  </w:r>
                </w:p>
              </w:tc>
            </w:tr>
          </w:tbl>
          <w:p w14:paraId="67AA00CC">
            <w:pPr>
              <w:pStyle w:val="lh--"/>
              <w:rPr>
                <w:rFonts w:ascii="Times New Roman" w:eastAsia="宋体" w:hAnsi="Times New Roman" w:cs="Times New Roman" w:hint="default"/>
                <w:color w:val="auto"/>
                <w:highlight w:val="none"/>
              </w:rPr>
            </w:pPr>
            <w:r>
              <w:rPr>
                <w:rFonts w:ascii="Times New Roman" w:eastAsia="宋体" w:hAnsi="Times New Roman" w:cs="Times New Roman" w:hint="default"/>
                <w:color w:val="auto"/>
                <w:highlight w:val="none"/>
                <w:lang w:val="en-US" w:eastAsia="zh-CN"/>
              </w:rPr>
              <w:t>为了更好地控制本项目噪声源对周边环境的影响，本项目采取的噪声控制措施为：</w:t>
            </w:r>
          </w:p>
          <w:p w14:paraId="40461F6F">
            <w:pPr>
              <w:pStyle w:val="lh--"/>
              <w:rPr>
                <w:rFonts w:ascii="Times New Roman" w:eastAsia="宋体" w:hAnsi="Times New Roman" w:cs="Times New Roman" w:hint="default"/>
                <w:color w:val="auto"/>
                <w:highlight w:val="none"/>
                <w:lang w:val="en-US" w:eastAsia="zh-CN"/>
              </w:rPr>
            </w:pPr>
            <w:r>
              <w:rPr>
                <w:rFonts w:ascii="Times New Roman" w:eastAsia="宋体" w:hAnsi="Times New Roman" w:cs="Times New Roman" w:hint="default"/>
                <w:color w:val="auto"/>
                <w:highlight w:val="none"/>
                <w:lang w:val="en-US" w:eastAsia="zh-CN"/>
              </w:rPr>
              <w:t>①优先选用低噪声</w:t>
            </w:r>
            <w:r>
              <w:rPr>
                <w:rFonts w:cs="Times New Roman" w:hint="eastAsia"/>
                <w:color w:val="auto"/>
                <w:highlight w:val="none"/>
                <w:lang w:val="en-US" w:eastAsia="zh-CN"/>
              </w:rPr>
              <w:t>主变</w:t>
            </w:r>
            <w:r>
              <w:rPr>
                <w:rFonts w:ascii="Times New Roman" w:eastAsia="宋体" w:hAnsi="Times New Roman" w:cs="Times New Roman" w:hint="default"/>
                <w:color w:val="auto"/>
                <w:highlight w:val="none"/>
                <w:lang w:val="en-US" w:eastAsia="zh-CN"/>
              </w:rPr>
              <w:t>设备，从源头控制噪声的产生。</w:t>
            </w:r>
          </w:p>
          <w:p w14:paraId="6E4DFDE6">
            <w:pPr>
              <w:pStyle w:val="lh--"/>
              <w:rPr>
                <w:rFonts w:ascii="Times New Roman" w:eastAsia="宋体" w:hAnsi="Times New Roman" w:cs="Times New Roman" w:hint="default"/>
                <w:color w:val="auto"/>
                <w:highlight w:val="none"/>
              </w:rPr>
            </w:pPr>
            <w:r>
              <w:rPr>
                <w:rFonts w:ascii="Times New Roman" w:eastAsia="宋体" w:hAnsi="Times New Roman" w:cs="Times New Roman" w:hint="default"/>
                <w:color w:val="auto"/>
                <w:highlight w:val="none"/>
                <w:lang w:val="en-US" w:eastAsia="zh-CN"/>
              </w:rPr>
              <w:t>②合理布局，尽量将</w:t>
            </w:r>
            <w:r>
              <w:rPr>
                <w:rFonts w:cs="Times New Roman" w:hint="eastAsia"/>
                <w:color w:val="auto"/>
                <w:highlight w:val="none"/>
                <w:lang w:val="en-US" w:eastAsia="zh-CN"/>
              </w:rPr>
              <w:t>主变等</w:t>
            </w:r>
            <w:r>
              <w:rPr>
                <w:rFonts w:ascii="Times New Roman" w:eastAsia="宋体" w:hAnsi="Times New Roman" w:cs="Times New Roman" w:hint="default"/>
                <w:color w:val="auto"/>
                <w:highlight w:val="none"/>
                <w:lang w:val="en-US" w:eastAsia="zh-CN"/>
              </w:rPr>
              <w:t>高噪声设备远离厂界，以降低噪声的传播和干扰，同时设备之间保持间距，避免噪声叠加影响。</w:t>
            </w:r>
          </w:p>
          <w:p w14:paraId="24A6B12E">
            <w:pPr>
              <w:pStyle w:val="lh--"/>
              <w:rPr>
                <w:rFonts w:ascii="Times New Roman" w:eastAsia="宋体" w:hAnsi="Times New Roman" w:cs="Times New Roman" w:hint="default"/>
                <w:color w:val="auto"/>
                <w:highlight w:val="none"/>
              </w:rPr>
            </w:pPr>
            <w:r>
              <w:rPr>
                <w:rFonts w:ascii="Times New Roman" w:eastAsia="宋体" w:hAnsi="Times New Roman" w:cs="Times New Roman" w:hint="default"/>
                <w:color w:val="auto"/>
                <w:highlight w:val="none"/>
                <w:lang w:val="en-US" w:eastAsia="zh-CN"/>
              </w:rPr>
              <w:t>③加强设备的维护，确保设备处于良好的运转状态，杜绝因设备不正常运转时产生的高噪声现象。</w:t>
            </w:r>
          </w:p>
          <w:p w14:paraId="640917D0">
            <w:pPr>
              <w:pStyle w:val="lh--"/>
              <w:rPr>
                <w:rFonts w:ascii="Times New Roman" w:eastAsia="宋体" w:hAnsi="Times New Roman" w:cs="Times New Roman" w:hint="default"/>
                <w:color w:val="auto"/>
                <w:highlight w:val="none"/>
              </w:rPr>
            </w:pPr>
            <w:r>
              <w:rPr>
                <w:rFonts w:ascii="Times New Roman" w:eastAsia="宋体" w:hAnsi="Times New Roman" w:cs="Times New Roman" w:hint="default"/>
                <w:color w:val="auto"/>
                <w:highlight w:val="none"/>
                <w:lang w:val="en-US" w:eastAsia="zh-CN"/>
              </w:rPr>
              <w:t>④通过采取上述措施后，经预测，储能站厂界噪声满足《工业企业厂界环境噪声排放标准》（GB12348-2008）</w:t>
            </w:r>
            <w:r>
              <w:rPr>
                <w:rFonts w:cs="Times New Roman" w:hint="eastAsia"/>
                <w:color w:val="auto"/>
                <w:highlight w:val="none"/>
                <w:lang w:val="en-US" w:eastAsia="zh-CN"/>
              </w:rPr>
              <w:t>2</w:t>
            </w:r>
            <w:r>
              <w:rPr>
                <w:rFonts w:ascii="Times New Roman" w:eastAsia="宋体" w:hAnsi="Times New Roman" w:cs="Times New Roman" w:hint="default"/>
                <w:color w:val="auto"/>
                <w:highlight w:val="none"/>
                <w:lang w:val="en-US" w:eastAsia="zh-CN"/>
              </w:rPr>
              <w:t>类标准（昼间≤</w:t>
            </w:r>
            <w:r>
              <w:rPr>
                <w:rFonts w:cs="Times New Roman" w:hint="eastAsia"/>
                <w:color w:val="auto"/>
                <w:highlight w:val="none"/>
                <w:lang w:val="en-US" w:eastAsia="zh-CN"/>
              </w:rPr>
              <w:t>60</w:t>
            </w:r>
            <w:r>
              <w:rPr>
                <w:rFonts w:ascii="Times New Roman" w:eastAsia="宋体" w:hAnsi="Times New Roman" w:cs="Times New Roman" w:hint="default"/>
                <w:color w:val="auto"/>
                <w:highlight w:val="none"/>
                <w:lang w:val="en-US" w:eastAsia="zh-CN"/>
              </w:rPr>
              <w:t>dB（A）；夜间≤</w:t>
            </w:r>
            <w:r>
              <w:rPr>
                <w:rFonts w:cs="Times New Roman" w:hint="eastAsia"/>
                <w:color w:val="auto"/>
                <w:highlight w:val="none"/>
                <w:lang w:val="en-US" w:eastAsia="zh-CN"/>
              </w:rPr>
              <w:t>50</w:t>
            </w:r>
            <w:r>
              <w:rPr>
                <w:rFonts w:ascii="Times New Roman" w:eastAsia="宋体" w:hAnsi="Times New Roman" w:cs="Times New Roman" w:hint="default"/>
                <w:color w:val="auto"/>
                <w:highlight w:val="none"/>
                <w:lang w:val="en-US" w:eastAsia="zh-CN"/>
              </w:rPr>
              <w:t>dB（A）），因此，项目噪声对周围声环境的影响较小。</w:t>
            </w:r>
          </w:p>
          <w:p w14:paraId="68DC5BFC">
            <w:pPr>
              <w:pStyle w:val="lh--"/>
              <w:rPr>
                <w:rFonts w:ascii="Times New Roman" w:eastAsia="宋体" w:hAnsi="Times New Roman" w:cs="Times New Roman" w:hint="default"/>
                <w:color w:val="auto"/>
                <w:highlight w:val="none"/>
              </w:rPr>
            </w:pPr>
            <w:r>
              <w:rPr>
                <w:rFonts w:ascii="Times New Roman" w:eastAsia="宋体" w:hAnsi="Times New Roman" w:cs="Times New Roman" w:hint="default"/>
                <w:color w:val="auto"/>
                <w:highlight w:val="none"/>
                <w:lang w:val="en-US" w:eastAsia="zh-CN"/>
              </w:rPr>
              <w:t>（3）噪声监测计划</w:t>
            </w:r>
          </w:p>
          <w:p w14:paraId="1025C5FE">
            <w:pPr>
              <w:pStyle w:val="lh--"/>
              <w:rPr>
                <w:rFonts w:ascii="Times New Roman" w:eastAsia="宋体" w:hAnsi="Times New Roman" w:cs="Times New Roman" w:hint="default"/>
                <w:color w:val="auto"/>
                <w:highlight w:val="none"/>
              </w:rPr>
            </w:pPr>
            <w:r>
              <w:rPr>
                <w:rFonts w:ascii="Times New Roman" w:eastAsia="宋体" w:hAnsi="Times New Roman" w:cs="Times New Roman" w:hint="default"/>
                <w:color w:val="auto"/>
                <w:highlight w:val="none"/>
                <w:lang w:val="en-US" w:eastAsia="zh-CN"/>
              </w:rPr>
              <w:t>建设单位营运期应进行常规自行监测：监测项目及频次可按照下表或更为严格的要求执行</w:t>
            </w:r>
          </w:p>
          <w:p w14:paraId="74C75629">
            <w:pPr>
              <w:pStyle w:val="lh---"/>
              <w:numPr>
                <w:ilvl w:val="0"/>
                <w:numId w:val="0"/>
              </w:numPr>
              <w:adjustRightInd w:val="0"/>
              <w:snapToGrid w:val="0"/>
              <w:spacing w:before="0" w:beforeLines="0" w:line="360" w:lineRule="auto"/>
              <w:rPr>
                <w:rFonts w:ascii="Times New Roman" w:eastAsia="宋体" w:hAnsi="Times New Roman" w:cs="Times New Roman" w:hint="default"/>
                <w:b/>
                <w:bCs/>
                <w:color w:val="auto"/>
                <w:szCs w:val="24"/>
                <w:highlight w:val="none"/>
              </w:rPr>
            </w:pPr>
            <w:r>
              <w:rPr>
                <w:rFonts w:ascii="Times New Roman" w:eastAsia="宋体" w:hAnsi="Times New Roman" w:cs="Times New Roman" w:hint="default"/>
                <w:b/>
                <w:bCs/>
                <w:color w:val="auto"/>
                <w:szCs w:val="24"/>
                <w:highlight w:val="none"/>
              </w:rPr>
              <w:t>表4-25  噪声监测计划</w:t>
            </w:r>
          </w:p>
          <w:tbl>
            <w:tblPr>
              <w:tblStyle w:val="TableNormal"/>
              <w:tblW w:w="4997"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336"/>
              <w:gridCol w:w="1351"/>
              <w:gridCol w:w="2008"/>
              <w:gridCol w:w="1290"/>
              <w:gridCol w:w="1248"/>
              <w:gridCol w:w="1481"/>
            </w:tblGrid>
            <w:tr w14:paraId="76025B8B">
              <w:tblPrEx>
                <w:tblW w:w="4997"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67" w:type="pct"/>
                  <w:noWrap w:val="0"/>
                  <w:vAlign w:val="center"/>
                </w:tcPr>
                <w:p w14:paraId="3ABC13FA">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污染物类别</w:t>
                  </w:r>
                </w:p>
              </w:tc>
              <w:tc>
                <w:tcPr>
                  <w:tcW w:w="775" w:type="pct"/>
                  <w:noWrap w:val="0"/>
                  <w:vAlign w:val="center"/>
                </w:tcPr>
                <w:p w14:paraId="73E54043">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监测位置</w:t>
                  </w:r>
                </w:p>
              </w:tc>
              <w:tc>
                <w:tcPr>
                  <w:tcW w:w="1152" w:type="pct"/>
                  <w:noWrap w:val="0"/>
                  <w:vAlign w:val="center"/>
                </w:tcPr>
                <w:p w14:paraId="65F37148">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监测因子</w:t>
                  </w:r>
                </w:p>
              </w:tc>
              <w:tc>
                <w:tcPr>
                  <w:tcW w:w="739" w:type="pct"/>
                  <w:noWrap w:val="0"/>
                  <w:vAlign w:val="center"/>
                </w:tcPr>
                <w:p w14:paraId="2FB8B5E7">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执行标准</w:t>
                  </w:r>
                </w:p>
              </w:tc>
              <w:tc>
                <w:tcPr>
                  <w:tcW w:w="716" w:type="pct"/>
                  <w:noWrap w:val="0"/>
                  <w:vAlign w:val="center"/>
                </w:tcPr>
                <w:p w14:paraId="7310BFDD">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监测频率</w:t>
                  </w:r>
                </w:p>
              </w:tc>
              <w:tc>
                <w:tcPr>
                  <w:tcW w:w="848" w:type="pct"/>
                  <w:noWrap w:val="0"/>
                  <w:vAlign w:val="center"/>
                </w:tcPr>
                <w:p w14:paraId="5F017FBD">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实施单位</w:t>
                  </w:r>
                </w:p>
              </w:tc>
            </w:tr>
            <w:tr w14:paraId="2C1AC151">
              <w:tblPrEx>
                <w:tblW w:w="4997" w:type="pct"/>
                <w:tblInd w:w="0" w:type="dxa"/>
                <w:tblCellMar>
                  <w:top w:w="0" w:type="dxa"/>
                  <w:left w:w="108" w:type="dxa"/>
                  <w:bottom w:w="0" w:type="dxa"/>
                  <w:right w:w="108" w:type="dxa"/>
                </w:tblCellMar>
              </w:tblPrEx>
              <w:tc>
                <w:tcPr>
                  <w:tcW w:w="767" w:type="pct"/>
                  <w:noWrap w:val="0"/>
                  <w:vAlign w:val="center"/>
                </w:tcPr>
                <w:p w14:paraId="459F2A23">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噪声</w:t>
                  </w:r>
                </w:p>
              </w:tc>
              <w:tc>
                <w:tcPr>
                  <w:tcW w:w="775" w:type="pct"/>
                  <w:noWrap w:val="0"/>
                  <w:vAlign w:val="center"/>
                </w:tcPr>
                <w:p w14:paraId="43689F21">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厂界</w:t>
                  </w:r>
                </w:p>
              </w:tc>
              <w:tc>
                <w:tcPr>
                  <w:tcW w:w="1892" w:type="pct"/>
                  <w:gridSpan w:val="2"/>
                  <w:noWrap w:val="0"/>
                  <w:vAlign w:val="center"/>
                </w:tcPr>
                <w:p w14:paraId="45FA9204">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等效连续A声级</w:t>
                  </w:r>
                </w:p>
              </w:tc>
              <w:tc>
                <w:tcPr>
                  <w:tcW w:w="716" w:type="pct"/>
                  <w:noWrap w:val="0"/>
                  <w:vAlign w:val="center"/>
                </w:tcPr>
                <w:p w14:paraId="7EE21781">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 w:val="21"/>
                      <w:szCs w:val="21"/>
                      <w:highlight w:val="none"/>
                    </w:rPr>
                    <w:t>竣工</w:t>
                  </w:r>
                  <w:r>
                    <w:rPr>
                      <w:rFonts w:ascii="Times New Roman" w:eastAsia="宋体" w:hAnsi="Times New Roman" w:cs="Times New Roman" w:hint="default"/>
                      <w:color w:val="auto"/>
                      <w:sz w:val="21"/>
                      <w:szCs w:val="21"/>
                      <w:highlight w:val="none"/>
                      <w:lang w:val="en-US" w:eastAsia="zh-CN"/>
                    </w:rPr>
                    <w:t>验收</w:t>
                  </w:r>
                  <w:r>
                    <w:rPr>
                      <w:rFonts w:ascii="Times New Roman" w:eastAsia="宋体" w:hAnsi="Times New Roman" w:cs="Times New Roman" w:hint="default"/>
                      <w:color w:val="auto"/>
                      <w:sz w:val="21"/>
                      <w:szCs w:val="21"/>
                      <w:highlight w:val="none"/>
                    </w:rPr>
                    <w:t>、大修、投诉</w:t>
                  </w:r>
                  <w:r>
                    <w:rPr>
                      <w:rFonts w:ascii="Times New Roman" w:eastAsia="宋体" w:hAnsi="Times New Roman" w:cs="Times New Roman" w:hint="default"/>
                      <w:color w:val="auto"/>
                      <w:sz w:val="21"/>
                      <w:szCs w:val="21"/>
                      <w:highlight w:val="none"/>
                      <w:lang w:val="en-US" w:eastAsia="zh-CN"/>
                    </w:rPr>
                    <w:t>情况</w:t>
                  </w:r>
                </w:p>
              </w:tc>
              <w:tc>
                <w:tcPr>
                  <w:tcW w:w="848" w:type="pct"/>
                  <w:noWrap w:val="0"/>
                  <w:vAlign w:val="center"/>
                </w:tcPr>
                <w:p w14:paraId="47E94A9C">
                  <w:pPr>
                    <w:jc w:val="center"/>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有资质单位</w:t>
                  </w:r>
                </w:p>
              </w:tc>
            </w:tr>
            <w:tr w14:paraId="639DA2F3">
              <w:tblPrEx>
                <w:tblW w:w="4997" w:type="pct"/>
                <w:tblInd w:w="0" w:type="dxa"/>
                <w:tblCellMar>
                  <w:top w:w="0" w:type="dxa"/>
                  <w:left w:w="108" w:type="dxa"/>
                  <w:bottom w:w="0" w:type="dxa"/>
                  <w:right w:w="108" w:type="dxa"/>
                </w:tblCellMar>
              </w:tblPrEx>
              <w:tc>
                <w:tcPr>
                  <w:tcW w:w="5000" w:type="pct"/>
                  <w:gridSpan w:val="6"/>
                  <w:noWrap w:val="0"/>
                  <w:vAlign w:val="center"/>
                </w:tcPr>
                <w:p w14:paraId="3E8BD7D8">
                  <w:pPr>
                    <w:jc w:val="left"/>
                    <w:rPr>
                      <w:rFonts w:ascii="Times New Roman" w:eastAsia="宋体" w:hAnsi="Times New Roman" w:cs="Times New Roman" w:hint="default"/>
                      <w:color w:val="auto"/>
                      <w:szCs w:val="21"/>
                      <w:highlight w:val="none"/>
                    </w:rPr>
                  </w:pPr>
                  <w:r>
                    <w:rPr>
                      <w:rFonts w:ascii="Times New Roman" w:eastAsia="宋体" w:hAnsi="Times New Roman" w:cs="Times New Roman" w:hint="default"/>
                      <w:color w:val="auto"/>
                      <w:szCs w:val="21"/>
                      <w:highlight w:val="none"/>
                    </w:rPr>
                    <w:t>注：监测频次依据《排污单位自行监测技术指南 总则》（HJ819-2017）。</w:t>
                  </w:r>
                </w:p>
              </w:tc>
            </w:tr>
          </w:tbl>
          <w:p w14:paraId="1E453ED2">
            <w:pPr>
              <w:pStyle w:val="00005"/>
              <w:ind w:firstLine="461"/>
              <w:jc w:val="both"/>
              <w:rPr>
                <w:rFonts w:ascii="Times New Roman" w:eastAsia="宋体" w:hAnsi="Times New Roman" w:cs="Times New Roman" w:hint="default"/>
                <w:color w:val="auto"/>
                <w:sz w:val="24"/>
                <w:szCs w:val="24"/>
                <w:highlight w:val="none"/>
              </w:rPr>
            </w:pPr>
          </w:p>
        </w:tc>
      </w:tr>
    </w:tbl>
    <w:p w14:paraId="446FA05F">
      <w:pPr>
        <w:pStyle w:val="BodyTextFirstIndent2"/>
        <w:keepNext w:val="0"/>
        <w:keepLines w:val="0"/>
        <w:pageBreakBefore w:val="0"/>
        <w:widowControl w:val="0"/>
        <w:kinsoku/>
        <w:wordWrap/>
        <w:overflowPunct/>
        <w:topLinePunct w:val="0"/>
        <w:autoSpaceDE/>
        <w:autoSpaceDN/>
        <w:bidi w:val="0"/>
        <w:ind w:left="0" w:firstLine="0" w:leftChars="0" w:firstLineChars="0"/>
        <w:textAlignment w:val="auto"/>
        <w:outlineLvl w:val="0"/>
        <w:rPr>
          <w:rFonts w:ascii="Times New Roman" w:eastAsia="宋体" w:hAnsi="Times New Roman" w:cs="Times New Roman" w:hint="default"/>
          <w:color w:val="auto"/>
          <w:highlight w:val="none"/>
        </w:rPr>
        <w:sectPr>
          <w:pgSz w:w="11907" w:h="16840"/>
          <w:pgMar w:top="1440" w:right="1440" w:bottom="1440" w:left="1440" w:header="851" w:footer="851" w:gutter="0"/>
          <w:pgBorders>
            <w:top w:val="none" w:sz="0" w:space="0" w:color="auto"/>
            <w:left w:val="none" w:sz="0" w:space="0" w:color="auto"/>
            <w:bottom w:val="none" w:sz="0" w:space="0" w:color="auto"/>
            <w:right w:val="none" w:sz="0" w:space="0" w:color="auto"/>
          </w:pgBorders>
          <w:pgNumType w:fmt="decimal"/>
          <w:cols w:num="1" w:space="720"/>
          <w:docGrid w:type="lines" w:linePitch="312" w:charSpace="0"/>
        </w:sectPr>
      </w:pPr>
    </w:p>
    <w:tbl>
      <w:tblPr>
        <w:tblStyle w:val="TableNormal"/>
        <w:tblW w:w="916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108" w:type="dxa"/>
          <w:bottom w:w="0" w:type="dxa"/>
          <w:right w:w="108" w:type="dxa"/>
        </w:tblCellMar>
      </w:tblPr>
      <w:tblGrid>
        <w:gridCol w:w="423"/>
        <w:gridCol w:w="8740"/>
      </w:tblGrid>
      <w:tr w14:paraId="74277C76">
        <w:tblPrEx>
          <w:tblW w:w="916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108" w:type="dxa"/>
            <w:bottom w:w="0" w:type="dxa"/>
            <w:right w:w="108" w:type="dxa"/>
          </w:tblCellMar>
        </w:tblPrEx>
        <w:trPr>
          <w:trHeight w:val="12035"/>
          <w:jc w:val="center"/>
        </w:trPr>
        <w:tc>
          <w:tcPr>
            <w:tcW w:w="423" w:type="dxa"/>
            <w:tcMar>
              <w:left w:w="28" w:type="dxa"/>
              <w:right w:w="28" w:type="dxa"/>
            </w:tcMar>
            <w:vAlign w:val="center"/>
          </w:tcPr>
          <w:p w14:paraId="5FE7D971">
            <w:pPr>
              <w:adjustRightInd w:val="0"/>
              <w:snapToGrid w:val="0"/>
              <w:jc w:val="center"/>
              <w:rPr>
                <w:rFonts w:ascii="Times New Roman" w:eastAsia="宋体" w:hAnsi="Times New Roman" w:cs="Times New Roman" w:hint="default"/>
                <w:bCs/>
                <w:color w:val="auto"/>
                <w:sz w:val="24"/>
                <w:szCs w:val="21"/>
                <w:highlight w:val="none"/>
              </w:rPr>
            </w:pPr>
            <w:r>
              <w:rPr>
                <w:rFonts w:ascii="Times New Roman" w:eastAsia="宋体" w:hAnsi="Times New Roman" w:cs="Times New Roman" w:hint="default"/>
                <w:bCs/>
                <w:color w:val="auto"/>
                <w:sz w:val="24"/>
                <w:szCs w:val="21"/>
                <w:highlight w:val="none"/>
              </w:rPr>
              <w:t>运营</w:t>
            </w:r>
          </w:p>
          <w:p w14:paraId="540546F8">
            <w:pPr>
              <w:adjustRightInd w:val="0"/>
              <w:snapToGrid w:val="0"/>
              <w:jc w:val="center"/>
              <w:rPr>
                <w:rFonts w:ascii="Times New Roman" w:eastAsia="宋体" w:hAnsi="Times New Roman" w:cs="Times New Roman" w:hint="default"/>
                <w:bCs/>
                <w:color w:val="auto"/>
                <w:sz w:val="24"/>
                <w:szCs w:val="21"/>
                <w:highlight w:val="none"/>
              </w:rPr>
            </w:pPr>
            <w:r>
              <w:rPr>
                <w:rFonts w:ascii="Times New Roman" w:eastAsia="宋体" w:hAnsi="Times New Roman" w:cs="Times New Roman" w:hint="default"/>
                <w:bCs/>
                <w:color w:val="auto"/>
                <w:sz w:val="24"/>
                <w:szCs w:val="21"/>
                <w:highlight w:val="none"/>
              </w:rPr>
              <w:t>期环</w:t>
            </w:r>
          </w:p>
          <w:p w14:paraId="11862136">
            <w:pPr>
              <w:adjustRightInd w:val="0"/>
              <w:snapToGrid w:val="0"/>
              <w:jc w:val="center"/>
              <w:rPr>
                <w:rFonts w:ascii="Times New Roman" w:eastAsia="宋体" w:hAnsi="Times New Roman" w:cs="Times New Roman" w:hint="default"/>
                <w:bCs/>
                <w:color w:val="auto"/>
                <w:sz w:val="24"/>
                <w:szCs w:val="21"/>
                <w:highlight w:val="none"/>
              </w:rPr>
            </w:pPr>
            <w:r>
              <w:rPr>
                <w:rFonts w:ascii="Times New Roman" w:eastAsia="宋体" w:hAnsi="Times New Roman" w:cs="Times New Roman" w:hint="default"/>
                <w:bCs/>
                <w:color w:val="auto"/>
                <w:sz w:val="24"/>
                <w:szCs w:val="21"/>
                <w:highlight w:val="none"/>
              </w:rPr>
              <w:t>境影</w:t>
            </w:r>
          </w:p>
          <w:p w14:paraId="1142456D">
            <w:pPr>
              <w:adjustRightInd w:val="0"/>
              <w:snapToGrid w:val="0"/>
              <w:jc w:val="center"/>
              <w:rPr>
                <w:rFonts w:ascii="Times New Roman" w:eastAsia="宋体" w:hAnsi="Times New Roman" w:cs="Times New Roman" w:hint="default"/>
                <w:bCs/>
                <w:color w:val="auto"/>
                <w:sz w:val="24"/>
                <w:szCs w:val="21"/>
                <w:highlight w:val="none"/>
              </w:rPr>
            </w:pPr>
            <w:r>
              <w:rPr>
                <w:rFonts w:ascii="Times New Roman" w:eastAsia="宋体" w:hAnsi="Times New Roman" w:cs="Times New Roman" w:hint="default"/>
                <w:bCs/>
                <w:color w:val="auto"/>
                <w:sz w:val="24"/>
                <w:szCs w:val="21"/>
                <w:highlight w:val="none"/>
              </w:rPr>
              <w:t>响和</w:t>
            </w:r>
          </w:p>
          <w:p w14:paraId="0D1552AC">
            <w:pPr>
              <w:adjustRightInd w:val="0"/>
              <w:snapToGrid w:val="0"/>
              <w:jc w:val="center"/>
              <w:rPr>
                <w:rFonts w:ascii="Times New Roman" w:eastAsia="宋体" w:hAnsi="Times New Roman" w:cs="Times New Roman" w:hint="default"/>
                <w:bCs/>
                <w:color w:val="auto"/>
                <w:sz w:val="24"/>
                <w:szCs w:val="21"/>
                <w:highlight w:val="none"/>
              </w:rPr>
            </w:pPr>
            <w:r>
              <w:rPr>
                <w:rFonts w:ascii="Times New Roman" w:eastAsia="宋体" w:hAnsi="Times New Roman" w:cs="Times New Roman" w:hint="default"/>
                <w:bCs/>
                <w:color w:val="auto"/>
                <w:sz w:val="24"/>
                <w:szCs w:val="21"/>
                <w:highlight w:val="none"/>
              </w:rPr>
              <w:t>保护</w:t>
            </w:r>
          </w:p>
          <w:p w14:paraId="5DAF72F5">
            <w:pPr>
              <w:adjustRightInd w:val="0"/>
              <w:snapToGrid w:val="0"/>
              <w:jc w:val="center"/>
              <w:rPr>
                <w:rFonts w:ascii="Times New Roman" w:eastAsia="宋体" w:hAnsi="Times New Roman" w:cs="Times New Roman" w:hint="default"/>
                <w:bCs/>
                <w:color w:val="auto"/>
                <w:sz w:val="24"/>
                <w:szCs w:val="21"/>
                <w:highlight w:val="none"/>
              </w:rPr>
            </w:pPr>
            <w:r>
              <w:rPr>
                <w:rFonts w:ascii="Times New Roman" w:eastAsia="宋体" w:hAnsi="Times New Roman" w:cs="Times New Roman" w:hint="default"/>
                <w:bCs/>
                <w:color w:val="auto"/>
                <w:sz w:val="24"/>
                <w:szCs w:val="21"/>
                <w:highlight w:val="none"/>
              </w:rPr>
              <w:t>措施</w:t>
            </w:r>
          </w:p>
        </w:tc>
        <w:tc>
          <w:tcPr>
            <w:tcW w:w="8740" w:type="dxa"/>
            <w:vAlign w:val="center"/>
          </w:tcPr>
          <w:p w14:paraId="3644E9D9">
            <w:pPr>
              <w:pStyle w:val="TableText"/>
              <w:spacing w:before="219" w:line="221" w:lineRule="auto"/>
              <w:ind w:left="585"/>
              <w:rPr>
                <w:rFonts w:ascii="Times New Roman" w:eastAsia="宋体" w:hAnsi="Times New Roman" w:cs="Times New Roman" w:hint="default"/>
                <w:color w:val="auto"/>
                <w:spacing w:val="-5"/>
                <w14:textOutline w14:w="4358" w14:cap="sq">
                  <w14:solidFill>
                    <w14:srgbClr w14:val="000000"/>
                  </w14:solidFill>
                  <w14:bevel/>
                </w14:textOutline>
              </w:rPr>
            </w:pPr>
            <w:r>
              <w:rPr>
                <w:rFonts w:ascii="Times New Roman" w:eastAsia="宋体" w:hAnsi="Times New Roman" w:cs="Times New Roman" w:hint="default"/>
                <w:b/>
                <w:bCs/>
                <w:color w:val="auto"/>
                <w:spacing w:val="-5"/>
              </w:rPr>
              <w:t>3</w:t>
            </w:r>
            <w:r>
              <w:rPr>
                <w:rFonts w:ascii="Times New Roman" w:eastAsia="宋体" w:hAnsi="Times New Roman" w:cs="Times New Roman" w:hint="default"/>
                <w:b/>
                <w:bCs/>
                <w:color w:val="auto"/>
                <w:spacing w:val="-31"/>
              </w:rPr>
              <w:t xml:space="preserve"> </w:t>
            </w:r>
            <w:r>
              <w:rPr>
                <w:rFonts w:ascii="Times New Roman" w:eastAsia="宋体" w:hAnsi="Times New Roman" w:cs="Times New Roman" w:hint="default"/>
                <w:color w:val="auto"/>
                <w:spacing w:val="-5"/>
                <w14:textOutline w14:w="4358" w14:cap="sq">
                  <w14:solidFill>
                    <w14:srgbClr w14:val="000000"/>
                  </w14:solidFill>
                  <w14:bevel/>
                </w14:textOutline>
              </w:rPr>
              <w:t>、固体废物</w:t>
            </w:r>
          </w:p>
          <w:p w14:paraId="73022B64">
            <w:pPr>
              <w:pStyle w:val="lh-2---"/>
              <w:numPr>
                <w:ilvl w:val="1"/>
                <w:numId w:val="0"/>
              </w:numPr>
              <w:ind w:firstLine="480" w:firstLineChars="200"/>
              <w:rPr>
                <w:rFonts w:ascii="Times New Roman" w:eastAsia="宋体" w:hAnsi="Times New Roman" w:cs="Times New Roman" w:hint="default"/>
                <w:b/>
                <w:bCs w:val="0"/>
                <w:color w:val="auto"/>
              </w:rPr>
            </w:pPr>
            <w:r>
              <w:rPr>
                <w:rFonts w:ascii="Times New Roman" w:eastAsia="宋体" w:hAnsi="Times New Roman" w:cs="Times New Roman" w:hint="default"/>
                <w:b/>
                <w:bCs w:val="0"/>
                <w:color w:val="auto"/>
                <w:lang w:val="en-US" w:eastAsia="zh-CN"/>
              </w:rPr>
              <w:t>3.</w:t>
            </w:r>
            <w:r>
              <w:rPr>
                <w:rFonts w:ascii="Times New Roman" w:eastAsia="宋体" w:hAnsi="Times New Roman" w:cs="Times New Roman" w:hint="default"/>
                <w:b/>
                <w:bCs w:val="0"/>
                <w:color w:val="auto"/>
              </w:rPr>
              <w:t>1.生活垃圾</w:t>
            </w:r>
          </w:p>
          <w:p w14:paraId="46EE283B">
            <w:pPr>
              <w:pStyle w:val="00005"/>
              <w:bidi w:val="0"/>
              <w:rPr>
                <w:rFonts w:hint="default"/>
                <w:color w:val="auto"/>
                <w:lang w:val="en-US" w:eastAsia="zh-CN"/>
              </w:rPr>
            </w:pPr>
            <w:r>
              <w:rPr>
                <w:rFonts w:hint="default"/>
                <w:color w:val="auto"/>
                <w:lang w:val="en-US" w:eastAsia="zh-CN"/>
              </w:rPr>
              <w:t>生活垃圾的产生量按下式计算：</w:t>
            </w:r>
          </w:p>
          <w:p w14:paraId="16D06DA6">
            <w:pPr>
              <w:pStyle w:val="00005"/>
              <w:bidi w:val="0"/>
              <w:rPr>
                <w:rFonts w:hint="default"/>
                <w:color w:val="auto"/>
                <w:lang w:val="en-US" w:eastAsia="zh-CN"/>
              </w:rPr>
            </w:pPr>
            <w:r>
              <w:rPr>
                <w:rFonts w:hint="default"/>
                <w:color w:val="auto"/>
                <w:lang w:val="en-US" w:eastAsia="zh-CN"/>
              </w:rPr>
              <w:t>V生=0.3fvN</w:t>
            </w:r>
          </w:p>
          <w:p w14:paraId="281E88BF">
            <w:pPr>
              <w:pStyle w:val="00005"/>
              <w:bidi w:val="0"/>
              <w:rPr>
                <w:rFonts w:hint="default"/>
                <w:color w:val="auto"/>
                <w:lang w:val="en-US" w:eastAsia="zh-CN"/>
              </w:rPr>
            </w:pPr>
            <w:r>
              <w:rPr>
                <w:rFonts w:hint="default"/>
                <w:color w:val="auto"/>
                <w:lang w:val="en-US" w:eastAsia="zh-CN"/>
              </w:rPr>
              <w:t>式中：V生——生活垃圾产生量t/a；</w:t>
            </w:r>
          </w:p>
          <w:p w14:paraId="715863C7">
            <w:pPr>
              <w:pStyle w:val="00005"/>
              <w:bidi w:val="0"/>
              <w:rPr>
                <w:rFonts w:hint="default"/>
                <w:color w:val="auto"/>
                <w:lang w:val="en-US" w:eastAsia="zh-CN"/>
              </w:rPr>
            </w:pPr>
            <w:r>
              <w:rPr>
                <w:rFonts w:hint="default"/>
                <w:color w:val="auto"/>
                <w:lang w:val="en-US" w:eastAsia="zh-CN"/>
              </w:rPr>
              <w:t>fv——排放系数，按0.5kg/人·d计；</w:t>
            </w:r>
          </w:p>
          <w:p w14:paraId="324E1BE4">
            <w:pPr>
              <w:pStyle w:val="00005"/>
              <w:bidi w:val="0"/>
              <w:rPr>
                <w:rFonts w:hint="default"/>
                <w:color w:val="auto"/>
                <w:lang w:val="en-US" w:eastAsia="zh-CN"/>
              </w:rPr>
            </w:pPr>
            <w:r>
              <w:rPr>
                <w:rFonts w:hint="default"/>
                <w:color w:val="auto"/>
                <w:lang w:val="en-US" w:eastAsia="zh-CN"/>
              </w:rPr>
              <w:t>N——员工数。</w:t>
            </w:r>
          </w:p>
          <w:p w14:paraId="57B7964B">
            <w:pPr>
              <w:pStyle w:val="00005"/>
              <w:bidi w:val="0"/>
              <w:rPr>
                <w:rFonts w:hint="default"/>
                <w:color w:val="auto"/>
                <w:lang w:val="en-US" w:eastAsia="zh-CN"/>
              </w:rPr>
            </w:pPr>
            <w:r>
              <w:rPr>
                <w:rFonts w:hint="default"/>
                <w:color w:val="auto"/>
                <w:lang w:val="en-US" w:eastAsia="zh-CN"/>
              </w:rPr>
              <w:t>本项目劳动定员为20人，由上式计算得，运营期生活垃圾产生量为3.65t/a，生活垃圾由周边村庄清运。</w:t>
            </w:r>
          </w:p>
          <w:p w14:paraId="1B39ECE2">
            <w:pPr>
              <w:pStyle w:val="lh-2---"/>
              <w:numPr>
                <w:ilvl w:val="1"/>
                <w:numId w:val="0"/>
              </w:numPr>
              <w:ind w:firstLine="480" w:firstLineChars="200"/>
              <w:rPr>
                <w:rFonts w:ascii="Times New Roman" w:eastAsia="宋体" w:hAnsi="Times New Roman" w:cs="Times New Roman" w:hint="default"/>
                <w:b/>
                <w:bCs w:val="0"/>
                <w:color w:val="auto"/>
                <w:lang w:val="en-US" w:eastAsia="zh-CN"/>
              </w:rPr>
            </w:pPr>
            <w:r>
              <w:rPr>
                <w:rFonts w:ascii="Times New Roman" w:eastAsia="宋体" w:hAnsi="Times New Roman" w:cs="Times New Roman" w:hint="default"/>
                <w:b/>
                <w:bCs w:val="0"/>
                <w:color w:val="auto"/>
                <w:lang w:val="en-US" w:eastAsia="zh-CN"/>
              </w:rPr>
              <w:t>3.2一般固体废物</w:t>
            </w:r>
          </w:p>
          <w:p w14:paraId="6A097F54">
            <w:pPr>
              <w:pStyle w:val="00005"/>
              <w:bidi w:val="0"/>
              <w:rPr>
                <w:rFonts w:hint="default"/>
                <w:color w:val="auto"/>
                <w:lang w:val="en-US"/>
              </w:rPr>
            </w:pPr>
            <w:r>
              <w:rPr>
                <w:rFonts w:hint="default"/>
                <w:color w:val="auto"/>
              </w:rPr>
              <w:t>项目产生的</w:t>
            </w:r>
            <w:r>
              <w:rPr>
                <w:rFonts w:hint="default"/>
                <w:color w:val="auto"/>
                <w:lang w:val="en-US" w:eastAsia="zh-CN"/>
              </w:rPr>
              <w:t>一般固体废物为更换下来的废磷酸铁锂电池，更换周期为</w:t>
            </w:r>
            <w:r>
              <w:rPr>
                <w:rFonts w:hint="eastAsia"/>
                <w:color w:val="auto"/>
                <w:lang w:val="en-US" w:eastAsia="zh-CN"/>
              </w:rPr>
              <w:t>10</w:t>
            </w:r>
            <w:r>
              <w:rPr>
                <w:rFonts w:hint="default"/>
                <w:color w:val="auto"/>
                <w:lang w:val="en-US" w:eastAsia="zh-CN"/>
              </w:rPr>
              <w:t>年，平均约20</w:t>
            </w:r>
            <w:r>
              <w:rPr>
                <w:rFonts w:hint="eastAsia"/>
                <w:color w:val="auto"/>
                <w:lang w:val="en-US" w:eastAsia="zh-CN"/>
              </w:rPr>
              <w:t>0</w:t>
            </w:r>
            <w:r>
              <w:rPr>
                <w:rFonts w:hint="default"/>
                <w:color w:val="auto"/>
                <w:lang w:val="en-US" w:eastAsia="zh-CN"/>
              </w:rPr>
              <w:t>t/a，</w:t>
            </w:r>
            <w:r>
              <w:rPr>
                <w:rFonts w:hint="eastAsia"/>
                <w:color w:val="auto"/>
                <w:lang w:val="en-US" w:eastAsia="zh-CN"/>
              </w:rPr>
              <w:t>可以</w:t>
            </w:r>
            <w:r>
              <w:rPr>
                <w:rFonts w:hint="default"/>
                <w:color w:val="auto"/>
                <w:lang w:val="en-US" w:eastAsia="zh-CN"/>
              </w:rPr>
              <w:t>梯次利用</w:t>
            </w:r>
            <w:r>
              <w:rPr>
                <w:rFonts w:hint="eastAsia"/>
                <w:color w:val="auto"/>
                <w:lang w:val="en-US" w:eastAsia="zh-CN"/>
              </w:rPr>
              <w:t>或</w:t>
            </w:r>
            <w:r>
              <w:rPr>
                <w:rFonts w:hint="default"/>
                <w:color w:val="auto"/>
                <w:lang w:val="en-US" w:eastAsia="zh-CN"/>
              </w:rPr>
              <w:t>物资回收公司进行</w:t>
            </w:r>
            <w:r>
              <w:rPr>
                <w:rFonts w:hint="eastAsia"/>
                <w:color w:val="auto"/>
                <w:lang w:val="en-US" w:eastAsia="zh-CN"/>
              </w:rPr>
              <w:t>回收再利用</w:t>
            </w:r>
            <w:r>
              <w:rPr>
                <w:rFonts w:hint="default"/>
                <w:color w:val="auto"/>
                <w:lang w:val="en-US" w:eastAsia="zh-CN"/>
              </w:rPr>
              <w:t>。</w:t>
            </w:r>
          </w:p>
          <w:p w14:paraId="484853EC">
            <w:pPr>
              <w:pStyle w:val="lh-2---"/>
              <w:numPr>
                <w:ilvl w:val="1"/>
                <w:numId w:val="0"/>
              </w:numPr>
              <w:ind w:firstLine="480" w:firstLineChars="200"/>
              <w:rPr>
                <w:rFonts w:ascii="Times New Roman" w:eastAsia="宋体" w:hAnsi="Times New Roman" w:cs="Times New Roman" w:hint="default"/>
                <w:b/>
                <w:bCs w:val="0"/>
                <w:color w:val="auto"/>
                <w:lang w:val="en-US" w:eastAsia="zh-CN"/>
              </w:rPr>
            </w:pPr>
            <w:r>
              <w:rPr>
                <w:rFonts w:ascii="Times New Roman" w:eastAsia="宋体" w:hAnsi="Times New Roman" w:cs="Times New Roman" w:hint="default"/>
                <w:b/>
                <w:bCs w:val="0"/>
                <w:color w:val="auto"/>
                <w:lang w:val="en-US" w:eastAsia="zh-CN"/>
              </w:rPr>
              <w:t>3.3危险废物</w:t>
            </w:r>
          </w:p>
          <w:p w14:paraId="0FED3641">
            <w:pPr>
              <w:pStyle w:val="00005"/>
              <w:bidi w:val="0"/>
              <w:rPr>
                <w:rFonts w:hint="default"/>
                <w:color w:val="auto"/>
              </w:rPr>
            </w:pPr>
            <w:r>
              <w:rPr>
                <w:rFonts w:hint="default"/>
                <w:color w:val="auto"/>
              </w:rPr>
              <w:t>项目产生的</w:t>
            </w:r>
            <w:r>
              <w:rPr>
                <w:rFonts w:hint="default"/>
                <w:color w:val="auto"/>
                <w:lang w:val="en-US" w:eastAsia="zh-CN"/>
              </w:rPr>
              <w:t>危险</w:t>
            </w:r>
            <w:r>
              <w:rPr>
                <w:rFonts w:hint="default"/>
                <w:color w:val="auto"/>
              </w:rPr>
              <w:t>废物包括废变压器油、</w:t>
            </w:r>
            <w:r>
              <w:rPr>
                <w:rFonts w:hint="eastAsia"/>
                <w:color w:val="auto"/>
                <w:lang w:val="en-US" w:eastAsia="zh-CN"/>
              </w:rPr>
              <w:t>废电解液、</w:t>
            </w:r>
            <w:r>
              <w:rPr>
                <w:rFonts w:hint="default"/>
                <w:color w:val="auto"/>
              </w:rPr>
              <w:t>废油桶</w:t>
            </w:r>
            <w:r>
              <w:rPr>
                <w:rFonts w:hint="default"/>
                <w:color w:val="auto"/>
                <w:lang w:eastAsia="zh-CN"/>
              </w:rPr>
              <w:t>、废抹布、手套</w:t>
            </w:r>
            <w:r>
              <w:rPr>
                <w:rFonts w:hint="default"/>
                <w:color w:val="auto"/>
              </w:rPr>
              <w:t>及废铅蓄电池。</w:t>
            </w:r>
          </w:p>
          <w:p w14:paraId="6188A1BE">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废变压器油（HW08，代码900-2</w:t>
            </w:r>
            <w:r>
              <w:rPr>
                <w:rFonts w:ascii="Times New Roman" w:eastAsia="宋体" w:hAnsi="Times New Roman" w:cs="Times New Roman" w:hint="default"/>
                <w:color w:val="auto"/>
                <w:lang w:val="en-US" w:eastAsia="zh-CN"/>
              </w:rPr>
              <w:t>20</w:t>
            </w:r>
            <w:r>
              <w:rPr>
                <w:rFonts w:ascii="Times New Roman" w:eastAsia="宋体" w:hAnsi="Times New Roman" w:cs="Times New Roman" w:hint="default"/>
                <w:color w:val="auto"/>
              </w:rPr>
              <w:t>-08）：变压器检修、更换</w:t>
            </w:r>
            <w:r>
              <w:rPr>
                <w:rFonts w:ascii="Times New Roman" w:eastAsia="宋体" w:hAnsi="Times New Roman" w:cs="Times New Roman" w:hint="default"/>
                <w:color w:val="auto"/>
                <w:lang w:val="en-US" w:eastAsia="zh-CN"/>
              </w:rPr>
              <w:t>及事故情况下</w:t>
            </w:r>
            <w:r>
              <w:rPr>
                <w:rFonts w:ascii="Times New Roman" w:eastAsia="宋体" w:hAnsi="Times New Roman" w:cs="Times New Roman" w:hint="default"/>
                <w:color w:val="auto"/>
              </w:rPr>
              <w:t>时会伴随产生废</w:t>
            </w:r>
            <w:r>
              <w:rPr>
                <w:rFonts w:ascii="Times New Roman" w:eastAsia="宋体" w:hAnsi="Times New Roman" w:cs="Times New Roman" w:hint="default"/>
                <w:color w:val="auto"/>
                <w:lang w:val="en-US" w:eastAsia="zh-CN"/>
              </w:rPr>
              <w:t>变压器油</w:t>
            </w:r>
            <w:r>
              <w:rPr>
                <w:rFonts w:ascii="Times New Roman" w:eastAsia="宋体" w:hAnsi="Times New Roman" w:cs="Times New Roman" w:hint="default"/>
                <w:color w:val="auto"/>
              </w:rPr>
              <w:t>，</w:t>
            </w:r>
            <w:r>
              <w:rPr>
                <w:rFonts w:ascii="Times New Roman" w:eastAsia="宋体" w:hAnsi="Times New Roman" w:cs="Times New Roman" w:hint="default"/>
                <w:color w:val="auto"/>
                <w:lang w:val="en-US" w:eastAsia="zh-CN"/>
              </w:rPr>
              <w:t>最大</w:t>
            </w:r>
            <w:r>
              <w:rPr>
                <w:rFonts w:ascii="Times New Roman" w:eastAsia="宋体" w:hAnsi="Times New Roman" w:cs="Times New Roman" w:hint="default"/>
                <w:color w:val="auto"/>
              </w:rPr>
              <w:t>产生量为</w:t>
            </w:r>
            <w:r>
              <w:rPr>
                <w:rFonts w:ascii="Times New Roman" w:eastAsia="宋体" w:hAnsi="Times New Roman" w:cs="Times New Roman" w:hint="default"/>
                <w:color w:val="auto"/>
                <w:lang w:val="en-US" w:eastAsia="zh-CN"/>
              </w:rPr>
              <w:t>60</w:t>
            </w:r>
            <w:r>
              <w:rPr>
                <w:rFonts w:ascii="Times New Roman" w:eastAsia="宋体" w:hAnsi="Times New Roman" w:cs="Times New Roman" w:hint="default"/>
                <w:color w:val="auto"/>
              </w:rPr>
              <w:t>t/a</w:t>
            </w:r>
            <w:r>
              <w:rPr>
                <w:rFonts w:cs="Times New Roman" w:hint="eastAsia"/>
                <w:color w:val="auto"/>
                <w:lang w:val="en-US" w:eastAsia="zh-CN"/>
              </w:rPr>
              <w:t>体积约62</w:t>
            </w:r>
            <w:r>
              <w:rPr>
                <w:rFonts w:ascii="Times New Roman" w:eastAsia="宋体" w:hAnsi="Times New Roman" w:cs="Times New Roman" w:hint="default"/>
                <w:color w:val="auto"/>
              </w:rPr>
              <w:t>m</w:t>
            </w:r>
            <w:r>
              <w:rPr>
                <w:rFonts w:ascii="Times New Roman" w:eastAsia="宋体" w:hAnsi="Times New Roman" w:cs="Times New Roman" w:hint="default"/>
                <w:color w:val="auto"/>
                <w:vertAlign w:val="superscript"/>
              </w:rPr>
              <w:t>3</w:t>
            </w:r>
            <w:r>
              <w:rPr>
                <w:rFonts w:ascii="Times New Roman" w:eastAsia="宋体" w:hAnsi="Times New Roman" w:cs="Times New Roman" w:hint="default"/>
                <w:color w:val="auto"/>
              </w:rPr>
              <w:t>，本项目站内主变场地设置有效容积为</w:t>
            </w:r>
            <w:r>
              <w:rPr>
                <w:rFonts w:ascii="Times New Roman" w:eastAsia="宋体" w:hAnsi="Times New Roman" w:cs="Times New Roman" w:hint="default"/>
                <w:color w:val="auto"/>
                <w:lang w:val="en-US" w:eastAsia="zh-CN"/>
              </w:rPr>
              <w:t>120</w:t>
            </w:r>
            <w:r>
              <w:rPr>
                <w:rFonts w:ascii="Times New Roman" w:eastAsia="宋体" w:hAnsi="Times New Roman" w:cs="Times New Roman" w:hint="default"/>
                <w:color w:val="auto"/>
              </w:rPr>
              <w:t>m</w:t>
            </w:r>
            <w:r>
              <w:rPr>
                <w:rFonts w:ascii="Times New Roman" w:eastAsia="宋体" w:hAnsi="Times New Roman" w:cs="Times New Roman" w:hint="default"/>
                <w:color w:val="auto"/>
                <w:vertAlign w:val="superscript"/>
              </w:rPr>
              <w:t>3</w:t>
            </w:r>
            <w:r>
              <w:rPr>
                <w:rFonts w:ascii="Times New Roman" w:eastAsia="宋体" w:hAnsi="Times New Roman" w:cs="Times New Roman" w:hint="default"/>
                <w:color w:val="auto"/>
              </w:rPr>
              <w:t>的事故油池一座</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rPr>
              <w:t>四壁及底面均采用三层防渗措施，</w:t>
            </w:r>
            <w:r>
              <w:rPr>
                <w:rFonts w:cs="Times New Roman" w:hint="eastAsia"/>
                <w:color w:val="auto"/>
                <w:lang w:val="en-US" w:eastAsia="zh-CN"/>
              </w:rPr>
              <w:t>收集后</w:t>
            </w:r>
            <w:r>
              <w:rPr>
                <w:rFonts w:ascii="Times New Roman" w:eastAsia="宋体" w:hAnsi="Times New Roman" w:cs="Times New Roman" w:hint="default"/>
                <w:color w:val="auto"/>
              </w:rPr>
              <w:t>送有资质单位处置。</w:t>
            </w:r>
          </w:p>
          <w:p w14:paraId="07BBDEF4">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lang w:val="en-US" w:eastAsia="zh-CN"/>
              </w:rPr>
              <w:t>补充变压器油产生的</w:t>
            </w:r>
            <w:r>
              <w:rPr>
                <w:rFonts w:ascii="Times New Roman" w:eastAsia="宋体" w:hAnsi="Times New Roman" w:cs="Times New Roman" w:hint="default"/>
                <w:color w:val="auto"/>
              </w:rPr>
              <w:t>废油桶（HW08，代码900-249-08）：产生量约为</w:t>
            </w:r>
            <w:r>
              <w:rPr>
                <w:rFonts w:ascii="Times New Roman" w:eastAsia="宋体" w:hAnsi="Times New Roman" w:cs="Times New Roman" w:hint="default"/>
                <w:color w:val="auto"/>
                <w:lang w:val="en-US" w:eastAsia="zh-CN"/>
              </w:rPr>
              <w:t>0.1</w:t>
            </w:r>
            <w:r>
              <w:rPr>
                <w:rFonts w:ascii="Times New Roman" w:eastAsia="宋体" w:hAnsi="Times New Roman" w:cs="Times New Roman" w:hint="default"/>
                <w:color w:val="auto"/>
              </w:rPr>
              <w:t>t/a ，暂时储存于危废暂存间，定期送有资质单位处置。</w:t>
            </w:r>
          </w:p>
          <w:p w14:paraId="2E68790C">
            <w:pPr>
              <w:pStyle w:val="00005"/>
              <w:bidi w:val="0"/>
              <w:rPr>
                <w:rFonts w:ascii="Times New Roman" w:eastAsia="宋体" w:hAnsi="Times New Roman" w:cs="Times New Roman" w:hint="eastAsia"/>
                <w:color w:val="auto"/>
                <w:lang w:val="en-US" w:eastAsia="zh-CN"/>
              </w:rPr>
            </w:pPr>
            <w:r>
              <w:rPr>
                <w:rFonts w:cs="Times New Roman" w:hint="eastAsia"/>
                <w:color w:val="auto"/>
                <w:lang w:val="en-US" w:eastAsia="zh-CN"/>
              </w:rPr>
              <w:t>废电解液（</w:t>
            </w:r>
            <w:r>
              <w:rPr>
                <w:rFonts w:ascii="Times New Roman" w:eastAsia="宋体" w:hAnsi="Times New Roman" w:cs="Times New Roman" w:hint="default"/>
                <w:color w:val="auto"/>
              </w:rPr>
              <w:t>HW</w:t>
            </w:r>
            <w:r>
              <w:rPr>
                <w:rFonts w:ascii="Times New Roman" w:eastAsia="宋体" w:hAnsi="Times New Roman" w:cs="Times New Roman" w:hint="eastAsia"/>
                <w:color w:val="auto"/>
                <w:lang w:val="en-US" w:eastAsia="zh-CN"/>
              </w:rPr>
              <w:t>34</w:t>
            </w:r>
            <w:r>
              <w:rPr>
                <w:rFonts w:ascii="Times New Roman" w:eastAsia="宋体" w:hAnsi="Times New Roman" w:cs="Times New Roman" w:hint="default"/>
                <w:color w:val="auto"/>
              </w:rPr>
              <w:t>，代码</w:t>
            </w:r>
            <w:r>
              <w:rPr>
                <w:rFonts w:cs="Times New Roman" w:hint="eastAsia"/>
                <w:color w:val="auto"/>
                <w:lang w:val="en-US" w:eastAsia="zh-CN"/>
              </w:rPr>
              <w:t>900-349-34）</w:t>
            </w:r>
            <w:r>
              <w:rPr>
                <w:rFonts w:ascii="Times New Roman" w:eastAsia="宋体" w:hAnsi="Times New Roman" w:cs="Times New Roman" w:hint="eastAsia"/>
                <w:color w:val="auto"/>
                <w:lang w:val="en-US" w:eastAsia="zh-CN"/>
              </w:rPr>
              <w:t>液流电池</w:t>
            </w:r>
            <w:r>
              <w:rPr>
                <w:rFonts w:ascii="Times New Roman" w:eastAsia="宋体" w:hAnsi="Times New Roman" w:cs="Times New Roman" w:hint="default"/>
                <w:color w:val="auto"/>
              </w:rPr>
              <w:t>检修、更换</w:t>
            </w:r>
            <w:r>
              <w:rPr>
                <w:rFonts w:ascii="Times New Roman" w:eastAsia="宋体" w:hAnsi="Times New Roman" w:cs="Times New Roman" w:hint="default"/>
                <w:color w:val="auto"/>
                <w:lang w:val="en-US" w:eastAsia="zh-CN"/>
              </w:rPr>
              <w:t>及事故情况下</w:t>
            </w:r>
            <w:r>
              <w:rPr>
                <w:rFonts w:ascii="Times New Roman" w:eastAsia="宋体" w:hAnsi="Times New Roman" w:cs="Times New Roman" w:hint="default"/>
                <w:color w:val="auto"/>
              </w:rPr>
              <w:t>时会伴随产生废</w:t>
            </w:r>
            <w:r>
              <w:rPr>
                <w:rFonts w:cs="Times New Roman" w:hint="eastAsia"/>
                <w:color w:val="auto"/>
                <w:lang w:val="en-US" w:eastAsia="zh-CN"/>
              </w:rPr>
              <w:t>废电解液，单次</w:t>
            </w:r>
            <w:r>
              <w:rPr>
                <w:rFonts w:ascii="Times New Roman" w:eastAsia="宋体" w:hAnsi="Times New Roman" w:cs="Times New Roman" w:hint="default"/>
                <w:color w:val="auto"/>
                <w:lang w:val="en-US" w:eastAsia="zh-CN"/>
              </w:rPr>
              <w:t>最大</w:t>
            </w:r>
            <w:r>
              <w:rPr>
                <w:rFonts w:ascii="Times New Roman" w:eastAsia="宋体" w:hAnsi="Times New Roman" w:cs="Times New Roman" w:hint="default"/>
                <w:color w:val="auto"/>
              </w:rPr>
              <w:t>产生量约为</w:t>
            </w:r>
            <w:r>
              <w:rPr>
                <w:rFonts w:ascii="Times New Roman" w:eastAsia="宋体" w:hAnsi="Times New Roman" w:cs="Times New Roman" w:hint="eastAsia"/>
                <w:color w:val="auto"/>
                <w:lang w:val="en-US" w:eastAsia="zh-CN"/>
              </w:rPr>
              <w:t>43.75</w:t>
            </w:r>
            <w:r>
              <w:rPr>
                <w:rFonts w:ascii="Times New Roman" w:eastAsia="宋体" w:hAnsi="Times New Roman" w:cs="Times New Roman" w:hint="default"/>
                <w:color w:val="auto"/>
              </w:rPr>
              <w:t>t/a，</w:t>
            </w:r>
            <w:r>
              <w:rPr>
                <w:rFonts w:cs="Times New Roman" w:hint="eastAsia"/>
                <w:color w:val="auto"/>
                <w:lang w:val="en-US" w:eastAsia="zh-CN"/>
              </w:rPr>
              <w:t>体积约31.25</w:t>
            </w:r>
            <w:r>
              <w:rPr>
                <w:rFonts w:ascii="Times New Roman" w:eastAsia="宋体" w:hAnsi="Times New Roman" w:cs="Times New Roman" w:hint="default"/>
                <w:color w:val="auto"/>
              </w:rPr>
              <w:t>m</w:t>
            </w:r>
            <w:r>
              <w:rPr>
                <w:rFonts w:ascii="Times New Roman" w:eastAsia="宋体" w:hAnsi="Times New Roman" w:cs="Times New Roman" w:hint="default"/>
                <w:color w:val="auto"/>
                <w:vertAlign w:val="superscript"/>
              </w:rPr>
              <w:t>3</w:t>
            </w:r>
            <w:r>
              <w:rPr>
                <w:rFonts w:ascii="Times New Roman" w:eastAsia="宋体" w:hAnsi="Times New Roman" w:cs="Times New Roman" w:hint="default"/>
                <w:color w:val="auto"/>
              </w:rPr>
              <w:t>本项目</w:t>
            </w:r>
            <w:r>
              <w:rPr>
                <w:rFonts w:ascii="Times New Roman" w:eastAsia="宋体" w:hAnsi="Times New Roman" w:cs="Times New Roman" w:hint="eastAsia"/>
                <w:color w:val="auto"/>
                <w:lang w:val="en-US" w:eastAsia="zh-CN"/>
              </w:rPr>
              <w:t>液流电池区设有容积为62.5</w:t>
            </w:r>
            <w:r>
              <w:rPr>
                <w:rFonts w:ascii="Times New Roman" w:eastAsia="宋体" w:hAnsi="Times New Roman" w:cs="Times New Roman" w:hint="default"/>
                <w:color w:val="auto"/>
              </w:rPr>
              <w:t>m</w:t>
            </w:r>
            <w:r>
              <w:rPr>
                <w:rFonts w:ascii="Times New Roman" w:eastAsia="宋体" w:hAnsi="Times New Roman" w:cs="Times New Roman" w:hint="default"/>
                <w:color w:val="auto"/>
                <w:vertAlign w:val="superscript"/>
              </w:rPr>
              <w:t>3</w:t>
            </w:r>
            <w:r>
              <w:rPr>
                <w:rFonts w:ascii="Times New Roman" w:eastAsia="宋体" w:hAnsi="Times New Roman" w:cs="Times New Roman" w:hint="default"/>
                <w:color w:val="auto"/>
              </w:rPr>
              <w:t>事故池一座</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rPr>
              <w:t>四壁及底面均采用三层</w:t>
            </w:r>
            <w:r>
              <w:rPr>
                <w:rFonts w:ascii="Times New Roman" w:eastAsia="宋体" w:hAnsi="Times New Roman" w:cs="Times New Roman" w:hint="eastAsia"/>
                <w:color w:val="auto"/>
                <w:lang w:val="en-US" w:eastAsia="zh-CN"/>
              </w:rPr>
              <w:t>防腐</w:t>
            </w:r>
            <w:r>
              <w:rPr>
                <w:rFonts w:ascii="Times New Roman" w:eastAsia="宋体" w:hAnsi="Times New Roman" w:cs="Times New Roman" w:hint="default"/>
                <w:color w:val="auto"/>
              </w:rPr>
              <w:t>防渗措施，</w:t>
            </w:r>
            <w:r>
              <w:rPr>
                <w:rFonts w:ascii="Times New Roman" w:eastAsia="宋体" w:hAnsi="Times New Roman" w:cs="Times New Roman" w:hint="eastAsia"/>
                <w:color w:val="auto"/>
                <w:lang w:val="en-US" w:eastAsia="zh-CN"/>
              </w:rPr>
              <w:t>收集后</w:t>
            </w:r>
            <w:r>
              <w:rPr>
                <w:rFonts w:ascii="Times New Roman" w:eastAsia="宋体" w:hAnsi="Times New Roman" w:cs="Times New Roman" w:hint="default"/>
                <w:color w:val="auto"/>
              </w:rPr>
              <w:t>送有资质单位处置</w:t>
            </w:r>
            <w:r>
              <w:rPr>
                <w:rFonts w:ascii="Times New Roman" w:eastAsia="宋体" w:hAnsi="Times New Roman" w:cs="Times New Roman" w:hint="eastAsia"/>
                <w:color w:val="auto"/>
                <w:lang w:eastAsia="zh-CN"/>
              </w:rPr>
              <w:t>。</w:t>
            </w:r>
          </w:p>
          <w:p w14:paraId="5D42873B">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lang w:val="en-US" w:eastAsia="zh-CN"/>
              </w:rPr>
              <w:t>废抹布、手套</w:t>
            </w:r>
            <w:r>
              <w:rPr>
                <w:rFonts w:ascii="Times New Roman" w:eastAsia="宋体" w:hAnsi="Times New Roman" w:cs="Times New Roman" w:hint="default"/>
                <w:color w:val="auto"/>
              </w:rPr>
              <w:t>（HW</w:t>
            </w:r>
            <w:r>
              <w:rPr>
                <w:rFonts w:ascii="Times New Roman" w:eastAsia="宋体" w:hAnsi="Times New Roman" w:cs="Times New Roman" w:hint="default"/>
                <w:color w:val="auto"/>
                <w:lang w:val="en-US" w:eastAsia="zh-CN"/>
              </w:rPr>
              <w:t>49</w:t>
            </w:r>
            <w:r>
              <w:rPr>
                <w:rFonts w:ascii="Times New Roman" w:eastAsia="宋体" w:hAnsi="Times New Roman" w:cs="Times New Roman" w:hint="default"/>
                <w:color w:val="auto"/>
              </w:rPr>
              <w:t>，代码900-041-49）：本项目</w:t>
            </w:r>
            <w:r>
              <w:rPr>
                <w:rFonts w:ascii="Times New Roman" w:eastAsia="宋体" w:hAnsi="Times New Roman" w:cs="Times New Roman" w:hint="default"/>
                <w:color w:val="auto"/>
                <w:lang w:val="en-US" w:eastAsia="zh-CN"/>
              </w:rPr>
              <w:t>储能站</w:t>
            </w:r>
            <w:r>
              <w:rPr>
                <w:rFonts w:ascii="Times New Roman" w:eastAsia="宋体" w:hAnsi="Times New Roman" w:cs="Times New Roman" w:hint="default"/>
                <w:color w:val="auto"/>
              </w:rPr>
              <w:t>内</w:t>
            </w:r>
            <w:r>
              <w:rPr>
                <w:rFonts w:ascii="Times New Roman" w:eastAsia="宋体" w:hAnsi="Times New Roman" w:cs="Times New Roman" w:hint="default"/>
                <w:color w:val="auto"/>
                <w:lang w:val="en-US" w:eastAsia="zh-CN"/>
              </w:rPr>
              <w:t>维护保养过程产生的沾染油类的废抹布、手套</w:t>
            </w:r>
            <w:r>
              <w:rPr>
                <w:rFonts w:ascii="Times New Roman" w:eastAsia="宋体" w:hAnsi="Times New Roman" w:cs="Times New Roman" w:hint="default"/>
                <w:color w:val="auto"/>
              </w:rPr>
              <w:t>。</w:t>
            </w:r>
            <w:r>
              <w:rPr>
                <w:rFonts w:ascii="Times New Roman" w:eastAsia="宋体" w:hAnsi="Times New Roman" w:cs="Times New Roman" w:hint="default"/>
                <w:color w:val="auto"/>
                <w:lang w:val="en-US" w:eastAsia="zh-CN"/>
              </w:rPr>
              <w:t>产生量</w:t>
            </w:r>
            <w:r>
              <w:rPr>
                <w:rFonts w:ascii="Times New Roman" w:eastAsia="宋体" w:hAnsi="Times New Roman" w:cs="Times New Roman" w:hint="default"/>
                <w:color w:val="auto"/>
              </w:rPr>
              <w:t>为</w:t>
            </w:r>
            <w:r>
              <w:rPr>
                <w:rFonts w:ascii="Times New Roman" w:eastAsia="宋体" w:hAnsi="Times New Roman" w:cs="Times New Roman" w:hint="default"/>
                <w:color w:val="auto"/>
                <w:lang w:val="en-US" w:eastAsia="zh-CN"/>
              </w:rPr>
              <w:t>0.1</w:t>
            </w:r>
            <w:r>
              <w:rPr>
                <w:rFonts w:ascii="Times New Roman" w:eastAsia="宋体" w:hAnsi="Times New Roman" w:cs="Times New Roman" w:hint="default"/>
                <w:color w:val="auto"/>
              </w:rPr>
              <w:t>t/a暂时储存于危废暂存间，定期送有资质单位处置。</w:t>
            </w:r>
          </w:p>
          <w:p w14:paraId="5EAE1757">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废铅蓄电池（HW31，代码900-052-31）：本项目</w:t>
            </w:r>
            <w:r>
              <w:rPr>
                <w:rFonts w:ascii="Times New Roman" w:eastAsia="宋体" w:hAnsi="Times New Roman" w:cs="Times New Roman" w:hint="default"/>
                <w:color w:val="auto"/>
                <w:lang w:val="en-US" w:eastAsia="zh-CN"/>
              </w:rPr>
              <w:t>储能站</w:t>
            </w:r>
            <w:r>
              <w:rPr>
                <w:rFonts w:ascii="Times New Roman" w:eastAsia="宋体" w:hAnsi="Times New Roman" w:cs="Times New Roman" w:hint="default"/>
                <w:color w:val="auto"/>
              </w:rPr>
              <w:t>内应急电源为铅蓄电池</w:t>
            </w:r>
            <w:r>
              <w:rPr>
                <w:rFonts w:cs="Times New Roman" w:hint="eastAsia"/>
                <w:color w:val="auto"/>
                <w:lang w:val="en-US" w:eastAsia="zh-CN"/>
              </w:rPr>
              <w:t>两组，每组由104块规格为2V600Ah的铅蓄电池出组成，单个重量为43kg合计约9t，</w:t>
            </w:r>
            <w:r>
              <w:rPr>
                <w:rFonts w:ascii="Times New Roman" w:eastAsia="宋体" w:hAnsi="Times New Roman" w:cs="Times New Roman" w:hint="default"/>
                <w:color w:val="auto"/>
              </w:rPr>
              <w:t>每</w:t>
            </w:r>
            <w:r>
              <w:rPr>
                <w:rFonts w:ascii="Times New Roman" w:eastAsia="宋体" w:hAnsi="Times New Roman" w:cs="Times New Roman" w:hint="default"/>
                <w:color w:val="auto"/>
                <w:lang w:val="en-US" w:eastAsia="zh-CN"/>
              </w:rPr>
              <w:t>6</w:t>
            </w:r>
            <w:r>
              <w:rPr>
                <w:rFonts w:ascii="Times New Roman" w:eastAsia="宋体" w:hAnsi="Times New Roman" w:cs="Times New Roman" w:hint="default"/>
                <w:color w:val="auto"/>
              </w:rPr>
              <w:t>年更换一次，</w:t>
            </w:r>
            <w:r>
              <w:rPr>
                <w:rFonts w:cs="Times New Roman" w:hint="eastAsia"/>
                <w:color w:val="auto"/>
                <w:lang w:val="en-US" w:eastAsia="zh-CN"/>
              </w:rPr>
              <w:t>产生</w:t>
            </w:r>
            <w:r>
              <w:rPr>
                <w:rFonts w:ascii="Times New Roman" w:eastAsia="宋体" w:hAnsi="Times New Roman" w:cs="Times New Roman" w:hint="default"/>
                <w:color w:val="auto"/>
              </w:rPr>
              <w:t>量为</w:t>
            </w:r>
            <w:r>
              <w:rPr>
                <w:rFonts w:cs="Times New Roman" w:hint="eastAsia"/>
                <w:color w:val="auto"/>
                <w:lang w:val="en-US" w:eastAsia="zh-CN"/>
              </w:rPr>
              <w:t>9</w:t>
            </w:r>
            <w:r>
              <w:rPr>
                <w:rFonts w:ascii="Times New Roman" w:eastAsia="宋体" w:hAnsi="Times New Roman" w:cs="Times New Roman" w:hint="default"/>
                <w:color w:val="auto"/>
              </w:rPr>
              <w:t>t/</w:t>
            </w:r>
            <w:r>
              <w:rPr>
                <w:rFonts w:cs="Times New Roman" w:hint="eastAsia"/>
                <w:color w:val="auto"/>
                <w:lang w:val="en-US" w:eastAsia="zh-CN"/>
              </w:rPr>
              <w:t>6</w:t>
            </w:r>
            <w:r>
              <w:rPr>
                <w:rFonts w:ascii="Times New Roman" w:eastAsia="宋体" w:hAnsi="Times New Roman" w:cs="Times New Roman" w:hint="default"/>
                <w:color w:val="auto"/>
              </w:rPr>
              <w:t>a。废铅蓄电池暂时储存于危废暂存间，定期送有资质单位处置。</w:t>
            </w:r>
          </w:p>
          <w:p w14:paraId="3A48CCFF">
            <w:pPr>
              <w:ind w:firstLine="0" w:firstLineChars="0"/>
              <w:jc w:val="center"/>
              <w:rPr>
                <w:rFonts w:ascii="Times New Roman" w:eastAsia="宋体" w:hAnsi="Times New Roman" w:cs="Times New Roman" w:hint="default"/>
                <w:b/>
                <w:bCs/>
                <w:color w:val="auto"/>
              </w:rPr>
            </w:pPr>
            <w:r>
              <w:rPr>
                <w:rFonts w:ascii="Times New Roman" w:eastAsia="宋体" w:hAnsi="Times New Roman" w:cs="Times New Roman" w:hint="default"/>
                <w:b/>
                <w:bCs/>
                <w:color w:val="auto"/>
              </w:rPr>
              <w:t>表4-2</w:t>
            </w:r>
            <w:r>
              <w:rPr>
                <w:rFonts w:ascii="Times New Roman" w:eastAsia="宋体" w:hAnsi="Times New Roman" w:cs="Times New Roman" w:hint="default"/>
                <w:b/>
                <w:bCs/>
                <w:color w:val="auto"/>
                <w:lang w:val="en-US" w:eastAsia="zh-CN"/>
              </w:rPr>
              <w:t>3</w:t>
            </w:r>
            <w:r>
              <w:rPr>
                <w:rFonts w:ascii="Times New Roman" w:eastAsia="宋体" w:hAnsi="Times New Roman" w:cs="Times New Roman" w:hint="default"/>
                <w:b/>
                <w:bCs/>
                <w:color w:val="auto"/>
              </w:rPr>
              <w:t xml:space="preserve"> 危险废物汇总一览表</w:t>
            </w:r>
          </w:p>
          <w:tbl>
            <w:tblPr>
              <w:tblStyle w:val="TableNormal"/>
              <w:tblW w:w="499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849"/>
              <w:gridCol w:w="784"/>
              <w:gridCol w:w="1068"/>
              <w:gridCol w:w="647"/>
              <w:gridCol w:w="1004"/>
              <w:gridCol w:w="648"/>
              <w:gridCol w:w="718"/>
              <w:gridCol w:w="730"/>
              <w:gridCol w:w="621"/>
              <w:gridCol w:w="524"/>
              <w:gridCol w:w="904"/>
            </w:tblGrid>
            <w:tr w14:paraId="1B39A7C2">
              <w:tblPrEx>
                <w:tblW w:w="499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rPr>
                <w:trHeight w:val="988"/>
              </w:trPr>
              <w:tc>
                <w:tcPr>
                  <w:tcW w:w="499" w:type="pct"/>
                  <w:noWrap w:val="0"/>
                  <w:vAlign w:val="center"/>
                </w:tcPr>
                <w:p w14:paraId="06BFB7B5">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危险废物名称</w:t>
                  </w:r>
                </w:p>
              </w:tc>
              <w:tc>
                <w:tcPr>
                  <w:tcW w:w="461" w:type="pct"/>
                  <w:noWrap w:val="0"/>
                  <w:vAlign w:val="center"/>
                </w:tcPr>
                <w:p w14:paraId="5023A38C">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危险废物类别</w:t>
                  </w:r>
                </w:p>
              </w:tc>
              <w:tc>
                <w:tcPr>
                  <w:tcW w:w="628" w:type="pct"/>
                  <w:noWrap w:val="0"/>
                  <w:vAlign w:val="center"/>
                </w:tcPr>
                <w:p w14:paraId="520FA2EE">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危险废物代码</w:t>
                  </w:r>
                </w:p>
              </w:tc>
              <w:tc>
                <w:tcPr>
                  <w:tcW w:w="380" w:type="pct"/>
                  <w:noWrap w:val="0"/>
                  <w:vAlign w:val="center"/>
                </w:tcPr>
                <w:p w14:paraId="6D2001E1">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产生量</w:t>
                  </w:r>
                </w:p>
                <w:p w14:paraId="367A5907">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t/a</w:t>
                  </w:r>
                </w:p>
              </w:tc>
              <w:tc>
                <w:tcPr>
                  <w:tcW w:w="590" w:type="pct"/>
                  <w:noWrap w:val="0"/>
                  <w:vAlign w:val="center"/>
                </w:tcPr>
                <w:p w14:paraId="22EE8F12">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产生工序及装置</w:t>
                  </w:r>
                </w:p>
              </w:tc>
              <w:tc>
                <w:tcPr>
                  <w:tcW w:w="381" w:type="pct"/>
                  <w:noWrap w:val="0"/>
                  <w:vAlign w:val="center"/>
                </w:tcPr>
                <w:p w14:paraId="05187153">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形态</w:t>
                  </w:r>
                </w:p>
              </w:tc>
              <w:tc>
                <w:tcPr>
                  <w:tcW w:w="422" w:type="pct"/>
                  <w:noWrap w:val="0"/>
                  <w:vAlign w:val="center"/>
                </w:tcPr>
                <w:p w14:paraId="609C0A3D">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主要成分</w:t>
                  </w:r>
                </w:p>
              </w:tc>
              <w:tc>
                <w:tcPr>
                  <w:tcW w:w="429" w:type="pct"/>
                  <w:noWrap w:val="0"/>
                  <w:vAlign w:val="center"/>
                </w:tcPr>
                <w:p w14:paraId="074E65E2">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有害成分</w:t>
                  </w:r>
                </w:p>
              </w:tc>
              <w:tc>
                <w:tcPr>
                  <w:tcW w:w="365" w:type="pct"/>
                  <w:noWrap w:val="0"/>
                  <w:vAlign w:val="center"/>
                </w:tcPr>
                <w:p w14:paraId="0D981B83">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产废周期</w:t>
                  </w:r>
                </w:p>
              </w:tc>
              <w:tc>
                <w:tcPr>
                  <w:tcW w:w="308" w:type="pct"/>
                  <w:noWrap w:val="0"/>
                  <w:vAlign w:val="center"/>
                </w:tcPr>
                <w:p w14:paraId="7A3ACDB5">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危险特性</w:t>
                  </w:r>
                </w:p>
              </w:tc>
              <w:tc>
                <w:tcPr>
                  <w:tcW w:w="531" w:type="pct"/>
                  <w:noWrap w:val="0"/>
                  <w:vAlign w:val="center"/>
                </w:tcPr>
                <w:p w14:paraId="600B63AC">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污染防治措施</w:t>
                  </w:r>
                </w:p>
              </w:tc>
            </w:tr>
            <w:tr w14:paraId="65512627">
              <w:tblPrEx>
                <w:tblW w:w="4990" w:type="pct"/>
                <w:tblInd w:w="0" w:type="dxa"/>
                <w:tblCellMar>
                  <w:top w:w="0" w:type="dxa"/>
                  <w:left w:w="0" w:type="dxa"/>
                  <w:bottom w:w="0" w:type="dxa"/>
                  <w:right w:w="0" w:type="dxa"/>
                </w:tblCellMar>
              </w:tblPrEx>
              <w:trPr>
                <w:trHeight w:val="988"/>
              </w:trPr>
              <w:tc>
                <w:tcPr>
                  <w:tcW w:w="499" w:type="pct"/>
                  <w:noWrap w:val="0"/>
                  <w:vAlign w:val="center"/>
                </w:tcPr>
                <w:p w14:paraId="2C400D8A">
                  <w:pPr>
                    <w:ind w:firstLine="0" w:firstLineChars="0"/>
                    <w:jc w:val="center"/>
                    <w:rPr>
                      <w:rFonts w:ascii="Times New Roman" w:eastAsia="宋体" w:hAnsi="Times New Roman" w:cs="Times New Roman" w:hint="default"/>
                      <w:color w:val="auto"/>
                      <w:kern w:val="2"/>
                      <w:sz w:val="21"/>
                      <w:szCs w:val="21"/>
                      <w:lang w:val="en-US" w:eastAsia="zh-CN" w:bidi="ar-SA"/>
                    </w:rPr>
                  </w:pPr>
                  <w:r>
                    <w:rPr>
                      <w:rFonts w:ascii="Times New Roman" w:eastAsia="宋体" w:hAnsi="Times New Roman" w:cs="Times New Roman" w:hint="default"/>
                      <w:color w:val="auto"/>
                      <w:sz w:val="21"/>
                      <w:szCs w:val="21"/>
                    </w:rPr>
                    <w:t>废抹布</w:t>
                  </w:r>
                  <w:r>
                    <w:rPr>
                      <w:rFonts w:ascii="Times New Roman" w:eastAsia="宋体" w:hAnsi="Times New Roman" w:cs="Times New Roman" w:hint="default"/>
                      <w:color w:val="auto"/>
                      <w:sz w:val="21"/>
                      <w:szCs w:val="21"/>
                      <w:lang w:eastAsia="zh-CN"/>
                    </w:rPr>
                    <w:t>、</w:t>
                  </w:r>
                  <w:r>
                    <w:rPr>
                      <w:rFonts w:ascii="Times New Roman" w:eastAsia="宋体" w:hAnsi="Times New Roman" w:cs="Times New Roman" w:hint="default"/>
                      <w:color w:val="auto"/>
                      <w:sz w:val="21"/>
                      <w:szCs w:val="21"/>
                      <w:lang w:val="en-US" w:eastAsia="zh-CN"/>
                    </w:rPr>
                    <w:t>手套</w:t>
                  </w:r>
                </w:p>
              </w:tc>
              <w:tc>
                <w:tcPr>
                  <w:tcW w:w="461" w:type="pct"/>
                  <w:noWrap w:val="0"/>
                  <w:vAlign w:val="center"/>
                </w:tcPr>
                <w:p w14:paraId="50A1B4B5">
                  <w:pPr>
                    <w:spacing w:line="240" w:lineRule="auto"/>
                    <w:ind w:firstLine="0" w:firstLineChars="0"/>
                    <w:jc w:val="center"/>
                    <w:rPr>
                      <w:rFonts w:ascii="Times New Roman" w:eastAsia="宋体" w:hAnsi="Times New Roman" w:cs="Times New Roman" w:hint="default"/>
                      <w:color w:val="auto"/>
                      <w:kern w:val="2"/>
                      <w:sz w:val="21"/>
                      <w:szCs w:val="21"/>
                      <w:lang w:val="en-US" w:eastAsia="zh-CN" w:bidi="ar-SA"/>
                    </w:rPr>
                  </w:pPr>
                  <w:r>
                    <w:rPr>
                      <w:rFonts w:ascii="Times New Roman" w:eastAsia="宋体" w:hAnsi="Times New Roman" w:cs="Times New Roman" w:hint="default"/>
                      <w:color w:val="auto"/>
                      <w:sz w:val="21"/>
                      <w:szCs w:val="21"/>
                    </w:rPr>
                    <w:t>HW49</w:t>
                  </w:r>
                </w:p>
              </w:tc>
              <w:tc>
                <w:tcPr>
                  <w:tcW w:w="628" w:type="pct"/>
                  <w:noWrap w:val="0"/>
                  <w:vAlign w:val="center"/>
                </w:tcPr>
                <w:p w14:paraId="4066C2C0">
                  <w:pPr>
                    <w:spacing w:line="240" w:lineRule="auto"/>
                    <w:ind w:firstLine="0" w:firstLineChars="0"/>
                    <w:jc w:val="center"/>
                    <w:rPr>
                      <w:rFonts w:ascii="Times New Roman" w:eastAsia="宋体" w:hAnsi="Times New Roman" w:cs="Times New Roman" w:hint="default"/>
                      <w:color w:val="auto"/>
                      <w:kern w:val="2"/>
                      <w:sz w:val="21"/>
                      <w:szCs w:val="21"/>
                      <w:lang w:val="en-US" w:eastAsia="zh-CN" w:bidi="ar-SA"/>
                    </w:rPr>
                  </w:pPr>
                  <w:r>
                    <w:rPr>
                      <w:rFonts w:ascii="Times New Roman" w:eastAsia="宋体" w:hAnsi="Times New Roman" w:cs="Times New Roman" w:hint="default"/>
                      <w:color w:val="auto"/>
                      <w:sz w:val="21"/>
                      <w:szCs w:val="21"/>
                    </w:rPr>
                    <w:t>900-041-49</w:t>
                  </w:r>
                </w:p>
              </w:tc>
              <w:tc>
                <w:tcPr>
                  <w:tcW w:w="380" w:type="pct"/>
                  <w:noWrap w:val="0"/>
                  <w:vAlign w:val="center"/>
                </w:tcPr>
                <w:p w14:paraId="1C0725A8">
                  <w:pPr>
                    <w:spacing w:line="240" w:lineRule="auto"/>
                    <w:ind w:firstLine="0" w:firstLineChars="0"/>
                    <w:jc w:val="center"/>
                    <w:rPr>
                      <w:rFonts w:ascii="Times New Roman" w:eastAsia="宋体" w:hAnsi="Times New Roman" w:cs="Times New Roman" w:hint="default"/>
                      <w:color w:val="auto"/>
                      <w:kern w:val="2"/>
                      <w:sz w:val="21"/>
                      <w:szCs w:val="21"/>
                      <w:lang w:val="en-US" w:eastAsia="zh-CN" w:bidi="ar-SA"/>
                    </w:rPr>
                  </w:pPr>
                  <w:r>
                    <w:rPr>
                      <w:rFonts w:ascii="Times New Roman" w:eastAsia="宋体" w:hAnsi="Times New Roman" w:cs="Times New Roman" w:hint="default"/>
                      <w:color w:val="auto"/>
                      <w:sz w:val="21"/>
                      <w:szCs w:val="21"/>
                    </w:rPr>
                    <w:t>0.</w:t>
                  </w:r>
                  <w:r>
                    <w:rPr>
                      <w:rFonts w:ascii="Times New Roman" w:eastAsia="宋体" w:hAnsi="Times New Roman" w:cs="Times New Roman" w:hint="default"/>
                      <w:color w:val="auto"/>
                      <w:sz w:val="21"/>
                      <w:szCs w:val="21"/>
                      <w:lang w:val="en-US" w:eastAsia="zh-CN"/>
                    </w:rPr>
                    <w:t>1</w:t>
                  </w:r>
                </w:p>
              </w:tc>
              <w:tc>
                <w:tcPr>
                  <w:tcW w:w="590" w:type="pct"/>
                  <w:noWrap w:val="0"/>
                  <w:vAlign w:val="center"/>
                </w:tcPr>
                <w:p w14:paraId="05C9E58D">
                  <w:pPr>
                    <w:spacing w:line="240" w:lineRule="auto"/>
                    <w:ind w:firstLine="0" w:firstLineChars="0"/>
                    <w:jc w:val="center"/>
                    <w:rPr>
                      <w:rFonts w:ascii="Times New Roman" w:eastAsia="宋体" w:hAnsi="Times New Roman" w:cs="Times New Roman" w:hint="default"/>
                      <w:color w:val="auto"/>
                      <w:kern w:val="2"/>
                      <w:sz w:val="21"/>
                      <w:szCs w:val="21"/>
                      <w:lang w:val="en-US" w:eastAsia="zh-CN" w:bidi="ar-SA"/>
                    </w:rPr>
                  </w:pPr>
                  <w:r>
                    <w:rPr>
                      <w:rFonts w:ascii="Times New Roman" w:eastAsia="宋体" w:hAnsi="Times New Roman" w:cs="Times New Roman" w:hint="default"/>
                      <w:color w:val="auto"/>
                      <w:sz w:val="21"/>
                      <w:szCs w:val="21"/>
                    </w:rPr>
                    <w:t>设备维护</w:t>
                  </w:r>
                </w:p>
              </w:tc>
              <w:tc>
                <w:tcPr>
                  <w:tcW w:w="381" w:type="pct"/>
                  <w:noWrap w:val="0"/>
                  <w:vAlign w:val="center"/>
                </w:tcPr>
                <w:p w14:paraId="1B1DC8CF">
                  <w:pPr>
                    <w:spacing w:line="240" w:lineRule="auto"/>
                    <w:ind w:firstLine="0" w:firstLineChars="0"/>
                    <w:jc w:val="center"/>
                    <w:rPr>
                      <w:rFonts w:ascii="Times New Roman" w:eastAsia="宋体" w:hAnsi="Times New Roman" w:cs="Times New Roman" w:hint="default"/>
                      <w:color w:val="auto"/>
                      <w:kern w:val="2"/>
                      <w:sz w:val="21"/>
                      <w:szCs w:val="21"/>
                      <w:lang w:val="en-US" w:eastAsia="zh-CN" w:bidi="ar-SA"/>
                    </w:rPr>
                  </w:pPr>
                  <w:r>
                    <w:rPr>
                      <w:rFonts w:ascii="Times New Roman" w:eastAsia="宋体" w:hAnsi="Times New Roman" w:cs="Times New Roman" w:hint="default"/>
                      <w:color w:val="auto"/>
                      <w:sz w:val="21"/>
                      <w:szCs w:val="21"/>
                    </w:rPr>
                    <w:t>固态</w:t>
                  </w:r>
                </w:p>
              </w:tc>
              <w:tc>
                <w:tcPr>
                  <w:tcW w:w="422" w:type="pct"/>
                  <w:noWrap w:val="0"/>
                  <w:vAlign w:val="center"/>
                </w:tcPr>
                <w:p w14:paraId="1616F0EB">
                  <w:pPr>
                    <w:spacing w:line="240" w:lineRule="auto"/>
                    <w:ind w:firstLine="0" w:firstLineChars="0"/>
                    <w:jc w:val="center"/>
                    <w:rPr>
                      <w:rFonts w:ascii="Times New Roman" w:eastAsia="宋体" w:hAnsi="Times New Roman" w:cs="Times New Roman" w:hint="default"/>
                      <w:color w:val="auto"/>
                      <w:kern w:val="2"/>
                      <w:sz w:val="21"/>
                      <w:szCs w:val="21"/>
                      <w:lang w:val="en-US" w:eastAsia="zh-CN" w:bidi="ar-SA"/>
                    </w:rPr>
                  </w:pPr>
                  <w:r>
                    <w:rPr>
                      <w:rFonts w:ascii="Times New Roman" w:eastAsia="宋体" w:hAnsi="Times New Roman" w:cs="Times New Roman" w:hint="default"/>
                      <w:color w:val="auto"/>
                      <w:sz w:val="21"/>
                      <w:szCs w:val="21"/>
                    </w:rPr>
                    <w:t>有机物、矿物油</w:t>
                  </w:r>
                </w:p>
              </w:tc>
              <w:tc>
                <w:tcPr>
                  <w:tcW w:w="429" w:type="pct"/>
                  <w:noWrap w:val="0"/>
                  <w:vAlign w:val="center"/>
                </w:tcPr>
                <w:p w14:paraId="09AF37CC">
                  <w:pPr>
                    <w:spacing w:line="240" w:lineRule="auto"/>
                    <w:ind w:firstLine="0" w:firstLineChars="0"/>
                    <w:jc w:val="center"/>
                    <w:rPr>
                      <w:rFonts w:ascii="Times New Roman" w:eastAsia="宋体" w:hAnsi="Times New Roman" w:cs="Times New Roman" w:hint="default"/>
                      <w:color w:val="auto"/>
                      <w:kern w:val="2"/>
                      <w:sz w:val="21"/>
                      <w:szCs w:val="21"/>
                      <w:lang w:val="en-US" w:eastAsia="zh-CN" w:bidi="ar-SA"/>
                    </w:rPr>
                  </w:pPr>
                  <w:r>
                    <w:rPr>
                      <w:rFonts w:ascii="Times New Roman" w:eastAsia="宋体" w:hAnsi="Times New Roman" w:cs="Times New Roman" w:hint="default"/>
                      <w:color w:val="auto"/>
                      <w:sz w:val="21"/>
                      <w:szCs w:val="21"/>
                    </w:rPr>
                    <w:t>有机物、矿物油</w:t>
                  </w:r>
                </w:p>
              </w:tc>
              <w:tc>
                <w:tcPr>
                  <w:tcW w:w="365" w:type="pct"/>
                  <w:noWrap w:val="0"/>
                  <w:vAlign w:val="center"/>
                </w:tcPr>
                <w:p w14:paraId="476FB528">
                  <w:pPr>
                    <w:spacing w:line="240" w:lineRule="auto"/>
                    <w:ind w:firstLine="0" w:firstLineChars="0"/>
                    <w:jc w:val="center"/>
                    <w:rPr>
                      <w:rFonts w:ascii="Times New Roman" w:eastAsia="宋体" w:hAnsi="Times New Roman" w:cs="Times New Roman" w:hint="default"/>
                      <w:color w:val="auto"/>
                      <w:kern w:val="2"/>
                      <w:sz w:val="21"/>
                      <w:szCs w:val="21"/>
                      <w:lang w:val="en-US" w:eastAsia="zh-CN" w:bidi="ar-SA"/>
                    </w:rPr>
                  </w:pPr>
                  <w:r>
                    <w:rPr>
                      <w:rFonts w:ascii="Times New Roman" w:eastAsia="宋体" w:hAnsi="Times New Roman" w:cs="Times New Roman" w:hint="default"/>
                      <w:color w:val="auto"/>
                      <w:sz w:val="21"/>
                      <w:szCs w:val="21"/>
                    </w:rPr>
                    <w:t>每天</w:t>
                  </w:r>
                </w:p>
              </w:tc>
              <w:tc>
                <w:tcPr>
                  <w:tcW w:w="308" w:type="pct"/>
                  <w:noWrap w:val="0"/>
                  <w:vAlign w:val="center"/>
                </w:tcPr>
                <w:p w14:paraId="03A2FF0E">
                  <w:pPr>
                    <w:spacing w:line="240" w:lineRule="auto"/>
                    <w:ind w:firstLine="0" w:firstLineChars="0"/>
                    <w:jc w:val="center"/>
                    <w:rPr>
                      <w:rFonts w:ascii="Times New Roman" w:eastAsia="宋体" w:hAnsi="Times New Roman" w:cs="Times New Roman" w:hint="default"/>
                      <w:color w:val="auto"/>
                      <w:kern w:val="2"/>
                      <w:sz w:val="21"/>
                      <w:szCs w:val="21"/>
                      <w:lang w:val="en-US" w:eastAsia="zh-CN" w:bidi="ar-SA"/>
                    </w:rPr>
                  </w:pPr>
                  <w:r>
                    <w:rPr>
                      <w:rFonts w:ascii="Times New Roman" w:eastAsia="宋体" w:hAnsi="Times New Roman" w:cs="Times New Roman" w:hint="default"/>
                      <w:color w:val="auto"/>
                      <w:sz w:val="21"/>
                      <w:szCs w:val="21"/>
                    </w:rPr>
                    <w:t>T</w:t>
                  </w:r>
                </w:p>
              </w:tc>
              <w:tc>
                <w:tcPr>
                  <w:tcW w:w="531" w:type="pct"/>
                  <w:vMerge w:val="restart"/>
                  <w:noWrap w:val="0"/>
                  <w:vAlign w:val="center"/>
                </w:tcPr>
                <w:p w14:paraId="3CACDD02">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lang w:val="en-US" w:eastAsia="zh-CN"/>
                    </w:rPr>
                    <w:t>除废变压器油</w:t>
                  </w:r>
                  <w:r>
                    <w:rPr>
                      <w:rFonts w:cs="Times New Roman" w:hint="eastAsia"/>
                      <w:color w:val="auto"/>
                      <w:sz w:val="21"/>
                      <w:szCs w:val="21"/>
                      <w:lang w:val="en-US" w:eastAsia="zh-CN"/>
                    </w:rPr>
                    <w:t>、废电解液</w:t>
                  </w:r>
                  <w:r>
                    <w:rPr>
                      <w:rFonts w:ascii="Times New Roman" w:eastAsia="宋体" w:hAnsi="Times New Roman" w:cs="Times New Roman" w:hint="default"/>
                      <w:color w:val="auto"/>
                      <w:sz w:val="21"/>
                      <w:szCs w:val="21"/>
                      <w:lang w:val="en-US" w:eastAsia="zh-CN"/>
                    </w:rPr>
                    <w:t>贮存在事故池中，其他均</w:t>
                  </w:r>
                  <w:r>
                    <w:rPr>
                      <w:rFonts w:ascii="Times New Roman" w:eastAsia="宋体" w:hAnsi="Times New Roman" w:cs="Times New Roman" w:hint="default"/>
                      <w:color w:val="auto"/>
                      <w:sz w:val="21"/>
                      <w:szCs w:val="21"/>
                    </w:rPr>
                    <w:t>暂存于</w:t>
                  </w:r>
                  <w:r>
                    <w:rPr>
                      <w:rFonts w:ascii="Times New Roman" w:eastAsia="宋体" w:hAnsi="Times New Roman" w:cs="Times New Roman" w:hint="default"/>
                      <w:color w:val="auto"/>
                      <w:sz w:val="21"/>
                      <w:szCs w:val="21"/>
                      <w:lang w:eastAsia="zh-CN"/>
                    </w:rPr>
                    <w:t>危废贮存点</w:t>
                  </w:r>
                  <w:r>
                    <w:rPr>
                      <w:rFonts w:ascii="Times New Roman" w:eastAsia="宋体" w:hAnsi="Times New Roman" w:cs="Times New Roman" w:hint="default"/>
                      <w:color w:val="auto"/>
                      <w:sz w:val="21"/>
                      <w:szCs w:val="21"/>
                    </w:rPr>
                    <w:t>，定期由有资质单位处置</w:t>
                  </w:r>
                </w:p>
              </w:tc>
            </w:tr>
            <w:tr w14:paraId="4FD1BA5D">
              <w:tblPrEx>
                <w:tblW w:w="4990" w:type="pct"/>
                <w:tblInd w:w="0" w:type="dxa"/>
                <w:tblCellMar>
                  <w:top w:w="0" w:type="dxa"/>
                  <w:left w:w="0" w:type="dxa"/>
                  <w:bottom w:w="0" w:type="dxa"/>
                  <w:right w:w="0" w:type="dxa"/>
                </w:tblCellMar>
              </w:tblPrEx>
              <w:trPr>
                <w:trHeight w:val="992"/>
              </w:trPr>
              <w:tc>
                <w:tcPr>
                  <w:tcW w:w="499" w:type="pct"/>
                  <w:noWrap w:val="0"/>
                  <w:vAlign w:val="center"/>
                </w:tcPr>
                <w:p w14:paraId="23D613E2">
                  <w:pPr>
                    <w:overflowPunct w:val="0"/>
                    <w:topLinePunct/>
                    <w:autoSpaceDE w:val="0"/>
                    <w:autoSpaceDN w:val="0"/>
                    <w:ind w:firstLine="0" w:firstLineChars="0"/>
                    <w:jc w:val="center"/>
                    <w:textAlignment w:val="baseline"/>
                    <w:rPr>
                      <w:rFonts w:ascii="Times New Roman" w:eastAsia="宋体" w:hAnsi="Times New Roman" w:cs="Times New Roman" w:hint="default"/>
                      <w:color w:val="auto"/>
                      <w:kern w:val="2"/>
                      <w:sz w:val="21"/>
                      <w:szCs w:val="21"/>
                      <w:lang w:val="en-US" w:eastAsia="zh-CN" w:bidi="ar-SA"/>
                    </w:rPr>
                  </w:pPr>
                  <w:r>
                    <w:rPr>
                      <w:rFonts w:ascii="Times New Roman" w:eastAsia="宋体" w:hAnsi="Times New Roman" w:cs="Times New Roman" w:hint="default"/>
                      <w:color w:val="auto"/>
                    </w:rPr>
                    <w:t>废</w:t>
                  </w:r>
                  <w:r>
                    <w:rPr>
                      <w:rFonts w:ascii="Times New Roman" w:eastAsia="宋体" w:hAnsi="Times New Roman" w:cs="Times New Roman" w:hint="default"/>
                      <w:color w:val="auto"/>
                      <w:lang w:val="en-US" w:eastAsia="zh-CN"/>
                    </w:rPr>
                    <w:t>油桶</w:t>
                  </w:r>
                </w:p>
              </w:tc>
              <w:tc>
                <w:tcPr>
                  <w:tcW w:w="461" w:type="pct"/>
                  <w:noWrap w:val="0"/>
                  <w:vAlign w:val="center"/>
                </w:tcPr>
                <w:p w14:paraId="25BFC89E">
                  <w:pPr>
                    <w:spacing w:line="240" w:lineRule="auto"/>
                    <w:ind w:firstLine="0" w:firstLineChars="0"/>
                    <w:jc w:val="center"/>
                    <w:rPr>
                      <w:rFonts w:ascii="Times New Roman" w:eastAsia="宋体" w:hAnsi="Times New Roman" w:cs="Times New Roman" w:hint="default"/>
                      <w:color w:val="auto"/>
                      <w:kern w:val="2"/>
                      <w:sz w:val="21"/>
                      <w:szCs w:val="21"/>
                      <w:lang w:val="en-US" w:eastAsia="zh-CN" w:bidi="ar-SA"/>
                    </w:rPr>
                  </w:pPr>
                  <w:r>
                    <w:rPr>
                      <w:rFonts w:ascii="Times New Roman" w:eastAsia="宋体" w:hAnsi="Times New Roman" w:cs="Times New Roman" w:hint="default"/>
                      <w:color w:val="auto"/>
                      <w:sz w:val="21"/>
                      <w:szCs w:val="21"/>
                    </w:rPr>
                    <w:t>HW</w:t>
                  </w:r>
                  <w:r>
                    <w:rPr>
                      <w:rFonts w:ascii="Times New Roman" w:eastAsia="宋体" w:hAnsi="Times New Roman" w:cs="Times New Roman" w:hint="default"/>
                      <w:color w:val="auto"/>
                      <w:sz w:val="21"/>
                      <w:szCs w:val="21"/>
                      <w:lang w:val="en-US" w:eastAsia="zh-CN"/>
                    </w:rPr>
                    <w:t>08</w:t>
                  </w:r>
                </w:p>
              </w:tc>
              <w:tc>
                <w:tcPr>
                  <w:tcW w:w="628" w:type="pct"/>
                  <w:noWrap w:val="0"/>
                  <w:vAlign w:val="center"/>
                </w:tcPr>
                <w:p w14:paraId="409332EC">
                  <w:pPr>
                    <w:spacing w:line="240" w:lineRule="auto"/>
                    <w:ind w:firstLine="0" w:firstLineChars="0"/>
                    <w:jc w:val="center"/>
                    <w:rPr>
                      <w:rFonts w:ascii="Times New Roman" w:eastAsia="宋体" w:hAnsi="Times New Roman" w:cs="Times New Roman" w:hint="default"/>
                      <w:color w:val="auto"/>
                      <w:kern w:val="2"/>
                      <w:sz w:val="21"/>
                      <w:szCs w:val="21"/>
                      <w:lang w:val="en-US" w:eastAsia="zh-CN" w:bidi="ar-SA"/>
                    </w:rPr>
                  </w:pPr>
                  <w:r>
                    <w:rPr>
                      <w:rFonts w:ascii="Times New Roman" w:eastAsia="宋体" w:hAnsi="Times New Roman" w:cs="Times New Roman" w:hint="default"/>
                      <w:color w:val="auto"/>
                      <w:sz w:val="21"/>
                      <w:szCs w:val="21"/>
                    </w:rPr>
                    <w:t>900-</w:t>
                  </w:r>
                  <w:r>
                    <w:rPr>
                      <w:rFonts w:ascii="Times New Roman" w:eastAsia="宋体" w:hAnsi="Times New Roman" w:cs="Times New Roman" w:hint="default"/>
                      <w:color w:val="auto"/>
                      <w:sz w:val="21"/>
                      <w:szCs w:val="21"/>
                      <w:lang w:val="en-US" w:eastAsia="zh-CN"/>
                    </w:rPr>
                    <w:t>249</w:t>
                  </w:r>
                  <w:r>
                    <w:rPr>
                      <w:rFonts w:ascii="Times New Roman" w:eastAsia="宋体" w:hAnsi="Times New Roman" w:cs="Times New Roman" w:hint="default"/>
                      <w:color w:val="auto"/>
                      <w:sz w:val="21"/>
                      <w:szCs w:val="21"/>
                    </w:rPr>
                    <w:t>-</w:t>
                  </w:r>
                  <w:r>
                    <w:rPr>
                      <w:rFonts w:ascii="Times New Roman" w:eastAsia="宋体" w:hAnsi="Times New Roman" w:cs="Times New Roman" w:hint="default"/>
                      <w:color w:val="auto"/>
                      <w:sz w:val="21"/>
                      <w:szCs w:val="21"/>
                      <w:lang w:val="en-US" w:eastAsia="zh-CN"/>
                    </w:rPr>
                    <w:t>08</w:t>
                  </w:r>
                </w:p>
              </w:tc>
              <w:tc>
                <w:tcPr>
                  <w:tcW w:w="380" w:type="pct"/>
                  <w:noWrap w:val="0"/>
                  <w:vAlign w:val="center"/>
                </w:tcPr>
                <w:p w14:paraId="59966277">
                  <w:pPr>
                    <w:spacing w:line="240" w:lineRule="auto"/>
                    <w:ind w:firstLine="0" w:firstLineChars="0"/>
                    <w:jc w:val="center"/>
                    <w:rPr>
                      <w:rFonts w:ascii="Times New Roman" w:eastAsia="宋体" w:hAnsi="Times New Roman" w:cs="Times New Roman" w:hint="default"/>
                      <w:color w:val="auto"/>
                      <w:kern w:val="2"/>
                      <w:sz w:val="21"/>
                      <w:szCs w:val="21"/>
                      <w:lang w:val="en-US" w:eastAsia="zh-CN" w:bidi="ar-SA"/>
                    </w:rPr>
                  </w:pPr>
                  <w:r>
                    <w:rPr>
                      <w:rFonts w:ascii="Times New Roman" w:eastAsia="宋体" w:hAnsi="Times New Roman" w:cs="Times New Roman" w:hint="default"/>
                      <w:color w:val="auto"/>
                      <w:sz w:val="21"/>
                      <w:szCs w:val="21"/>
                      <w:lang w:val="en-US" w:eastAsia="zh-CN"/>
                    </w:rPr>
                    <w:t>0.1</w:t>
                  </w:r>
                </w:p>
              </w:tc>
              <w:tc>
                <w:tcPr>
                  <w:tcW w:w="590" w:type="pct"/>
                  <w:noWrap w:val="0"/>
                  <w:vAlign w:val="center"/>
                </w:tcPr>
                <w:p w14:paraId="7C6369EC">
                  <w:pPr>
                    <w:spacing w:line="240" w:lineRule="auto"/>
                    <w:ind w:firstLine="0" w:firstLineChars="0"/>
                    <w:jc w:val="center"/>
                    <w:rPr>
                      <w:rFonts w:ascii="Times New Roman" w:eastAsia="宋体" w:hAnsi="Times New Roman" w:cs="Times New Roman" w:hint="default"/>
                      <w:color w:val="auto"/>
                      <w:kern w:val="2"/>
                      <w:sz w:val="21"/>
                      <w:szCs w:val="21"/>
                      <w:lang w:val="en-US" w:eastAsia="zh-CN" w:bidi="ar-SA"/>
                    </w:rPr>
                  </w:pPr>
                  <w:r>
                    <w:rPr>
                      <w:rFonts w:ascii="Times New Roman" w:eastAsia="宋体" w:hAnsi="Times New Roman" w:cs="Times New Roman" w:hint="default"/>
                      <w:color w:val="auto"/>
                      <w:sz w:val="21"/>
                      <w:szCs w:val="21"/>
                    </w:rPr>
                    <w:t>设备维护</w:t>
                  </w:r>
                </w:p>
              </w:tc>
              <w:tc>
                <w:tcPr>
                  <w:tcW w:w="381" w:type="pct"/>
                  <w:noWrap w:val="0"/>
                  <w:vAlign w:val="center"/>
                </w:tcPr>
                <w:p w14:paraId="59120CFE">
                  <w:pPr>
                    <w:spacing w:line="240" w:lineRule="auto"/>
                    <w:ind w:firstLine="0" w:firstLineChars="0"/>
                    <w:jc w:val="center"/>
                    <w:rPr>
                      <w:rFonts w:ascii="Times New Roman" w:eastAsia="宋体" w:hAnsi="Times New Roman" w:cs="Times New Roman" w:hint="default"/>
                      <w:color w:val="auto"/>
                      <w:kern w:val="2"/>
                      <w:sz w:val="21"/>
                      <w:szCs w:val="21"/>
                      <w:lang w:val="en-US" w:eastAsia="zh-CN" w:bidi="ar-SA"/>
                    </w:rPr>
                  </w:pPr>
                  <w:r>
                    <w:rPr>
                      <w:rFonts w:ascii="Times New Roman" w:eastAsia="宋体" w:hAnsi="Times New Roman" w:cs="Times New Roman" w:hint="default"/>
                      <w:color w:val="auto"/>
                      <w:sz w:val="21"/>
                      <w:szCs w:val="21"/>
                      <w:lang w:val="en-US" w:eastAsia="zh-CN"/>
                    </w:rPr>
                    <w:t>液</w:t>
                  </w:r>
                  <w:r>
                    <w:rPr>
                      <w:rFonts w:ascii="Times New Roman" w:eastAsia="宋体" w:hAnsi="Times New Roman" w:cs="Times New Roman" w:hint="default"/>
                      <w:color w:val="auto"/>
                      <w:sz w:val="21"/>
                      <w:szCs w:val="21"/>
                    </w:rPr>
                    <w:t>态</w:t>
                  </w:r>
                </w:p>
              </w:tc>
              <w:tc>
                <w:tcPr>
                  <w:tcW w:w="422" w:type="pct"/>
                  <w:noWrap w:val="0"/>
                  <w:vAlign w:val="center"/>
                </w:tcPr>
                <w:p w14:paraId="25D16DD3">
                  <w:pPr>
                    <w:spacing w:line="240" w:lineRule="auto"/>
                    <w:ind w:firstLine="0" w:firstLineChars="0"/>
                    <w:jc w:val="center"/>
                    <w:rPr>
                      <w:rFonts w:ascii="Times New Roman" w:eastAsia="宋体" w:hAnsi="Times New Roman" w:cs="Times New Roman" w:hint="default"/>
                      <w:color w:val="auto"/>
                      <w:kern w:val="2"/>
                      <w:sz w:val="21"/>
                      <w:szCs w:val="21"/>
                      <w:lang w:val="en-US" w:eastAsia="zh-CN" w:bidi="ar-SA"/>
                    </w:rPr>
                  </w:pPr>
                  <w:r>
                    <w:rPr>
                      <w:rFonts w:ascii="Times New Roman" w:eastAsia="宋体" w:hAnsi="Times New Roman" w:cs="Times New Roman" w:hint="default"/>
                      <w:color w:val="auto"/>
                      <w:sz w:val="21"/>
                      <w:szCs w:val="21"/>
                    </w:rPr>
                    <w:t>有机物、矿物油</w:t>
                  </w:r>
                </w:p>
              </w:tc>
              <w:tc>
                <w:tcPr>
                  <w:tcW w:w="429" w:type="pct"/>
                  <w:noWrap w:val="0"/>
                  <w:vAlign w:val="center"/>
                </w:tcPr>
                <w:p w14:paraId="25754895">
                  <w:pPr>
                    <w:spacing w:line="240" w:lineRule="auto"/>
                    <w:ind w:firstLine="0" w:firstLineChars="0"/>
                    <w:jc w:val="center"/>
                    <w:rPr>
                      <w:rFonts w:ascii="Times New Roman" w:eastAsia="宋体" w:hAnsi="Times New Roman" w:cs="Times New Roman" w:hint="default"/>
                      <w:color w:val="auto"/>
                      <w:kern w:val="2"/>
                      <w:sz w:val="21"/>
                      <w:szCs w:val="21"/>
                      <w:lang w:val="en-US" w:eastAsia="zh-CN" w:bidi="ar-SA"/>
                    </w:rPr>
                  </w:pPr>
                  <w:r>
                    <w:rPr>
                      <w:rFonts w:ascii="Times New Roman" w:eastAsia="宋体" w:hAnsi="Times New Roman" w:cs="Times New Roman" w:hint="default"/>
                      <w:color w:val="auto"/>
                      <w:sz w:val="21"/>
                      <w:szCs w:val="21"/>
                    </w:rPr>
                    <w:t>有机物、矿物油</w:t>
                  </w:r>
                </w:p>
              </w:tc>
              <w:tc>
                <w:tcPr>
                  <w:tcW w:w="365" w:type="pct"/>
                  <w:noWrap w:val="0"/>
                  <w:vAlign w:val="center"/>
                </w:tcPr>
                <w:p w14:paraId="6194666D">
                  <w:pPr>
                    <w:spacing w:line="240" w:lineRule="auto"/>
                    <w:ind w:firstLine="0" w:firstLineChars="0"/>
                    <w:jc w:val="center"/>
                    <w:rPr>
                      <w:rFonts w:ascii="Times New Roman" w:eastAsia="宋体" w:hAnsi="Times New Roman" w:cs="Times New Roman" w:hint="default"/>
                      <w:color w:val="auto"/>
                      <w:kern w:val="2"/>
                      <w:sz w:val="21"/>
                      <w:szCs w:val="21"/>
                      <w:lang w:val="en-US" w:eastAsia="zh-CN" w:bidi="ar-SA"/>
                    </w:rPr>
                  </w:pPr>
                  <w:r>
                    <w:rPr>
                      <w:rFonts w:ascii="Times New Roman" w:eastAsia="宋体" w:hAnsi="Times New Roman" w:cs="Times New Roman" w:hint="default"/>
                      <w:color w:val="auto"/>
                      <w:kern w:val="2"/>
                      <w:sz w:val="21"/>
                      <w:szCs w:val="21"/>
                      <w:lang w:val="en-US" w:eastAsia="zh-CN" w:bidi="ar-SA"/>
                    </w:rPr>
                    <w:t>每天</w:t>
                  </w:r>
                </w:p>
              </w:tc>
              <w:tc>
                <w:tcPr>
                  <w:tcW w:w="308" w:type="pct"/>
                  <w:noWrap w:val="0"/>
                  <w:vAlign w:val="center"/>
                </w:tcPr>
                <w:p w14:paraId="10983C5F">
                  <w:pPr>
                    <w:spacing w:line="240" w:lineRule="auto"/>
                    <w:ind w:firstLine="0" w:firstLineChars="0"/>
                    <w:jc w:val="center"/>
                    <w:rPr>
                      <w:rFonts w:ascii="Times New Roman" w:eastAsia="宋体" w:hAnsi="Times New Roman" w:cs="Times New Roman" w:hint="default"/>
                      <w:color w:val="auto"/>
                      <w:kern w:val="2"/>
                      <w:sz w:val="21"/>
                      <w:szCs w:val="21"/>
                      <w:lang w:val="en-US" w:eastAsia="zh-CN" w:bidi="ar-SA"/>
                    </w:rPr>
                  </w:pPr>
                  <w:r>
                    <w:rPr>
                      <w:rFonts w:ascii="Times New Roman" w:eastAsia="宋体" w:hAnsi="Times New Roman" w:cs="Times New Roman" w:hint="default"/>
                      <w:color w:val="auto"/>
                      <w:sz w:val="21"/>
                      <w:szCs w:val="21"/>
                    </w:rPr>
                    <w:t>T</w:t>
                  </w:r>
                </w:p>
              </w:tc>
              <w:tc>
                <w:tcPr>
                  <w:tcW w:w="531" w:type="pct"/>
                  <w:vMerge/>
                  <w:noWrap w:val="0"/>
                  <w:vAlign w:val="center"/>
                </w:tcPr>
                <w:p w14:paraId="1B8AF7A7">
                  <w:pPr>
                    <w:spacing w:line="240" w:lineRule="auto"/>
                    <w:ind w:firstLine="0" w:firstLineChars="0"/>
                    <w:jc w:val="center"/>
                    <w:rPr>
                      <w:rFonts w:ascii="Times New Roman" w:eastAsia="宋体" w:hAnsi="Times New Roman" w:cs="Times New Roman" w:hint="default"/>
                      <w:color w:val="auto"/>
                      <w:sz w:val="21"/>
                      <w:szCs w:val="21"/>
                    </w:rPr>
                  </w:pPr>
                </w:p>
              </w:tc>
            </w:tr>
            <w:tr w14:paraId="2F8AF8DA">
              <w:tblPrEx>
                <w:tblW w:w="4990" w:type="pct"/>
                <w:tblInd w:w="0" w:type="dxa"/>
                <w:tblCellMar>
                  <w:top w:w="0" w:type="dxa"/>
                  <w:left w:w="0" w:type="dxa"/>
                  <w:bottom w:w="0" w:type="dxa"/>
                  <w:right w:w="0" w:type="dxa"/>
                </w:tblCellMar>
              </w:tblPrEx>
              <w:trPr>
                <w:trHeight w:val="1003"/>
              </w:trPr>
              <w:tc>
                <w:tcPr>
                  <w:tcW w:w="499" w:type="pct"/>
                  <w:noWrap w:val="0"/>
                  <w:vAlign w:val="center"/>
                </w:tcPr>
                <w:p w14:paraId="4C97FC13">
                  <w:pPr>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rPr>
                    <w:t>废变压器油</w:t>
                  </w:r>
                </w:p>
              </w:tc>
              <w:tc>
                <w:tcPr>
                  <w:tcW w:w="461" w:type="pct"/>
                  <w:noWrap w:val="0"/>
                  <w:vAlign w:val="center"/>
                </w:tcPr>
                <w:p w14:paraId="1D30ECB5">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HW08</w:t>
                  </w:r>
                </w:p>
              </w:tc>
              <w:tc>
                <w:tcPr>
                  <w:tcW w:w="628" w:type="pct"/>
                  <w:noWrap w:val="0"/>
                  <w:vAlign w:val="center"/>
                </w:tcPr>
                <w:p w14:paraId="35A2AB36">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900-2</w:t>
                  </w:r>
                  <w:r>
                    <w:rPr>
                      <w:rFonts w:ascii="Times New Roman" w:eastAsia="宋体" w:hAnsi="Times New Roman" w:cs="Times New Roman" w:hint="default"/>
                      <w:color w:val="auto"/>
                      <w:sz w:val="21"/>
                      <w:szCs w:val="21"/>
                      <w:lang w:val="en-US" w:eastAsia="zh-CN"/>
                    </w:rPr>
                    <w:t>20</w:t>
                  </w:r>
                  <w:r>
                    <w:rPr>
                      <w:rFonts w:ascii="Times New Roman" w:eastAsia="宋体" w:hAnsi="Times New Roman" w:cs="Times New Roman" w:hint="default"/>
                      <w:color w:val="auto"/>
                      <w:sz w:val="21"/>
                      <w:szCs w:val="21"/>
                    </w:rPr>
                    <w:t>-08</w:t>
                  </w:r>
                </w:p>
              </w:tc>
              <w:tc>
                <w:tcPr>
                  <w:tcW w:w="380" w:type="pct"/>
                  <w:noWrap w:val="0"/>
                  <w:vAlign w:val="center"/>
                </w:tcPr>
                <w:p w14:paraId="02C1C443">
                  <w:pPr>
                    <w:spacing w:line="240" w:lineRule="auto"/>
                    <w:ind w:firstLine="0" w:firstLineChars="0"/>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60</w:t>
                  </w:r>
                </w:p>
              </w:tc>
              <w:tc>
                <w:tcPr>
                  <w:tcW w:w="590" w:type="pct"/>
                  <w:noWrap w:val="0"/>
                  <w:vAlign w:val="center"/>
                </w:tcPr>
                <w:p w14:paraId="1224D1B1">
                  <w:pPr>
                    <w:spacing w:line="240" w:lineRule="auto"/>
                    <w:ind w:firstLine="0" w:firstLineChars="0"/>
                    <w:jc w:val="center"/>
                    <w:rPr>
                      <w:rFonts w:ascii="Times New Roman" w:eastAsia="宋体" w:hAnsi="Times New Roman" w:cs="Times New Roman" w:hint="default"/>
                      <w:color w:val="auto"/>
                      <w:sz w:val="21"/>
                      <w:szCs w:val="21"/>
                    </w:rPr>
                  </w:pPr>
                  <w:r>
                    <w:rPr>
                      <w:rFonts w:cs="Times New Roman" w:hint="eastAsia"/>
                      <w:color w:val="auto"/>
                      <w:sz w:val="21"/>
                      <w:szCs w:val="21"/>
                      <w:lang w:val="en-US" w:eastAsia="zh-CN"/>
                    </w:rPr>
                    <w:t>事故泄漏</w:t>
                  </w:r>
                </w:p>
              </w:tc>
              <w:tc>
                <w:tcPr>
                  <w:tcW w:w="381" w:type="pct"/>
                  <w:noWrap w:val="0"/>
                  <w:vAlign w:val="center"/>
                </w:tcPr>
                <w:p w14:paraId="40A72F52">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液态</w:t>
                  </w:r>
                </w:p>
              </w:tc>
              <w:tc>
                <w:tcPr>
                  <w:tcW w:w="422" w:type="pct"/>
                  <w:noWrap w:val="0"/>
                  <w:vAlign w:val="center"/>
                </w:tcPr>
                <w:p w14:paraId="0E9F5103">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矿物油</w:t>
                  </w:r>
                </w:p>
              </w:tc>
              <w:tc>
                <w:tcPr>
                  <w:tcW w:w="429" w:type="pct"/>
                  <w:noWrap w:val="0"/>
                  <w:vAlign w:val="center"/>
                </w:tcPr>
                <w:p w14:paraId="1DB5C544">
                  <w:pPr>
                    <w:spacing w:line="240" w:lineRule="auto"/>
                    <w:ind w:firstLine="0" w:firstLineChars="0"/>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矿物油</w:t>
                  </w:r>
                </w:p>
              </w:tc>
              <w:tc>
                <w:tcPr>
                  <w:tcW w:w="365" w:type="pct"/>
                  <w:noWrap w:val="0"/>
                  <w:vAlign w:val="center"/>
                </w:tcPr>
                <w:p w14:paraId="13068D60">
                  <w:pPr>
                    <w:spacing w:line="240" w:lineRule="auto"/>
                    <w:ind w:firstLine="0" w:firstLineChars="0"/>
                    <w:jc w:val="center"/>
                    <w:rPr>
                      <w:rFonts w:ascii="Times New Roman" w:eastAsia="宋体" w:hAnsi="Times New Roman" w:cs="Times New Roman" w:hint="default"/>
                      <w:color w:val="auto"/>
                      <w:sz w:val="21"/>
                      <w:szCs w:val="21"/>
                    </w:rPr>
                  </w:pPr>
                  <w:r>
                    <w:rPr>
                      <w:rFonts w:cs="Times New Roman" w:hint="eastAsia"/>
                      <w:color w:val="auto"/>
                      <w:sz w:val="21"/>
                      <w:szCs w:val="21"/>
                      <w:lang w:val="en-US" w:eastAsia="zh-CN"/>
                    </w:rPr>
                    <w:t>/</w:t>
                  </w:r>
                </w:p>
              </w:tc>
              <w:tc>
                <w:tcPr>
                  <w:tcW w:w="308" w:type="pct"/>
                  <w:noWrap w:val="0"/>
                  <w:vAlign w:val="center"/>
                </w:tcPr>
                <w:p w14:paraId="140F3395">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T</w:t>
                  </w:r>
                </w:p>
              </w:tc>
              <w:tc>
                <w:tcPr>
                  <w:tcW w:w="531" w:type="pct"/>
                  <w:vMerge/>
                  <w:noWrap w:val="0"/>
                  <w:vAlign w:val="center"/>
                </w:tcPr>
                <w:p w14:paraId="4C378BB3">
                  <w:pPr>
                    <w:spacing w:line="240" w:lineRule="auto"/>
                    <w:ind w:firstLine="0" w:firstLineChars="0"/>
                    <w:jc w:val="center"/>
                    <w:rPr>
                      <w:rFonts w:ascii="Times New Roman" w:eastAsia="宋体" w:hAnsi="Times New Roman" w:cs="Times New Roman" w:hint="default"/>
                      <w:color w:val="auto"/>
                      <w:sz w:val="21"/>
                      <w:szCs w:val="21"/>
                    </w:rPr>
                  </w:pPr>
                </w:p>
              </w:tc>
            </w:tr>
            <w:tr w14:paraId="0390EFBA">
              <w:tblPrEx>
                <w:tblW w:w="4990" w:type="pct"/>
                <w:tblInd w:w="0" w:type="dxa"/>
                <w:tblCellMar>
                  <w:top w:w="0" w:type="dxa"/>
                  <w:left w:w="0" w:type="dxa"/>
                  <w:bottom w:w="0" w:type="dxa"/>
                  <w:right w:w="0" w:type="dxa"/>
                </w:tblCellMar>
              </w:tblPrEx>
              <w:trPr>
                <w:trHeight w:val="1003"/>
              </w:trPr>
              <w:tc>
                <w:tcPr>
                  <w:tcW w:w="499" w:type="pct"/>
                  <w:noWrap w:val="0"/>
                  <w:vAlign w:val="center"/>
                </w:tcPr>
                <w:p w14:paraId="3CC309EE">
                  <w:pPr>
                    <w:ind w:firstLine="0" w:firstLineChars="0"/>
                    <w:jc w:val="center"/>
                    <w:rPr>
                      <w:rFonts w:ascii="Times New Roman" w:eastAsia="宋体" w:hAnsi="Times New Roman" w:cs="Times New Roman" w:hint="default"/>
                      <w:color w:val="auto"/>
                      <w:lang w:val="en-US" w:eastAsia="zh-CN"/>
                    </w:rPr>
                  </w:pPr>
                  <w:r>
                    <w:rPr>
                      <w:rFonts w:cs="Times New Roman" w:hint="eastAsia"/>
                      <w:color w:val="auto"/>
                      <w:lang w:val="en-US" w:eastAsia="zh-CN"/>
                    </w:rPr>
                    <w:t>废电解液</w:t>
                  </w:r>
                </w:p>
              </w:tc>
              <w:tc>
                <w:tcPr>
                  <w:tcW w:w="461" w:type="pct"/>
                  <w:noWrap w:val="0"/>
                  <w:vAlign w:val="center"/>
                </w:tcPr>
                <w:p w14:paraId="5636DB85">
                  <w:pPr>
                    <w:spacing w:line="240" w:lineRule="auto"/>
                    <w:ind w:firstLine="0" w:firstLineChars="0"/>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rPr>
                    <w:t>HW</w:t>
                  </w:r>
                  <w:r>
                    <w:rPr>
                      <w:rFonts w:ascii="Times New Roman" w:eastAsia="宋体" w:hAnsi="Times New Roman" w:cs="Times New Roman" w:hint="eastAsia"/>
                      <w:color w:val="auto"/>
                      <w:sz w:val="21"/>
                      <w:szCs w:val="21"/>
                      <w:lang w:val="en-US" w:eastAsia="zh-CN"/>
                    </w:rPr>
                    <w:t>34</w:t>
                  </w:r>
                </w:p>
              </w:tc>
              <w:tc>
                <w:tcPr>
                  <w:tcW w:w="628" w:type="pct"/>
                  <w:noWrap w:val="0"/>
                  <w:vAlign w:val="center"/>
                </w:tcPr>
                <w:p w14:paraId="2AF43082">
                  <w:pPr>
                    <w:spacing w:line="240" w:lineRule="auto"/>
                    <w:ind w:firstLine="0" w:firstLineChars="0"/>
                    <w:jc w:val="center"/>
                    <w:rPr>
                      <w:rFonts w:ascii="Times New Roman" w:eastAsia="宋体" w:hAnsi="Times New Roman" w:cs="Times New Roman" w:hint="default"/>
                      <w:color w:val="auto"/>
                      <w:sz w:val="21"/>
                      <w:szCs w:val="21"/>
                    </w:rPr>
                  </w:pPr>
                  <w:r>
                    <w:rPr>
                      <w:rFonts w:cs="Times New Roman" w:hint="eastAsia"/>
                      <w:color w:val="auto"/>
                      <w:lang w:val="en-US" w:eastAsia="zh-CN"/>
                    </w:rPr>
                    <w:t>900-349-34</w:t>
                  </w:r>
                </w:p>
              </w:tc>
              <w:tc>
                <w:tcPr>
                  <w:tcW w:w="380" w:type="pct"/>
                  <w:noWrap w:val="0"/>
                  <w:vAlign w:val="center"/>
                </w:tcPr>
                <w:p w14:paraId="1B98FF12">
                  <w:pPr>
                    <w:spacing w:line="240" w:lineRule="auto"/>
                    <w:ind w:firstLine="0" w:firstLineChars="0"/>
                    <w:jc w:val="center"/>
                    <w:rPr>
                      <w:rFonts w:ascii="Times New Roman" w:eastAsia="宋体" w:hAnsi="Times New Roman" w:cs="Times New Roman" w:hint="default"/>
                      <w:color w:val="auto"/>
                      <w:sz w:val="21"/>
                      <w:szCs w:val="21"/>
                      <w:lang w:val="en-US" w:eastAsia="zh-CN"/>
                    </w:rPr>
                  </w:pPr>
                  <w:r>
                    <w:rPr>
                      <w:rFonts w:cs="Times New Roman" w:hint="eastAsia"/>
                      <w:color w:val="auto"/>
                      <w:sz w:val="21"/>
                      <w:szCs w:val="21"/>
                      <w:lang w:val="en-US" w:eastAsia="zh-CN"/>
                    </w:rPr>
                    <w:t>73.75</w:t>
                  </w:r>
                </w:p>
              </w:tc>
              <w:tc>
                <w:tcPr>
                  <w:tcW w:w="590" w:type="pct"/>
                  <w:noWrap w:val="0"/>
                  <w:vAlign w:val="center"/>
                </w:tcPr>
                <w:p w14:paraId="517199CB">
                  <w:pPr>
                    <w:spacing w:line="240" w:lineRule="auto"/>
                    <w:ind w:firstLine="0" w:firstLineChars="0"/>
                    <w:jc w:val="center"/>
                    <w:rPr>
                      <w:rFonts w:ascii="Times New Roman" w:eastAsia="宋体" w:hAnsi="Times New Roman" w:cs="Times New Roman" w:hint="default"/>
                      <w:color w:val="auto"/>
                      <w:sz w:val="21"/>
                      <w:szCs w:val="21"/>
                      <w:lang w:val="en-US" w:eastAsia="zh-CN"/>
                    </w:rPr>
                  </w:pPr>
                  <w:r>
                    <w:rPr>
                      <w:rFonts w:cs="Times New Roman" w:hint="eastAsia"/>
                      <w:color w:val="auto"/>
                      <w:sz w:val="21"/>
                      <w:szCs w:val="21"/>
                      <w:lang w:val="en-US" w:eastAsia="zh-CN"/>
                    </w:rPr>
                    <w:t>事故泄漏</w:t>
                  </w:r>
                </w:p>
              </w:tc>
              <w:tc>
                <w:tcPr>
                  <w:tcW w:w="381" w:type="pct"/>
                  <w:noWrap w:val="0"/>
                  <w:vAlign w:val="center"/>
                </w:tcPr>
                <w:p w14:paraId="2567F10E">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液态</w:t>
                  </w:r>
                </w:p>
              </w:tc>
              <w:tc>
                <w:tcPr>
                  <w:tcW w:w="422" w:type="pct"/>
                  <w:noWrap w:val="0"/>
                  <w:vAlign w:val="center"/>
                </w:tcPr>
                <w:p w14:paraId="26202654">
                  <w:pPr>
                    <w:spacing w:line="240" w:lineRule="auto"/>
                    <w:ind w:firstLine="0" w:firstLineChars="0"/>
                    <w:jc w:val="center"/>
                    <w:rPr>
                      <w:rFonts w:ascii="Times New Roman" w:eastAsia="宋体" w:hAnsi="Times New Roman" w:cs="Times New Roman" w:hint="eastAsia"/>
                      <w:color w:val="auto"/>
                      <w:sz w:val="21"/>
                      <w:szCs w:val="21"/>
                      <w:lang w:val="en-US" w:eastAsia="zh-CN"/>
                    </w:rPr>
                  </w:pPr>
                  <w:r>
                    <w:rPr>
                      <w:rFonts w:cs="Times New Roman" w:hint="eastAsia"/>
                      <w:color w:val="auto"/>
                      <w:sz w:val="21"/>
                      <w:szCs w:val="21"/>
                      <w:lang w:val="en-US" w:eastAsia="zh-CN"/>
                    </w:rPr>
                    <w:t>硫酸</w:t>
                  </w:r>
                </w:p>
              </w:tc>
              <w:tc>
                <w:tcPr>
                  <w:tcW w:w="429" w:type="pct"/>
                  <w:noWrap w:val="0"/>
                  <w:vAlign w:val="center"/>
                </w:tcPr>
                <w:p w14:paraId="7E6AC1F2">
                  <w:pPr>
                    <w:spacing w:line="240" w:lineRule="auto"/>
                    <w:ind w:firstLine="0" w:firstLineChars="0"/>
                    <w:rPr>
                      <w:rFonts w:ascii="Times New Roman" w:eastAsia="宋体" w:hAnsi="Times New Roman" w:cs="Times New Roman" w:hint="eastAsia"/>
                      <w:color w:val="auto"/>
                      <w:sz w:val="21"/>
                      <w:szCs w:val="21"/>
                      <w:lang w:val="en-US" w:eastAsia="zh-CN"/>
                    </w:rPr>
                  </w:pPr>
                  <w:r>
                    <w:rPr>
                      <w:rFonts w:cs="Times New Roman" w:hint="eastAsia"/>
                      <w:color w:val="auto"/>
                      <w:sz w:val="21"/>
                      <w:szCs w:val="21"/>
                      <w:lang w:val="en-US" w:eastAsia="zh-CN"/>
                    </w:rPr>
                    <w:t>硫酸</w:t>
                  </w:r>
                </w:p>
              </w:tc>
              <w:tc>
                <w:tcPr>
                  <w:tcW w:w="365" w:type="pct"/>
                  <w:noWrap w:val="0"/>
                  <w:vAlign w:val="center"/>
                </w:tcPr>
                <w:p w14:paraId="4AC4F7DA">
                  <w:pPr>
                    <w:spacing w:line="240" w:lineRule="auto"/>
                    <w:ind w:firstLine="0" w:firstLineChars="0"/>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eastAsia"/>
                      <w:color w:val="auto"/>
                      <w:sz w:val="21"/>
                      <w:szCs w:val="21"/>
                      <w:lang w:val="en-US" w:eastAsia="zh-CN"/>
                    </w:rPr>
                    <w:t>/</w:t>
                  </w:r>
                </w:p>
              </w:tc>
              <w:tc>
                <w:tcPr>
                  <w:tcW w:w="308" w:type="pct"/>
                  <w:noWrap w:val="0"/>
                  <w:vAlign w:val="center"/>
                </w:tcPr>
                <w:p w14:paraId="0F0273A6">
                  <w:pPr>
                    <w:spacing w:line="240" w:lineRule="auto"/>
                    <w:ind w:firstLine="0" w:firstLineChars="0"/>
                    <w:jc w:val="center"/>
                    <w:rPr>
                      <w:rFonts w:ascii="Times New Roman" w:eastAsia="宋体" w:hAnsi="Times New Roman" w:cs="Times New Roman" w:hint="eastAsia"/>
                      <w:color w:val="auto"/>
                      <w:sz w:val="21"/>
                      <w:szCs w:val="21"/>
                      <w:lang w:val="en-US" w:eastAsia="zh-CN"/>
                    </w:rPr>
                  </w:pPr>
                  <w:r>
                    <w:rPr>
                      <w:rFonts w:cs="Times New Roman" w:hint="eastAsia"/>
                      <w:color w:val="auto"/>
                      <w:sz w:val="21"/>
                      <w:szCs w:val="21"/>
                      <w:lang w:val="en-US" w:eastAsia="zh-CN"/>
                    </w:rPr>
                    <w:t>C</w:t>
                  </w:r>
                </w:p>
              </w:tc>
              <w:tc>
                <w:tcPr>
                  <w:tcW w:w="531" w:type="pct"/>
                  <w:vMerge/>
                  <w:noWrap w:val="0"/>
                  <w:vAlign w:val="center"/>
                </w:tcPr>
                <w:p w14:paraId="29593E44">
                  <w:pPr>
                    <w:spacing w:line="240" w:lineRule="auto"/>
                    <w:ind w:firstLine="0" w:firstLineChars="0"/>
                    <w:jc w:val="center"/>
                    <w:rPr>
                      <w:rFonts w:ascii="Times New Roman" w:eastAsia="宋体" w:hAnsi="Times New Roman" w:cs="Times New Roman" w:hint="default"/>
                      <w:color w:val="auto"/>
                      <w:sz w:val="21"/>
                      <w:szCs w:val="21"/>
                    </w:rPr>
                  </w:pPr>
                </w:p>
              </w:tc>
            </w:tr>
            <w:tr w14:paraId="68279890">
              <w:tblPrEx>
                <w:tblW w:w="4990" w:type="pct"/>
                <w:tblInd w:w="0" w:type="dxa"/>
                <w:tblCellMar>
                  <w:top w:w="0" w:type="dxa"/>
                  <w:left w:w="0" w:type="dxa"/>
                  <w:bottom w:w="0" w:type="dxa"/>
                  <w:right w:w="0" w:type="dxa"/>
                </w:tblCellMar>
              </w:tblPrEx>
              <w:trPr>
                <w:trHeight w:val="1003"/>
              </w:trPr>
              <w:tc>
                <w:tcPr>
                  <w:tcW w:w="499" w:type="pct"/>
                  <w:noWrap w:val="0"/>
                  <w:vAlign w:val="center"/>
                </w:tcPr>
                <w:p w14:paraId="550EB8DB">
                  <w:pPr>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rPr>
                    <w:t>废铅蓄电池</w:t>
                  </w:r>
                </w:p>
              </w:tc>
              <w:tc>
                <w:tcPr>
                  <w:tcW w:w="461" w:type="pct"/>
                  <w:noWrap w:val="0"/>
                  <w:vAlign w:val="center"/>
                </w:tcPr>
                <w:p w14:paraId="72D43067">
                  <w:pPr>
                    <w:spacing w:line="240" w:lineRule="auto"/>
                    <w:ind w:firstLine="0" w:firstLineChars="0"/>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rPr>
                    <w:t>HW</w:t>
                  </w:r>
                  <w:r>
                    <w:rPr>
                      <w:rFonts w:ascii="Times New Roman" w:eastAsia="宋体" w:hAnsi="Times New Roman" w:cs="Times New Roman" w:hint="default"/>
                      <w:color w:val="auto"/>
                      <w:sz w:val="21"/>
                      <w:szCs w:val="21"/>
                      <w:lang w:val="en-US" w:eastAsia="zh-CN"/>
                    </w:rPr>
                    <w:t>31</w:t>
                  </w:r>
                </w:p>
              </w:tc>
              <w:tc>
                <w:tcPr>
                  <w:tcW w:w="628" w:type="pct"/>
                  <w:noWrap w:val="0"/>
                  <w:vAlign w:val="center"/>
                </w:tcPr>
                <w:p w14:paraId="3FA11D10">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rPr>
                    <w:t>900-052-31</w:t>
                  </w:r>
                </w:p>
              </w:tc>
              <w:tc>
                <w:tcPr>
                  <w:tcW w:w="380" w:type="pct"/>
                  <w:noWrap w:val="0"/>
                  <w:vAlign w:val="center"/>
                </w:tcPr>
                <w:p w14:paraId="7FA54EBE">
                  <w:pPr>
                    <w:spacing w:line="240" w:lineRule="auto"/>
                    <w:ind w:firstLine="0" w:firstLineChars="0"/>
                    <w:jc w:val="center"/>
                    <w:rPr>
                      <w:rFonts w:ascii="Times New Roman" w:eastAsia="宋体" w:hAnsi="Times New Roman" w:cs="Times New Roman" w:hint="default"/>
                      <w:color w:val="auto"/>
                      <w:sz w:val="21"/>
                      <w:szCs w:val="21"/>
                      <w:lang w:val="en-US" w:eastAsia="zh-CN"/>
                    </w:rPr>
                  </w:pPr>
                  <w:r>
                    <w:rPr>
                      <w:rFonts w:cs="Times New Roman" w:hint="eastAsia"/>
                      <w:color w:val="auto"/>
                      <w:sz w:val="21"/>
                      <w:szCs w:val="21"/>
                      <w:lang w:val="en-US" w:eastAsia="zh-CN"/>
                    </w:rPr>
                    <w:t>9</w:t>
                  </w:r>
                </w:p>
              </w:tc>
              <w:tc>
                <w:tcPr>
                  <w:tcW w:w="590" w:type="pct"/>
                  <w:noWrap w:val="0"/>
                  <w:vAlign w:val="center"/>
                </w:tcPr>
                <w:p w14:paraId="11AD98B1">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设备维护</w:t>
                  </w:r>
                </w:p>
              </w:tc>
              <w:tc>
                <w:tcPr>
                  <w:tcW w:w="381" w:type="pct"/>
                  <w:noWrap w:val="0"/>
                  <w:vAlign w:val="center"/>
                </w:tcPr>
                <w:p w14:paraId="670305A8">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固态</w:t>
                  </w:r>
                </w:p>
              </w:tc>
              <w:tc>
                <w:tcPr>
                  <w:tcW w:w="422" w:type="pct"/>
                  <w:noWrap w:val="0"/>
                  <w:vAlign w:val="center"/>
                </w:tcPr>
                <w:p w14:paraId="290C75A9">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矿物油</w:t>
                  </w:r>
                </w:p>
              </w:tc>
              <w:tc>
                <w:tcPr>
                  <w:tcW w:w="429" w:type="pct"/>
                  <w:noWrap w:val="0"/>
                  <w:vAlign w:val="center"/>
                </w:tcPr>
                <w:p w14:paraId="550B9EC1">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矿物油</w:t>
                  </w:r>
                </w:p>
              </w:tc>
              <w:tc>
                <w:tcPr>
                  <w:tcW w:w="365" w:type="pct"/>
                  <w:noWrap w:val="0"/>
                  <w:vAlign w:val="center"/>
                </w:tcPr>
                <w:p w14:paraId="005B393F">
                  <w:pPr>
                    <w:spacing w:line="240" w:lineRule="auto"/>
                    <w:ind w:firstLine="0" w:firstLineChars="0"/>
                    <w:jc w:val="center"/>
                    <w:rPr>
                      <w:rFonts w:ascii="Times New Roman" w:eastAsia="宋体" w:hAnsi="Times New Roman" w:cs="Times New Roman" w:hint="default"/>
                      <w:color w:val="auto"/>
                      <w:sz w:val="21"/>
                      <w:szCs w:val="21"/>
                      <w:lang w:eastAsia="zh-CN"/>
                    </w:rPr>
                  </w:pPr>
                  <w:r>
                    <w:rPr>
                      <w:rFonts w:cs="Times New Roman" w:hint="eastAsia"/>
                      <w:color w:val="auto"/>
                      <w:sz w:val="21"/>
                      <w:szCs w:val="21"/>
                      <w:lang w:val="en-US" w:eastAsia="zh-CN"/>
                    </w:rPr>
                    <w:t>6</w:t>
                  </w:r>
                  <w:r>
                    <w:rPr>
                      <w:rFonts w:ascii="Times New Roman" w:eastAsia="宋体" w:hAnsi="Times New Roman" w:cs="Times New Roman" w:hint="default"/>
                      <w:color w:val="auto"/>
                      <w:sz w:val="21"/>
                      <w:szCs w:val="21"/>
                      <w:lang w:val="en-US" w:eastAsia="zh-CN"/>
                    </w:rPr>
                    <w:t>年</w:t>
                  </w:r>
                </w:p>
              </w:tc>
              <w:tc>
                <w:tcPr>
                  <w:tcW w:w="308" w:type="pct"/>
                  <w:noWrap w:val="0"/>
                  <w:vAlign w:val="center"/>
                </w:tcPr>
                <w:p w14:paraId="02E3DF59">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T</w:t>
                  </w:r>
                </w:p>
              </w:tc>
              <w:tc>
                <w:tcPr>
                  <w:tcW w:w="531" w:type="pct"/>
                  <w:vMerge/>
                  <w:noWrap w:val="0"/>
                  <w:vAlign w:val="center"/>
                </w:tcPr>
                <w:p w14:paraId="094CA4B6">
                  <w:pPr>
                    <w:spacing w:line="240" w:lineRule="auto"/>
                    <w:ind w:firstLine="0" w:firstLineChars="0"/>
                    <w:jc w:val="center"/>
                    <w:rPr>
                      <w:rFonts w:ascii="Times New Roman" w:eastAsia="宋体" w:hAnsi="Times New Roman" w:cs="Times New Roman" w:hint="default"/>
                      <w:color w:val="auto"/>
                      <w:sz w:val="21"/>
                      <w:szCs w:val="21"/>
                    </w:rPr>
                  </w:pPr>
                </w:p>
              </w:tc>
            </w:tr>
          </w:tbl>
          <w:p w14:paraId="06482429">
            <w:pPr>
              <w:ind w:firstLine="0" w:firstLineChars="0"/>
              <w:jc w:val="center"/>
              <w:rPr>
                <w:rFonts w:ascii="Times New Roman" w:eastAsia="宋体" w:hAnsi="Times New Roman" w:cs="Times New Roman" w:hint="default"/>
                <w:b/>
                <w:bCs/>
                <w:color w:val="auto"/>
              </w:rPr>
            </w:pPr>
            <w:r>
              <w:rPr>
                <w:rFonts w:ascii="Times New Roman" w:eastAsia="宋体" w:hAnsi="Times New Roman" w:cs="Times New Roman" w:hint="default"/>
                <w:b/>
                <w:bCs/>
                <w:color w:val="auto"/>
              </w:rPr>
              <w:t>表4-2</w:t>
            </w:r>
            <w:r>
              <w:rPr>
                <w:rFonts w:ascii="Times New Roman" w:eastAsia="宋体" w:hAnsi="Times New Roman" w:cs="Times New Roman" w:hint="default"/>
                <w:b/>
                <w:bCs/>
                <w:color w:val="auto"/>
                <w:lang w:val="en-US" w:eastAsia="zh-CN"/>
              </w:rPr>
              <w:t>4</w:t>
            </w:r>
            <w:r>
              <w:rPr>
                <w:rFonts w:ascii="Times New Roman" w:eastAsia="宋体" w:hAnsi="Times New Roman" w:cs="Times New Roman" w:hint="default"/>
                <w:b/>
                <w:bCs/>
                <w:color w:val="auto"/>
              </w:rPr>
              <w:t xml:space="preserve">   建设项目危险废物贮存场所（设施）基本情况</w:t>
            </w:r>
          </w:p>
          <w:tbl>
            <w:tblPr>
              <w:tblStyle w:val="TableNormal"/>
              <w:tblpPr w:leftFromText="181" w:rightFromText="181" w:vertAnchor="text" w:horzAnchor="page" w:tblpXSpec="center" w:tblpY="1"/>
              <w:tblOverlap w:val="neve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858"/>
              <w:gridCol w:w="1181"/>
              <w:gridCol w:w="776"/>
              <w:gridCol w:w="1356"/>
              <w:gridCol w:w="484"/>
              <w:gridCol w:w="894"/>
              <w:gridCol w:w="1184"/>
              <w:gridCol w:w="1060"/>
              <w:gridCol w:w="716"/>
            </w:tblGrid>
            <w:tr w14:paraId="08ADA254">
              <w:tblPrEx>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jc w:val="center"/>
              </w:trPr>
              <w:tc>
                <w:tcPr>
                  <w:tcW w:w="504" w:type="pct"/>
                  <w:noWrap w:val="0"/>
                  <w:vAlign w:val="center"/>
                </w:tcPr>
                <w:p w14:paraId="1885F06F">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贮存场所</w:t>
                  </w:r>
                </w:p>
              </w:tc>
              <w:tc>
                <w:tcPr>
                  <w:tcW w:w="694" w:type="pct"/>
                  <w:noWrap w:val="0"/>
                  <w:vAlign w:val="center"/>
                </w:tcPr>
                <w:p w14:paraId="3DFD6F17">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名称</w:t>
                  </w:r>
                </w:p>
              </w:tc>
              <w:tc>
                <w:tcPr>
                  <w:tcW w:w="455" w:type="pct"/>
                  <w:noWrap w:val="0"/>
                  <w:vAlign w:val="center"/>
                </w:tcPr>
                <w:p w14:paraId="4D89CC17">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类别</w:t>
                  </w:r>
                </w:p>
              </w:tc>
              <w:tc>
                <w:tcPr>
                  <w:tcW w:w="796" w:type="pct"/>
                  <w:noWrap w:val="0"/>
                  <w:vAlign w:val="center"/>
                </w:tcPr>
                <w:p w14:paraId="687C368D">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危险废物代码</w:t>
                  </w:r>
                </w:p>
              </w:tc>
              <w:tc>
                <w:tcPr>
                  <w:tcW w:w="284" w:type="pct"/>
                  <w:noWrap w:val="0"/>
                  <w:vAlign w:val="center"/>
                </w:tcPr>
                <w:p w14:paraId="3FD2F359">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位置</w:t>
                  </w:r>
                </w:p>
              </w:tc>
              <w:tc>
                <w:tcPr>
                  <w:tcW w:w="525" w:type="pct"/>
                  <w:noWrap w:val="0"/>
                  <w:vAlign w:val="center"/>
                </w:tcPr>
                <w:p w14:paraId="2517B31C">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面积</w:t>
                  </w:r>
                </w:p>
              </w:tc>
              <w:tc>
                <w:tcPr>
                  <w:tcW w:w="695" w:type="pct"/>
                  <w:noWrap w:val="0"/>
                  <w:vAlign w:val="center"/>
                </w:tcPr>
                <w:p w14:paraId="18D0C9BC">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贮存方式</w:t>
                  </w:r>
                </w:p>
              </w:tc>
              <w:tc>
                <w:tcPr>
                  <w:tcW w:w="622" w:type="pct"/>
                  <w:noWrap w:val="0"/>
                  <w:vAlign w:val="center"/>
                </w:tcPr>
                <w:p w14:paraId="1CF7E247">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贮存能力t</w:t>
                  </w:r>
                </w:p>
              </w:tc>
              <w:tc>
                <w:tcPr>
                  <w:tcW w:w="420" w:type="pct"/>
                  <w:noWrap w:val="0"/>
                  <w:vAlign w:val="center"/>
                </w:tcPr>
                <w:p w14:paraId="4B1E0C1A">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贮存周期</w:t>
                  </w:r>
                </w:p>
              </w:tc>
            </w:tr>
            <w:tr w14:paraId="1123FADC">
              <w:tblPrEx>
                <w:tblW w:w="4997" w:type="pct"/>
                <w:jc w:val="center"/>
                <w:tblCellMar>
                  <w:top w:w="0" w:type="dxa"/>
                  <w:left w:w="108" w:type="dxa"/>
                  <w:bottom w:w="0" w:type="dxa"/>
                  <w:right w:w="108" w:type="dxa"/>
                </w:tblCellMar>
              </w:tblPrEx>
              <w:trPr>
                <w:jc w:val="center"/>
              </w:trPr>
              <w:tc>
                <w:tcPr>
                  <w:tcW w:w="504" w:type="pct"/>
                  <w:vMerge w:val="restart"/>
                  <w:noWrap w:val="0"/>
                  <w:vAlign w:val="center"/>
                </w:tcPr>
                <w:p w14:paraId="1FC6E70B">
                  <w:pPr>
                    <w:spacing w:line="240" w:lineRule="auto"/>
                    <w:ind w:firstLine="0" w:firstLineChars="0"/>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eastAsia="zh-CN"/>
                    </w:rPr>
                    <w:t>危废贮存</w:t>
                  </w:r>
                  <w:r>
                    <w:rPr>
                      <w:rFonts w:ascii="Times New Roman" w:eastAsia="宋体" w:hAnsi="Times New Roman" w:cs="Times New Roman" w:hint="default"/>
                      <w:color w:val="auto"/>
                      <w:sz w:val="21"/>
                      <w:szCs w:val="21"/>
                      <w:lang w:val="en-US" w:eastAsia="zh-CN"/>
                    </w:rPr>
                    <w:t>间</w:t>
                  </w:r>
                </w:p>
              </w:tc>
              <w:tc>
                <w:tcPr>
                  <w:tcW w:w="694" w:type="pct"/>
                  <w:noWrap w:val="0"/>
                  <w:vAlign w:val="center"/>
                </w:tcPr>
                <w:p w14:paraId="45CF74E5">
                  <w:pPr>
                    <w:ind w:firstLine="0" w:firstLineChars="0"/>
                    <w:jc w:val="center"/>
                    <w:rPr>
                      <w:rFonts w:ascii="Times New Roman" w:eastAsia="宋体" w:hAnsi="Times New Roman" w:cs="Times New Roman" w:hint="default"/>
                      <w:color w:val="auto"/>
                      <w:kern w:val="2"/>
                      <w:sz w:val="21"/>
                      <w:szCs w:val="21"/>
                      <w:lang w:val="en-US" w:eastAsia="zh-CN" w:bidi="ar-SA"/>
                    </w:rPr>
                  </w:pPr>
                  <w:r>
                    <w:rPr>
                      <w:rFonts w:ascii="Times New Roman" w:eastAsia="宋体" w:hAnsi="Times New Roman" w:cs="Times New Roman" w:hint="default"/>
                      <w:color w:val="auto"/>
                      <w:sz w:val="21"/>
                      <w:szCs w:val="21"/>
                    </w:rPr>
                    <w:t>废抹布</w:t>
                  </w:r>
                  <w:r>
                    <w:rPr>
                      <w:rFonts w:ascii="Times New Roman" w:eastAsia="宋体" w:hAnsi="Times New Roman" w:cs="Times New Roman" w:hint="default"/>
                      <w:color w:val="auto"/>
                      <w:sz w:val="21"/>
                      <w:szCs w:val="21"/>
                      <w:lang w:eastAsia="zh-CN"/>
                    </w:rPr>
                    <w:t>、</w:t>
                  </w:r>
                  <w:r>
                    <w:rPr>
                      <w:rFonts w:ascii="Times New Roman" w:eastAsia="宋体" w:hAnsi="Times New Roman" w:cs="Times New Roman" w:hint="default"/>
                      <w:color w:val="auto"/>
                      <w:sz w:val="21"/>
                      <w:szCs w:val="21"/>
                      <w:lang w:val="en-US" w:eastAsia="zh-CN"/>
                    </w:rPr>
                    <w:t>手套</w:t>
                  </w:r>
                </w:p>
              </w:tc>
              <w:tc>
                <w:tcPr>
                  <w:tcW w:w="455" w:type="pct"/>
                  <w:noWrap w:val="0"/>
                  <w:vAlign w:val="center"/>
                </w:tcPr>
                <w:p w14:paraId="63F67300">
                  <w:pPr>
                    <w:spacing w:line="240" w:lineRule="auto"/>
                    <w:ind w:firstLine="0" w:firstLineChars="0"/>
                    <w:jc w:val="center"/>
                    <w:rPr>
                      <w:rFonts w:ascii="Times New Roman" w:eastAsia="宋体" w:hAnsi="Times New Roman" w:cs="Times New Roman" w:hint="default"/>
                      <w:color w:val="auto"/>
                      <w:kern w:val="2"/>
                      <w:sz w:val="21"/>
                      <w:szCs w:val="21"/>
                      <w:lang w:val="en-US" w:eastAsia="zh-CN" w:bidi="ar-SA"/>
                    </w:rPr>
                  </w:pPr>
                  <w:r>
                    <w:rPr>
                      <w:rFonts w:ascii="Times New Roman" w:eastAsia="宋体" w:hAnsi="Times New Roman" w:cs="Times New Roman" w:hint="default"/>
                      <w:color w:val="auto"/>
                      <w:sz w:val="21"/>
                      <w:szCs w:val="21"/>
                    </w:rPr>
                    <w:t>HW49</w:t>
                  </w:r>
                </w:p>
              </w:tc>
              <w:tc>
                <w:tcPr>
                  <w:tcW w:w="796" w:type="pct"/>
                  <w:noWrap w:val="0"/>
                  <w:vAlign w:val="center"/>
                </w:tcPr>
                <w:p w14:paraId="0AEF5665">
                  <w:pPr>
                    <w:spacing w:line="240" w:lineRule="auto"/>
                    <w:ind w:firstLine="0" w:firstLineChars="0"/>
                    <w:jc w:val="center"/>
                    <w:rPr>
                      <w:rFonts w:ascii="Times New Roman" w:eastAsia="宋体" w:hAnsi="Times New Roman" w:cs="Times New Roman" w:hint="default"/>
                      <w:color w:val="auto"/>
                      <w:kern w:val="2"/>
                      <w:sz w:val="21"/>
                      <w:szCs w:val="21"/>
                      <w:lang w:val="en-US" w:eastAsia="zh-CN" w:bidi="ar-SA"/>
                    </w:rPr>
                  </w:pPr>
                  <w:r>
                    <w:rPr>
                      <w:rFonts w:ascii="Times New Roman" w:eastAsia="宋体" w:hAnsi="Times New Roman" w:cs="Times New Roman" w:hint="default"/>
                      <w:color w:val="auto"/>
                      <w:sz w:val="21"/>
                      <w:szCs w:val="21"/>
                    </w:rPr>
                    <w:t>900-041-49</w:t>
                  </w:r>
                </w:p>
              </w:tc>
              <w:tc>
                <w:tcPr>
                  <w:tcW w:w="284" w:type="pct"/>
                  <w:vMerge w:val="restart"/>
                  <w:noWrap w:val="0"/>
                  <w:vAlign w:val="center"/>
                </w:tcPr>
                <w:p w14:paraId="3B8894F7">
                  <w:pPr>
                    <w:spacing w:line="240" w:lineRule="auto"/>
                    <w:ind w:firstLine="0" w:firstLineChars="0"/>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升压站内</w:t>
                  </w:r>
                </w:p>
              </w:tc>
              <w:tc>
                <w:tcPr>
                  <w:tcW w:w="525" w:type="pct"/>
                  <w:vMerge w:val="restart"/>
                  <w:noWrap w:val="0"/>
                  <w:vAlign w:val="center"/>
                </w:tcPr>
                <w:p w14:paraId="5AC79053">
                  <w:pPr>
                    <w:spacing w:line="240" w:lineRule="auto"/>
                    <w:ind w:firstLine="0" w:firstLineChars="0"/>
                    <w:jc w:val="center"/>
                    <w:rPr>
                      <w:rFonts w:ascii="Times New Roman" w:eastAsia="宋体" w:hAnsi="Times New Roman" w:cs="Times New Roman" w:hint="default"/>
                      <w:color w:val="auto"/>
                      <w:sz w:val="21"/>
                      <w:szCs w:val="21"/>
                    </w:rPr>
                  </w:pPr>
                  <w:r>
                    <w:rPr>
                      <w:rFonts w:cs="Times New Roman" w:hint="eastAsia"/>
                      <w:color w:val="auto"/>
                      <w:spacing w:val="-1"/>
                      <w:sz w:val="21"/>
                      <w:szCs w:val="21"/>
                      <w:lang w:val="en-US" w:eastAsia="zh-CN"/>
                    </w:rPr>
                    <w:t>59.7</w:t>
                  </w:r>
                  <w:r>
                    <w:rPr>
                      <w:rFonts w:ascii="Times New Roman" w:eastAsia="宋体" w:hAnsi="Times New Roman" w:cs="Times New Roman" w:hint="default"/>
                      <w:color w:val="auto"/>
                      <w:sz w:val="21"/>
                      <w:szCs w:val="21"/>
                    </w:rPr>
                    <w:t>m²</w:t>
                  </w:r>
                </w:p>
              </w:tc>
              <w:tc>
                <w:tcPr>
                  <w:tcW w:w="695" w:type="pct"/>
                  <w:noWrap w:val="0"/>
                  <w:vAlign w:val="center"/>
                </w:tcPr>
                <w:p w14:paraId="1EDA27F0">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桶装</w:t>
                  </w:r>
                  <w:r>
                    <w:rPr>
                      <w:rFonts w:ascii="Times New Roman" w:eastAsia="宋体" w:hAnsi="Times New Roman" w:cs="Times New Roman" w:hint="default"/>
                      <w:color w:val="auto"/>
                      <w:sz w:val="21"/>
                      <w:szCs w:val="21"/>
                      <w:lang w:eastAsia="zh-CN"/>
                    </w:rPr>
                    <w:t>、</w:t>
                  </w:r>
                  <w:r>
                    <w:rPr>
                      <w:rFonts w:ascii="Times New Roman" w:eastAsia="宋体" w:hAnsi="Times New Roman" w:cs="Times New Roman" w:hint="default"/>
                      <w:color w:val="auto"/>
                      <w:sz w:val="21"/>
                      <w:szCs w:val="21"/>
                      <w:lang w:val="en-US" w:eastAsia="zh-CN"/>
                    </w:rPr>
                    <w:t>托盘</w:t>
                  </w:r>
                </w:p>
              </w:tc>
              <w:tc>
                <w:tcPr>
                  <w:tcW w:w="622" w:type="pct"/>
                  <w:noWrap w:val="0"/>
                  <w:vAlign w:val="center"/>
                </w:tcPr>
                <w:p w14:paraId="499D299E">
                  <w:pPr>
                    <w:spacing w:line="240" w:lineRule="auto"/>
                    <w:ind w:firstLine="0" w:firstLineChars="0"/>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0.5</w:t>
                  </w:r>
                </w:p>
              </w:tc>
              <w:tc>
                <w:tcPr>
                  <w:tcW w:w="420" w:type="pct"/>
                  <w:vMerge w:val="restart"/>
                  <w:noWrap w:val="0"/>
                  <w:vAlign w:val="center"/>
                </w:tcPr>
                <w:p w14:paraId="094737CC">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lang w:val="en-US" w:eastAsia="zh-CN"/>
                    </w:rPr>
                    <w:t>不超过</w:t>
                  </w:r>
                  <w:r>
                    <w:rPr>
                      <w:rFonts w:ascii="Times New Roman" w:eastAsia="宋体" w:hAnsi="Times New Roman" w:cs="Times New Roman" w:hint="default"/>
                      <w:color w:val="auto"/>
                      <w:sz w:val="21"/>
                      <w:szCs w:val="21"/>
                    </w:rPr>
                    <w:t>三个月</w:t>
                  </w:r>
                </w:p>
              </w:tc>
            </w:tr>
            <w:tr w14:paraId="10832DDE">
              <w:tblPrEx>
                <w:tblW w:w="4997" w:type="pct"/>
                <w:jc w:val="center"/>
                <w:tblCellMar>
                  <w:top w:w="0" w:type="dxa"/>
                  <w:left w:w="108" w:type="dxa"/>
                  <w:bottom w:w="0" w:type="dxa"/>
                  <w:right w:w="108" w:type="dxa"/>
                </w:tblCellMar>
              </w:tblPrEx>
              <w:trPr>
                <w:trHeight w:val="383"/>
                <w:jc w:val="center"/>
              </w:trPr>
              <w:tc>
                <w:tcPr>
                  <w:tcW w:w="504" w:type="pct"/>
                  <w:vMerge/>
                  <w:noWrap w:val="0"/>
                  <w:vAlign w:val="center"/>
                </w:tcPr>
                <w:p w14:paraId="5607C1CC">
                  <w:pPr>
                    <w:spacing w:line="240" w:lineRule="auto"/>
                    <w:ind w:firstLine="0" w:firstLineChars="0"/>
                    <w:jc w:val="center"/>
                    <w:rPr>
                      <w:rFonts w:ascii="Times New Roman" w:eastAsia="宋体" w:hAnsi="Times New Roman" w:cs="Times New Roman" w:hint="default"/>
                      <w:color w:val="auto"/>
                      <w:sz w:val="21"/>
                      <w:szCs w:val="21"/>
                    </w:rPr>
                  </w:pPr>
                </w:p>
              </w:tc>
              <w:tc>
                <w:tcPr>
                  <w:tcW w:w="694" w:type="pct"/>
                  <w:noWrap w:val="0"/>
                  <w:vAlign w:val="center"/>
                </w:tcPr>
                <w:p w14:paraId="75DA19FF">
                  <w:pPr>
                    <w:overflowPunct w:val="0"/>
                    <w:topLinePunct/>
                    <w:autoSpaceDE w:val="0"/>
                    <w:autoSpaceDN w:val="0"/>
                    <w:ind w:firstLine="0" w:firstLineChars="0"/>
                    <w:jc w:val="center"/>
                    <w:textAlignment w:val="baseline"/>
                    <w:rPr>
                      <w:rFonts w:ascii="Times New Roman" w:eastAsia="宋体" w:hAnsi="Times New Roman" w:cs="Times New Roman" w:hint="default"/>
                      <w:color w:val="auto"/>
                      <w:kern w:val="2"/>
                      <w:sz w:val="21"/>
                      <w:szCs w:val="21"/>
                      <w:lang w:val="en-US" w:eastAsia="zh-CN" w:bidi="ar-SA"/>
                    </w:rPr>
                  </w:pPr>
                  <w:r>
                    <w:rPr>
                      <w:rFonts w:ascii="Times New Roman" w:eastAsia="宋体" w:hAnsi="Times New Roman" w:cs="Times New Roman" w:hint="default"/>
                      <w:color w:val="auto"/>
                      <w:sz w:val="21"/>
                      <w:szCs w:val="21"/>
                    </w:rPr>
                    <w:t>废</w:t>
                  </w:r>
                  <w:r>
                    <w:rPr>
                      <w:rFonts w:ascii="Times New Roman" w:eastAsia="宋体" w:hAnsi="Times New Roman" w:cs="Times New Roman" w:hint="default"/>
                      <w:color w:val="auto"/>
                      <w:sz w:val="21"/>
                      <w:szCs w:val="21"/>
                      <w:lang w:val="en-US" w:eastAsia="zh-CN"/>
                    </w:rPr>
                    <w:t>油桶</w:t>
                  </w:r>
                </w:p>
              </w:tc>
              <w:tc>
                <w:tcPr>
                  <w:tcW w:w="455" w:type="pct"/>
                  <w:noWrap w:val="0"/>
                  <w:vAlign w:val="center"/>
                </w:tcPr>
                <w:p w14:paraId="0DB01592">
                  <w:pPr>
                    <w:spacing w:line="240" w:lineRule="auto"/>
                    <w:ind w:firstLine="0" w:firstLineChars="0"/>
                    <w:jc w:val="center"/>
                    <w:rPr>
                      <w:rFonts w:ascii="Times New Roman" w:eastAsia="宋体" w:hAnsi="Times New Roman" w:cs="Times New Roman" w:hint="default"/>
                      <w:color w:val="auto"/>
                      <w:kern w:val="2"/>
                      <w:sz w:val="21"/>
                      <w:szCs w:val="21"/>
                      <w:lang w:val="en-US" w:eastAsia="zh-CN" w:bidi="ar-SA"/>
                    </w:rPr>
                  </w:pPr>
                  <w:r>
                    <w:rPr>
                      <w:rFonts w:ascii="Times New Roman" w:eastAsia="宋体" w:hAnsi="Times New Roman" w:cs="Times New Roman" w:hint="default"/>
                      <w:color w:val="auto"/>
                      <w:sz w:val="21"/>
                      <w:szCs w:val="21"/>
                    </w:rPr>
                    <w:t>HW</w:t>
                  </w:r>
                  <w:r>
                    <w:rPr>
                      <w:rFonts w:ascii="Times New Roman" w:eastAsia="宋体" w:hAnsi="Times New Roman" w:cs="Times New Roman" w:hint="default"/>
                      <w:color w:val="auto"/>
                      <w:sz w:val="21"/>
                      <w:szCs w:val="21"/>
                      <w:lang w:val="en-US" w:eastAsia="zh-CN"/>
                    </w:rPr>
                    <w:t>08</w:t>
                  </w:r>
                </w:p>
              </w:tc>
              <w:tc>
                <w:tcPr>
                  <w:tcW w:w="796" w:type="pct"/>
                  <w:noWrap w:val="0"/>
                  <w:vAlign w:val="center"/>
                </w:tcPr>
                <w:p w14:paraId="6E55076B">
                  <w:pPr>
                    <w:spacing w:line="240" w:lineRule="auto"/>
                    <w:ind w:firstLine="0" w:firstLineChars="0"/>
                    <w:jc w:val="center"/>
                    <w:rPr>
                      <w:rFonts w:ascii="Times New Roman" w:eastAsia="宋体" w:hAnsi="Times New Roman" w:cs="Times New Roman" w:hint="default"/>
                      <w:color w:val="auto"/>
                      <w:kern w:val="2"/>
                      <w:sz w:val="21"/>
                      <w:szCs w:val="21"/>
                      <w:lang w:val="en-US" w:eastAsia="zh-CN" w:bidi="ar-SA"/>
                    </w:rPr>
                  </w:pPr>
                  <w:r>
                    <w:rPr>
                      <w:rFonts w:ascii="Times New Roman" w:eastAsia="宋体" w:hAnsi="Times New Roman" w:cs="Times New Roman" w:hint="default"/>
                      <w:color w:val="auto"/>
                      <w:sz w:val="21"/>
                      <w:szCs w:val="21"/>
                    </w:rPr>
                    <w:t>900-</w:t>
                  </w:r>
                  <w:r>
                    <w:rPr>
                      <w:rFonts w:ascii="Times New Roman" w:eastAsia="宋体" w:hAnsi="Times New Roman" w:cs="Times New Roman" w:hint="default"/>
                      <w:color w:val="auto"/>
                      <w:sz w:val="21"/>
                      <w:szCs w:val="21"/>
                      <w:lang w:val="en-US" w:eastAsia="zh-CN"/>
                    </w:rPr>
                    <w:t>249</w:t>
                  </w:r>
                  <w:r>
                    <w:rPr>
                      <w:rFonts w:ascii="Times New Roman" w:eastAsia="宋体" w:hAnsi="Times New Roman" w:cs="Times New Roman" w:hint="default"/>
                      <w:color w:val="auto"/>
                      <w:sz w:val="21"/>
                      <w:szCs w:val="21"/>
                    </w:rPr>
                    <w:t>-</w:t>
                  </w:r>
                  <w:r>
                    <w:rPr>
                      <w:rFonts w:ascii="Times New Roman" w:eastAsia="宋体" w:hAnsi="Times New Roman" w:cs="Times New Roman" w:hint="default"/>
                      <w:color w:val="auto"/>
                      <w:sz w:val="21"/>
                      <w:szCs w:val="21"/>
                      <w:lang w:val="en-US" w:eastAsia="zh-CN"/>
                    </w:rPr>
                    <w:t>08</w:t>
                  </w:r>
                </w:p>
              </w:tc>
              <w:tc>
                <w:tcPr>
                  <w:tcW w:w="284" w:type="pct"/>
                  <w:vMerge/>
                  <w:noWrap w:val="0"/>
                  <w:vAlign w:val="center"/>
                </w:tcPr>
                <w:p w14:paraId="0FAE9919">
                  <w:pPr>
                    <w:spacing w:line="240" w:lineRule="auto"/>
                    <w:ind w:firstLine="0" w:firstLineChars="0"/>
                    <w:jc w:val="center"/>
                    <w:rPr>
                      <w:rFonts w:ascii="Times New Roman" w:eastAsia="宋体" w:hAnsi="Times New Roman" w:cs="Times New Roman" w:hint="default"/>
                      <w:color w:val="auto"/>
                      <w:sz w:val="21"/>
                      <w:szCs w:val="21"/>
                    </w:rPr>
                  </w:pPr>
                </w:p>
              </w:tc>
              <w:tc>
                <w:tcPr>
                  <w:tcW w:w="525" w:type="pct"/>
                  <w:vMerge/>
                  <w:noWrap w:val="0"/>
                  <w:vAlign w:val="center"/>
                </w:tcPr>
                <w:p w14:paraId="15E5A6ED">
                  <w:pPr>
                    <w:spacing w:line="240" w:lineRule="auto"/>
                    <w:ind w:firstLine="0" w:firstLineChars="0"/>
                    <w:jc w:val="center"/>
                    <w:rPr>
                      <w:rFonts w:ascii="Times New Roman" w:eastAsia="宋体" w:hAnsi="Times New Roman" w:cs="Times New Roman" w:hint="default"/>
                      <w:color w:val="auto"/>
                      <w:sz w:val="21"/>
                      <w:szCs w:val="21"/>
                    </w:rPr>
                  </w:pPr>
                </w:p>
              </w:tc>
              <w:tc>
                <w:tcPr>
                  <w:tcW w:w="695" w:type="pct"/>
                  <w:noWrap w:val="0"/>
                  <w:vAlign w:val="center"/>
                </w:tcPr>
                <w:p w14:paraId="2858C784">
                  <w:pPr>
                    <w:spacing w:line="240" w:lineRule="auto"/>
                    <w:ind w:firstLine="0" w:firstLineChars="0"/>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托盘</w:t>
                  </w:r>
                </w:p>
              </w:tc>
              <w:tc>
                <w:tcPr>
                  <w:tcW w:w="622" w:type="pct"/>
                  <w:noWrap w:val="0"/>
                  <w:vAlign w:val="center"/>
                </w:tcPr>
                <w:p w14:paraId="66F37107">
                  <w:pPr>
                    <w:spacing w:line="240" w:lineRule="auto"/>
                    <w:ind w:firstLine="0" w:firstLineChars="0"/>
                    <w:jc w:val="center"/>
                    <w:rPr>
                      <w:rFonts w:ascii="Times New Roman" w:eastAsia="宋体" w:hAnsi="Times New Roman" w:cs="Times New Roman" w:hint="default"/>
                      <w:color w:val="auto"/>
                      <w:sz w:val="21"/>
                      <w:szCs w:val="21"/>
                      <w:lang w:eastAsia="zh-CN"/>
                    </w:rPr>
                  </w:pPr>
                  <w:r>
                    <w:rPr>
                      <w:rFonts w:ascii="Times New Roman" w:eastAsia="宋体" w:hAnsi="Times New Roman" w:cs="Times New Roman" w:hint="default"/>
                      <w:color w:val="auto"/>
                      <w:sz w:val="21"/>
                      <w:szCs w:val="21"/>
                    </w:rPr>
                    <w:t>0.</w:t>
                  </w:r>
                  <w:r>
                    <w:rPr>
                      <w:rFonts w:ascii="Times New Roman" w:eastAsia="宋体" w:hAnsi="Times New Roman" w:cs="Times New Roman" w:hint="default"/>
                      <w:color w:val="auto"/>
                      <w:sz w:val="21"/>
                      <w:szCs w:val="21"/>
                      <w:lang w:val="en-US" w:eastAsia="zh-CN"/>
                    </w:rPr>
                    <w:t>5</w:t>
                  </w:r>
                </w:p>
              </w:tc>
              <w:tc>
                <w:tcPr>
                  <w:tcW w:w="420" w:type="pct"/>
                  <w:vMerge/>
                  <w:noWrap w:val="0"/>
                  <w:vAlign w:val="center"/>
                </w:tcPr>
                <w:p w14:paraId="5EA3197E">
                  <w:pPr>
                    <w:spacing w:line="240" w:lineRule="auto"/>
                    <w:ind w:firstLine="0" w:firstLineChars="0"/>
                    <w:jc w:val="center"/>
                    <w:rPr>
                      <w:rFonts w:ascii="Times New Roman" w:eastAsia="宋体" w:hAnsi="Times New Roman" w:cs="Times New Roman" w:hint="default"/>
                      <w:color w:val="auto"/>
                      <w:sz w:val="21"/>
                      <w:szCs w:val="21"/>
                    </w:rPr>
                  </w:pPr>
                </w:p>
              </w:tc>
            </w:tr>
            <w:tr w14:paraId="2D4325E9">
              <w:tblPrEx>
                <w:tblW w:w="4997" w:type="pct"/>
                <w:jc w:val="center"/>
                <w:tblCellMar>
                  <w:top w:w="0" w:type="dxa"/>
                  <w:left w:w="108" w:type="dxa"/>
                  <w:bottom w:w="0" w:type="dxa"/>
                  <w:right w:w="108" w:type="dxa"/>
                </w:tblCellMar>
              </w:tblPrEx>
              <w:trPr>
                <w:trHeight w:val="601"/>
                <w:jc w:val="center"/>
              </w:trPr>
              <w:tc>
                <w:tcPr>
                  <w:tcW w:w="504" w:type="pct"/>
                  <w:vMerge/>
                  <w:noWrap w:val="0"/>
                  <w:vAlign w:val="center"/>
                </w:tcPr>
                <w:p w14:paraId="5A56FA10">
                  <w:pPr>
                    <w:spacing w:line="240" w:lineRule="auto"/>
                    <w:ind w:firstLine="0" w:firstLineChars="0"/>
                    <w:jc w:val="center"/>
                    <w:rPr>
                      <w:rFonts w:ascii="Times New Roman" w:eastAsia="宋体" w:hAnsi="Times New Roman" w:cs="Times New Roman" w:hint="default"/>
                      <w:color w:val="auto"/>
                      <w:sz w:val="21"/>
                      <w:szCs w:val="21"/>
                    </w:rPr>
                  </w:pPr>
                </w:p>
              </w:tc>
              <w:tc>
                <w:tcPr>
                  <w:tcW w:w="694" w:type="pct"/>
                  <w:noWrap w:val="0"/>
                  <w:vAlign w:val="center"/>
                </w:tcPr>
                <w:p w14:paraId="0BD95310">
                  <w:pPr>
                    <w:ind w:firstLine="0" w:firstLineChars="0"/>
                    <w:jc w:val="center"/>
                    <w:rPr>
                      <w:rFonts w:ascii="Times New Roman" w:eastAsia="宋体" w:hAnsi="Times New Roman" w:cs="Times New Roman" w:hint="default"/>
                      <w:color w:val="auto"/>
                      <w:kern w:val="2"/>
                      <w:sz w:val="21"/>
                      <w:szCs w:val="21"/>
                      <w:lang w:val="en-US" w:eastAsia="zh-CN" w:bidi="ar-SA"/>
                    </w:rPr>
                  </w:pPr>
                  <w:r>
                    <w:rPr>
                      <w:rFonts w:ascii="Times New Roman" w:eastAsia="宋体" w:hAnsi="Times New Roman" w:cs="Times New Roman" w:hint="default"/>
                      <w:color w:val="auto"/>
                      <w:sz w:val="21"/>
                      <w:szCs w:val="21"/>
                    </w:rPr>
                    <w:t>废铅蓄电池</w:t>
                  </w:r>
                </w:p>
              </w:tc>
              <w:tc>
                <w:tcPr>
                  <w:tcW w:w="455" w:type="pct"/>
                  <w:noWrap w:val="0"/>
                  <w:vAlign w:val="center"/>
                </w:tcPr>
                <w:p w14:paraId="78D6D1BB">
                  <w:pPr>
                    <w:spacing w:line="240" w:lineRule="auto"/>
                    <w:ind w:firstLine="0" w:firstLineChars="0"/>
                    <w:jc w:val="center"/>
                    <w:rPr>
                      <w:rFonts w:ascii="Times New Roman" w:eastAsia="宋体" w:hAnsi="Times New Roman" w:cs="Times New Roman" w:hint="default"/>
                      <w:color w:val="auto"/>
                      <w:kern w:val="2"/>
                      <w:sz w:val="21"/>
                      <w:szCs w:val="21"/>
                      <w:lang w:val="en-US" w:eastAsia="zh-CN" w:bidi="ar-SA"/>
                    </w:rPr>
                  </w:pPr>
                  <w:r>
                    <w:rPr>
                      <w:rFonts w:ascii="Times New Roman" w:eastAsia="宋体" w:hAnsi="Times New Roman" w:cs="Times New Roman" w:hint="default"/>
                      <w:color w:val="auto"/>
                      <w:sz w:val="21"/>
                      <w:szCs w:val="21"/>
                    </w:rPr>
                    <w:t>HW</w:t>
                  </w:r>
                  <w:r>
                    <w:rPr>
                      <w:rFonts w:ascii="Times New Roman" w:eastAsia="宋体" w:hAnsi="Times New Roman" w:cs="Times New Roman" w:hint="default"/>
                      <w:color w:val="auto"/>
                      <w:sz w:val="21"/>
                      <w:szCs w:val="21"/>
                      <w:lang w:val="en-US" w:eastAsia="zh-CN"/>
                    </w:rPr>
                    <w:t>31</w:t>
                  </w:r>
                </w:p>
              </w:tc>
              <w:tc>
                <w:tcPr>
                  <w:tcW w:w="796" w:type="pct"/>
                  <w:noWrap w:val="0"/>
                  <w:vAlign w:val="center"/>
                </w:tcPr>
                <w:p w14:paraId="74F89322">
                  <w:pPr>
                    <w:spacing w:line="240" w:lineRule="auto"/>
                    <w:ind w:firstLine="0" w:firstLineChars="0"/>
                    <w:jc w:val="center"/>
                    <w:rPr>
                      <w:rFonts w:ascii="Times New Roman" w:eastAsia="宋体" w:hAnsi="Times New Roman" w:cs="Times New Roman" w:hint="default"/>
                      <w:color w:val="auto"/>
                      <w:kern w:val="2"/>
                      <w:sz w:val="21"/>
                      <w:szCs w:val="21"/>
                      <w:lang w:val="en-US" w:eastAsia="zh-CN" w:bidi="ar-SA"/>
                    </w:rPr>
                  </w:pPr>
                  <w:r>
                    <w:rPr>
                      <w:rFonts w:ascii="Times New Roman" w:eastAsia="宋体" w:hAnsi="Times New Roman" w:cs="Times New Roman" w:hint="default"/>
                      <w:color w:val="auto"/>
                      <w:sz w:val="21"/>
                      <w:szCs w:val="21"/>
                    </w:rPr>
                    <w:t>900-052-31</w:t>
                  </w:r>
                </w:p>
              </w:tc>
              <w:tc>
                <w:tcPr>
                  <w:tcW w:w="284" w:type="pct"/>
                  <w:vMerge/>
                  <w:noWrap w:val="0"/>
                  <w:vAlign w:val="center"/>
                </w:tcPr>
                <w:p w14:paraId="7B757256">
                  <w:pPr>
                    <w:spacing w:line="240" w:lineRule="auto"/>
                    <w:ind w:firstLine="0" w:firstLineChars="0"/>
                    <w:jc w:val="center"/>
                    <w:rPr>
                      <w:rFonts w:ascii="Times New Roman" w:eastAsia="宋体" w:hAnsi="Times New Roman" w:cs="Times New Roman" w:hint="default"/>
                      <w:color w:val="auto"/>
                      <w:sz w:val="21"/>
                      <w:szCs w:val="21"/>
                    </w:rPr>
                  </w:pPr>
                </w:p>
              </w:tc>
              <w:tc>
                <w:tcPr>
                  <w:tcW w:w="525" w:type="pct"/>
                  <w:vMerge/>
                  <w:noWrap w:val="0"/>
                  <w:vAlign w:val="center"/>
                </w:tcPr>
                <w:p w14:paraId="56E9A9A6">
                  <w:pPr>
                    <w:spacing w:line="240" w:lineRule="auto"/>
                    <w:ind w:firstLine="0" w:firstLineChars="0"/>
                    <w:jc w:val="center"/>
                    <w:rPr>
                      <w:rFonts w:ascii="Times New Roman" w:eastAsia="宋体" w:hAnsi="Times New Roman" w:cs="Times New Roman" w:hint="default"/>
                      <w:color w:val="auto"/>
                      <w:sz w:val="21"/>
                      <w:szCs w:val="21"/>
                    </w:rPr>
                  </w:pPr>
                </w:p>
              </w:tc>
              <w:tc>
                <w:tcPr>
                  <w:tcW w:w="695" w:type="pct"/>
                  <w:noWrap w:val="0"/>
                  <w:vAlign w:val="center"/>
                </w:tcPr>
                <w:p w14:paraId="01BDDF1F">
                  <w:pPr>
                    <w:spacing w:line="240" w:lineRule="auto"/>
                    <w:ind w:firstLine="0" w:firstLineChars="0"/>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rPr>
                    <w:t>桶装</w:t>
                  </w:r>
                  <w:r>
                    <w:rPr>
                      <w:rFonts w:ascii="Times New Roman" w:eastAsia="宋体" w:hAnsi="Times New Roman" w:cs="Times New Roman" w:hint="default"/>
                      <w:color w:val="auto"/>
                      <w:sz w:val="21"/>
                      <w:szCs w:val="21"/>
                      <w:lang w:eastAsia="zh-CN"/>
                    </w:rPr>
                    <w:t>、</w:t>
                  </w:r>
                  <w:r>
                    <w:rPr>
                      <w:rFonts w:ascii="Times New Roman" w:eastAsia="宋体" w:hAnsi="Times New Roman" w:cs="Times New Roman" w:hint="default"/>
                      <w:color w:val="auto"/>
                      <w:sz w:val="21"/>
                      <w:szCs w:val="21"/>
                      <w:lang w:val="en-US" w:eastAsia="zh-CN"/>
                    </w:rPr>
                    <w:t>托盘</w:t>
                  </w:r>
                </w:p>
              </w:tc>
              <w:tc>
                <w:tcPr>
                  <w:tcW w:w="622" w:type="pct"/>
                  <w:noWrap w:val="0"/>
                  <w:vAlign w:val="center"/>
                </w:tcPr>
                <w:p w14:paraId="13D1B2E2">
                  <w:pPr>
                    <w:spacing w:line="240" w:lineRule="auto"/>
                    <w:ind w:firstLine="0" w:firstLineChars="0"/>
                    <w:jc w:val="center"/>
                    <w:rPr>
                      <w:rFonts w:ascii="Times New Roman" w:eastAsia="宋体" w:hAnsi="Times New Roman" w:cs="Times New Roman" w:hint="default"/>
                      <w:color w:val="auto"/>
                      <w:sz w:val="21"/>
                      <w:szCs w:val="21"/>
                      <w:lang w:val="en-US" w:eastAsia="zh-CN"/>
                    </w:rPr>
                  </w:pPr>
                  <w:r>
                    <w:rPr>
                      <w:rFonts w:cs="Times New Roman" w:hint="eastAsia"/>
                      <w:color w:val="auto"/>
                      <w:sz w:val="21"/>
                      <w:szCs w:val="21"/>
                      <w:lang w:val="en-US" w:eastAsia="zh-CN"/>
                    </w:rPr>
                    <w:t>9</w:t>
                  </w:r>
                </w:p>
              </w:tc>
              <w:tc>
                <w:tcPr>
                  <w:tcW w:w="420" w:type="pct"/>
                  <w:vMerge/>
                  <w:noWrap w:val="0"/>
                  <w:vAlign w:val="center"/>
                </w:tcPr>
                <w:p w14:paraId="5DF844A9">
                  <w:pPr>
                    <w:spacing w:line="240" w:lineRule="auto"/>
                    <w:ind w:firstLine="0" w:firstLineChars="0"/>
                    <w:jc w:val="center"/>
                    <w:rPr>
                      <w:rFonts w:ascii="Times New Roman" w:eastAsia="宋体" w:hAnsi="Times New Roman" w:cs="Times New Roman" w:hint="default"/>
                      <w:color w:val="auto"/>
                      <w:sz w:val="21"/>
                      <w:szCs w:val="21"/>
                    </w:rPr>
                  </w:pPr>
                </w:p>
              </w:tc>
            </w:tr>
            <w:tr w14:paraId="0664D4FD">
              <w:tblPrEx>
                <w:tblW w:w="4997" w:type="pct"/>
                <w:jc w:val="center"/>
                <w:tblCellMar>
                  <w:top w:w="0" w:type="dxa"/>
                  <w:left w:w="108" w:type="dxa"/>
                  <w:bottom w:w="0" w:type="dxa"/>
                  <w:right w:w="108" w:type="dxa"/>
                </w:tblCellMar>
              </w:tblPrEx>
              <w:trPr>
                <w:jc w:val="center"/>
              </w:trPr>
              <w:tc>
                <w:tcPr>
                  <w:tcW w:w="504" w:type="pct"/>
                  <w:noWrap w:val="0"/>
                  <w:vAlign w:val="center"/>
                </w:tcPr>
                <w:p w14:paraId="312D40F1">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6"/>
                      <w:sz w:val="21"/>
                      <w:szCs w:val="21"/>
                    </w:rPr>
                    <w:t>事故油</w:t>
                  </w:r>
                  <w:r>
                    <w:rPr>
                      <w:rFonts w:ascii="Times New Roman" w:eastAsia="宋体" w:hAnsi="Times New Roman" w:cs="Times New Roman" w:hint="default"/>
                      <w:color w:val="auto"/>
                      <w:sz w:val="21"/>
                      <w:szCs w:val="21"/>
                    </w:rPr>
                    <w:t>池</w:t>
                  </w:r>
                </w:p>
              </w:tc>
              <w:tc>
                <w:tcPr>
                  <w:tcW w:w="694" w:type="pct"/>
                  <w:noWrap w:val="0"/>
                  <w:vAlign w:val="center"/>
                </w:tcPr>
                <w:p w14:paraId="1B1F3459">
                  <w:pPr>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废变压器油</w:t>
                  </w:r>
                </w:p>
              </w:tc>
              <w:tc>
                <w:tcPr>
                  <w:tcW w:w="455" w:type="pct"/>
                  <w:noWrap w:val="0"/>
                  <w:vAlign w:val="center"/>
                </w:tcPr>
                <w:p w14:paraId="1D8F4F38">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HW08</w:t>
                  </w:r>
                </w:p>
              </w:tc>
              <w:tc>
                <w:tcPr>
                  <w:tcW w:w="796" w:type="pct"/>
                  <w:noWrap w:val="0"/>
                  <w:vAlign w:val="center"/>
                </w:tcPr>
                <w:p w14:paraId="399818DB">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900-2</w:t>
                  </w:r>
                  <w:r>
                    <w:rPr>
                      <w:rFonts w:ascii="Times New Roman" w:eastAsia="宋体" w:hAnsi="Times New Roman" w:cs="Times New Roman" w:hint="default"/>
                      <w:color w:val="auto"/>
                      <w:sz w:val="21"/>
                      <w:szCs w:val="21"/>
                      <w:lang w:val="en-US" w:eastAsia="zh-CN"/>
                    </w:rPr>
                    <w:t>20</w:t>
                  </w:r>
                  <w:r>
                    <w:rPr>
                      <w:rFonts w:ascii="Times New Roman" w:eastAsia="宋体" w:hAnsi="Times New Roman" w:cs="Times New Roman" w:hint="default"/>
                      <w:color w:val="auto"/>
                      <w:sz w:val="21"/>
                      <w:szCs w:val="21"/>
                    </w:rPr>
                    <w:t>-08</w:t>
                  </w:r>
                </w:p>
              </w:tc>
              <w:tc>
                <w:tcPr>
                  <w:tcW w:w="284" w:type="pct"/>
                  <w:vMerge/>
                  <w:noWrap w:val="0"/>
                  <w:vAlign w:val="center"/>
                </w:tcPr>
                <w:p w14:paraId="02324EDF">
                  <w:pPr>
                    <w:spacing w:line="240" w:lineRule="auto"/>
                    <w:ind w:firstLine="0" w:firstLineChars="0"/>
                    <w:jc w:val="center"/>
                    <w:rPr>
                      <w:rFonts w:ascii="Times New Roman" w:eastAsia="宋体" w:hAnsi="Times New Roman" w:cs="Times New Roman" w:hint="default"/>
                      <w:color w:val="auto"/>
                      <w:sz w:val="21"/>
                      <w:szCs w:val="21"/>
                    </w:rPr>
                  </w:pPr>
                </w:p>
              </w:tc>
              <w:tc>
                <w:tcPr>
                  <w:tcW w:w="525" w:type="pct"/>
                  <w:noWrap w:val="0"/>
                  <w:vAlign w:val="center"/>
                </w:tcPr>
                <w:p w14:paraId="025F9201">
                  <w:pPr>
                    <w:spacing w:line="240" w:lineRule="auto"/>
                    <w:ind w:firstLine="0" w:firstLineChars="0"/>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120</w:t>
                  </w:r>
                  <w:r>
                    <w:rPr>
                      <w:rFonts w:ascii="Times New Roman" w:eastAsia="宋体" w:hAnsi="Times New Roman" w:cs="Times New Roman" w:hint="default"/>
                      <w:color w:val="auto"/>
                      <w:sz w:val="21"/>
                      <w:szCs w:val="21"/>
                    </w:rPr>
                    <w:t>m</w:t>
                  </w:r>
                  <w:r>
                    <w:rPr>
                      <w:rFonts w:ascii="Times New Roman" w:eastAsia="宋体" w:hAnsi="Times New Roman" w:cs="Times New Roman" w:hint="default"/>
                      <w:color w:val="auto"/>
                      <w:sz w:val="21"/>
                      <w:szCs w:val="21"/>
                      <w:vertAlign w:val="superscript"/>
                      <w:lang w:val="en-US" w:eastAsia="zh-CN"/>
                    </w:rPr>
                    <w:t>3</w:t>
                  </w:r>
                </w:p>
              </w:tc>
              <w:tc>
                <w:tcPr>
                  <w:tcW w:w="695" w:type="pct"/>
                  <w:noWrap w:val="0"/>
                  <w:vAlign w:val="center"/>
                </w:tcPr>
                <w:p w14:paraId="258A1450">
                  <w:pPr>
                    <w:spacing w:line="240" w:lineRule="auto"/>
                    <w:ind w:firstLine="0" w:firstLineChars="0"/>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w:t>
                  </w:r>
                </w:p>
              </w:tc>
              <w:tc>
                <w:tcPr>
                  <w:tcW w:w="622" w:type="pct"/>
                  <w:noWrap w:val="0"/>
                  <w:vAlign w:val="center"/>
                </w:tcPr>
                <w:p w14:paraId="2216FFE3">
                  <w:pPr>
                    <w:spacing w:line="240" w:lineRule="auto"/>
                    <w:ind w:firstLine="0" w:firstLineChars="0"/>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108</w:t>
                  </w:r>
                </w:p>
              </w:tc>
              <w:tc>
                <w:tcPr>
                  <w:tcW w:w="420" w:type="pct"/>
                  <w:vMerge w:val="restart"/>
                  <w:noWrap w:val="0"/>
                  <w:vAlign w:val="center"/>
                </w:tcPr>
                <w:p w14:paraId="2E33CA13">
                  <w:pPr>
                    <w:spacing w:line="240" w:lineRule="auto"/>
                    <w:ind w:firstLine="0" w:firstLineChars="0"/>
                    <w:jc w:val="center"/>
                    <w:rPr>
                      <w:rFonts w:ascii="Times New Roman" w:eastAsia="宋体" w:hAnsi="Times New Roman" w:cs="Times New Roman" w:hint="default"/>
                      <w:color w:val="auto"/>
                      <w:sz w:val="21"/>
                      <w:szCs w:val="21"/>
                      <w:lang w:val="en-US" w:eastAsia="zh-CN"/>
                    </w:rPr>
                  </w:pPr>
                  <w:r>
                    <w:rPr>
                      <w:rFonts w:cs="Times New Roman" w:hint="eastAsia"/>
                      <w:color w:val="auto"/>
                      <w:sz w:val="21"/>
                      <w:szCs w:val="21"/>
                      <w:lang w:val="en-US" w:eastAsia="zh-CN"/>
                    </w:rPr>
                    <w:t>及时处理，不贮存</w:t>
                  </w:r>
                </w:p>
              </w:tc>
            </w:tr>
            <w:tr w14:paraId="3D3E4584">
              <w:tblPrEx>
                <w:tblW w:w="4997" w:type="pct"/>
                <w:jc w:val="center"/>
                <w:tblCellMar>
                  <w:top w:w="0" w:type="dxa"/>
                  <w:left w:w="108" w:type="dxa"/>
                  <w:bottom w:w="0" w:type="dxa"/>
                  <w:right w:w="108" w:type="dxa"/>
                </w:tblCellMar>
              </w:tblPrEx>
              <w:trPr>
                <w:jc w:val="center"/>
              </w:trPr>
              <w:tc>
                <w:tcPr>
                  <w:tcW w:w="504" w:type="pct"/>
                  <w:noWrap w:val="0"/>
                  <w:vAlign w:val="center"/>
                </w:tcPr>
                <w:p w14:paraId="783423D9">
                  <w:pPr>
                    <w:spacing w:line="240" w:lineRule="auto"/>
                    <w:ind w:firstLine="0" w:firstLineChars="0"/>
                    <w:jc w:val="center"/>
                    <w:rPr>
                      <w:rFonts w:ascii="Times New Roman" w:eastAsia="宋体" w:hAnsi="Times New Roman" w:cs="Times New Roman" w:hint="default"/>
                      <w:color w:val="auto"/>
                      <w:spacing w:val="6"/>
                      <w:sz w:val="21"/>
                      <w:szCs w:val="21"/>
                      <w:lang w:val="en-US" w:eastAsia="zh-CN"/>
                    </w:rPr>
                  </w:pPr>
                  <w:r>
                    <w:rPr>
                      <w:rFonts w:cs="Times New Roman" w:hint="eastAsia"/>
                      <w:color w:val="auto"/>
                      <w:spacing w:val="6"/>
                      <w:sz w:val="21"/>
                      <w:szCs w:val="21"/>
                      <w:lang w:val="en-US" w:eastAsia="zh-CN"/>
                    </w:rPr>
                    <w:t>废电解液事故池</w:t>
                  </w:r>
                </w:p>
              </w:tc>
              <w:tc>
                <w:tcPr>
                  <w:tcW w:w="694" w:type="pct"/>
                  <w:noWrap w:val="0"/>
                  <w:vAlign w:val="center"/>
                </w:tcPr>
                <w:p w14:paraId="63638026">
                  <w:pPr>
                    <w:ind w:firstLine="0" w:firstLineChars="0"/>
                    <w:jc w:val="center"/>
                    <w:rPr>
                      <w:rFonts w:ascii="Times New Roman" w:eastAsia="宋体" w:hAnsi="Times New Roman" w:cs="Times New Roman" w:hint="default"/>
                      <w:color w:val="auto"/>
                      <w:sz w:val="21"/>
                      <w:szCs w:val="21"/>
                    </w:rPr>
                  </w:pPr>
                  <w:r>
                    <w:rPr>
                      <w:rFonts w:cs="Times New Roman" w:hint="eastAsia"/>
                      <w:color w:val="auto"/>
                      <w:spacing w:val="6"/>
                      <w:sz w:val="21"/>
                      <w:szCs w:val="21"/>
                      <w:lang w:val="en-US" w:eastAsia="zh-CN"/>
                    </w:rPr>
                    <w:t>废电解液</w:t>
                  </w:r>
                </w:p>
              </w:tc>
              <w:tc>
                <w:tcPr>
                  <w:tcW w:w="455" w:type="pct"/>
                  <w:noWrap w:val="0"/>
                  <w:vAlign w:val="center"/>
                </w:tcPr>
                <w:p w14:paraId="3396EF0F">
                  <w:pPr>
                    <w:spacing w:line="240" w:lineRule="auto"/>
                    <w:ind w:firstLine="0" w:firstLineChars="0"/>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HW</w:t>
                  </w:r>
                  <w:r>
                    <w:rPr>
                      <w:rFonts w:ascii="Times New Roman" w:eastAsia="宋体" w:hAnsi="Times New Roman" w:cs="Times New Roman" w:hint="eastAsia"/>
                      <w:color w:val="auto"/>
                      <w:sz w:val="21"/>
                      <w:szCs w:val="21"/>
                      <w:lang w:val="en-US" w:eastAsia="zh-CN"/>
                    </w:rPr>
                    <w:t>34</w:t>
                  </w:r>
                </w:p>
              </w:tc>
              <w:tc>
                <w:tcPr>
                  <w:tcW w:w="796" w:type="pct"/>
                  <w:noWrap w:val="0"/>
                  <w:vAlign w:val="center"/>
                </w:tcPr>
                <w:p w14:paraId="16CF3670">
                  <w:pPr>
                    <w:spacing w:line="240" w:lineRule="auto"/>
                    <w:ind w:firstLine="0" w:firstLineChars="0"/>
                    <w:jc w:val="center"/>
                    <w:rPr>
                      <w:rFonts w:ascii="Times New Roman" w:eastAsia="宋体" w:hAnsi="Times New Roman" w:cs="Times New Roman" w:hint="default"/>
                      <w:color w:val="auto"/>
                      <w:sz w:val="21"/>
                      <w:szCs w:val="21"/>
                    </w:rPr>
                  </w:pPr>
                  <w:r>
                    <w:rPr>
                      <w:rFonts w:cs="Times New Roman" w:hint="eastAsia"/>
                      <w:color w:val="auto"/>
                      <w:lang w:val="en-US" w:eastAsia="zh-CN"/>
                    </w:rPr>
                    <w:t>900-349-34</w:t>
                  </w:r>
                </w:p>
              </w:tc>
              <w:tc>
                <w:tcPr>
                  <w:tcW w:w="284" w:type="pct"/>
                  <w:noWrap w:val="0"/>
                  <w:vAlign w:val="center"/>
                </w:tcPr>
                <w:p w14:paraId="3CE74481">
                  <w:pPr>
                    <w:spacing w:line="240" w:lineRule="auto"/>
                    <w:ind w:firstLine="0" w:firstLineChars="0"/>
                    <w:jc w:val="center"/>
                    <w:rPr>
                      <w:rFonts w:ascii="Times New Roman" w:eastAsia="宋体" w:hAnsi="Times New Roman" w:cs="Times New Roman" w:hint="default"/>
                      <w:color w:val="auto"/>
                      <w:sz w:val="21"/>
                      <w:szCs w:val="21"/>
                      <w:lang w:val="en-US" w:eastAsia="zh-CN"/>
                    </w:rPr>
                  </w:pPr>
                  <w:r>
                    <w:rPr>
                      <w:rFonts w:cs="Times New Roman" w:hint="eastAsia"/>
                      <w:color w:val="auto"/>
                      <w:sz w:val="21"/>
                      <w:szCs w:val="21"/>
                      <w:lang w:val="en-US" w:eastAsia="zh-CN"/>
                    </w:rPr>
                    <w:t>液流电池区</w:t>
                  </w:r>
                </w:p>
              </w:tc>
              <w:tc>
                <w:tcPr>
                  <w:tcW w:w="525" w:type="pct"/>
                  <w:noWrap w:val="0"/>
                  <w:vAlign w:val="center"/>
                </w:tcPr>
                <w:p w14:paraId="070BB334">
                  <w:pPr>
                    <w:spacing w:line="240" w:lineRule="auto"/>
                    <w:ind w:firstLine="0" w:firstLineChars="0"/>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eastAsia"/>
                      <w:color w:val="auto"/>
                      <w:lang w:val="en-US" w:eastAsia="zh-CN"/>
                    </w:rPr>
                    <w:t>62.5</w:t>
                  </w:r>
                  <w:r>
                    <w:rPr>
                      <w:rFonts w:ascii="Times New Roman" w:eastAsia="宋体" w:hAnsi="Times New Roman" w:cs="Times New Roman" w:hint="default"/>
                      <w:color w:val="auto"/>
                      <w:sz w:val="21"/>
                      <w:szCs w:val="21"/>
                    </w:rPr>
                    <w:t>m</w:t>
                  </w:r>
                  <w:r>
                    <w:rPr>
                      <w:rFonts w:ascii="Times New Roman" w:eastAsia="宋体" w:hAnsi="Times New Roman" w:cs="Times New Roman" w:hint="default"/>
                      <w:color w:val="auto"/>
                      <w:sz w:val="21"/>
                      <w:szCs w:val="21"/>
                      <w:vertAlign w:val="superscript"/>
                      <w:lang w:val="en-US" w:eastAsia="zh-CN"/>
                    </w:rPr>
                    <w:t>3</w:t>
                  </w:r>
                </w:p>
              </w:tc>
              <w:tc>
                <w:tcPr>
                  <w:tcW w:w="695" w:type="pct"/>
                  <w:noWrap w:val="0"/>
                  <w:vAlign w:val="center"/>
                </w:tcPr>
                <w:p w14:paraId="341AF608">
                  <w:pPr>
                    <w:spacing w:line="240" w:lineRule="auto"/>
                    <w:ind w:firstLine="0" w:firstLineChars="0"/>
                    <w:jc w:val="center"/>
                    <w:rPr>
                      <w:rFonts w:ascii="Times New Roman" w:eastAsia="宋体" w:hAnsi="Times New Roman" w:cs="Times New Roman" w:hint="default"/>
                      <w:color w:val="auto"/>
                      <w:sz w:val="21"/>
                      <w:szCs w:val="21"/>
                      <w:lang w:val="en-US" w:eastAsia="zh-CN"/>
                    </w:rPr>
                  </w:pPr>
                  <w:r>
                    <w:rPr>
                      <w:rFonts w:cs="Times New Roman" w:hint="eastAsia"/>
                      <w:color w:val="auto"/>
                      <w:sz w:val="21"/>
                      <w:szCs w:val="21"/>
                      <w:lang w:val="en-US" w:eastAsia="zh-CN"/>
                    </w:rPr>
                    <w:t>/</w:t>
                  </w:r>
                </w:p>
              </w:tc>
              <w:tc>
                <w:tcPr>
                  <w:tcW w:w="622" w:type="pct"/>
                  <w:noWrap w:val="0"/>
                  <w:vAlign w:val="center"/>
                </w:tcPr>
                <w:p w14:paraId="1CBCA47B">
                  <w:pPr>
                    <w:spacing w:line="240" w:lineRule="auto"/>
                    <w:ind w:firstLine="0" w:firstLineChars="0"/>
                    <w:jc w:val="center"/>
                    <w:rPr>
                      <w:rFonts w:ascii="Times New Roman" w:eastAsia="宋体" w:hAnsi="Times New Roman" w:cs="Times New Roman" w:hint="default"/>
                      <w:color w:val="auto"/>
                      <w:sz w:val="21"/>
                      <w:szCs w:val="21"/>
                      <w:lang w:val="en-US" w:eastAsia="zh-CN"/>
                    </w:rPr>
                  </w:pPr>
                  <w:r>
                    <w:rPr>
                      <w:rFonts w:cs="Times New Roman" w:hint="eastAsia"/>
                      <w:color w:val="auto"/>
                      <w:sz w:val="21"/>
                      <w:szCs w:val="21"/>
                      <w:lang w:val="en-US" w:eastAsia="zh-CN"/>
                    </w:rPr>
                    <w:t>87.5</w:t>
                  </w:r>
                </w:p>
              </w:tc>
              <w:tc>
                <w:tcPr>
                  <w:tcW w:w="420" w:type="pct"/>
                  <w:vMerge/>
                  <w:noWrap w:val="0"/>
                  <w:vAlign w:val="center"/>
                </w:tcPr>
                <w:p w14:paraId="3913F184">
                  <w:pPr>
                    <w:spacing w:line="240" w:lineRule="auto"/>
                    <w:ind w:firstLine="0" w:firstLineChars="0"/>
                    <w:jc w:val="center"/>
                    <w:rPr>
                      <w:rFonts w:ascii="Times New Roman" w:eastAsia="宋体" w:hAnsi="Times New Roman" w:cs="Times New Roman" w:hint="default"/>
                      <w:color w:val="auto"/>
                      <w:sz w:val="21"/>
                      <w:szCs w:val="21"/>
                    </w:rPr>
                  </w:pPr>
                </w:p>
              </w:tc>
            </w:tr>
          </w:tbl>
          <w:p w14:paraId="416221F5">
            <w:pPr>
              <w:pStyle w:val="033"/>
              <w:numPr>
                <w:ilvl w:val="0"/>
                <w:numId w:val="7"/>
              </w:numPr>
              <w:bidi w:val="0"/>
              <w:rPr>
                <w:rFonts w:hint="default"/>
                <w:color w:val="auto"/>
              </w:rPr>
            </w:pPr>
            <w:r>
              <w:rPr>
                <w:rFonts w:hint="default"/>
                <w:color w:val="auto"/>
              </w:rPr>
              <w:t>危险废物贮存场所（设施）</w:t>
            </w:r>
          </w:p>
          <w:p w14:paraId="3A7664DC">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根据</w:t>
            </w:r>
            <w:r>
              <w:rPr>
                <w:rFonts w:ascii="Times New Roman" w:eastAsia="宋体" w:hAnsi="Times New Roman" w:cs="Times New Roman" w:hint="eastAsia"/>
                <w:color w:val="auto"/>
                <w:lang w:val="en-US" w:eastAsia="zh-CN"/>
              </w:rPr>
              <w:t>表4-24可知本项目设置的危废贮存设施满足项目</w:t>
            </w:r>
            <w:r>
              <w:rPr>
                <w:rFonts w:ascii="Times New Roman" w:eastAsia="宋体" w:hAnsi="Times New Roman" w:cs="Times New Roman" w:hint="default"/>
                <w:color w:val="auto"/>
                <w:lang w:val="en-US" w:eastAsia="zh-CN"/>
              </w:rPr>
              <w:t>危险废物产生量、贮存期限</w:t>
            </w:r>
            <w:r>
              <w:rPr>
                <w:rFonts w:ascii="Times New Roman" w:eastAsia="宋体" w:hAnsi="Times New Roman" w:cs="Times New Roman" w:hint="eastAsia"/>
                <w:color w:val="auto"/>
                <w:lang w:val="en-US" w:eastAsia="zh-CN"/>
              </w:rPr>
              <w:t>的</w:t>
            </w:r>
            <w:r>
              <w:rPr>
                <w:rFonts w:ascii="Times New Roman" w:eastAsia="宋体" w:hAnsi="Times New Roman" w:cs="Times New Roman" w:hint="default"/>
                <w:color w:val="auto"/>
                <w:lang w:val="en-US" w:eastAsia="zh-CN"/>
              </w:rPr>
              <w:t>要求。</w:t>
            </w:r>
            <w:r>
              <w:rPr>
                <w:rFonts w:ascii="Times New Roman" w:eastAsia="宋体" w:hAnsi="Times New Roman" w:cs="Times New Roman" w:hint="eastAsia"/>
                <w:color w:val="auto"/>
                <w:lang w:val="en-US" w:eastAsia="zh-CN"/>
              </w:rPr>
              <w:t>并且应</w:t>
            </w:r>
            <w:r>
              <w:rPr>
                <w:rFonts w:ascii="Times New Roman" w:eastAsia="宋体" w:hAnsi="Times New Roman" w:cs="Times New Roman" w:hint="default"/>
                <w:color w:val="auto"/>
                <w:lang w:val="en-US" w:eastAsia="zh-CN"/>
              </w:rPr>
              <w:t>按照《危险废物贮存污染控制标准》（GB18597-2023）和《危险废物收集、贮存、运输技术规范》（HJ2025-2012）中相关技术要求设置。具体如下：</w:t>
            </w:r>
          </w:p>
          <w:p w14:paraId="03F60CAC">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①危险废物贮存设施的选址、设计、建设、运行管理满足GB18597、GBZ1和GBZ2的有关要求。</w:t>
            </w:r>
          </w:p>
          <w:p w14:paraId="13EB4173">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②贮存危险废物时按危险废物的种类和特性进行分区贮存，每个贮存区域之间宜设置挡墙间隔，危险废物贮存间防风、防雨、防晒、防渗（渗透系数≤10</w:t>
            </w:r>
            <w:r>
              <w:rPr>
                <w:rFonts w:ascii="Times New Roman" w:eastAsia="宋体" w:hAnsi="Times New Roman" w:cs="Times New Roman" w:hint="default"/>
                <w:color w:val="auto"/>
                <w:vertAlign w:val="superscript"/>
                <w:lang w:val="en-US" w:eastAsia="zh-CN"/>
              </w:rPr>
              <w:t>- 10</w:t>
            </w:r>
            <w:r>
              <w:rPr>
                <w:rFonts w:ascii="Times New Roman" w:eastAsia="宋体" w:hAnsi="Times New Roman" w:cs="Times New Roman" w:hint="default"/>
                <w:color w:val="auto"/>
                <w:lang w:val="en-US" w:eastAsia="zh-CN"/>
              </w:rPr>
              <w:t>cm/s），特别是地面及裙角作防渗防腐处理，并按要求设围堰、导流槽、收集池等。</w:t>
            </w:r>
          </w:p>
          <w:p w14:paraId="15561CE5">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③危险废物贮存设施应配备通讯设备、照明设施和消防设施。</w:t>
            </w:r>
          </w:p>
          <w:p w14:paraId="7DD5F28C">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④危险废物贮存期限按《中华人民共和国固体废物污染环境防治法》的有关规定，及时交由资质单位集中处置。</w:t>
            </w:r>
          </w:p>
          <w:p w14:paraId="6445CE7B">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⑤危险废物贮存单位建立危险废物贮存的台账制度，并做好危险废物出入库交接记录。</w:t>
            </w:r>
          </w:p>
          <w:p w14:paraId="7C37AA30">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⑥存放装载液体、半固体危险废物容器位置，有耐腐蚀的硬化地面，且表面无裂隙。</w:t>
            </w:r>
          </w:p>
          <w:p w14:paraId="5C3BB0B6">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⑦危险废物贮存可分为产生单位内部贮存、中转贮存及集中性贮存。</w:t>
            </w:r>
          </w:p>
          <w:p w14:paraId="460BCD5A">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⑧按照相关危险废物管理指标等文件建设危险废物台账。</w:t>
            </w:r>
          </w:p>
          <w:p w14:paraId="1567B5EE">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⑨危险废物暂存场所设置符合《环境保护图形标志-固体废物贮存（处置）场》（GB15562.2-1995）及其修改单的专用标志。</w:t>
            </w:r>
          </w:p>
          <w:p w14:paraId="5109E8CD">
            <w:pPr>
              <w:pStyle w:val="033"/>
              <w:numPr>
                <w:ilvl w:val="0"/>
                <w:numId w:val="7"/>
              </w:numPr>
              <w:bidi w:val="0"/>
              <w:rPr>
                <w:rFonts w:ascii="Times New Roman" w:eastAsia="宋体" w:hAnsi="Times New Roman" w:cs="Times New Roman" w:hint="default"/>
                <w:color w:val="auto"/>
              </w:rPr>
            </w:pPr>
            <w:r>
              <w:rPr>
                <w:rFonts w:ascii="Times New Roman" w:eastAsia="宋体" w:hAnsi="Times New Roman" w:cs="Times New Roman" w:hint="default"/>
                <w:color w:val="auto"/>
              </w:rPr>
              <w:t>运输过程的环境影响分析</w:t>
            </w:r>
          </w:p>
          <w:p w14:paraId="7A47F93E">
            <w:pPr>
              <w:pStyle w:val="00005"/>
              <w:bidi w:val="0"/>
              <w:rPr>
                <w:rFonts w:hint="default"/>
                <w:color w:val="auto"/>
                <w:lang w:val="en-US" w:eastAsia="zh-CN"/>
              </w:rPr>
            </w:pPr>
            <w:r>
              <w:rPr>
                <w:rFonts w:hint="default"/>
                <w:color w:val="auto"/>
                <w:lang w:val="en-US" w:eastAsia="zh-CN"/>
              </w:rPr>
              <w:t>项目危险废物运输由建设单位委托有资质的危险废物处置单位进行运输，建设单位配合运输单位员工进行危险废物中转作业，中转装卸及运输过程应遵守如下技术要求：</w:t>
            </w:r>
          </w:p>
          <w:p w14:paraId="35FEFC12">
            <w:pPr>
              <w:pStyle w:val="00005"/>
              <w:bidi w:val="0"/>
              <w:rPr>
                <w:rFonts w:hint="default"/>
                <w:color w:val="auto"/>
                <w:lang w:val="en-US" w:eastAsia="zh-CN"/>
              </w:rPr>
            </w:pPr>
            <w:r>
              <w:rPr>
                <w:rFonts w:hint="default"/>
                <w:color w:val="auto"/>
                <w:lang w:val="en-US" w:eastAsia="zh-CN"/>
              </w:rPr>
              <w:t>①装卸危险废物的工作人员熟悉危险废物的属性，并配备适当的个人防护装备，装卸</w:t>
            </w:r>
            <w:r>
              <w:rPr>
                <w:rFonts w:hint="eastAsia"/>
                <w:color w:val="auto"/>
                <w:lang w:val="en-US" w:eastAsia="zh-CN"/>
              </w:rPr>
              <w:t>危险</w:t>
            </w:r>
            <w:r>
              <w:rPr>
                <w:rFonts w:hint="default"/>
                <w:color w:val="auto"/>
                <w:lang w:val="en-US" w:eastAsia="zh-CN"/>
              </w:rPr>
              <w:t>废物配备特殊的防护装备。</w:t>
            </w:r>
          </w:p>
          <w:p w14:paraId="09887793">
            <w:pPr>
              <w:pStyle w:val="00005"/>
              <w:bidi w:val="0"/>
              <w:rPr>
                <w:rFonts w:hint="default"/>
                <w:color w:val="auto"/>
                <w:lang w:val="en-US" w:eastAsia="zh-CN"/>
              </w:rPr>
            </w:pPr>
            <w:r>
              <w:rPr>
                <w:rFonts w:hint="default"/>
                <w:color w:val="auto"/>
                <w:lang w:val="en-US" w:eastAsia="zh-CN"/>
              </w:rPr>
              <w:t>②装卸区配备必要的消防设备和设施，并设置明显的指示标志。</w:t>
            </w:r>
          </w:p>
          <w:p w14:paraId="4D6AB145">
            <w:pPr>
              <w:pStyle w:val="00005"/>
              <w:bidi w:val="0"/>
              <w:rPr>
                <w:rFonts w:hint="default"/>
                <w:color w:val="auto"/>
                <w:lang w:val="en-US" w:eastAsia="zh-CN"/>
              </w:rPr>
            </w:pPr>
            <w:r>
              <w:rPr>
                <w:rFonts w:hint="default"/>
                <w:color w:val="auto"/>
                <w:lang w:val="en-US" w:eastAsia="zh-CN"/>
              </w:rPr>
              <w:t>③危险废物装卸区应设置必要的隔离设施，液态废物卸载区设置收集槽和缓冲罐等必要的应急设施。</w:t>
            </w:r>
          </w:p>
          <w:p w14:paraId="1AE98F1D">
            <w:pPr>
              <w:pStyle w:val="033"/>
              <w:numPr>
                <w:ilvl w:val="0"/>
                <w:numId w:val="7"/>
              </w:numPr>
              <w:bidi w:val="0"/>
              <w:rPr>
                <w:rFonts w:ascii="Times New Roman" w:eastAsia="宋体" w:hAnsi="Times New Roman" w:cs="Times New Roman" w:hint="default"/>
                <w:color w:val="auto"/>
              </w:rPr>
            </w:pPr>
            <w:r>
              <w:rPr>
                <w:rFonts w:ascii="Times New Roman" w:eastAsia="宋体" w:hAnsi="Times New Roman" w:cs="Times New Roman" w:hint="default"/>
                <w:color w:val="auto"/>
              </w:rPr>
              <w:t>委托利用或者处置的环境影响分析</w:t>
            </w:r>
          </w:p>
          <w:p w14:paraId="6A9BA313">
            <w:pPr>
              <w:pStyle w:val="00005"/>
              <w:bidi w:val="0"/>
              <w:rPr>
                <w:rFonts w:ascii="Times New Roman" w:eastAsia="宋体" w:hAnsi="Times New Roman" w:cs="Times New Roman" w:hint="default"/>
                <w:color w:val="auto"/>
                <w:lang w:val="en-US" w:eastAsia="zh-CN"/>
              </w:rPr>
            </w:pPr>
            <w:r>
              <w:rPr>
                <w:rFonts w:hint="default"/>
                <w:color w:val="auto"/>
                <w:lang w:val="en-US" w:eastAsia="zh-CN"/>
              </w:rPr>
              <w:t>本项目产生的危险废物</w:t>
            </w:r>
            <w:r>
              <w:rPr>
                <w:rFonts w:hint="default"/>
                <w:color w:val="auto"/>
              </w:rPr>
              <w:t>废油桶</w:t>
            </w:r>
            <w:r>
              <w:rPr>
                <w:rFonts w:hint="default"/>
                <w:color w:val="auto"/>
                <w:lang w:eastAsia="zh-CN"/>
              </w:rPr>
              <w:t>、废抹布、手套</w:t>
            </w:r>
            <w:r>
              <w:rPr>
                <w:rFonts w:hint="default"/>
                <w:color w:val="auto"/>
              </w:rPr>
              <w:t>及废铅蓄电池</w:t>
            </w:r>
            <w:r>
              <w:rPr>
                <w:rFonts w:hint="default"/>
                <w:color w:val="auto"/>
                <w:lang w:val="en-US" w:eastAsia="zh-CN"/>
              </w:rPr>
              <w:t>暂存于危险废物贮存间内，废变压器油</w:t>
            </w:r>
            <w:r>
              <w:rPr>
                <w:rFonts w:hint="eastAsia"/>
                <w:color w:val="auto"/>
                <w:lang w:val="en-US" w:eastAsia="zh-CN"/>
              </w:rPr>
              <w:t>、废电解液</w:t>
            </w:r>
            <w:r>
              <w:rPr>
                <w:rFonts w:hint="default"/>
                <w:color w:val="auto"/>
                <w:lang w:val="en-US" w:eastAsia="zh-CN"/>
              </w:rPr>
              <w:t>暂存于事故油内，定期交由有资质的单位处理。综上，本项目危险废物定期交由有资质的单位处理措施可行。</w:t>
            </w:r>
          </w:p>
          <w:p w14:paraId="18D4B110">
            <w:pPr>
              <w:pStyle w:val="033"/>
              <w:numPr>
                <w:ilvl w:val="0"/>
                <w:numId w:val="7"/>
              </w:numPr>
              <w:bidi w:val="0"/>
              <w:rPr>
                <w:rFonts w:ascii="Times New Roman" w:eastAsia="宋体" w:hAnsi="Times New Roman" w:cs="Times New Roman" w:hint="default"/>
                <w:color w:val="auto"/>
              </w:rPr>
            </w:pPr>
            <w:r>
              <w:rPr>
                <w:rFonts w:ascii="Times New Roman" w:eastAsia="宋体" w:hAnsi="Times New Roman" w:cs="Times New Roman" w:hint="default"/>
                <w:color w:val="auto"/>
              </w:rPr>
              <w:t>危险废物收集、储存、转运过程应急预案</w:t>
            </w:r>
          </w:p>
          <w:p w14:paraId="177076A2">
            <w:pPr>
              <w:pStyle w:val="00005"/>
              <w:bidi w:val="0"/>
              <w:rPr>
                <w:rFonts w:hint="default"/>
                <w:color w:val="auto"/>
                <w:lang w:val="en-US" w:eastAsia="zh-CN"/>
              </w:rPr>
            </w:pPr>
            <w:r>
              <w:rPr>
                <w:rFonts w:hint="default"/>
                <w:color w:val="auto"/>
                <w:lang w:val="en-US" w:eastAsia="zh-CN"/>
              </w:rPr>
              <w:t>危险废物收集、储存、转运过程编制相应的应急预案，应急预案的编制参照《危险废物经营单位编制应急预案指南》，针对危险废物收集、储运、中转过程产生的事故易发环节定期组织应急演练。</w:t>
            </w:r>
          </w:p>
          <w:p w14:paraId="40E8D301">
            <w:pPr>
              <w:pStyle w:val="00005"/>
              <w:bidi w:val="0"/>
              <w:rPr>
                <w:rFonts w:hint="default"/>
                <w:color w:val="auto"/>
                <w:lang w:val="en-US" w:eastAsia="zh-CN"/>
              </w:rPr>
            </w:pPr>
            <w:r>
              <w:rPr>
                <w:rFonts w:hint="default"/>
                <w:color w:val="auto"/>
                <w:lang w:val="en-US" w:eastAsia="zh-CN"/>
              </w:rPr>
              <w:t>危险废物收集、储运、中转过程一旦发生意外事故，建设单位根据风险应急预案立即采取如下措施：</w:t>
            </w:r>
          </w:p>
          <w:p w14:paraId="6474D7C3">
            <w:pPr>
              <w:pStyle w:val="00005"/>
              <w:bidi w:val="0"/>
              <w:rPr>
                <w:rFonts w:hint="default"/>
                <w:color w:val="auto"/>
                <w:lang w:val="en-US" w:eastAsia="zh-CN"/>
              </w:rPr>
            </w:pPr>
            <w:r>
              <w:rPr>
                <w:rFonts w:hint="default"/>
                <w:color w:val="auto"/>
                <w:lang w:val="en-US" w:eastAsia="zh-CN"/>
              </w:rPr>
              <w:t>①设立事故警戒线，启动应急预案，并按要求向环保主管部门进行报告。</w:t>
            </w:r>
          </w:p>
          <w:p w14:paraId="5BE9D23A">
            <w:pPr>
              <w:pStyle w:val="00005"/>
              <w:bidi w:val="0"/>
              <w:rPr>
                <w:rFonts w:hint="default"/>
                <w:color w:val="auto"/>
                <w:lang w:val="en-US" w:eastAsia="zh-CN"/>
              </w:rPr>
            </w:pPr>
            <w:r>
              <w:rPr>
                <w:rFonts w:hint="default"/>
                <w:color w:val="auto"/>
                <w:lang w:val="en-US" w:eastAsia="zh-CN"/>
              </w:rPr>
              <w:t>②对事故受到污染的土壤和水体等进行相应的清理和修复。</w:t>
            </w:r>
          </w:p>
          <w:p w14:paraId="62626E73">
            <w:pPr>
              <w:pStyle w:val="00005"/>
              <w:bidi w:val="0"/>
              <w:rPr>
                <w:rFonts w:hint="default"/>
                <w:color w:val="auto"/>
                <w:lang w:val="en-US" w:eastAsia="zh-CN"/>
              </w:rPr>
            </w:pPr>
            <w:r>
              <w:rPr>
                <w:rFonts w:hint="default"/>
                <w:color w:val="auto"/>
                <w:lang w:val="en-US" w:eastAsia="zh-CN"/>
              </w:rPr>
              <w:t>③清理过程产生的所有废物按危险废物进行管理和处置。</w:t>
            </w:r>
          </w:p>
          <w:p w14:paraId="647220B4">
            <w:pPr>
              <w:pStyle w:val="00005"/>
              <w:bidi w:val="0"/>
              <w:rPr>
                <w:rFonts w:hint="default"/>
                <w:color w:val="auto"/>
                <w:lang w:val="en-US" w:eastAsia="zh-CN"/>
              </w:rPr>
            </w:pPr>
            <w:r>
              <w:rPr>
                <w:rFonts w:hint="default"/>
                <w:color w:val="auto"/>
                <w:lang w:val="en-US" w:eastAsia="zh-CN"/>
              </w:rPr>
              <w:t>④进入现场清理和包装危险废物的人员受过专业培训，穿着防护服，佩戴防护用具。</w:t>
            </w:r>
          </w:p>
          <w:p w14:paraId="36BF8512">
            <w:pPr>
              <w:pStyle w:val="033"/>
              <w:numPr>
                <w:ilvl w:val="0"/>
                <w:numId w:val="7"/>
              </w:numPr>
              <w:bidi w:val="0"/>
              <w:rPr>
                <w:rFonts w:ascii="Times New Roman" w:eastAsia="宋体" w:hAnsi="Times New Roman" w:cs="Times New Roman" w:hint="default"/>
                <w:color w:val="auto"/>
              </w:rPr>
            </w:pPr>
            <w:r>
              <w:rPr>
                <w:rFonts w:ascii="Times New Roman" w:eastAsia="宋体" w:hAnsi="Times New Roman" w:cs="Times New Roman" w:hint="default"/>
                <w:color w:val="auto"/>
              </w:rPr>
              <w:t>固体废物环境管理要求</w:t>
            </w:r>
          </w:p>
          <w:p w14:paraId="6BAF110B">
            <w:pPr>
              <w:pStyle w:val="00005"/>
              <w:bidi w:val="0"/>
              <w:rPr>
                <w:rFonts w:hint="default"/>
                <w:color w:val="auto"/>
                <w:lang w:val="en-US" w:eastAsia="zh-CN"/>
              </w:rPr>
            </w:pPr>
            <w:r>
              <w:rPr>
                <w:rFonts w:hint="default"/>
                <w:color w:val="auto"/>
                <w:lang w:val="en-US" w:eastAsia="zh-CN"/>
              </w:rPr>
              <w:t>①项目运营期固体废物的产生、贮存、利用和处置全过程严格遵守国家有关建设项目环境保护管理的规定。</w:t>
            </w:r>
          </w:p>
          <w:p w14:paraId="5F207EB7">
            <w:pPr>
              <w:pStyle w:val="00005"/>
              <w:bidi w:val="0"/>
              <w:rPr>
                <w:rFonts w:hint="default"/>
                <w:color w:val="auto"/>
                <w:lang w:val="en-US" w:eastAsia="zh-CN"/>
              </w:rPr>
            </w:pPr>
            <w:r>
              <w:rPr>
                <w:rFonts w:hint="default"/>
                <w:color w:val="auto"/>
                <w:lang w:val="en-US" w:eastAsia="zh-CN"/>
              </w:rPr>
              <w:t>②项目运营期产生、收集、贮存、运输、利用、处置固体废物时，采取防扬散、防流失、防渗漏或者其他方式污染环境的措施，不得擅自倾倒、堆放、丢弃、遗撒固体废物；</w:t>
            </w:r>
          </w:p>
          <w:p w14:paraId="13A1D4C6">
            <w:pPr>
              <w:pStyle w:val="00005"/>
              <w:bidi w:val="0"/>
              <w:rPr>
                <w:rFonts w:hint="default"/>
                <w:color w:val="auto"/>
                <w:lang w:val="en-US" w:eastAsia="zh-CN"/>
              </w:rPr>
            </w:pPr>
            <w:r>
              <w:rPr>
                <w:rFonts w:hint="default"/>
                <w:color w:val="auto"/>
                <w:lang w:val="en-US" w:eastAsia="zh-CN"/>
              </w:rPr>
              <w:t>③建设单位运营期建立健全工业固体废物和危险废物产生、收集、贮存、运输、利用、处置全过程的污染环境防治责任制度，建立工业固体废物和危险废物管理台账，如实记录产生工业固体废物的种类、数量、流向、贮存、利用、处置等信息，实现工业固体废物和危险废物可追溯，可查询，并采取防治工业固体废物和危险废物污染环境的措施。</w:t>
            </w:r>
          </w:p>
          <w:p w14:paraId="79523542">
            <w:pPr>
              <w:pStyle w:val="00005"/>
              <w:bidi w:val="0"/>
              <w:rPr>
                <w:rFonts w:hint="default"/>
                <w:color w:val="auto"/>
                <w:lang w:val="en-US" w:eastAsia="zh-CN"/>
              </w:rPr>
            </w:pPr>
            <w:r>
              <w:rPr>
                <w:rFonts w:hint="default"/>
                <w:color w:val="auto"/>
                <w:lang w:val="en-US" w:eastAsia="zh-CN"/>
              </w:rPr>
              <w:t>④对收集、贮存、运输、处置一般工业固体废物和危险废物的设施、设备和场所，加强管理和维护，保证其正常运行和使用。</w:t>
            </w:r>
          </w:p>
          <w:p w14:paraId="69A2F055">
            <w:pPr>
              <w:pStyle w:val="00005"/>
              <w:bidi w:val="0"/>
              <w:rPr>
                <w:rFonts w:hint="default"/>
                <w:color w:val="auto"/>
                <w:lang w:val="en-US" w:eastAsia="zh-CN"/>
              </w:rPr>
            </w:pPr>
            <w:r>
              <w:rPr>
                <w:rFonts w:hint="default"/>
                <w:color w:val="auto"/>
                <w:lang w:val="en-US" w:eastAsia="zh-CN"/>
              </w:rPr>
              <w:t>⑤严禁将生活垃圾与一般工业固体废物、危险废物混合处置。</w:t>
            </w:r>
          </w:p>
          <w:p w14:paraId="2FEFD4E4">
            <w:pPr>
              <w:pStyle w:val="00005"/>
              <w:bidi w:val="0"/>
              <w:rPr>
                <w:rFonts w:hint="default"/>
                <w:color w:val="auto"/>
                <w:lang w:val="en-US" w:eastAsia="zh-CN"/>
              </w:rPr>
            </w:pPr>
            <w:r>
              <w:rPr>
                <w:rFonts w:hint="default"/>
                <w:color w:val="auto"/>
                <w:lang w:val="en-US" w:eastAsia="zh-CN"/>
              </w:rPr>
              <w:t>⑥项目运营期需要终止生产的，应当事先对工业固体废物和危险废物的贮存、处置设施、场所采取污染防治措施，并对未处置的工业固体废物和危险废物做出妥善处置，防止污染环境。</w:t>
            </w:r>
          </w:p>
          <w:p w14:paraId="2578E894">
            <w:pPr>
              <w:pStyle w:val="0000"/>
              <w:numPr>
                <w:ilvl w:val="0"/>
                <w:numId w:val="8"/>
              </w:numPr>
              <w:bidi w:val="0"/>
              <w:rPr>
                <w:rFonts w:ascii="Times New Roman" w:eastAsia="宋体" w:hAnsi="Times New Roman" w:cs="Times New Roman" w:hint="default"/>
                <w:b/>
                <w:bCs/>
                <w:color w:val="auto"/>
                <w:szCs w:val="24"/>
                <w:highlight w:val="none"/>
              </w:rPr>
            </w:pPr>
            <w:r>
              <w:rPr>
                <w:rFonts w:ascii="Times New Roman" w:eastAsia="宋体" w:hAnsi="Times New Roman" w:cs="Times New Roman" w:hint="default"/>
                <w:b/>
                <w:bCs/>
                <w:color w:val="auto"/>
                <w:szCs w:val="24"/>
                <w:highlight w:val="none"/>
              </w:rPr>
              <w:t>废水</w:t>
            </w:r>
          </w:p>
          <w:p w14:paraId="38E5DD12">
            <w:pPr>
              <w:pStyle w:val="00005"/>
              <w:bidi w:val="0"/>
              <w:rPr>
                <w:rFonts w:hint="default"/>
                <w:color w:val="auto"/>
                <w:lang w:val="en-US" w:eastAsia="zh-CN"/>
              </w:rPr>
            </w:pPr>
            <w:r>
              <w:rPr>
                <w:rFonts w:hint="default"/>
                <w:color w:val="auto"/>
                <w:lang w:val="en-US" w:eastAsia="zh-CN"/>
              </w:rPr>
              <w:t>本项目</w:t>
            </w:r>
            <w:r>
              <w:rPr>
                <w:rFonts w:hint="eastAsia"/>
                <w:color w:val="auto"/>
                <w:lang w:val="en-US" w:eastAsia="zh-CN"/>
              </w:rPr>
              <w:t>产生</w:t>
            </w:r>
            <w:r>
              <w:rPr>
                <w:rFonts w:cs="Times New Roman" w:hint="eastAsia"/>
                <w:color w:val="auto"/>
                <w:lang w:val="en-US" w:eastAsia="zh-CN"/>
              </w:rPr>
              <w:t>食堂废水经隔油处理后与</w:t>
            </w:r>
            <w:r>
              <w:rPr>
                <w:rFonts w:ascii="Times New Roman" w:eastAsia="宋体" w:hAnsi="Times New Roman" w:cs="Times New Roman" w:hint="default"/>
                <w:color w:val="auto"/>
                <w:lang w:val="en-US" w:eastAsia="zh-CN"/>
              </w:rPr>
              <w:t>生活污水经化粪池沉淀后，经地埋式一体化污水处理设备处理后作为厂区地面抑尘、绿化使用，不外排</w:t>
            </w:r>
            <w:r>
              <w:rPr>
                <w:rFonts w:hint="default"/>
                <w:color w:val="auto"/>
                <w:lang w:val="en-US" w:eastAsia="zh-CN"/>
              </w:rPr>
              <w:t>。</w:t>
            </w:r>
          </w:p>
          <w:p w14:paraId="05990922">
            <w:pPr>
              <w:pStyle w:val="0000"/>
              <w:bidi w:val="0"/>
              <w:rPr>
                <w:rFonts w:ascii="Times New Roman" w:eastAsia="宋体" w:hAnsi="Times New Roman" w:cs="Times New Roman" w:hint="default"/>
                <w:b/>
                <w:bCs/>
                <w:color w:val="auto"/>
                <w:szCs w:val="24"/>
                <w:highlight w:val="none"/>
              </w:rPr>
            </w:pPr>
            <w:r>
              <w:rPr>
                <w:rFonts w:ascii="Times New Roman" w:eastAsia="宋体" w:hAnsi="Times New Roman" w:cs="Times New Roman" w:hint="default"/>
                <w:b/>
                <w:bCs/>
                <w:color w:val="auto"/>
                <w:szCs w:val="24"/>
                <w:highlight w:val="none"/>
                <w:lang w:val="en-US" w:eastAsia="zh-CN"/>
              </w:rPr>
              <w:t>5</w:t>
            </w:r>
            <w:r>
              <w:rPr>
                <w:rFonts w:ascii="Times New Roman" w:eastAsia="宋体" w:hAnsi="Times New Roman" w:cs="Times New Roman" w:hint="default"/>
                <w:b/>
                <w:bCs/>
                <w:color w:val="auto"/>
                <w:szCs w:val="24"/>
                <w:highlight w:val="none"/>
              </w:rPr>
              <w:t>、环境风险分析</w:t>
            </w:r>
          </w:p>
          <w:p w14:paraId="7219D7FF">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（1）根据《建设项目环境风险评价技术导则》（HJ169-2018），本项目环境风险潜势为Ⅱ级，本项目环境风险评价等级为三级。</w:t>
            </w:r>
          </w:p>
          <w:p w14:paraId="6714E33A">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（2）本项目所涉及的危险物质主要为变压器油、</w:t>
            </w:r>
            <w:r>
              <w:rPr>
                <w:rFonts w:ascii="Times New Roman" w:eastAsia="宋体" w:hAnsi="Times New Roman" w:cs="Times New Roman" w:hint="eastAsia"/>
                <w:color w:val="auto"/>
                <w:lang w:val="en-US" w:eastAsia="zh-CN"/>
              </w:rPr>
              <w:t>液流电解液</w:t>
            </w:r>
            <w:r>
              <w:rPr>
                <w:rFonts w:ascii="Times New Roman" w:eastAsia="宋体" w:hAnsi="Times New Roman" w:cs="Times New Roman" w:hint="default"/>
                <w:color w:val="auto"/>
                <w:lang w:val="en-US" w:eastAsia="zh-CN"/>
              </w:rPr>
              <w:t>等有毒有害物质，具有一定的潜在危险性，易发生泄漏事故。</w:t>
            </w:r>
          </w:p>
          <w:p w14:paraId="4D276B97">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（3）本项目在厂区做好防渗工作，在一定程度上可防止地表水体及地下水体的污染。</w:t>
            </w:r>
          </w:p>
          <w:p w14:paraId="7D87AC29">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4）泄漏及火灾事故造成的危害通常情况下集中在项目地块内，其危害评价一般属于安全评价范围，且建设单位有较好的风险防范措施，本项目在切实采取相应风险防范措施和应急预案的前提下，本项目环境风险是可防控的。</w:t>
            </w:r>
          </w:p>
          <w:p w14:paraId="3D1A9FD9">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综上所述，建设单位只要严格按照国家的有关技术标准进行设计、施工与生产，并落实本评价提出的防范措施，制定详细、可行的风险应急预案，事故风险在可接受范围之内见专项评价</w:t>
            </w:r>
            <w:r>
              <w:rPr>
                <w:rFonts w:ascii="Times New Roman" w:eastAsia="宋体" w:hAnsi="Times New Roman" w:cs="Times New Roman" w:hint="eastAsia"/>
                <w:color w:val="auto"/>
                <w:lang w:val="en-US" w:eastAsia="zh-CN"/>
              </w:rPr>
              <w:t>。</w:t>
            </w:r>
          </w:p>
          <w:p w14:paraId="240E8863">
            <w:pPr>
              <w:pStyle w:val="0000"/>
              <w:bidi w:val="0"/>
              <w:rPr>
                <w:rFonts w:ascii="Times New Roman" w:eastAsia="宋体" w:hAnsi="Times New Roman" w:cs="Times New Roman" w:hint="default"/>
                <w:b/>
                <w:bCs/>
                <w:color w:val="auto"/>
                <w:szCs w:val="24"/>
                <w:highlight w:val="none"/>
              </w:rPr>
            </w:pPr>
            <w:r>
              <w:rPr>
                <w:rFonts w:ascii="Times New Roman" w:eastAsia="宋体" w:hAnsi="Times New Roman" w:cs="Times New Roman" w:hint="default"/>
                <w:b/>
                <w:bCs/>
                <w:color w:val="auto"/>
                <w:szCs w:val="24"/>
                <w:highlight w:val="none"/>
              </w:rPr>
              <w:t>6、生态环境影响分析</w:t>
            </w:r>
          </w:p>
          <w:p w14:paraId="281EAB39">
            <w:pPr>
              <w:pStyle w:val="TableText"/>
              <w:spacing w:before="181" w:line="220" w:lineRule="auto"/>
              <w:ind w:left="599"/>
              <w:rPr>
                <w:rFonts w:ascii="Times New Roman" w:eastAsia="宋体" w:hAnsi="Times New Roman" w:cs="Times New Roman" w:hint="default"/>
                <w:color w:val="auto"/>
              </w:rPr>
            </w:pPr>
            <w:r>
              <w:rPr>
                <w:rFonts w:ascii="Times New Roman" w:eastAsia="宋体" w:hAnsi="Times New Roman" w:cs="Times New Roman" w:hint="default"/>
                <w:color w:val="auto"/>
                <w:spacing w:val="-3"/>
              </w:rPr>
              <w:t>（1）水土流失分析</w:t>
            </w:r>
          </w:p>
          <w:p w14:paraId="0D18F7D3">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本项目施工完成后将及时平整土地、播撒草籽、恢复植被，将有效地控制项目用地范围内的水土流失，运营期随着各类植物的成长，生态系统逐渐趋于稳定，造成的水土流失将逐渐减弱、稳定，达到轻度以下的水平，不会造成过多的水土流失。</w:t>
            </w:r>
          </w:p>
          <w:p w14:paraId="661C42FA">
            <w:pPr>
              <w:pStyle w:val="TableText"/>
              <w:spacing w:before="180" w:line="221" w:lineRule="auto"/>
              <w:ind w:left="599"/>
              <w:rPr>
                <w:rFonts w:ascii="Times New Roman" w:eastAsia="宋体" w:hAnsi="Times New Roman" w:cs="Times New Roman" w:hint="default"/>
                <w:color w:val="auto"/>
              </w:rPr>
            </w:pPr>
            <w:r>
              <w:rPr>
                <w:rFonts w:ascii="Times New Roman" w:eastAsia="宋体" w:hAnsi="Times New Roman" w:cs="Times New Roman" w:hint="default"/>
                <w:color w:val="auto"/>
                <w:spacing w:val="-2"/>
              </w:rPr>
              <w:t>（1）对野生动物的影响分析</w:t>
            </w:r>
          </w:p>
          <w:p w14:paraId="2F22BBDA">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本项目场址范围内无大型哺乳动物出没，小型动物多为麻雀、野兔、田鼠、螳螂、蝉类，预计项目建成后，随着后期生态的恢复，区域生存的动物种群便可以迁回，在储能站设置围栏后，动物一般在储能站外活动，储能站周围生境基本相同，不会对动物生活产生大的影响，因此不会对其种类和数量产生不利影响。</w:t>
            </w:r>
          </w:p>
          <w:p w14:paraId="3F3A67B9">
            <w:pPr>
              <w:pStyle w:val="TableText"/>
              <w:spacing w:before="182" w:line="360" w:lineRule="auto"/>
              <w:ind w:left="107" w:right="38" w:firstLine="481"/>
              <w:rPr>
                <w:rFonts w:ascii="Times New Roman" w:eastAsia="宋体" w:hAnsi="Times New Roman" w:cs="Times New Roman" w:hint="default"/>
                <w:color w:val="auto"/>
                <w:spacing w:val="-5"/>
              </w:rPr>
            </w:pPr>
            <w:r>
              <w:rPr>
                <w:rFonts w:ascii="Times New Roman" w:eastAsia="宋体" w:hAnsi="Times New Roman" w:cs="Times New Roman" w:hint="default"/>
                <w:color w:val="auto"/>
                <w:spacing w:val="-5"/>
              </w:rPr>
              <w:t>（2）对植被生物量的影响</w:t>
            </w:r>
          </w:p>
          <w:p w14:paraId="6FE6EF03">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本项目施工结束后，会减少区域范围内的生物量。施工结束后进行场地平整、播撒草籽、道路两旁种植灌木的措施，降低由于草地数量减少而带来的生物量减少的影响。因此，本项目建成后对区域生态环境质量不会造成明显的不利影响。</w:t>
            </w:r>
          </w:p>
          <w:p w14:paraId="0C38FF18">
            <w:pPr>
              <w:pStyle w:val="TableText"/>
              <w:spacing w:before="182" w:line="360" w:lineRule="auto"/>
              <w:ind w:left="107" w:right="38" w:firstLine="481"/>
              <w:rPr>
                <w:rFonts w:ascii="Times New Roman" w:eastAsia="宋体" w:hAnsi="Times New Roman" w:cs="Times New Roman" w:hint="default"/>
                <w:color w:val="auto"/>
                <w:spacing w:val="-5"/>
              </w:rPr>
            </w:pPr>
            <w:r>
              <w:rPr>
                <w:rFonts w:ascii="Times New Roman" w:eastAsia="宋体" w:hAnsi="Times New Roman" w:cs="Times New Roman" w:hint="default"/>
                <w:color w:val="auto"/>
                <w:spacing w:val="-5"/>
              </w:rPr>
              <w:t>（3）对区域土地利用的影响分析</w:t>
            </w:r>
          </w:p>
          <w:p w14:paraId="2615822B">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项目运营期需要对储能站</w:t>
            </w:r>
            <w:r>
              <w:rPr>
                <w:rFonts w:ascii="Times New Roman" w:eastAsia="宋体" w:hAnsi="Times New Roman" w:cs="Times New Roman" w:hint="eastAsia"/>
                <w:color w:val="auto"/>
                <w:lang w:val="en-US" w:eastAsia="zh-CN"/>
              </w:rPr>
              <w:t>空地</w:t>
            </w:r>
            <w:r>
              <w:rPr>
                <w:rFonts w:ascii="Times New Roman" w:eastAsia="宋体" w:hAnsi="Times New Roman" w:cs="Times New Roman" w:hint="default"/>
                <w:color w:val="auto"/>
                <w:lang w:val="en-US" w:eastAsia="zh-CN"/>
              </w:rPr>
              <w:t>进行植被的恢复，恢复土地原有的生态功能。</w:t>
            </w:r>
          </w:p>
          <w:p w14:paraId="674C3076">
            <w:pPr>
              <w:pStyle w:val="TableText"/>
              <w:spacing w:before="182" w:line="360" w:lineRule="auto"/>
              <w:ind w:left="107" w:right="38" w:firstLine="481"/>
              <w:rPr>
                <w:rFonts w:ascii="Times New Roman" w:eastAsia="宋体" w:hAnsi="Times New Roman" w:cs="Times New Roman" w:hint="default"/>
                <w:color w:val="auto"/>
                <w:spacing w:val="-5"/>
                <w:lang w:val="en-US" w:eastAsia="zh-CN"/>
              </w:rPr>
            </w:pPr>
            <w:r>
              <w:rPr>
                <w:rFonts w:ascii="Times New Roman" w:eastAsia="宋体" w:hAnsi="Times New Roman" w:cs="Times New Roman" w:hint="default"/>
                <w:color w:val="auto"/>
                <w:spacing w:val="-5"/>
              </w:rPr>
              <w:t>（4）景观影响分析</w:t>
            </w:r>
          </w:p>
          <w:p w14:paraId="67CCBCA5">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为保护项目生态环境，应对项目储能站撒籽绿化。绿化是减轻环境污染，提高环境质量的重要手段之一，具有净化空气、消声减噪的功能。因此，项目在建设过程中应充分考虑到绿化，对储能站进行绿化，植物绿化不仅美化了环境，同时也可起到减轻污染、防噪降噪的效果。</w:t>
            </w:r>
          </w:p>
          <w:p w14:paraId="5C85E28D">
            <w:pPr>
              <w:pStyle w:val="0000"/>
              <w:numPr>
                <w:ilvl w:val="0"/>
                <w:numId w:val="0"/>
              </w:numPr>
              <w:bidi w:val="0"/>
              <w:ind w:left="480" w:leftChars="0"/>
              <w:rPr>
                <w:rFonts w:ascii="Times New Roman" w:eastAsia="宋体" w:hAnsi="Times New Roman" w:cs="Times New Roman" w:hint="default"/>
                <w:b/>
                <w:bCs/>
                <w:color w:val="auto"/>
                <w:szCs w:val="24"/>
                <w:highlight w:val="none"/>
              </w:rPr>
            </w:pPr>
            <w:r>
              <w:rPr>
                <w:rFonts w:ascii="Times New Roman" w:eastAsia="宋体" w:hAnsi="Times New Roman" w:cs="Times New Roman" w:hint="eastAsia"/>
                <w:b/>
                <w:bCs/>
                <w:color w:val="auto"/>
                <w:szCs w:val="24"/>
                <w:highlight w:val="none"/>
                <w:lang w:val="en-US" w:eastAsia="zh-CN"/>
              </w:rPr>
              <w:t>7、大气</w:t>
            </w:r>
            <w:r>
              <w:rPr>
                <w:rFonts w:ascii="Times New Roman" w:eastAsia="宋体" w:hAnsi="Times New Roman" w:cs="Times New Roman" w:hint="default"/>
                <w:b/>
                <w:bCs/>
                <w:color w:val="auto"/>
                <w:szCs w:val="24"/>
                <w:highlight w:val="none"/>
              </w:rPr>
              <w:t>环境影响分析</w:t>
            </w:r>
          </w:p>
          <w:p w14:paraId="181538CF">
            <w:pPr>
              <w:pStyle w:val="0000"/>
              <w:numPr>
                <w:ilvl w:val="0"/>
                <w:numId w:val="0"/>
              </w:numPr>
              <w:bidi w:val="0"/>
              <w:ind w:left="480" w:leftChars="0"/>
              <w:rPr>
                <w:rFonts w:ascii="Times New Roman" w:eastAsia="宋体" w:hAnsi="Times New Roman" w:cs="Times New Roman" w:hint="default"/>
                <w:b/>
                <w:bCs/>
                <w:color w:val="auto"/>
                <w:sz w:val="22"/>
                <w:szCs w:val="22"/>
                <w:highlight w:val="none"/>
              </w:rPr>
            </w:pPr>
            <w:r>
              <w:rPr>
                <w:rFonts w:ascii="Times New Roman" w:eastAsia="宋体" w:hAnsi="Times New Roman" w:cs="Times New Roman" w:hint="eastAsia"/>
                <w:b/>
                <w:bCs/>
                <w:color w:val="auto"/>
                <w:sz w:val="22"/>
                <w:szCs w:val="22"/>
                <w:highlight w:val="none"/>
                <w:lang w:val="en-US" w:eastAsia="zh-CN"/>
              </w:rPr>
              <w:t>7.1</w:t>
            </w:r>
            <w:r>
              <w:rPr>
                <w:rFonts w:ascii="Times New Roman" w:eastAsia="宋体" w:hAnsi="Times New Roman" w:cs="Times New Roman" w:hint="default"/>
                <w:b/>
                <w:bCs/>
                <w:color w:val="auto"/>
                <w:sz w:val="22"/>
                <w:szCs w:val="22"/>
                <w:highlight w:val="none"/>
              </w:rPr>
              <w:t>废气污染物产排情况</w:t>
            </w:r>
          </w:p>
          <w:p w14:paraId="1C97B352">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eastAsia"/>
                <w:color w:val="auto"/>
                <w:lang w:val="en-US" w:eastAsia="zh-CN"/>
              </w:rPr>
              <w:t>本项目食堂设有两个灶头，</w:t>
            </w:r>
            <w:r>
              <w:rPr>
                <w:rFonts w:ascii="Times New Roman" w:eastAsia="宋体" w:hAnsi="Times New Roman" w:cs="Times New Roman" w:hint="default"/>
                <w:color w:val="auto"/>
                <w:lang w:val="en-US" w:eastAsia="zh-CN"/>
              </w:rPr>
              <w:t>进行食物烹饪、加工过程中挥发的油脂、有机质及热分解或裂解产物会产生一定量的油烟。该项目餐厅就餐人数</w:t>
            </w:r>
            <w:r>
              <w:rPr>
                <w:rFonts w:ascii="Times New Roman" w:eastAsia="宋体" w:hAnsi="Times New Roman" w:cs="Times New Roman" w:hint="eastAsia"/>
                <w:color w:val="auto"/>
                <w:lang w:val="en-US" w:eastAsia="zh-CN"/>
              </w:rPr>
              <w:t>最多</w:t>
            </w:r>
            <w:r>
              <w:rPr>
                <w:rFonts w:ascii="Times New Roman" w:eastAsia="宋体" w:hAnsi="Times New Roman" w:cs="Times New Roman" w:hint="default"/>
                <w:color w:val="auto"/>
                <w:lang w:val="en-US" w:eastAsia="zh-CN"/>
              </w:rPr>
              <w:t>为20人，年工作时间为365天，食用油消耗量按30g/（d·人）计，则消耗食用油</w:t>
            </w:r>
            <w:r>
              <w:rPr>
                <w:rFonts w:ascii="Times New Roman" w:eastAsia="宋体" w:hAnsi="Times New Roman" w:cs="Times New Roman" w:hint="eastAsia"/>
                <w:color w:val="auto"/>
                <w:lang w:val="en-US" w:eastAsia="zh-CN"/>
              </w:rPr>
              <w:t>0.</w:t>
            </w:r>
            <w:r>
              <w:rPr>
                <w:rFonts w:ascii="Times New Roman" w:eastAsia="宋体" w:hAnsi="Times New Roman" w:cs="Times New Roman" w:hint="default"/>
                <w:color w:val="auto"/>
                <w:lang w:val="en-US" w:eastAsia="zh-CN"/>
              </w:rPr>
              <w:t>219t/a，烹饪过程食用油挥发率按2%计，则油烟产生量为0.</w:t>
            </w:r>
            <w:r>
              <w:rPr>
                <w:rFonts w:ascii="Times New Roman" w:eastAsia="宋体" w:hAnsi="Times New Roman" w:cs="Times New Roman" w:hint="eastAsia"/>
                <w:color w:val="auto"/>
                <w:lang w:val="en-US" w:eastAsia="zh-CN"/>
              </w:rPr>
              <w:t>00</w:t>
            </w:r>
            <w:r>
              <w:rPr>
                <w:rFonts w:ascii="Times New Roman" w:eastAsia="宋体" w:hAnsi="Times New Roman" w:cs="Times New Roman" w:hint="default"/>
                <w:color w:val="auto"/>
                <w:lang w:val="en-US" w:eastAsia="zh-CN"/>
              </w:rPr>
              <w:t>4</w:t>
            </w:r>
            <w:r>
              <w:rPr>
                <w:rFonts w:ascii="Times New Roman" w:eastAsia="宋体" w:hAnsi="Times New Roman" w:cs="Times New Roman" w:hint="eastAsia"/>
                <w:color w:val="auto"/>
                <w:lang w:val="en-US" w:eastAsia="zh-CN"/>
              </w:rPr>
              <w:t>38</w:t>
            </w:r>
            <w:r>
              <w:rPr>
                <w:rFonts w:ascii="Times New Roman" w:eastAsia="宋体" w:hAnsi="Times New Roman" w:cs="Times New Roman" w:hint="default"/>
                <w:color w:val="auto"/>
                <w:lang w:val="en-US" w:eastAsia="zh-CN"/>
              </w:rPr>
              <w:t>t/a。</w:t>
            </w:r>
          </w:p>
          <w:p w14:paraId="486D84DF">
            <w:pPr>
              <w:pStyle w:val="TableText"/>
              <w:spacing w:before="182" w:line="360" w:lineRule="auto"/>
              <w:ind w:left="107" w:right="38" w:firstLine="481"/>
              <w:rPr>
                <w:rFonts w:ascii="Times New Roman" w:eastAsia="宋体" w:hAnsi="Times New Roman" w:cs="Times New Roman" w:hint="default"/>
                <w:color w:val="auto"/>
                <w:spacing w:val="-5"/>
                <w:lang w:val="en-US" w:eastAsia="zh-CN"/>
              </w:rPr>
            </w:pPr>
            <w:r>
              <w:rPr>
                <w:rFonts w:ascii="Times New Roman" w:eastAsia="宋体" w:hAnsi="Times New Roman" w:cs="Times New Roman" w:hint="default"/>
                <w:color w:val="auto"/>
                <w:kern w:val="2"/>
                <w:sz w:val="24"/>
                <w:szCs w:val="24"/>
                <w:lang w:val="en-US" w:eastAsia="zh-CN" w:bidi="ar-SA"/>
              </w:rPr>
              <w:t>项目在炉灶上方装设带有机械排风和油烟净化器。油烟通过集中式烟道高空排放，烟囱高度</w:t>
            </w:r>
            <w:r>
              <w:rPr>
                <w:rFonts w:ascii="Times New Roman" w:eastAsia="宋体" w:hAnsi="Times New Roman" w:cs="Times New Roman" w:hint="eastAsia"/>
                <w:color w:val="auto"/>
                <w:kern w:val="2"/>
                <w:sz w:val="24"/>
                <w:szCs w:val="24"/>
                <w:lang w:val="en-US" w:eastAsia="zh-CN" w:bidi="ar-SA"/>
              </w:rPr>
              <w:t>11m</w:t>
            </w:r>
            <w:r>
              <w:rPr>
                <w:rFonts w:ascii="Times New Roman" w:eastAsia="宋体" w:hAnsi="Times New Roman" w:cs="Times New Roman" w:hint="default"/>
                <w:color w:val="auto"/>
                <w:kern w:val="2"/>
                <w:sz w:val="24"/>
                <w:szCs w:val="24"/>
                <w:lang w:val="en-US" w:eastAsia="zh-CN" w:bidi="ar-SA"/>
              </w:rPr>
              <w:t>高于烟囱所在</w:t>
            </w:r>
            <w:r>
              <w:rPr>
                <w:rFonts w:ascii="Times New Roman" w:eastAsia="宋体" w:hAnsi="Times New Roman" w:cs="Times New Roman" w:hint="eastAsia"/>
                <w:color w:val="auto"/>
                <w:kern w:val="2"/>
                <w:sz w:val="24"/>
                <w:szCs w:val="24"/>
                <w:lang w:val="en-US" w:eastAsia="zh-CN" w:bidi="ar-SA"/>
              </w:rPr>
              <w:t>综合楼（9m）</w:t>
            </w:r>
            <w:r>
              <w:rPr>
                <w:rFonts w:ascii="Times New Roman" w:eastAsia="宋体" w:hAnsi="Times New Roman" w:cs="Times New Roman" w:hint="default"/>
                <w:color w:val="auto"/>
                <w:kern w:val="2"/>
                <w:sz w:val="24"/>
                <w:szCs w:val="24"/>
                <w:lang w:val="en-US" w:eastAsia="zh-CN" w:bidi="ar-SA"/>
              </w:rPr>
              <w:t>顶</w:t>
            </w:r>
            <w:r>
              <w:rPr>
                <w:rFonts w:ascii="Times New Roman" w:eastAsia="宋体" w:hAnsi="Times New Roman" w:cs="Times New Roman" w:hint="eastAsia"/>
                <w:color w:val="auto"/>
                <w:kern w:val="2"/>
                <w:sz w:val="24"/>
                <w:szCs w:val="24"/>
                <w:lang w:val="en-US" w:eastAsia="zh-CN" w:bidi="ar-SA"/>
              </w:rPr>
              <w:t>2</w:t>
            </w:r>
            <w:r>
              <w:rPr>
                <w:rFonts w:ascii="Times New Roman" w:eastAsia="宋体" w:hAnsi="Times New Roman" w:cs="Times New Roman" w:hint="default"/>
                <w:color w:val="auto"/>
                <w:kern w:val="2"/>
                <w:sz w:val="24"/>
                <w:szCs w:val="24"/>
                <w:lang w:val="en-US" w:eastAsia="zh-CN" w:bidi="ar-SA"/>
              </w:rPr>
              <w:t>m。油烟按</w:t>
            </w:r>
            <w:r>
              <w:rPr>
                <w:rFonts w:ascii="Times New Roman" w:eastAsia="宋体" w:hAnsi="Times New Roman" w:cs="Times New Roman" w:hint="eastAsia"/>
                <w:color w:val="auto"/>
                <w:kern w:val="2"/>
                <w:sz w:val="24"/>
                <w:szCs w:val="24"/>
                <w:lang w:val="en-US" w:eastAsia="zh-CN" w:bidi="ar-SA"/>
              </w:rPr>
              <w:t>全部收集，</w:t>
            </w:r>
            <w:r>
              <w:rPr>
                <w:rFonts w:ascii="Times New Roman" w:eastAsia="宋体" w:hAnsi="Times New Roman" w:cs="Times New Roman" w:hint="default"/>
                <w:color w:val="auto"/>
                <w:kern w:val="2"/>
                <w:sz w:val="24"/>
                <w:szCs w:val="24"/>
                <w:lang w:val="en-US" w:eastAsia="zh-CN" w:bidi="ar-SA"/>
              </w:rPr>
              <w:t>净化效率约为95%计，则油烟排放量为0.00022t/a，每天食堂烹饪时间按</w:t>
            </w:r>
            <w:r>
              <w:rPr>
                <w:rFonts w:ascii="Times New Roman" w:eastAsia="宋体" w:hAnsi="Times New Roman" w:cs="Times New Roman" w:hint="eastAsia"/>
                <w:color w:val="auto"/>
                <w:kern w:val="2"/>
                <w:sz w:val="24"/>
                <w:szCs w:val="24"/>
                <w:lang w:val="en-US" w:eastAsia="zh-CN" w:bidi="ar-SA"/>
              </w:rPr>
              <w:t>4</w:t>
            </w:r>
            <w:r>
              <w:rPr>
                <w:rFonts w:ascii="Times New Roman" w:eastAsia="宋体" w:hAnsi="Times New Roman" w:cs="Times New Roman" w:hint="default"/>
                <w:color w:val="auto"/>
                <w:kern w:val="2"/>
                <w:sz w:val="24"/>
                <w:szCs w:val="24"/>
                <w:lang w:val="en-US" w:eastAsia="zh-CN" w:bidi="ar-SA"/>
              </w:rPr>
              <w:t>小时计，油烟排风机风量为</w:t>
            </w:r>
            <w:r>
              <w:rPr>
                <w:rFonts w:ascii="Times New Roman" w:eastAsia="宋体" w:hAnsi="Times New Roman" w:cs="Times New Roman" w:hint="eastAsia"/>
                <w:color w:val="auto"/>
                <w:kern w:val="2"/>
                <w:sz w:val="24"/>
                <w:szCs w:val="24"/>
                <w:lang w:val="en-US" w:eastAsia="zh-CN" w:bidi="ar-SA"/>
              </w:rPr>
              <w:t>20</w:t>
            </w:r>
            <w:r>
              <w:rPr>
                <w:rFonts w:ascii="Times New Roman" w:eastAsia="宋体" w:hAnsi="Times New Roman" w:cs="Times New Roman" w:hint="default"/>
                <w:color w:val="auto"/>
                <w:kern w:val="2"/>
                <w:sz w:val="24"/>
                <w:szCs w:val="24"/>
                <w:lang w:val="en-US" w:eastAsia="zh-CN" w:bidi="ar-SA"/>
              </w:rPr>
              <w:t>00m³/h，则油烟排放速率为0.0</w:t>
            </w:r>
            <w:r>
              <w:rPr>
                <w:rFonts w:ascii="Times New Roman" w:eastAsia="宋体" w:hAnsi="Times New Roman" w:cs="Times New Roman" w:hint="eastAsia"/>
                <w:color w:val="auto"/>
                <w:kern w:val="2"/>
                <w:sz w:val="24"/>
                <w:szCs w:val="24"/>
                <w:lang w:val="en-US" w:eastAsia="zh-CN" w:bidi="ar-SA"/>
              </w:rPr>
              <w:t>00</w:t>
            </w:r>
            <w:r>
              <w:rPr>
                <w:rFonts w:ascii="Times New Roman" w:eastAsia="宋体" w:hAnsi="Times New Roman" w:cs="Times New Roman" w:hint="default"/>
                <w:color w:val="auto"/>
                <w:kern w:val="2"/>
                <w:sz w:val="24"/>
                <w:szCs w:val="24"/>
                <w:lang w:val="en-US" w:eastAsia="zh-CN" w:bidi="ar-SA"/>
              </w:rPr>
              <w:t>1</w:t>
            </w:r>
            <w:r>
              <w:rPr>
                <w:rFonts w:ascii="Times New Roman" w:eastAsia="宋体" w:hAnsi="Times New Roman" w:cs="Times New Roman" w:hint="eastAsia"/>
                <w:color w:val="auto"/>
                <w:kern w:val="2"/>
                <w:sz w:val="24"/>
                <w:szCs w:val="24"/>
                <w:lang w:val="en-US" w:eastAsia="zh-CN" w:bidi="ar-SA"/>
              </w:rPr>
              <w:t>5</w:t>
            </w:r>
            <w:r>
              <w:rPr>
                <w:rFonts w:ascii="Times New Roman" w:eastAsia="宋体" w:hAnsi="Times New Roman" w:cs="Times New Roman" w:hint="default"/>
                <w:color w:val="auto"/>
                <w:kern w:val="2"/>
                <w:sz w:val="24"/>
                <w:szCs w:val="24"/>
                <w:lang w:val="en-US" w:eastAsia="zh-CN" w:bidi="ar-SA"/>
              </w:rPr>
              <w:t>kg/h，排放浓度为0.</w:t>
            </w:r>
            <w:r>
              <w:rPr>
                <w:rFonts w:ascii="Times New Roman" w:eastAsia="宋体" w:hAnsi="Times New Roman" w:cs="Times New Roman" w:hint="eastAsia"/>
                <w:color w:val="auto"/>
                <w:kern w:val="2"/>
                <w:sz w:val="24"/>
                <w:szCs w:val="24"/>
                <w:lang w:val="en-US" w:eastAsia="zh-CN" w:bidi="ar-SA"/>
              </w:rPr>
              <w:t>075</w:t>
            </w:r>
            <w:r>
              <w:rPr>
                <w:rFonts w:ascii="Times New Roman" w:eastAsia="宋体" w:hAnsi="Times New Roman" w:cs="Times New Roman" w:hint="default"/>
                <w:color w:val="auto"/>
                <w:kern w:val="2"/>
                <w:sz w:val="24"/>
                <w:szCs w:val="24"/>
                <w:lang w:val="en-US" w:eastAsia="zh-CN" w:bidi="ar-SA"/>
              </w:rPr>
              <w:t>mg/m³。</w:t>
            </w:r>
          </w:p>
          <w:p w14:paraId="148F8700">
            <w:pPr>
              <w:pStyle w:val="0000"/>
              <w:numPr>
                <w:ilvl w:val="0"/>
                <w:numId w:val="0"/>
              </w:numPr>
              <w:bidi w:val="0"/>
              <w:ind w:left="480" w:leftChars="0"/>
              <w:rPr>
                <w:rFonts w:ascii="Times New Roman" w:eastAsia="宋体" w:hAnsi="Times New Roman" w:cs="Times New Roman" w:hint="default"/>
                <w:b/>
                <w:bCs/>
                <w:color w:val="auto"/>
                <w:sz w:val="22"/>
                <w:szCs w:val="22"/>
                <w:highlight w:val="none"/>
                <w:lang w:val="en-US" w:eastAsia="zh-CN"/>
              </w:rPr>
            </w:pPr>
            <w:r>
              <w:rPr>
                <w:rFonts w:ascii="Times New Roman" w:eastAsia="宋体" w:hAnsi="Times New Roman" w:cs="Times New Roman" w:hint="eastAsia"/>
                <w:b/>
                <w:bCs/>
                <w:color w:val="auto"/>
                <w:sz w:val="22"/>
                <w:szCs w:val="22"/>
                <w:highlight w:val="none"/>
                <w:lang w:val="en-US" w:eastAsia="zh-CN"/>
              </w:rPr>
              <w:t>7.2达标分析</w:t>
            </w:r>
          </w:p>
          <w:p w14:paraId="696CBC91">
            <w:pPr>
              <w:pStyle w:val="TableText"/>
              <w:spacing w:before="182" w:line="360" w:lineRule="auto"/>
              <w:ind w:left="107" w:right="38" w:firstLine="481"/>
              <w:rPr>
                <w:rFonts w:ascii="Times New Roman" w:eastAsia="宋体" w:hAnsi="Times New Roman" w:cs="Times New Roman" w:hint="default"/>
                <w:color w:val="auto"/>
                <w:spacing w:val="-5"/>
                <w:lang w:val="en-US" w:eastAsia="zh-CN"/>
              </w:rPr>
            </w:pPr>
            <w:r>
              <w:rPr>
                <w:rFonts w:ascii="Times New Roman" w:eastAsia="宋体" w:hAnsi="Times New Roman" w:cs="Times New Roman" w:hint="default"/>
                <w:color w:val="auto"/>
                <w:spacing w:val="-5"/>
                <w:lang w:val="en-US" w:eastAsia="zh-CN"/>
              </w:rPr>
              <w:t>根据分析可知，本项目</w:t>
            </w:r>
            <w:r>
              <w:rPr>
                <w:rFonts w:ascii="Times New Roman" w:eastAsia="宋体" w:hAnsi="Times New Roman" w:cs="Times New Roman" w:hint="eastAsia"/>
                <w:color w:val="auto"/>
                <w:spacing w:val="-5"/>
                <w:lang w:val="en-US" w:eastAsia="zh-CN"/>
              </w:rPr>
              <w:t>废气</w:t>
            </w:r>
            <w:r>
              <w:rPr>
                <w:rFonts w:ascii="Times New Roman" w:eastAsia="宋体" w:hAnsi="Times New Roman" w:cs="Times New Roman" w:hint="default"/>
                <w:color w:val="auto"/>
                <w:spacing w:val="-5"/>
                <w:lang w:val="en-US" w:eastAsia="zh-CN"/>
              </w:rPr>
              <w:t>排放</w:t>
            </w:r>
            <w:r>
              <w:rPr>
                <w:rFonts w:ascii="Times New Roman" w:eastAsia="宋体" w:hAnsi="Times New Roman" w:cs="Times New Roman" w:hint="eastAsia"/>
                <w:color w:val="auto"/>
                <w:spacing w:val="-5"/>
                <w:lang w:val="en-US" w:eastAsia="zh-CN"/>
              </w:rPr>
              <w:t>达标</w:t>
            </w:r>
            <w:r>
              <w:rPr>
                <w:rFonts w:ascii="Times New Roman" w:eastAsia="宋体" w:hAnsi="Times New Roman" w:cs="Times New Roman" w:hint="default"/>
                <w:color w:val="auto"/>
                <w:spacing w:val="-5"/>
                <w:lang w:val="en-US" w:eastAsia="zh-CN"/>
              </w:rPr>
              <w:t>情况见下表</w:t>
            </w:r>
            <w:r>
              <w:rPr>
                <w:rFonts w:ascii="Times New Roman" w:eastAsia="宋体" w:hAnsi="Times New Roman" w:cs="Times New Roman" w:hint="eastAsia"/>
                <w:color w:val="auto"/>
                <w:spacing w:val="-5"/>
                <w:lang w:val="en-US" w:eastAsia="zh-CN"/>
              </w:rPr>
              <w:t>：</w:t>
            </w:r>
          </w:p>
          <w:p w14:paraId="7E934496">
            <w:pPr>
              <w:adjustRightInd w:val="0"/>
              <w:snapToGrid w:val="0"/>
              <w:spacing w:line="360" w:lineRule="auto"/>
              <w:jc w:val="center"/>
              <w:rPr>
                <w:rFonts w:ascii="Times New Roman" w:eastAsia="宋体" w:hAnsi="Times New Roman" w:cs="Times New Roman" w:hint="default"/>
                <w:color w:val="auto"/>
                <w:spacing w:val="-5"/>
                <w:lang w:val="en-US" w:eastAsia="zh-CN"/>
              </w:rPr>
            </w:pPr>
            <w:r>
              <w:rPr>
                <w:b/>
                <w:bCs/>
                <w:color w:val="auto"/>
                <w:sz w:val="24"/>
              </w:rPr>
              <w:t>表4-</w:t>
            </w:r>
            <w:r>
              <w:rPr>
                <w:rFonts w:hint="eastAsia"/>
                <w:b/>
                <w:bCs/>
                <w:color w:val="auto"/>
                <w:sz w:val="24"/>
                <w:lang w:val="en-US" w:eastAsia="zh-CN"/>
              </w:rPr>
              <w:t>25</w:t>
            </w:r>
            <w:r>
              <w:rPr>
                <w:b/>
                <w:bCs/>
                <w:color w:val="auto"/>
                <w:szCs w:val="21"/>
              </w:rPr>
              <w:t xml:space="preserve"> </w:t>
            </w:r>
            <w:r>
              <w:rPr>
                <w:b/>
                <w:snapToGrid w:val="0"/>
                <w:color w:val="auto"/>
                <w:spacing w:val="2"/>
                <w:sz w:val="24"/>
              </w:rPr>
              <w:t xml:space="preserve"> </w:t>
            </w:r>
            <w:r>
              <w:rPr>
                <w:b/>
                <w:bCs/>
                <w:color w:val="auto"/>
                <w:sz w:val="24"/>
              </w:rPr>
              <w:t xml:space="preserve"> 废气排气筒污染物排放</w:t>
            </w:r>
            <w:r>
              <w:rPr>
                <w:rFonts w:hint="eastAsia"/>
                <w:b/>
                <w:bCs/>
                <w:color w:val="auto"/>
                <w:sz w:val="24"/>
                <w:lang w:val="en-US" w:eastAsia="zh-CN"/>
              </w:rPr>
              <w:t>达标</w:t>
            </w:r>
            <w:r>
              <w:rPr>
                <w:b/>
                <w:bCs/>
                <w:color w:val="auto"/>
                <w:sz w:val="24"/>
              </w:rPr>
              <w:t>情况</w:t>
            </w:r>
          </w:p>
          <w:tbl>
            <w:tblPr>
              <w:tblStyle w:val="TableNormal"/>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148"/>
              <w:gridCol w:w="1720"/>
              <w:gridCol w:w="1463"/>
              <w:gridCol w:w="1187"/>
              <w:gridCol w:w="1328"/>
              <w:gridCol w:w="1665"/>
            </w:tblGrid>
            <w:tr w14:paraId="311E99BA">
              <w:tblPrEx>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97"/>
                <w:jc w:val="center"/>
              </w:trPr>
              <w:tc>
                <w:tcPr>
                  <w:tcW w:w="674" w:type="pct"/>
                  <w:vMerge w:val="restart"/>
                  <w:tcMar>
                    <w:left w:w="0" w:type="dxa"/>
                    <w:right w:w="0" w:type="dxa"/>
                  </w:tcMar>
                  <w:vAlign w:val="center"/>
                </w:tcPr>
                <w:p w14:paraId="7FEED959">
                  <w:pPr>
                    <w:jc w:val="center"/>
                    <w:rPr>
                      <w:color w:val="auto"/>
                      <w:szCs w:val="21"/>
                    </w:rPr>
                  </w:pPr>
                  <w:r>
                    <w:rPr>
                      <w:color w:val="auto"/>
                      <w:szCs w:val="21"/>
                    </w:rPr>
                    <w:t>污染源</w:t>
                  </w:r>
                </w:p>
              </w:tc>
              <w:tc>
                <w:tcPr>
                  <w:tcW w:w="1010" w:type="pct"/>
                  <w:vMerge w:val="restart"/>
                  <w:tcMar>
                    <w:left w:w="0" w:type="dxa"/>
                    <w:right w:w="0" w:type="dxa"/>
                  </w:tcMar>
                  <w:vAlign w:val="center"/>
                </w:tcPr>
                <w:p w14:paraId="0B163441">
                  <w:pPr>
                    <w:jc w:val="center"/>
                    <w:rPr>
                      <w:color w:val="auto"/>
                      <w:szCs w:val="21"/>
                    </w:rPr>
                  </w:pPr>
                  <w:r>
                    <w:rPr>
                      <w:color w:val="auto"/>
                      <w:szCs w:val="21"/>
                    </w:rPr>
                    <w:t>污染物</w:t>
                  </w:r>
                </w:p>
              </w:tc>
              <w:tc>
                <w:tcPr>
                  <w:tcW w:w="2336" w:type="pct"/>
                  <w:gridSpan w:val="3"/>
                  <w:tcMar>
                    <w:left w:w="0" w:type="dxa"/>
                    <w:right w:w="0" w:type="dxa"/>
                  </w:tcMar>
                  <w:vAlign w:val="center"/>
                </w:tcPr>
                <w:p w14:paraId="35ADFB2E">
                  <w:pPr>
                    <w:jc w:val="center"/>
                    <w:rPr>
                      <w:color w:val="auto"/>
                      <w:szCs w:val="21"/>
                    </w:rPr>
                  </w:pPr>
                  <w:r>
                    <w:rPr>
                      <w:color w:val="auto"/>
                      <w:szCs w:val="21"/>
                    </w:rPr>
                    <w:t>排放浓度</w:t>
                  </w:r>
                  <w:r>
                    <w:rPr>
                      <w:rFonts w:hint="eastAsia"/>
                      <w:color w:val="auto"/>
                      <w:szCs w:val="21"/>
                      <w:lang w:val="en-US" w:eastAsia="zh-CN"/>
                    </w:rPr>
                    <w:t>达标</w:t>
                  </w:r>
                  <w:r>
                    <w:rPr>
                      <w:color w:val="auto"/>
                      <w:szCs w:val="21"/>
                    </w:rPr>
                    <w:t>情况（mg/m</w:t>
                  </w:r>
                  <w:r>
                    <w:rPr>
                      <w:color w:val="auto"/>
                      <w:szCs w:val="21"/>
                      <w:vertAlign w:val="superscript"/>
                    </w:rPr>
                    <w:t>3</w:t>
                  </w:r>
                  <w:r>
                    <w:rPr>
                      <w:color w:val="auto"/>
                      <w:szCs w:val="21"/>
                    </w:rPr>
                    <w:t>）</w:t>
                  </w:r>
                </w:p>
              </w:tc>
              <w:tc>
                <w:tcPr>
                  <w:tcW w:w="978" w:type="pct"/>
                  <w:vMerge w:val="restart"/>
                  <w:tcMar>
                    <w:left w:w="0" w:type="dxa"/>
                    <w:right w:w="0" w:type="dxa"/>
                  </w:tcMar>
                  <w:vAlign w:val="center"/>
                </w:tcPr>
                <w:p w14:paraId="4451F4FD">
                  <w:pPr>
                    <w:jc w:val="center"/>
                    <w:rPr>
                      <w:rFonts w:eastAsia="宋体" w:hint="default"/>
                      <w:color w:val="auto"/>
                      <w:szCs w:val="21"/>
                      <w:lang w:val="en-US" w:eastAsia="zh-CN"/>
                    </w:rPr>
                  </w:pPr>
                  <w:r>
                    <w:rPr>
                      <w:rFonts w:hint="eastAsia"/>
                      <w:color w:val="auto"/>
                      <w:szCs w:val="21"/>
                      <w:lang w:val="en-US" w:eastAsia="zh-CN"/>
                    </w:rPr>
                    <w:t>排气筒高度m</w:t>
                  </w:r>
                </w:p>
              </w:tc>
            </w:tr>
            <w:tr w14:paraId="78B10E77">
              <w:tblPrEx>
                <w:tblW w:w="4998" w:type="pct"/>
                <w:jc w:val="center"/>
                <w:tblCellMar>
                  <w:top w:w="0" w:type="dxa"/>
                  <w:left w:w="108" w:type="dxa"/>
                  <w:bottom w:w="0" w:type="dxa"/>
                  <w:right w:w="108" w:type="dxa"/>
                </w:tblCellMar>
              </w:tblPrEx>
              <w:trPr>
                <w:trHeight w:val="397"/>
                <w:jc w:val="center"/>
              </w:trPr>
              <w:tc>
                <w:tcPr>
                  <w:tcW w:w="674" w:type="pct"/>
                  <w:vMerge/>
                  <w:tcMar>
                    <w:left w:w="0" w:type="dxa"/>
                    <w:right w:w="0" w:type="dxa"/>
                  </w:tcMar>
                  <w:vAlign w:val="center"/>
                </w:tcPr>
                <w:p w14:paraId="4C4499E5">
                  <w:pPr>
                    <w:jc w:val="center"/>
                    <w:rPr>
                      <w:color w:val="auto"/>
                      <w:szCs w:val="21"/>
                    </w:rPr>
                  </w:pPr>
                </w:p>
              </w:tc>
              <w:tc>
                <w:tcPr>
                  <w:tcW w:w="1010" w:type="pct"/>
                  <w:vMerge/>
                  <w:tcMar>
                    <w:left w:w="0" w:type="dxa"/>
                    <w:right w:w="0" w:type="dxa"/>
                  </w:tcMar>
                  <w:vAlign w:val="center"/>
                </w:tcPr>
                <w:p w14:paraId="502868E0">
                  <w:pPr>
                    <w:jc w:val="center"/>
                    <w:rPr>
                      <w:color w:val="auto"/>
                      <w:szCs w:val="21"/>
                    </w:rPr>
                  </w:pPr>
                </w:p>
              </w:tc>
              <w:tc>
                <w:tcPr>
                  <w:tcW w:w="859" w:type="pct"/>
                  <w:tcMar>
                    <w:left w:w="0" w:type="dxa"/>
                    <w:right w:w="0" w:type="dxa"/>
                  </w:tcMar>
                  <w:vAlign w:val="center"/>
                </w:tcPr>
                <w:p w14:paraId="41ACC944">
                  <w:pPr>
                    <w:jc w:val="center"/>
                    <w:rPr>
                      <w:color w:val="auto"/>
                      <w:szCs w:val="21"/>
                    </w:rPr>
                  </w:pPr>
                  <w:r>
                    <w:rPr>
                      <w:color w:val="auto"/>
                      <w:szCs w:val="21"/>
                    </w:rPr>
                    <w:t>最大</w:t>
                  </w:r>
                </w:p>
                <w:p w14:paraId="238BA9D1">
                  <w:pPr>
                    <w:jc w:val="center"/>
                    <w:rPr>
                      <w:color w:val="auto"/>
                      <w:szCs w:val="21"/>
                    </w:rPr>
                  </w:pPr>
                  <w:r>
                    <w:rPr>
                      <w:color w:val="auto"/>
                      <w:szCs w:val="21"/>
                    </w:rPr>
                    <w:t>排放浓度</w:t>
                  </w:r>
                </w:p>
              </w:tc>
              <w:tc>
                <w:tcPr>
                  <w:tcW w:w="697" w:type="pct"/>
                  <w:tcMar>
                    <w:left w:w="0" w:type="dxa"/>
                    <w:right w:w="0" w:type="dxa"/>
                  </w:tcMar>
                  <w:vAlign w:val="center"/>
                </w:tcPr>
                <w:p w14:paraId="1B7F34FB">
                  <w:pPr>
                    <w:jc w:val="center"/>
                    <w:rPr>
                      <w:color w:val="auto"/>
                      <w:szCs w:val="21"/>
                    </w:rPr>
                  </w:pPr>
                  <w:r>
                    <w:rPr>
                      <w:color w:val="auto"/>
                      <w:szCs w:val="21"/>
                    </w:rPr>
                    <w:t>排放标准</w:t>
                  </w:r>
                </w:p>
              </w:tc>
              <w:tc>
                <w:tcPr>
                  <w:tcW w:w="780" w:type="pct"/>
                  <w:vAlign w:val="center"/>
                </w:tcPr>
                <w:p w14:paraId="3638AC43">
                  <w:pPr>
                    <w:jc w:val="center"/>
                    <w:rPr>
                      <w:color w:val="auto"/>
                      <w:szCs w:val="21"/>
                    </w:rPr>
                  </w:pPr>
                  <w:r>
                    <w:rPr>
                      <w:color w:val="auto"/>
                      <w:szCs w:val="21"/>
                    </w:rPr>
                    <w:t>是否达标</w:t>
                  </w:r>
                </w:p>
              </w:tc>
              <w:tc>
                <w:tcPr>
                  <w:tcW w:w="978" w:type="pct"/>
                  <w:vMerge/>
                  <w:tcMar>
                    <w:left w:w="0" w:type="dxa"/>
                    <w:right w:w="0" w:type="dxa"/>
                  </w:tcMar>
                  <w:vAlign w:val="center"/>
                </w:tcPr>
                <w:p w14:paraId="3CF5079B">
                  <w:pPr>
                    <w:jc w:val="center"/>
                    <w:rPr>
                      <w:color w:val="auto"/>
                      <w:szCs w:val="21"/>
                    </w:rPr>
                  </w:pPr>
                </w:p>
              </w:tc>
            </w:tr>
            <w:tr w14:paraId="71B60166">
              <w:tblPrEx>
                <w:tblW w:w="4998" w:type="pct"/>
                <w:jc w:val="center"/>
                <w:tblCellMar>
                  <w:top w:w="0" w:type="dxa"/>
                  <w:left w:w="108" w:type="dxa"/>
                  <w:bottom w:w="0" w:type="dxa"/>
                  <w:right w:w="108" w:type="dxa"/>
                </w:tblCellMar>
              </w:tblPrEx>
              <w:trPr>
                <w:trHeight w:val="397"/>
                <w:jc w:val="center"/>
              </w:trPr>
              <w:tc>
                <w:tcPr>
                  <w:tcW w:w="674" w:type="pct"/>
                  <w:tcMar>
                    <w:left w:w="0" w:type="dxa"/>
                    <w:right w:w="0" w:type="dxa"/>
                  </w:tcMar>
                  <w:vAlign w:val="center"/>
                </w:tcPr>
                <w:p w14:paraId="7904E4F4">
                  <w:pPr>
                    <w:jc w:val="center"/>
                    <w:rPr>
                      <w:rFonts w:eastAsia="宋体" w:hint="eastAsia"/>
                      <w:color w:val="auto"/>
                      <w:szCs w:val="21"/>
                      <w:lang w:val="en-US" w:eastAsia="zh-CN"/>
                    </w:rPr>
                  </w:pPr>
                  <w:r>
                    <w:rPr>
                      <w:color w:val="auto"/>
                      <w:szCs w:val="21"/>
                    </w:rPr>
                    <w:t>DA00</w:t>
                  </w:r>
                  <w:r>
                    <w:rPr>
                      <w:rFonts w:hint="eastAsia"/>
                      <w:color w:val="auto"/>
                      <w:szCs w:val="21"/>
                      <w:lang w:val="en-US" w:eastAsia="zh-CN"/>
                    </w:rPr>
                    <w:t>1</w:t>
                  </w:r>
                </w:p>
              </w:tc>
              <w:tc>
                <w:tcPr>
                  <w:tcW w:w="1010" w:type="pct"/>
                  <w:tcMar>
                    <w:left w:w="0" w:type="dxa"/>
                    <w:right w:w="0" w:type="dxa"/>
                  </w:tcMar>
                  <w:vAlign w:val="center"/>
                </w:tcPr>
                <w:p w14:paraId="2F600B19">
                  <w:pPr>
                    <w:jc w:val="center"/>
                    <w:rPr>
                      <w:color w:val="auto"/>
                      <w:szCs w:val="21"/>
                    </w:rPr>
                  </w:pPr>
                  <w:r>
                    <w:rPr>
                      <w:rFonts w:hint="eastAsia"/>
                      <w:color w:val="auto"/>
                      <w:spacing w:val="2"/>
                      <w:szCs w:val="21"/>
                      <w:lang w:val="en-US" w:eastAsia="zh-CN"/>
                    </w:rPr>
                    <w:t>油烟</w:t>
                  </w:r>
                </w:p>
              </w:tc>
              <w:tc>
                <w:tcPr>
                  <w:tcW w:w="859" w:type="pct"/>
                  <w:tcMar>
                    <w:left w:w="0" w:type="dxa"/>
                    <w:right w:w="0" w:type="dxa"/>
                  </w:tcMar>
                  <w:vAlign w:val="center"/>
                </w:tcPr>
                <w:p w14:paraId="59C898C4">
                  <w:pPr>
                    <w:spacing w:line="0" w:lineRule="atLeast"/>
                    <w:jc w:val="center"/>
                    <w:rPr>
                      <w:rFonts w:eastAsia="宋体" w:hint="default"/>
                      <w:color w:val="auto"/>
                      <w:szCs w:val="21"/>
                      <w:lang w:val="en-US" w:eastAsia="zh-CN"/>
                    </w:rPr>
                  </w:pPr>
                  <w:r>
                    <w:rPr>
                      <w:rFonts w:hint="eastAsia"/>
                      <w:color w:val="auto"/>
                      <w:spacing w:val="2"/>
                      <w:szCs w:val="21"/>
                      <w:lang w:val="en-US" w:eastAsia="zh-CN"/>
                    </w:rPr>
                    <w:t>0.075</w:t>
                  </w:r>
                </w:p>
              </w:tc>
              <w:tc>
                <w:tcPr>
                  <w:tcW w:w="697" w:type="pct"/>
                  <w:tcMar>
                    <w:left w:w="0" w:type="dxa"/>
                    <w:right w:w="0" w:type="dxa"/>
                  </w:tcMar>
                  <w:vAlign w:val="center"/>
                </w:tcPr>
                <w:p w14:paraId="061EC658">
                  <w:pPr>
                    <w:spacing w:line="0" w:lineRule="atLeast"/>
                    <w:jc w:val="center"/>
                    <w:rPr>
                      <w:rFonts w:eastAsia="宋体" w:hint="default"/>
                      <w:color w:val="auto"/>
                      <w:szCs w:val="21"/>
                      <w:lang w:val="en-US" w:eastAsia="zh-CN"/>
                    </w:rPr>
                  </w:pPr>
                  <w:r>
                    <w:rPr>
                      <w:rFonts w:hint="eastAsia"/>
                      <w:color w:val="auto"/>
                      <w:szCs w:val="21"/>
                      <w:lang w:val="en-US" w:eastAsia="zh-CN"/>
                    </w:rPr>
                    <w:t>1.5</w:t>
                  </w:r>
                </w:p>
              </w:tc>
              <w:tc>
                <w:tcPr>
                  <w:tcW w:w="780" w:type="pct"/>
                  <w:vAlign w:val="center"/>
                </w:tcPr>
                <w:p w14:paraId="3184D16B">
                  <w:pPr>
                    <w:jc w:val="center"/>
                    <w:rPr>
                      <w:rFonts w:eastAsia="宋体" w:hint="eastAsia"/>
                      <w:color w:val="auto"/>
                      <w:szCs w:val="21"/>
                      <w:lang w:eastAsia="zh-CN"/>
                    </w:rPr>
                  </w:pPr>
                  <w:r>
                    <w:rPr>
                      <w:rFonts w:hint="eastAsia"/>
                      <w:color w:val="auto"/>
                      <w:szCs w:val="21"/>
                      <w:lang w:val="en-US" w:eastAsia="zh-CN"/>
                    </w:rPr>
                    <w:t>是</w:t>
                  </w:r>
                </w:p>
              </w:tc>
              <w:tc>
                <w:tcPr>
                  <w:tcW w:w="978" w:type="pct"/>
                  <w:tcMar>
                    <w:left w:w="0" w:type="dxa"/>
                    <w:right w:w="0" w:type="dxa"/>
                  </w:tcMar>
                  <w:vAlign w:val="center"/>
                </w:tcPr>
                <w:p w14:paraId="27FFA8B5">
                  <w:pPr>
                    <w:jc w:val="center"/>
                    <w:rPr>
                      <w:rFonts w:hint="default"/>
                      <w:color w:val="auto"/>
                      <w:szCs w:val="21"/>
                      <w:lang w:val="en-US"/>
                    </w:rPr>
                  </w:pPr>
                  <w:r>
                    <w:rPr>
                      <w:rFonts w:hint="eastAsia"/>
                      <w:color w:val="auto"/>
                      <w:szCs w:val="21"/>
                      <w:lang w:val="en-US" w:eastAsia="zh-CN"/>
                    </w:rPr>
                    <w:t>11</w:t>
                  </w:r>
                </w:p>
              </w:tc>
            </w:tr>
          </w:tbl>
          <w:p w14:paraId="7A652B08">
            <w:pPr>
              <w:adjustRightInd w:val="0"/>
              <w:snapToGrid w:val="0"/>
              <w:jc w:val="center"/>
              <w:rPr>
                <w:rStyle w:val="CommentReference"/>
                <w:color w:val="auto"/>
                <w:kern w:val="0"/>
                <w:szCs w:val="20"/>
              </w:rPr>
            </w:pPr>
            <w:r>
              <w:rPr>
                <w:b/>
                <w:bCs/>
                <w:color w:val="auto"/>
                <w:sz w:val="24"/>
              </w:rPr>
              <w:t xml:space="preserve">表4- </w:t>
            </w:r>
            <w:r>
              <w:rPr>
                <w:rFonts w:hint="eastAsia"/>
                <w:b/>
                <w:bCs/>
                <w:color w:val="auto"/>
                <w:sz w:val="24"/>
                <w:lang w:val="en-US" w:eastAsia="zh-CN"/>
              </w:rPr>
              <w:t>26</w:t>
            </w:r>
            <w:r>
              <w:rPr>
                <w:b/>
                <w:bCs/>
                <w:color w:val="auto"/>
                <w:szCs w:val="21"/>
              </w:rPr>
              <w:t xml:space="preserve"> </w:t>
            </w:r>
            <w:r>
              <w:rPr>
                <w:b/>
                <w:bCs/>
                <w:color w:val="auto"/>
                <w:sz w:val="24"/>
              </w:rPr>
              <w:t xml:space="preserve"> </w:t>
            </w:r>
            <w:r>
              <w:rPr>
                <w:b/>
                <w:bCs/>
                <w:color w:val="auto"/>
                <w:sz w:val="24"/>
                <w:lang w:val="en-GB"/>
              </w:rPr>
              <w:t>本项目大气排放口基本情况表</w:t>
            </w:r>
          </w:p>
          <w:tbl>
            <w:tblPr>
              <w:tblStyle w:val="TableNormal"/>
              <w:tblW w:w="494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28" w:type="dxa"/>
                <w:bottom w:w="0" w:type="dxa"/>
                <w:right w:w="28" w:type="dxa"/>
              </w:tblCellMar>
            </w:tblPr>
            <w:tblGrid>
              <w:gridCol w:w="314"/>
              <w:gridCol w:w="675"/>
              <w:gridCol w:w="1015"/>
              <w:gridCol w:w="1225"/>
              <w:gridCol w:w="1146"/>
              <w:gridCol w:w="657"/>
              <w:gridCol w:w="822"/>
              <w:gridCol w:w="492"/>
              <w:gridCol w:w="780"/>
              <w:gridCol w:w="692"/>
              <w:gridCol w:w="603"/>
            </w:tblGrid>
            <w:tr w14:paraId="3EF11415">
              <w:tblPrEx>
                <w:tblW w:w="494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28" w:type="dxa"/>
                  <w:bottom w:w="0" w:type="dxa"/>
                  <w:right w:w="28" w:type="dxa"/>
                </w:tblCellMar>
              </w:tblPrEx>
              <w:trPr>
                <w:trHeight w:val="340"/>
                <w:jc w:val="center"/>
              </w:trPr>
              <w:tc>
                <w:tcPr>
                  <w:tcW w:w="207" w:type="pct"/>
                  <w:vMerge w:val="restart"/>
                  <w:tcBorders>
                    <w:tl2br w:val="nil"/>
                    <w:tr2bl w:val="nil"/>
                  </w:tcBorders>
                  <w:shd w:val="clear" w:color="auto" w:fill="auto"/>
                  <w:vAlign w:val="center"/>
                </w:tcPr>
                <w:p w14:paraId="28994195">
                  <w:pPr>
                    <w:jc w:val="center"/>
                    <w:rPr>
                      <w:rFonts w:ascii="Times New Roman" w:eastAsia="宋体" w:hAnsi="Times New Roman" w:cs="Times New Roman"/>
                      <w:color w:val="auto"/>
                      <w:szCs w:val="21"/>
                    </w:rPr>
                  </w:pPr>
                  <w:r>
                    <w:rPr>
                      <w:rFonts w:ascii="Times New Roman" w:eastAsia="宋体" w:hAnsi="Times New Roman" w:cs="Times New Roman"/>
                      <w:color w:val="auto"/>
                      <w:szCs w:val="21"/>
                    </w:rPr>
                    <w:t>序号</w:t>
                  </w:r>
                </w:p>
              </w:tc>
              <w:tc>
                <w:tcPr>
                  <w:tcW w:w="353" w:type="pct"/>
                  <w:vMerge w:val="restart"/>
                  <w:tcBorders>
                    <w:tl2br w:val="nil"/>
                    <w:tr2bl w:val="nil"/>
                  </w:tcBorders>
                  <w:shd w:val="clear" w:color="auto" w:fill="auto"/>
                  <w:vAlign w:val="center"/>
                </w:tcPr>
                <w:p w14:paraId="1C7E527D">
                  <w:pPr>
                    <w:jc w:val="center"/>
                    <w:rPr>
                      <w:rFonts w:ascii="Times New Roman" w:eastAsia="宋体" w:hAnsi="Times New Roman" w:cs="Times New Roman"/>
                      <w:color w:val="auto"/>
                      <w:szCs w:val="21"/>
                    </w:rPr>
                  </w:pPr>
                  <w:r>
                    <w:rPr>
                      <w:rFonts w:ascii="Times New Roman" w:eastAsia="宋体" w:hAnsi="Times New Roman" w:cs="Times New Roman"/>
                      <w:color w:val="auto"/>
                      <w:szCs w:val="21"/>
                    </w:rPr>
                    <w:t>排放口编号</w:t>
                  </w:r>
                </w:p>
              </w:tc>
              <w:tc>
                <w:tcPr>
                  <w:tcW w:w="623" w:type="pct"/>
                  <w:vMerge w:val="restart"/>
                  <w:tcBorders>
                    <w:tl2br w:val="nil"/>
                    <w:tr2bl w:val="nil"/>
                  </w:tcBorders>
                  <w:shd w:val="clear" w:color="auto" w:fill="auto"/>
                  <w:vAlign w:val="center"/>
                </w:tcPr>
                <w:p w14:paraId="55205D5D">
                  <w:pPr>
                    <w:jc w:val="center"/>
                    <w:rPr>
                      <w:rFonts w:ascii="Times New Roman" w:eastAsia="宋体" w:hAnsi="Times New Roman" w:cs="Times New Roman"/>
                      <w:color w:val="auto"/>
                      <w:szCs w:val="21"/>
                    </w:rPr>
                  </w:pPr>
                  <w:r>
                    <w:rPr>
                      <w:rFonts w:ascii="Times New Roman" w:eastAsia="宋体" w:hAnsi="Times New Roman" w:cs="Times New Roman"/>
                      <w:color w:val="auto"/>
                      <w:szCs w:val="21"/>
                    </w:rPr>
                    <w:t>污染物种类</w:t>
                  </w:r>
                </w:p>
              </w:tc>
              <w:tc>
                <w:tcPr>
                  <w:tcW w:w="1447" w:type="pct"/>
                  <w:gridSpan w:val="2"/>
                  <w:tcBorders>
                    <w:tl2br w:val="nil"/>
                    <w:tr2bl w:val="nil"/>
                  </w:tcBorders>
                  <w:shd w:val="clear" w:color="auto" w:fill="auto"/>
                  <w:vAlign w:val="center"/>
                </w:tcPr>
                <w:p w14:paraId="76CE2C1B">
                  <w:pPr>
                    <w:jc w:val="center"/>
                    <w:rPr>
                      <w:rFonts w:ascii="Times New Roman" w:eastAsia="宋体" w:hAnsi="Times New Roman" w:cs="Times New Roman"/>
                      <w:color w:val="auto"/>
                      <w:szCs w:val="21"/>
                    </w:rPr>
                  </w:pPr>
                  <w:r>
                    <w:rPr>
                      <w:rFonts w:ascii="Times New Roman" w:eastAsia="宋体" w:hAnsi="Times New Roman" w:cs="Times New Roman"/>
                      <w:color w:val="auto"/>
                      <w:szCs w:val="21"/>
                    </w:rPr>
                    <w:t>排放口地理坐标</w:t>
                  </w:r>
                </w:p>
              </w:tc>
              <w:tc>
                <w:tcPr>
                  <w:tcW w:w="410" w:type="pct"/>
                  <w:vMerge w:val="restart"/>
                  <w:tcBorders>
                    <w:tl2br w:val="nil"/>
                    <w:tr2bl w:val="nil"/>
                  </w:tcBorders>
                  <w:shd w:val="clear" w:color="auto" w:fill="auto"/>
                  <w:vAlign w:val="center"/>
                </w:tcPr>
                <w:p w14:paraId="29440B4E">
                  <w:pPr>
                    <w:jc w:val="center"/>
                    <w:rPr>
                      <w:rFonts w:ascii="Times New Roman" w:eastAsia="宋体" w:hAnsi="Times New Roman" w:cs="Times New Roman"/>
                      <w:color w:val="auto"/>
                      <w:szCs w:val="21"/>
                    </w:rPr>
                  </w:pPr>
                  <w:r>
                    <w:rPr>
                      <w:rFonts w:ascii="Times New Roman" w:eastAsia="宋体" w:hAnsi="Times New Roman" w:cs="Times New Roman"/>
                      <w:color w:val="auto"/>
                      <w:szCs w:val="21"/>
                    </w:rPr>
                    <w:t>排气筒高度（m）</w:t>
                  </w:r>
                </w:p>
              </w:tc>
              <w:tc>
                <w:tcPr>
                  <w:tcW w:w="508" w:type="pct"/>
                  <w:vMerge w:val="restart"/>
                  <w:tcBorders>
                    <w:tl2br w:val="nil"/>
                    <w:tr2bl w:val="nil"/>
                  </w:tcBorders>
                  <w:shd w:val="clear" w:color="auto" w:fill="auto"/>
                  <w:vAlign w:val="center"/>
                </w:tcPr>
                <w:p w14:paraId="374A79E1">
                  <w:pPr>
                    <w:jc w:val="center"/>
                    <w:rPr>
                      <w:rFonts w:ascii="Times New Roman" w:eastAsia="宋体" w:hAnsi="Times New Roman" w:cs="Times New Roman"/>
                      <w:color w:val="auto"/>
                      <w:szCs w:val="21"/>
                    </w:rPr>
                  </w:pPr>
                  <w:r>
                    <w:rPr>
                      <w:rFonts w:ascii="Times New Roman" w:eastAsia="宋体" w:hAnsi="Times New Roman" w:cs="Times New Roman"/>
                      <w:color w:val="auto"/>
                      <w:szCs w:val="21"/>
                    </w:rPr>
                    <w:t>排气筒出口内径（m）</w:t>
                  </w:r>
                </w:p>
              </w:tc>
              <w:tc>
                <w:tcPr>
                  <w:tcW w:w="312" w:type="pct"/>
                  <w:vMerge w:val="restart"/>
                  <w:tcBorders>
                    <w:tl2br w:val="nil"/>
                    <w:tr2bl w:val="nil"/>
                  </w:tcBorders>
                  <w:shd w:val="clear" w:color="auto" w:fill="auto"/>
                  <w:vAlign w:val="center"/>
                </w:tcPr>
                <w:p w14:paraId="2F59FE3C">
                  <w:pPr>
                    <w:jc w:val="center"/>
                    <w:rPr>
                      <w:rFonts w:ascii="Times New Roman" w:eastAsia="宋体" w:hAnsi="Times New Roman" w:cs="Times New Roman"/>
                      <w:color w:val="auto"/>
                      <w:szCs w:val="21"/>
                    </w:rPr>
                  </w:pPr>
                  <w:r>
                    <w:rPr>
                      <w:rFonts w:ascii="Times New Roman" w:eastAsia="宋体" w:hAnsi="Times New Roman" w:cs="Times New Roman"/>
                      <w:color w:val="auto"/>
                      <w:szCs w:val="21"/>
                    </w:rPr>
                    <w:t>风量m3/h</w:t>
                  </w:r>
                </w:p>
              </w:tc>
              <w:tc>
                <w:tcPr>
                  <w:tcW w:w="402" w:type="pct"/>
                  <w:vMerge w:val="restart"/>
                  <w:tcBorders>
                    <w:tl2br w:val="nil"/>
                    <w:tr2bl w:val="nil"/>
                  </w:tcBorders>
                  <w:shd w:val="clear" w:color="auto" w:fill="auto"/>
                  <w:vAlign w:val="center"/>
                </w:tcPr>
                <w:p w14:paraId="61A7114E">
                  <w:pPr>
                    <w:jc w:val="center"/>
                    <w:rPr>
                      <w:rFonts w:ascii="Times New Roman" w:eastAsia="宋体" w:hAnsi="Times New Roman" w:cs="Times New Roman"/>
                      <w:color w:val="auto"/>
                      <w:szCs w:val="21"/>
                    </w:rPr>
                  </w:pPr>
                  <w:r>
                    <w:rPr>
                      <w:rFonts w:ascii="Times New Roman" w:eastAsia="宋体" w:hAnsi="Times New Roman" w:cs="Times New Roman"/>
                      <w:color w:val="auto"/>
                      <w:szCs w:val="21"/>
                    </w:rPr>
                    <w:t>烟气流速/（m/s）</w:t>
                  </w:r>
                </w:p>
              </w:tc>
              <w:tc>
                <w:tcPr>
                  <w:tcW w:w="357" w:type="pct"/>
                  <w:vMerge w:val="restart"/>
                  <w:tcBorders>
                    <w:tl2br w:val="nil"/>
                    <w:tr2bl w:val="nil"/>
                  </w:tcBorders>
                  <w:shd w:val="clear" w:color="auto" w:fill="auto"/>
                  <w:vAlign w:val="center"/>
                </w:tcPr>
                <w:p w14:paraId="742F1247">
                  <w:pPr>
                    <w:jc w:val="center"/>
                    <w:rPr>
                      <w:rFonts w:ascii="Times New Roman" w:eastAsia="宋体" w:hAnsi="Times New Roman" w:cs="Times New Roman"/>
                      <w:color w:val="auto"/>
                      <w:szCs w:val="21"/>
                    </w:rPr>
                  </w:pPr>
                  <w:r>
                    <w:rPr>
                      <w:rFonts w:ascii="Times New Roman" w:eastAsia="宋体" w:hAnsi="Times New Roman" w:cs="Times New Roman"/>
                      <w:color w:val="auto"/>
                      <w:szCs w:val="21"/>
                    </w:rPr>
                    <w:t>排气温度（℃）</w:t>
                  </w:r>
                </w:p>
              </w:tc>
              <w:tc>
                <w:tcPr>
                  <w:tcW w:w="378" w:type="pct"/>
                  <w:vMerge w:val="restart"/>
                  <w:tcBorders>
                    <w:tl2br w:val="nil"/>
                    <w:tr2bl w:val="nil"/>
                  </w:tcBorders>
                  <w:shd w:val="clear" w:color="auto" w:fill="auto"/>
                  <w:vAlign w:val="center"/>
                </w:tcPr>
                <w:p w14:paraId="7A2A0016">
                  <w:pPr>
                    <w:jc w:val="center"/>
                    <w:rPr>
                      <w:rFonts w:ascii="Times New Roman" w:eastAsia="宋体" w:hAnsi="Times New Roman" w:cs="Times New Roman"/>
                      <w:color w:val="auto"/>
                      <w:szCs w:val="21"/>
                    </w:rPr>
                  </w:pPr>
                  <w:r>
                    <w:rPr>
                      <w:rFonts w:ascii="Times New Roman" w:eastAsia="宋体" w:hAnsi="Times New Roman" w:cs="Times New Roman"/>
                      <w:color w:val="auto"/>
                      <w:szCs w:val="21"/>
                    </w:rPr>
                    <w:t>排放口类型</w:t>
                  </w:r>
                </w:p>
              </w:tc>
            </w:tr>
            <w:tr w14:paraId="287DA931">
              <w:tblPrEx>
                <w:tblW w:w="4948" w:type="pct"/>
                <w:jc w:val="center"/>
                <w:tblCellMar>
                  <w:top w:w="0" w:type="dxa"/>
                  <w:left w:w="28" w:type="dxa"/>
                  <w:bottom w:w="0" w:type="dxa"/>
                  <w:right w:w="28" w:type="dxa"/>
                </w:tblCellMar>
              </w:tblPrEx>
              <w:trPr>
                <w:trHeight w:val="340"/>
                <w:jc w:val="center"/>
              </w:trPr>
              <w:tc>
                <w:tcPr>
                  <w:tcW w:w="207" w:type="pct"/>
                  <w:vMerge/>
                  <w:tcBorders>
                    <w:tl2br w:val="nil"/>
                    <w:tr2bl w:val="nil"/>
                  </w:tcBorders>
                  <w:shd w:val="clear" w:color="auto" w:fill="auto"/>
                  <w:vAlign w:val="center"/>
                </w:tcPr>
                <w:p w14:paraId="171DFECA">
                  <w:pPr>
                    <w:jc w:val="center"/>
                    <w:rPr>
                      <w:rFonts w:ascii="Times New Roman" w:eastAsia="宋体" w:hAnsi="Times New Roman" w:cs="Times New Roman"/>
                      <w:color w:val="auto"/>
                      <w:szCs w:val="21"/>
                    </w:rPr>
                  </w:pPr>
                </w:p>
              </w:tc>
              <w:tc>
                <w:tcPr>
                  <w:tcW w:w="353" w:type="pct"/>
                  <w:vMerge/>
                  <w:tcBorders>
                    <w:tl2br w:val="nil"/>
                    <w:tr2bl w:val="nil"/>
                  </w:tcBorders>
                  <w:shd w:val="clear" w:color="auto" w:fill="auto"/>
                  <w:vAlign w:val="center"/>
                </w:tcPr>
                <w:p w14:paraId="41824E6E">
                  <w:pPr>
                    <w:jc w:val="center"/>
                    <w:rPr>
                      <w:rFonts w:ascii="Times New Roman" w:eastAsia="宋体" w:hAnsi="Times New Roman" w:cs="Times New Roman"/>
                      <w:color w:val="auto"/>
                      <w:szCs w:val="21"/>
                    </w:rPr>
                  </w:pPr>
                </w:p>
              </w:tc>
              <w:tc>
                <w:tcPr>
                  <w:tcW w:w="623" w:type="pct"/>
                  <w:vMerge/>
                  <w:tcBorders>
                    <w:tl2br w:val="nil"/>
                    <w:tr2bl w:val="nil"/>
                  </w:tcBorders>
                  <w:shd w:val="clear" w:color="auto" w:fill="auto"/>
                  <w:vAlign w:val="center"/>
                </w:tcPr>
                <w:p w14:paraId="6B8252FC">
                  <w:pPr>
                    <w:jc w:val="center"/>
                    <w:rPr>
                      <w:rFonts w:ascii="Times New Roman" w:eastAsia="宋体" w:hAnsi="Times New Roman" w:cs="Times New Roman"/>
                      <w:color w:val="auto"/>
                      <w:szCs w:val="21"/>
                    </w:rPr>
                  </w:pPr>
                </w:p>
              </w:tc>
              <w:tc>
                <w:tcPr>
                  <w:tcW w:w="747" w:type="pct"/>
                  <w:tcBorders>
                    <w:tl2br w:val="nil"/>
                    <w:tr2bl w:val="nil"/>
                  </w:tcBorders>
                  <w:shd w:val="clear" w:color="auto" w:fill="auto"/>
                  <w:vAlign w:val="center"/>
                </w:tcPr>
                <w:p w14:paraId="1F5C9724">
                  <w:pPr>
                    <w:jc w:val="center"/>
                    <w:rPr>
                      <w:rFonts w:ascii="Times New Roman" w:eastAsia="宋体" w:hAnsi="Times New Roman" w:cs="Times New Roman"/>
                      <w:color w:val="auto"/>
                      <w:szCs w:val="21"/>
                    </w:rPr>
                  </w:pPr>
                  <w:r>
                    <w:rPr>
                      <w:rFonts w:ascii="Times New Roman" w:eastAsia="宋体" w:hAnsi="Times New Roman" w:cs="Times New Roman"/>
                      <w:color w:val="auto"/>
                      <w:szCs w:val="21"/>
                    </w:rPr>
                    <w:t>经度</w:t>
                  </w:r>
                </w:p>
              </w:tc>
              <w:tc>
                <w:tcPr>
                  <w:tcW w:w="699" w:type="pct"/>
                  <w:tcBorders>
                    <w:tl2br w:val="nil"/>
                    <w:tr2bl w:val="nil"/>
                  </w:tcBorders>
                  <w:shd w:val="clear" w:color="auto" w:fill="auto"/>
                  <w:vAlign w:val="center"/>
                </w:tcPr>
                <w:p w14:paraId="454DC61D">
                  <w:pPr>
                    <w:jc w:val="center"/>
                    <w:rPr>
                      <w:rFonts w:ascii="Times New Roman" w:eastAsia="宋体" w:hAnsi="Times New Roman" w:cs="Times New Roman"/>
                      <w:color w:val="auto"/>
                      <w:szCs w:val="21"/>
                    </w:rPr>
                  </w:pPr>
                  <w:r>
                    <w:rPr>
                      <w:rFonts w:ascii="Times New Roman" w:eastAsia="宋体" w:hAnsi="Times New Roman" w:cs="Times New Roman"/>
                      <w:color w:val="auto"/>
                      <w:szCs w:val="21"/>
                    </w:rPr>
                    <w:t>纬度</w:t>
                  </w:r>
                </w:p>
              </w:tc>
              <w:tc>
                <w:tcPr>
                  <w:tcW w:w="410" w:type="pct"/>
                  <w:vMerge/>
                  <w:tcBorders>
                    <w:tl2br w:val="nil"/>
                    <w:tr2bl w:val="nil"/>
                  </w:tcBorders>
                  <w:shd w:val="clear" w:color="auto" w:fill="auto"/>
                  <w:vAlign w:val="center"/>
                </w:tcPr>
                <w:p w14:paraId="4236DD22">
                  <w:pPr>
                    <w:jc w:val="center"/>
                    <w:rPr>
                      <w:rFonts w:ascii="Times New Roman" w:eastAsia="宋体" w:hAnsi="Times New Roman" w:cs="Times New Roman"/>
                      <w:color w:val="auto"/>
                      <w:szCs w:val="21"/>
                    </w:rPr>
                  </w:pPr>
                </w:p>
              </w:tc>
              <w:tc>
                <w:tcPr>
                  <w:tcW w:w="508" w:type="pct"/>
                  <w:vMerge/>
                  <w:tcBorders>
                    <w:tl2br w:val="nil"/>
                    <w:tr2bl w:val="nil"/>
                  </w:tcBorders>
                  <w:shd w:val="clear" w:color="auto" w:fill="auto"/>
                  <w:vAlign w:val="center"/>
                </w:tcPr>
                <w:p w14:paraId="6F1064E3">
                  <w:pPr>
                    <w:jc w:val="center"/>
                    <w:rPr>
                      <w:rFonts w:ascii="Times New Roman" w:eastAsia="宋体" w:hAnsi="Times New Roman" w:cs="Times New Roman"/>
                      <w:color w:val="auto"/>
                      <w:szCs w:val="21"/>
                    </w:rPr>
                  </w:pPr>
                </w:p>
              </w:tc>
              <w:tc>
                <w:tcPr>
                  <w:tcW w:w="312" w:type="pct"/>
                  <w:vMerge/>
                  <w:tcBorders>
                    <w:tl2br w:val="nil"/>
                    <w:tr2bl w:val="nil"/>
                  </w:tcBorders>
                  <w:shd w:val="clear" w:color="auto" w:fill="auto"/>
                  <w:vAlign w:val="center"/>
                </w:tcPr>
                <w:p w14:paraId="31E23891">
                  <w:pPr>
                    <w:jc w:val="center"/>
                    <w:rPr>
                      <w:rFonts w:ascii="Times New Roman" w:eastAsia="宋体" w:hAnsi="Times New Roman" w:cs="Times New Roman"/>
                      <w:color w:val="auto"/>
                      <w:szCs w:val="21"/>
                    </w:rPr>
                  </w:pPr>
                </w:p>
              </w:tc>
              <w:tc>
                <w:tcPr>
                  <w:tcW w:w="402" w:type="pct"/>
                  <w:vMerge/>
                  <w:tcBorders>
                    <w:tl2br w:val="nil"/>
                    <w:tr2bl w:val="nil"/>
                  </w:tcBorders>
                  <w:shd w:val="clear" w:color="auto" w:fill="auto"/>
                  <w:vAlign w:val="center"/>
                </w:tcPr>
                <w:p w14:paraId="23C89728">
                  <w:pPr>
                    <w:jc w:val="center"/>
                    <w:rPr>
                      <w:rFonts w:ascii="Times New Roman" w:eastAsia="宋体" w:hAnsi="Times New Roman" w:cs="Times New Roman"/>
                      <w:color w:val="auto"/>
                      <w:szCs w:val="21"/>
                    </w:rPr>
                  </w:pPr>
                </w:p>
              </w:tc>
              <w:tc>
                <w:tcPr>
                  <w:tcW w:w="357" w:type="pct"/>
                  <w:vMerge/>
                  <w:tcBorders>
                    <w:tl2br w:val="nil"/>
                    <w:tr2bl w:val="nil"/>
                  </w:tcBorders>
                  <w:shd w:val="clear" w:color="auto" w:fill="auto"/>
                  <w:vAlign w:val="center"/>
                </w:tcPr>
                <w:p w14:paraId="256C9030">
                  <w:pPr>
                    <w:jc w:val="center"/>
                    <w:rPr>
                      <w:rFonts w:ascii="Times New Roman" w:eastAsia="宋体" w:hAnsi="Times New Roman" w:cs="Times New Roman"/>
                      <w:color w:val="auto"/>
                      <w:szCs w:val="21"/>
                    </w:rPr>
                  </w:pPr>
                </w:p>
              </w:tc>
              <w:tc>
                <w:tcPr>
                  <w:tcW w:w="378" w:type="pct"/>
                  <w:vMerge/>
                  <w:tcBorders>
                    <w:tl2br w:val="nil"/>
                    <w:tr2bl w:val="nil"/>
                  </w:tcBorders>
                  <w:shd w:val="clear" w:color="auto" w:fill="auto"/>
                  <w:vAlign w:val="center"/>
                </w:tcPr>
                <w:p w14:paraId="560BCCC1">
                  <w:pPr>
                    <w:jc w:val="center"/>
                    <w:rPr>
                      <w:rFonts w:ascii="Times New Roman" w:eastAsia="宋体" w:hAnsi="Times New Roman" w:cs="Times New Roman"/>
                      <w:color w:val="auto"/>
                      <w:szCs w:val="21"/>
                    </w:rPr>
                  </w:pPr>
                </w:p>
              </w:tc>
            </w:tr>
            <w:tr w14:paraId="3FF11EFC">
              <w:tblPrEx>
                <w:tblW w:w="4948" w:type="pct"/>
                <w:jc w:val="center"/>
                <w:tblCellMar>
                  <w:top w:w="0" w:type="dxa"/>
                  <w:left w:w="28" w:type="dxa"/>
                  <w:bottom w:w="0" w:type="dxa"/>
                  <w:right w:w="28" w:type="dxa"/>
                </w:tblCellMar>
              </w:tblPrEx>
              <w:trPr>
                <w:trHeight w:val="340"/>
                <w:jc w:val="center"/>
              </w:trPr>
              <w:tc>
                <w:tcPr>
                  <w:tcW w:w="207" w:type="pct"/>
                  <w:tcBorders>
                    <w:tl2br w:val="nil"/>
                    <w:tr2bl w:val="nil"/>
                  </w:tcBorders>
                  <w:shd w:val="clear" w:color="auto" w:fill="auto"/>
                  <w:vAlign w:val="center"/>
                </w:tcPr>
                <w:p w14:paraId="71C1B5CD">
                  <w:pPr>
                    <w:jc w:val="center"/>
                    <w:rPr>
                      <w:rFonts w:ascii="Times New Roman" w:eastAsia="宋体" w:hAnsi="Times New Roman" w:cs="Times New Roman"/>
                      <w:color w:val="auto"/>
                      <w:szCs w:val="21"/>
                    </w:rPr>
                  </w:pPr>
                  <w:r>
                    <w:rPr>
                      <w:rFonts w:ascii="Times New Roman" w:eastAsia="宋体" w:hAnsi="Times New Roman" w:cs="Times New Roman"/>
                      <w:color w:val="auto"/>
                      <w:szCs w:val="21"/>
                    </w:rPr>
                    <w:t>1</w:t>
                  </w:r>
                </w:p>
              </w:tc>
              <w:tc>
                <w:tcPr>
                  <w:tcW w:w="353" w:type="pct"/>
                  <w:tcBorders>
                    <w:tl2br w:val="nil"/>
                    <w:tr2bl w:val="nil"/>
                  </w:tcBorders>
                  <w:shd w:val="clear" w:color="auto" w:fill="auto"/>
                  <w:vAlign w:val="center"/>
                </w:tcPr>
                <w:p w14:paraId="0E785A6B">
                  <w:pPr>
                    <w:jc w:val="center"/>
                    <w:rPr>
                      <w:rFonts w:ascii="Times New Roman" w:eastAsia="宋体" w:hAnsi="Times New Roman" w:cs="Times New Roman" w:hint="eastAsia"/>
                      <w:color w:val="auto"/>
                      <w:szCs w:val="21"/>
                      <w:lang w:val="en-US" w:eastAsia="zh-CN"/>
                    </w:rPr>
                  </w:pPr>
                  <w:r>
                    <w:rPr>
                      <w:rFonts w:ascii="Times New Roman" w:eastAsia="宋体" w:hAnsi="Times New Roman" w:cs="Times New Roman"/>
                      <w:color w:val="auto"/>
                      <w:szCs w:val="21"/>
                    </w:rPr>
                    <w:t>DA00</w:t>
                  </w:r>
                  <w:r>
                    <w:rPr>
                      <w:rFonts w:ascii="Times New Roman" w:eastAsia="宋体" w:hAnsi="Times New Roman" w:cs="Times New Roman" w:hint="eastAsia"/>
                      <w:color w:val="auto"/>
                      <w:szCs w:val="21"/>
                      <w:lang w:val="en-US" w:eastAsia="zh-CN"/>
                    </w:rPr>
                    <w:t>1</w:t>
                  </w:r>
                </w:p>
              </w:tc>
              <w:tc>
                <w:tcPr>
                  <w:tcW w:w="623" w:type="pct"/>
                  <w:tcBorders>
                    <w:tl2br w:val="nil"/>
                    <w:tr2bl w:val="nil"/>
                  </w:tcBorders>
                  <w:shd w:val="clear" w:color="auto" w:fill="auto"/>
                  <w:vAlign w:val="center"/>
                </w:tcPr>
                <w:p w14:paraId="47CDBD37">
                  <w:pPr>
                    <w:jc w:val="center"/>
                    <w:rPr>
                      <w:rFonts w:ascii="Times New Roman" w:eastAsia="宋体" w:hAnsi="Times New Roman" w:cs="Times New Roman" w:hint="default"/>
                      <w:color w:val="auto"/>
                      <w:szCs w:val="21"/>
                      <w:lang w:val="en-US"/>
                    </w:rPr>
                  </w:pPr>
                  <w:r>
                    <w:rPr>
                      <w:rFonts w:ascii="Times New Roman" w:eastAsia="宋体" w:hAnsi="Times New Roman" w:cs="Times New Roman" w:hint="eastAsia"/>
                      <w:color w:val="auto"/>
                      <w:szCs w:val="21"/>
                      <w:lang w:val="en-US" w:eastAsia="zh-CN"/>
                    </w:rPr>
                    <w:t>油烟</w:t>
                  </w:r>
                </w:p>
              </w:tc>
              <w:tc>
                <w:tcPr>
                  <w:tcW w:w="747" w:type="pct"/>
                  <w:tcBorders>
                    <w:tl2br w:val="nil"/>
                    <w:tr2bl w:val="nil"/>
                  </w:tcBorders>
                  <w:shd w:val="clear" w:color="auto" w:fill="auto"/>
                  <w:vAlign w:val="center"/>
                </w:tcPr>
                <w:p w14:paraId="20F2E3A5">
                  <w:pPr>
                    <w:jc w:val="center"/>
                    <w:rPr>
                      <w:rFonts w:ascii="Times New Roman" w:eastAsia="宋体" w:hAnsi="Times New Roman" w:cs="Times New Roman"/>
                      <w:color w:val="auto"/>
                      <w:szCs w:val="21"/>
                    </w:rPr>
                  </w:pPr>
                  <w:r>
                    <w:rPr>
                      <w:rFonts w:ascii="Times New Roman" w:eastAsia="宋体" w:hAnsi="Times New Roman" w:cs="Times New Roman" w:hint="eastAsia"/>
                      <w:color w:val="auto"/>
                      <w:szCs w:val="21"/>
                    </w:rPr>
                    <w:t>117.477365</w:t>
                  </w:r>
                </w:p>
              </w:tc>
              <w:tc>
                <w:tcPr>
                  <w:tcW w:w="699" w:type="pct"/>
                  <w:tcBorders>
                    <w:tl2br w:val="nil"/>
                    <w:tr2bl w:val="nil"/>
                  </w:tcBorders>
                  <w:shd w:val="clear" w:color="auto" w:fill="auto"/>
                  <w:vAlign w:val="center"/>
                </w:tcPr>
                <w:p w14:paraId="61F8844A">
                  <w:pPr>
                    <w:jc w:val="center"/>
                    <w:rPr>
                      <w:rFonts w:ascii="Times New Roman" w:eastAsia="宋体" w:hAnsi="Times New Roman" w:cs="Times New Roman"/>
                      <w:color w:val="auto"/>
                      <w:szCs w:val="21"/>
                    </w:rPr>
                  </w:pPr>
                  <w:r>
                    <w:rPr>
                      <w:rFonts w:ascii="Times New Roman" w:eastAsia="宋体" w:hAnsi="Times New Roman" w:cs="Times New Roman" w:hint="eastAsia"/>
                      <w:color w:val="auto"/>
                      <w:szCs w:val="21"/>
                    </w:rPr>
                    <w:t>41.925993</w:t>
                  </w:r>
                </w:p>
              </w:tc>
              <w:tc>
                <w:tcPr>
                  <w:tcW w:w="410" w:type="pct"/>
                  <w:tcBorders>
                    <w:tl2br w:val="nil"/>
                    <w:tr2bl w:val="nil"/>
                  </w:tcBorders>
                  <w:shd w:val="clear" w:color="auto" w:fill="auto"/>
                  <w:vAlign w:val="center"/>
                </w:tcPr>
                <w:p w14:paraId="6994D226">
                  <w:pPr>
                    <w:jc w:val="center"/>
                    <w:rPr>
                      <w:rFonts w:ascii="Times New Roman" w:eastAsia="宋体" w:hAnsi="Times New Roman" w:cs="Times New Roman" w:hint="default"/>
                      <w:color w:val="auto"/>
                      <w:szCs w:val="21"/>
                      <w:lang w:val="en-US" w:eastAsia="zh-CN"/>
                    </w:rPr>
                  </w:pPr>
                  <w:r>
                    <w:rPr>
                      <w:rFonts w:ascii="Times New Roman" w:eastAsia="宋体" w:hAnsi="Times New Roman" w:cs="Times New Roman" w:hint="eastAsia"/>
                      <w:color w:val="auto"/>
                      <w:szCs w:val="21"/>
                      <w:lang w:val="en-US" w:eastAsia="zh-CN"/>
                    </w:rPr>
                    <w:t>11</w:t>
                  </w:r>
                </w:p>
              </w:tc>
              <w:tc>
                <w:tcPr>
                  <w:tcW w:w="508" w:type="pct"/>
                  <w:tcBorders>
                    <w:tl2br w:val="nil"/>
                    <w:tr2bl w:val="nil"/>
                  </w:tcBorders>
                  <w:shd w:val="clear" w:color="auto" w:fill="auto"/>
                  <w:vAlign w:val="center"/>
                </w:tcPr>
                <w:p w14:paraId="5921793C">
                  <w:pPr>
                    <w:jc w:val="center"/>
                    <w:rPr>
                      <w:rFonts w:ascii="Times New Roman" w:eastAsia="宋体" w:hAnsi="Times New Roman" w:cs="Times New Roman" w:hint="eastAsia"/>
                      <w:color w:val="auto"/>
                      <w:szCs w:val="21"/>
                      <w:lang w:val="en-US" w:eastAsia="zh-CN"/>
                    </w:rPr>
                  </w:pPr>
                  <w:r>
                    <w:rPr>
                      <w:rFonts w:ascii="Times New Roman" w:eastAsia="宋体" w:hAnsi="Times New Roman" w:cs="Times New Roman"/>
                      <w:color w:val="auto"/>
                      <w:szCs w:val="21"/>
                    </w:rPr>
                    <w:t>0.</w:t>
                  </w:r>
                  <w:r>
                    <w:rPr>
                      <w:rFonts w:ascii="Times New Roman" w:eastAsia="宋体" w:hAnsi="Times New Roman" w:cs="Times New Roman" w:hint="eastAsia"/>
                      <w:color w:val="auto"/>
                      <w:szCs w:val="21"/>
                      <w:lang w:val="en-US" w:eastAsia="zh-CN"/>
                    </w:rPr>
                    <w:t>3</w:t>
                  </w:r>
                </w:p>
              </w:tc>
              <w:tc>
                <w:tcPr>
                  <w:tcW w:w="312" w:type="pct"/>
                  <w:tcBorders>
                    <w:tl2br w:val="nil"/>
                    <w:tr2bl w:val="nil"/>
                  </w:tcBorders>
                  <w:shd w:val="clear" w:color="auto" w:fill="auto"/>
                  <w:vAlign w:val="center"/>
                </w:tcPr>
                <w:p w14:paraId="6865F066">
                  <w:pPr>
                    <w:jc w:val="center"/>
                    <w:rPr>
                      <w:rFonts w:ascii="Times New Roman" w:eastAsia="宋体" w:hAnsi="Times New Roman" w:cs="Times New Roman"/>
                      <w:color w:val="auto"/>
                      <w:szCs w:val="21"/>
                    </w:rPr>
                  </w:pPr>
                  <w:r>
                    <w:rPr>
                      <w:rFonts w:ascii="Times New Roman" w:eastAsia="宋体" w:hAnsi="Times New Roman" w:cs="Times New Roman" w:hint="eastAsia"/>
                      <w:color w:val="auto"/>
                      <w:szCs w:val="21"/>
                      <w:lang w:val="en-US" w:eastAsia="zh-CN"/>
                    </w:rPr>
                    <w:t>20</w:t>
                  </w:r>
                  <w:r>
                    <w:rPr>
                      <w:rFonts w:ascii="Times New Roman" w:eastAsia="宋体" w:hAnsi="Times New Roman" w:cs="Times New Roman"/>
                      <w:color w:val="auto"/>
                      <w:szCs w:val="21"/>
                    </w:rPr>
                    <w:t>00</w:t>
                  </w:r>
                </w:p>
              </w:tc>
              <w:tc>
                <w:tcPr>
                  <w:tcW w:w="402" w:type="pct"/>
                  <w:tcBorders>
                    <w:tl2br w:val="nil"/>
                    <w:tr2bl w:val="nil"/>
                  </w:tcBorders>
                  <w:shd w:val="clear" w:color="auto" w:fill="auto"/>
                  <w:vAlign w:val="center"/>
                </w:tcPr>
                <w:p w14:paraId="24208685">
                  <w:pPr>
                    <w:jc w:val="center"/>
                    <w:rPr>
                      <w:rFonts w:ascii="Times New Roman" w:eastAsia="宋体" w:hAnsi="Times New Roman" w:cs="Times New Roman" w:hint="default"/>
                      <w:color w:val="auto"/>
                      <w:szCs w:val="21"/>
                      <w:lang w:val="en-US" w:eastAsia="zh-CN"/>
                    </w:rPr>
                  </w:pPr>
                  <w:r>
                    <w:rPr>
                      <w:rFonts w:ascii="Times New Roman" w:eastAsia="宋体" w:hAnsi="Times New Roman" w:cs="Times New Roman" w:hint="eastAsia"/>
                      <w:color w:val="auto"/>
                      <w:szCs w:val="21"/>
                      <w:lang w:val="en-US" w:eastAsia="zh-CN"/>
                    </w:rPr>
                    <w:t>7.9</w:t>
                  </w:r>
                </w:p>
              </w:tc>
              <w:tc>
                <w:tcPr>
                  <w:tcW w:w="357" w:type="pct"/>
                  <w:tcBorders>
                    <w:tl2br w:val="nil"/>
                    <w:tr2bl w:val="nil"/>
                  </w:tcBorders>
                  <w:shd w:val="clear" w:color="auto" w:fill="auto"/>
                  <w:vAlign w:val="center"/>
                </w:tcPr>
                <w:p w14:paraId="390171DC">
                  <w:pPr>
                    <w:jc w:val="center"/>
                    <w:rPr>
                      <w:rFonts w:ascii="Times New Roman" w:eastAsia="宋体" w:hAnsi="Times New Roman" w:cs="Times New Roman" w:hint="default"/>
                      <w:color w:val="auto"/>
                      <w:szCs w:val="21"/>
                      <w:lang w:val="en-US" w:eastAsia="zh-CN"/>
                    </w:rPr>
                  </w:pPr>
                  <w:r>
                    <w:rPr>
                      <w:rFonts w:ascii="Times New Roman" w:eastAsia="宋体" w:hAnsi="Times New Roman" w:cs="Times New Roman" w:hint="eastAsia"/>
                      <w:color w:val="auto"/>
                      <w:szCs w:val="21"/>
                      <w:lang w:val="en-US" w:eastAsia="zh-CN"/>
                    </w:rPr>
                    <w:t>50</w:t>
                  </w:r>
                </w:p>
              </w:tc>
              <w:tc>
                <w:tcPr>
                  <w:tcW w:w="378" w:type="pct"/>
                  <w:tcBorders>
                    <w:tl2br w:val="nil"/>
                    <w:tr2bl w:val="nil"/>
                  </w:tcBorders>
                  <w:shd w:val="clear" w:color="auto" w:fill="auto"/>
                  <w:vAlign w:val="center"/>
                </w:tcPr>
                <w:p w14:paraId="6EF48C8D">
                  <w:pPr>
                    <w:jc w:val="center"/>
                    <w:rPr>
                      <w:rFonts w:ascii="Times New Roman" w:eastAsia="宋体" w:hAnsi="Times New Roman" w:cs="Times New Roman"/>
                      <w:color w:val="auto"/>
                      <w:szCs w:val="21"/>
                    </w:rPr>
                  </w:pPr>
                  <w:r>
                    <w:rPr>
                      <w:rFonts w:ascii="Times New Roman" w:eastAsia="宋体" w:hAnsi="Times New Roman" w:cs="Times New Roman"/>
                      <w:color w:val="auto"/>
                      <w:szCs w:val="21"/>
                    </w:rPr>
                    <w:t>一般排放口</w:t>
                  </w:r>
                </w:p>
              </w:tc>
            </w:tr>
          </w:tbl>
          <w:p w14:paraId="5A8B8855">
            <w:pPr>
              <w:pStyle w:val="0000"/>
              <w:numPr>
                <w:ilvl w:val="0"/>
                <w:numId w:val="0"/>
              </w:numPr>
              <w:bidi w:val="0"/>
              <w:ind w:left="480" w:leftChars="0"/>
              <w:rPr>
                <w:rFonts w:ascii="Times New Roman" w:eastAsia="宋体" w:hAnsi="Times New Roman" w:cs="Times New Roman" w:hint="eastAsia"/>
                <w:b/>
                <w:bCs/>
                <w:color w:val="auto"/>
                <w:sz w:val="22"/>
                <w:szCs w:val="22"/>
                <w:highlight w:val="none"/>
                <w:lang w:val="en-US" w:eastAsia="zh-CN"/>
              </w:rPr>
            </w:pPr>
            <w:r>
              <w:rPr>
                <w:rFonts w:ascii="Times New Roman" w:eastAsia="宋体" w:hAnsi="Times New Roman" w:cs="Times New Roman" w:hint="eastAsia"/>
                <w:b/>
                <w:bCs/>
                <w:color w:val="auto"/>
                <w:sz w:val="22"/>
                <w:szCs w:val="22"/>
                <w:highlight w:val="none"/>
                <w:lang w:val="en-US" w:eastAsia="zh-CN"/>
              </w:rPr>
              <w:t>7.3废气监测要求</w:t>
            </w:r>
          </w:p>
          <w:p w14:paraId="1783F9D1">
            <w:pPr>
              <w:adjustRightInd w:val="0"/>
              <w:snapToGrid w:val="0"/>
              <w:spacing w:line="360" w:lineRule="auto"/>
              <w:ind w:firstLine="480" w:firstLineChars="200"/>
              <w:outlineLvl w:val="0"/>
              <w:rPr>
                <w:color w:val="auto"/>
                <w:sz w:val="24"/>
              </w:rPr>
            </w:pPr>
            <w:r>
              <w:rPr>
                <w:color w:val="auto"/>
                <w:sz w:val="24"/>
              </w:rPr>
              <w:t>根据《排污单位自行监测技术指南 总则》（HJ819-2017），自行监测计划见下表。</w:t>
            </w:r>
          </w:p>
          <w:p w14:paraId="4386E4F8">
            <w:pPr>
              <w:pStyle w:val="a16"/>
              <w:rPr>
                <w:bCs/>
                <w:color w:val="auto"/>
                <w:sz w:val="24"/>
              </w:rPr>
            </w:pPr>
            <w:r>
              <w:rPr>
                <w:b/>
                <w:bCs/>
                <w:color w:val="auto"/>
                <w:sz w:val="24"/>
              </w:rPr>
              <w:t xml:space="preserve">表4- </w:t>
            </w:r>
            <w:r>
              <w:rPr>
                <w:rFonts w:hint="eastAsia"/>
                <w:b/>
                <w:bCs/>
                <w:color w:val="auto"/>
                <w:sz w:val="24"/>
                <w:lang w:val="en-US" w:eastAsia="zh-CN"/>
              </w:rPr>
              <w:t>27</w:t>
            </w:r>
            <w:r>
              <w:rPr>
                <w:bCs/>
                <w:color w:val="auto"/>
                <w:sz w:val="24"/>
              </w:rPr>
              <w:t xml:space="preserve">  本项目废气监测方案</w:t>
            </w:r>
          </w:p>
          <w:tbl>
            <w:tblPr>
              <w:tblStyle w:val="TableNormal"/>
              <w:tblW w:w="494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blGrid>
              <w:gridCol w:w="1465"/>
              <w:gridCol w:w="2558"/>
              <w:gridCol w:w="1079"/>
              <w:gridCol w:w="3310"/>
            </w:tblGrid>
            <w:tr w14:paraId="55232698">
              <w:tblPrEx>
                <w:tblW w:w="494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Ex>
              <w:trPr>
                <w:jc w:val="center"/>
              </w:trPr>
              <w:tc>
                <w:tcPr>
                  <w:tcW w:w="1465" w:type="dxa"/>
                  <w:tcBorders>
                    <w:tl2br w:val="nil"/>
                    <w:tr2bl w:val="nil"/>
                  </w:tcBorders>
                  <w:shd w:val="clear" w:color="auto" w:fill="auto"/>
                  <w:vAlign w:val="center"/>
                </w:tcPr>
                <w:p w14:paraId="0129CABF">
                  <w:pPr>
                    <w:spacing w:line="240" w:lineRule="atLeast"/>
                    <w:jc w:val="center"/>
                    <w:rPr>
                      <w:color w:val="auto"/>
                      <w:szCs w:val="21"/>
                    </w:rPr>
                  </w:pPr>
                  <w:r>
                    <w:rPr>
                      <w:color w:val="auto"/>
                      <w:szCs w:val="21"/>
                    </w:rPr>
                    <w:t>监测点位</w:t>
                  </w:r>
                </w:p>
              </w:tc>
              <w:tc>
                <w:tcPr>
                  <w:tcW w:w="2558" w:type="dxa"/>
                  <w:tcBorders>
                    <w:tl2br w:val="nil"/>
                    <w:tr2bl w:val="nil"/>
                  </w:tcBorders>
                  <w:shd w:val="clear" w:color="auto" w:fill="auto"/>
                  <w:vAlign w:val="center"/>
                </w:tcPr>
                <w:p w14:paraId="757A72EE">
                  <w:pPr>
                    <w:spacing w:line="240" w:lineRule="atLeast"/>
                    <w:jc w:val="center"/>
                    <w:rPr>
                      <w:color w:val="auto"/>
                      <w:szCs w:val="21"/>
                    </w:rPr>
                  </w:pPr>
                  <w:r>
                    <w:rPr>
                      <w:color w:val="auto"/>
                      <w:szCs w:val="21"/>
                    </w:rPr>
                    <w:t>监测指标</w:t>
                  </w:r>
                </w:p>
              </w:tc>
              <w:tc>
                <w:tcPr>
                  <w:tcW w:w="1079" w:type="dxa"/>
                  <w:tcBorders>
                    <w:tl2br w:val="nil"/>
                    <w:tr2bl w:val="nil"/>
                  </w:tcBorders>
                  <w:shd w:val="clear" w:color="auto" w:fill="auto"/>
                  <w:vAlign w:val="center"/>
                </w:tcPr>
                <w:p w14:paraId="23E72A81">
                  <w:pPr>
                    <w:spacing w:line="240" w:lineRule="atLeast"/>
                    <w:jc w:val="center"/>
                    <w:rPr>
                      <w:color w:val="auto"/>
                      <w:szCs w:val="21"/>
                    </w:rPr>
                  </w:pPr>
                  <w:r>
                    <w:rPr>
                      <w:color w:val="auto"/>
                      <w:szCs w:val="21"/>
                    </w:rPr>
                    <w:t>监测频次</w:t>
                  </w:r>
                </w:p>
              </w:tc>
              <w:tc>
                <w:tcPr>
                  <w:tcW w:w="3310" w:type="dxa"/>
                  <w:tcBorders>
                    <w:tl2br w:val="nil"/>
                    <w:tr2bl w:val="nil"/>
                  </w:tcBorders>
                  <w:shd w:val="clear" w:color="auto" w:fill="auto"/>
                  <w:vAlign w:val="center"/>
                </w:tcPr>
                <w:p w14:paraId="0A9A5BE5">
                  <w:pPr>
                    <w:spacing w:line="240" w:lineRule="atLeast"/>
                    <w:jc w:val="center"/>
                    <w:rPr>
                      <w:color w:val="auto"/>
                      <w:szCs w:val="21"/>
                    </w:rPr>
                  </w:pPr>
                  <w:r>
                    <w:rPr>
                      <w:color w:val="auto"/>
                      <w:szCs w:val="21"/>
                    </w:rPr>
                    <w:t>执行标准</w:t>
                  </w:r>
                </w:p>
              </w:tc>
            </w:tr>
            <w:tr w14:paraId="2102B0DA">
              <w:tblPrEx>
                <w:tblW w:w="4943" w:type="pct"/>
                <w:jc w:val="center"/>
                <w:tblCellMar>
                  <w:top w:w="0" w:type="dxa"/>
                  <w:left w:w="108" w:type="dxa"/>
                  <w:bottom w:w="0" w:type="dxa"/>
                  <w:right w:w="108" w:type="dxa"/>
                </w:tblCellMar>
              </w:tblPrEx>
              <w:trPr>
                <w:jc w:val="center"/>
              </w:trPr>
              <w:tc>
                <w:tcPr>
                  <w:tcW w:w="1465" w:type="dxa"/>
                  <w:tcBorders>
                    <w:tl2br w:val="nil"/>
                    <w:tr2bl w:val="nil"/>
                  </w:tcBorders>
                  <w:shd w:val="clear" w:color="auto" w:fill="auto"/>
                  <w:vAlign w:val="center"/>
                </w:tcPr>
                <w:p w14:paraId="5A025D3C">
                  <w:pPr>
                    <w:spacing w:line="320" w:lineRule="exact"/>
                    <w:jc w:val="center"/>
                    <w:rPr>
                      <w:rFonts w:eastAsia="宋体" w:hint="eastAsia"/>
                      <w:color w:val="auto"/>
                      <w:szCs w:val="21"/>
                      <w:lang w:val="en-US" w:eastAsia="zh-CN"/>
                    </w:rPr>
                  </w:pPr>
                  <w:r>
                    <w:rPr>
                      <w:color w:val="auto"/>
                      <w:szCs w:val="21"/>
                    </w:rPr>
                    <w:t>DA00</w:t>
                  </w:r>
                  <w:r>
                    <w:rPr>
                      <w:rFonts w:hint="eastAsia"/>
                      <w:color w:val="auto"/>
                      <w:szCs w:val="21"/>
                      <w:lang w:val="en-US" w:eastAsia="zh-CN"/>
                    </w:rPr>
                    <w:t>1</w:t>
                  </w:r>
                </w:p>
              </w:tc>
              <w:tc>
                <w:tcPr>
                  <w:tcW w:w="2558" w:type="dxa"/>
                  <w:tcBorders>
                    <w:tl2br w:val="nil"/>
                    <w:tr2bl w:val="nil"/>
                  </w:tcBorders>
                  <w:shd w:val="clear" w:color="auto" w:fill="auto"/>
                  <w:vAlign w:val="center"/>
                </w:tcPr>
                <w:p w14:paraId="72CF4331">
                  <w:pPr>
                    <w:pStyle w:val="a17"/>
                    <w:adjustRightInd/>
                    <w:rPr>
                      <w:rFonts w:eastAsia="宋体" w:hint="default"/>
                      <w:color w:val="auto"/>
                      <w:sz w:val="21"/>
                      <w:szCs w:val="21"/>
                      <w:lang w:val="en-US" w:eastAsia="zh-CN"/>
                    </w:rPr>
                  </w:pPr>
                  <w:r>
                    <w:rPr>
                      <w:rFonts w:eastAsia="宋体" w:hint="eastAsia"/>
                      <w:color w:val="auto"/>
                      <w:sz w:val="21"/>
                      <w:szCs w:val="21"/>
                      <w:lang w:val="en-US" w:eastAsia="zh-CN"/>
                    </w:rPr>
                    <w:t>油烟</w:t>
                  </w:r>
                </w:p>
              </w:tc>
              <w:tc>
                <w:tcPr>
                  <w:tcW w:w="1079" w:type="dxa"/>
                  <w:tcBorders>
                    <w:tl2br w:val="nil"/>
                    <w:tr2bl w:val="nil"/>
                  </w:tcBorders>
                  <w:shd w:val="clear" w:color="auto" w:fill="auto"/>
                  <w:vAlign w:val="center"/>
                </w:tcPr>
                <w:p w14:paraId="605A497C">
                  <w:pPr>
                    <w:spacing w:line="240" w:lineRule="atLeast"/>
                    <w:jc w:val="center"/>
                    <w:rPr>
                      <w:color w:val="auto"/>
                      <w:szCs w:val="21"/>
                      <w:lang w:val="en-GB"/>
                    </w:rPr>
                  </w:pPr>
                  <w:r>
                    <w:rPr>
                      <w:color w:val="auto"/>
                      <w:szCs w:val="21"/>
                      <w:lang w:val="en-GB"/>
                    </w:rPr>
                    <w:t>每年1次</w:t>
                  </w:r>
                </w:p>
              </w:tc>
              <w:tc>
                <w:tcPr>
                  <w:tcW w:w="3310" w:type="dxa"/>
                  <w:tcBorders>
                    <w:tl2br w:val="nil"/>
                    <w:tr2bl w:val="nil"/>
                  </w:tcBorders>
                  <w:shd w:val="clear" w:color="auto" w:fill="auto"/>
                  <w:vAlign w:val="center"/>
                </w:tcPr>
                <w:p w14:paraId="2247D053">
                  <w:pPr>
                    <w:spacing w:line="240" w:lineRule="atLeast"/>
                    <w:jc w:val="center"/>
                    <w:rPr>
                      <w:rFonts w:eastAsia="宋体" w:hint="eastAsia"/>
                      <w:color w:val="auto"/>
                      <w:szCs w:val="21"/>
                      <w:lang w:eastAsia="zh-CN"/>
                    </w:rPr>
                  </w:pPr>
                  <w:r>
                    <w:rPr>
                      <w:rFonts w:eastAsia="宋体" w:hint="eastAsia"/>
                      <w:color w:val="auto"/>
                      <w:szCs w:val="21"/>
                      <w:lang w:eastAsia="zh-CN"/>
                    </w:rPr>
                    <w:t>《餐饮业大气污染物排放标准》（DB13/5808—2023）小型餐饮服务单位</w:t>
                  </w:r>
                </w:p>
              </w:tc>
            </w:tr>
          </w:tbl>
          <w:p w14:paraId="0BBE5006">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根据工程分析可知，本项目产生的</w:t>
            </w:r>
            <w:r>
              <w:rPr>
                <w:rFonts w:ascii="Times New Roman" w:eastAsia="宋体" w:hAnsi="Times New Roman" w:cs="Times New Roman" w:hint="eastAsia"/>
                <w:color w:val="auto"/>
                <w:lang w:val="en-US" w:eastAsia="zh-CN"/>
              </w:rPr>
              <w:t>油烟</w:t>
            </w:r>
            <w:r>
              <w:rPr>
                <w:rFonts w:ascii="Times New Roman" w:eastAsia="宋体" w:hAnsi="Times New Roman" w:cs="Times New Roman" w:hint="default"/>
                <w:color w:val="auto"/>
                <w:lang w:val="en-US" w:eastAsia="zh-CN"/>
              </w:rPr>
              <w:t>经治理后能够做到达标排放；本项目500m范围内环境空气保护目标</w:t>
            </w:r>
            <w:r>
              <w:rPr>
                <w:rFonts w:ascii="Times New Roman" w:eastAsia="宋体" w:hAnsi="Times New Roman" w:cs="Times New Roman" w:hint="eastAsia"/>
                <w:color w:val="auto"/>
                <w:lang w:val="en-US" w:eastAsia="zh-CN"/>
              </w:rPr>
              <w:t>主要为半截塔村</w:t>
            </w:r>
            <w:r>
              <w:rPr>
                <w:rFonts w:ascii="Times New Roman" w:eastAsia="宋体" w:hAnsi="Times New Roman" w:cs="Times New Roman" w:hint="default"/>
                <w:color w:val="auto"/>
                <w:lang w:val="en-US" w:eastAsia="zh-CN"/>
              </w:rPr>
              <w:t>，由于污染物排放浓度均能够达标，且排放</w:t>
            </w:r>
            <w:r>
              <w:rPr>
                <w:rFonts w:ascii="Times New Roman" w:eastAsia="宋体" w:hAnsi="Times New Roman" w:cs="Times New Roman" w:hint="eastAsia"/>
                <w:color w:val="auto"/>
                <w:lang w:val="en-US" w:eastAsia="zh-CN"/>
              </w:rPr>
              <w:t>浓度</w:t>
            </w:r>
            <w:r>
              <w:rPr>
                <w:rFonts w:ascii="Times New Roman" w:eastAsia="宋体" w:hAnsi="Times New Roman" w:cs="Times New Roman" w:hint="default"/>
                <w:color w:val="auto"/>
                <w:lang w:val="en-US" w:eastAsia="zh-CN"/>
              </w:rPr>
              <w:t>较低，因此预计不会对周边环境产生较大影响。</w:t>
            </w:r>
          </w:p>
          <w:p w14:paraId="5776C55F">
            <w:pPr>
              <w:pStyle w:val="00005"/>
              <w:bidi w:val="0"/>
              <w:rPr>
                <w:rFonts w:ascii="Times New Roman" w:eastAsia="宋体" w:hAnsi="Times New Roman" w:cs="Times New Roman" w:hint="default"/>
                <w:color w:val="auto"/>
                <w:spacing w:val="-5"/>
                <w:lang w:val="en-US" w:eastAsia="zh-CN"/>
              </w:rPr>
            </w:pPr>
            <w:r>
              <w:rPr>
                <w:rFonts w:ascii="Times New Roman" w:eastAsia="宋体" w:hAnsi="Times New Roman" w:cs="Times New Roman" w:hint="default"/>
                <w:color w:val="auto"/>
                <w:lang w:val="en-US" w:eastAsia="zh-CN"/>
              </w:rPr>
              <w:t>综上，在落实各项环保措施并定期开展日常监测的前提下，本项目对周边大气环境的影响可以接受。</w:t>
            </w:r>
          </w:p>
        </w:tc>
      </w:tr>
    </w:tbl>
    <w:p w14:paraId="26C594A3">
      <w:pPr>
        <w:keepNext w:val="0"/>
        <w:keepLines w:val="0"/>
        <w:pageBreakBefore w:val="0"/>
        <w:widowControl w:val="0"/>
        <w:kinsoku/>
        <w:wordWrap/>
        <w:overflowPunct/>
        <w:topLinePunct w:val="0"/>
        <w:autoSpaceDE/>
        <w:autoSpaceDN/>
        <w:bidi w:val="0"/>
        <w:adjustRightInd/>
        <w:snapToGrid/>
        <w:textAlignment w:val="auto"/>
        <w:outlineLvl w:val="0"/>
        <w:rPr>
          <w:rFonts w:ascii="Times New Roman" w:eastAsia="宋体" w:hAnsi="Times New Roman" w:cs="Times New Roman" w:hint="default"/>
          <w:color w:val="auto"/>
          <w:highlight w:val="none"/>
          <w:lang w:val="en-US" w:eastAsia="zh-CN"/>
        </w:rPr>
        <w:sectPr>
          <w:pgSz w:w="11907" w:h="16840"/>
          <w:pgMar w:top="1440" w:right="1440" w:bottom="1440" w:left="1440" w:header="851" w:footer="851" w:gutter="0"/>
          <w:pgBorders>
            <w:top w:val="none" w:sz="0" w:space="0" w:color="auto"/>
            <w:left w:val="none" w:sz="0" w:space="0" w:color="auto"/>
            <w:bottom w:val="none" w:sz="0" w:space="0" w:color="auto"/>
            <w:right w:val="none" w:sz="0" w:space="0" w:color="auto"/>
          </w:pgBorders>
          <w:pgNumType w:fmt="decimal"/>
          <w:cols w:num="1" w:space="720"/>
          <w:docGrid w:type="lines" w:linePitch="312" w:charSpace="0"/>
        </w:sectPr>
      </w:pPr>
    </w:p>
    <w:p w14:paraId="1EF60FC5">
      <w:pPr>
        <w:pStyle w:val="NormalWeb"/>
        <w:spacing w:before="0" w:beforeAutospacing="0" w:after="0" w:afterAutospacing="0" w:line="480" w:lineRule="auto"/>
        <w:jc w:val="center"/>
        <w:outlineLvl w:val="0"/>
        <w:rPr>
          <w:rFonts w:ascii="Times New Roman" w:eastAsia="宋体" w:hAnsi="Times New Roman" w:cs="Times New Roman" w:hint="default"/>
          <w:snapToGrid w:val="0"/>
          <w:color w:val="auto"/>
          <w:sz w:val="30"/>
          <w:szCs w:val="30"/>
          <w:highlight w:val="none"/>
        </w:rPr>
      </w:pPr>
      <w:r>
        <w:rPr>
          <w:rFonts w:ascii="Times New Roman" w:eastAsia="宋体" w:hAnsi="Times New Roman" w:cs="Times New Roman" w:hint="default"/>
          <w:snapToGrid w:val="0"/>
          <w:color w:val="auto"/>
          <w:sz w:val="30"/>
          <w:szCs w:val="30"/>
          <w:highlight w:val="none"/>
        </w:rPr>
        <w:t>五、</w:t>
      </w:r>
      <w:bookmarkStart w:id="1" w:name="_Hlk54167917"/>
      <w:r>
        <w:rPr>
          <w:rFonts w:ascii="Times New Roman" w:eastAsia="宋体" w:hAnsi="Times New Roman" w:cs="Times New Roman" w:hint="default"/>
          <w:snapToGrid w:val="0"/>
          <w:color w:val="auto"/>
          <w:sz w:val="30"/>
          <w:szCs w:val="30"/>
          <w:highlight w:val="none"/>
        </w:rPr>
        <w:t>环境保护措施监督检查清单</w:t>
      </w:r>
      <w:bookmarkEnd w:id="1"/>
    </w:p>
    <w:tbl>
      <w:tblPr>
        <w:tblStyle w:val="TableNormal"/>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108" w:type="dxa"/>
          <w:bottom w:w="0" w:type="dxa"/>
          <w:right w:w="108" w:type="dxa"/>
        </w:tblCellMar>
      </w:tblPr>
      <w:tblGrid>
        <w:gridCol w:w="1724"/>
        <w:gridCol w:w="1440"/>
        <w:gridCol w:w="1344"/>
        <w:gridCol w:w="2176"/>
        <w:gridCol w:w="2376"/>
      </w:tblGrid>
      <w:tr w14:paraId="4DF1FAF7">
        <w:tblPrEx>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108" w:type="dxa"/>
            <w:bottom w:w="0" w:type="dxa"/>
            <w:right w:w="108" w:type="dxa"/>
          </w:tblCellMar>
        </w:tblPrEx>
        <w:trPr>
          <w:trHeight w:val="425"/>
          <w:jc w:val="center"/>
        </w:trPr>
        <w:tc>
          <w:tcPr>
            <w:tcW w:w="1724" w:type="dxa"/>
            <w:tcBorders>
              <w:tl2br w:val="single" w:sz="4" w:space="0" w:color="auto"/>
            </w:tcBorders>
            <w:vAlign w:val="center"/>
          </w:tcPr>
          <w:p w14:paraId="18F371C6">
            <w:pPr>
              <w:adjustRightInd w:val="0"/>
              <w:snapToGrid w:val="0"/>
              <w:ind w:firstLine="840"/>
              <w:jc w:val="center"/>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内容</w:t>
            </w:r>
          </w:p>
          <w:p w14:paraId="57863CCA">
            <w:pPr>
              <w:adjustRightInd w:val="0"/>
              <w:snapToGrid w:val="0"/>
              <w:jc w:val="center"/>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要素</w:t>
            </w:r>
          </w:p>
        </w:tc>
        <w:tc>
          <w:tcPr>
            <w:tcW w:w="1440" w:type="dxa"/>
            <w:vAlign w:val="center"/>
          </w:tcPr>
          <w:p w14:paraId="3BAAF4F8">
            <w:pPr>
              <w:adjustRightInd w:val="0"/>
              <w:snapToGrid w:val="0"/>
              <w:jc w:val="center"/>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排放口</w:t>
            </w:r>
            <w:r>
              <w:rPr>
                <w:rFonts w:ascii="Times New Roman" w:eastAsia="宋体" w:hAnsi="Times New Roman" w:cs="Times New Roman" w:hint="default"/>
                <w:color w:val="auto"/>
                <w:sz w:val="24"/>
                <w:szCs w:val="24"/>
                <w:highlight w:val="none"/>
                <w:lang w:eastAsia="zh-CN"/>
              </w:rPr>
              <w:t>（</w:t>
            </w:r>
            <w:r>
              <w:rPr>
                <w:rFonts w:ascii="Times New Roman" w:eastAsia="宋体" w:hAnsi="Times New Roman" w:cs="Times New Roman" w:hint="default"/>
                <w:color w:val="auto"/>
                <w:sz w:val="24"/>
                <w:szCs w:val="24"/>
                <w:highlight w:val="none"/>
              </w:rPr>
              <w:t>编号、名称</w:t>
            </w:r>
            <w:r>
              <w:rPr>
                <w:rFonts w:ascii="Times New Roman" w:eastAsia="宋体" w:hAnsi="Times New Roman" w:cs="Times New Roman" w:hint="default"/>
                <w:color w:val="auto"/>
                <w:sz w:val="24"/>
                <w:szCs w:val="24"/>
                <w:highlight w:val="none"/>
                <w:lang w:eastAsia="zh-CN"/>
              </w:rPr>
              <w:t>）</w:t>
            </w:r>
            <w:r>
              <w:rPr>
                <w:rFonts w:ascii="Times New Roman" w:eastAsia="宋体" w:hAnsi="Times New Roman" w:cs="Times New Roman" w:hint="default"/>
                <w:color w:val="auto"/>
                <w:sz w:val="24"/>
                <w:szCs w:val="24"/>
                <w:highlight w:val="none"/>
              </w:rPr>
              <w:t>/污染源</w:t>
            </w:r>
          </w:p>
        </w:tc>
        <w:tc>
          <w:tcPr>
            <w:tcW w:w="1344" w:type="dxa"/>
            <w:vAlign w:val="center"/>
          </w:tcPr>
          <w:p w14:paraId="694F39D5">
            <w:pPr>
              <w:adjustRightInd w:val="0"/>
              <w:snapToGrid w:val="0"/>
              <w:jc w:val="center"/>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污染物项目</w:t>
            </w:r>
          </w:p>
        </w:tc>
        <w:tc>
          <w:tcPr>
            <w:tcW w:w="2176" w:type="dxa"/>
            <w:vAlign w:val="center"/>
          </w:tcPr>
          <w:p w14:paraId="4BC6E208">
            <w:pPr>
              <w:adjustRightInd w:val="0"/>
              <w:snapToGrid w:val="0"/>
              <w:jc w:val="center"/>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环境保护措施</w:t>
            </w:r>
          </w:p>
        </w:tc>
        <w:tc>
          <w:tcPr>
            <w:tcW w:w="2376" w:type="dxa"/>
            <w:vAlign w:val="center"/>
          </w:tcPr>
          <w:p w14:paraId="7752174D">
            <w:pPr>
              <w:adjustRightInd w:val="0"/>
              <w:snapToGrid w:val="0"/>
              <w:jc w:val="center"/>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执行标准</w:t>
            </w:r>
          </w:p>
        </w:tc>
      </w:tr>
      <w:tr w14:paraId="535EFD2E">
        <w:tblPrEx>
          <w:tblW w:w="0" w:type="auto"/>
          <w:jc w:val="center"/>
          <w:tblCellMar>
            <w:top w:w="0" w:type="dxa"/>
            <w:left w:w="108" w:type="dxa"/>
            <w:bottom w:w="0" w:type="dxa"/>
            <w:right w:w="108" w:type="dxa"/>
          </w:tblCellMar>
        </w:tblPrEx>
        <w:trPr>
          <w:trHeight w:val="425"/>
          <w:jc w:val="center"/>
        </w:trPr>
        <w:tc>
          <w:tcPr>
            <w:tcW w:w="1724" w:type="dxa"/>
            <w:vMerge w:val="restart"/>
            <w:vAlign w:val="center"/>
          </w:tcPr>
          <w:p w14:paraId="4789C158">
            <w:pPr>
              <w:adjustRightInd w:val="0"/>
              <w:snapToGrid w:val="0"/>
              <w:jc w:val="center"/>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大气环境</w:t>
            </w:r>
          </w:p>
        </w:tc>
        <w:tc>
          <w:tcPr>
            <w:tcW w:w="1440" w:type="dxa"/>
            <w:vMerge w:val="restart"/>
            <w:vAlign w:val="center"/>
          </w:tcPr>
          <w:p w14:paraId="034A8780">
            <w:pPr>
              <w:adjustRightInd w:val="0"/>
              <w:snapToGrid w:val="0"/>
              <w:jc w:val="center"/>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rPr>
              <w:t>施工期</w:t>
            </w:r>
          </w:p>
        </w:tc>
        <w:tc>
          <w:tcPr>
            <w:tcW w:w="1344" w:type="dxa"/>
            <w:vAlign w:val="center"/>
          </w:tcPr>
          <w:p w14:paraId="451D1773">
            <w:pPr>
              <w:adjustRightInd w:val="0"/>
              <w:snapToGrid w:val="0"/>
              <w:jc w:val="center"/>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rPr>
              <w:t>施工扬尘</w:t>
            </w:r>
          </w:p>
        </w:tc>
        <w:tc>
          <w:tcPr>
            <w:tcW w:w="2176" w:type="dxa"/>
            <w:vAlign w:val="center"/>
          </w:tcPr>
          <w:p w14:paraId="2413659B">
            <w:pPr>
              <w:adjustRightInd w:val="0"/>
              <w:snapToGrid w:val="0"/>
              <w:jc w:val="center"/>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rPr>
              <w:t>施工场地路面硬化，施工道路及裸露地面定期洒水；回填土石方，临时堆料采取围挡、覆盖措施。</w:t>
            </w:r>
          </w:p>
        </w:tc>
        <w:tc>
          <w:tcPr>
            <w:tcW w:w="2376" w:type="dxa"/>
            <w:vAlign w:val="center"/>
          </w:tcPr>
          <w:p w14:paraId="4D4D0B4C">
            <w:pPr>
              <w:adjustRightInd w:val="0"/>
              <w:snapToGrid w:val="0"/>
              <w:jc w:val="center"/>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rPr>
              <w:t>施工期扬尘执行《施工场地扬尘排放标准》（DB13/2934-2019）中相关标准要求</w:t>
            </w:r>
          </w:p>
        </w:tc>
      </w:tr>
      <w:tr w14:paraId="08B91F20">
        <w:tblPrEx>
          <w:tblW w:w="0" w:type="auto"/>
          <w:jc w:val="center"/>
          <w:tblCellMar>
            <w:top w:w="0" w:type="dxa"/>
            <w:left w:w="108" w:type="dxa"/>
            <w:bottom w:w="0" w:type="dxa"/>
            <w:right w:w="108" w:type="dxa"/>
          </w:tblCellMar>
        </w:tblPrEx>
        <w:trPr>
          <w:trHeight w:val="425"/>
          <w:jc w:val="center"/>
        </w:trPr>
        <w:tc>
          <w:tcPr>
            <w:tcW w:w="1724" w:type="dxa"/>
            <w:vMerge/>
            <w:vAlign w:val="center"/>
          </w:tcPr>
          <w:p w14:paraId="471C8FA7">
            <w:pPr>
              <w:adjustRightInd w:val="0"/>
              <w:snapToGrid w:val="0"/>
              <w:jc w:val="center"/>
              <w:rPr>
                <w:rFonts w:ascii="Times New Roman" w:eastAsia="宋体" w:hAnsi="Times New Roman" w:cs="Times New Roman" w:hint="default"/>
                <w:color w:val="auto"/>
                <w:sz w:val="24"/>
                <w:szCs w:val="24"/>
                <w:highlight w:val="none"/>
              </w:rPr>
            </w:pPr>
          </w:p>
        </w:tc>
        <w:tc>
          <w:tcPr>
            <w:tcW w:w="1440" w:type="dxa"/>
            <w:vMerge/>
            <w:vAlign w:val="center"/>
          </w:tcPr>
          <w:p w14:paraId="39B8555B">
            <w:pPr>
              <w:adjustRightInd w:val="0"/>
              <w:snapToGrid w:val="0"/>
              <w:jc w:val="center"/>
              <w:rPr>
                <w:rFonts w:ascii="Times New Roman" w:eastAsia="宋体" w:hAnsi="Times New Roman" w:cs="Times New Roman" w:hint="default"/>
                <w:color w:val="auto"/>
                <w:sz w:val="24"/>
                <w:szCs w:val="24"/>
                <w:highlight w:val="none"/>
                <w:lang w:val="en-US" w:eastAsia="zh-CN"/>
              </w:rPr>
            </w:pPr>
          </w:p>
        </w:tc>
        <w:tc>
          <w:tcPr>
            <w:tcW w:w="1344" w:type="dxa"/>
            <w:vAlign w:val="center"/>
          </w:tcPr>
          <w:p w14:paraId="6D53D9D2">
            <w:pPr>
              <w:adjustRightInd w:val="0"/>
              <w:snapToGrid w:val="0"/>
              <w:jc w:val="center"/>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rPr>
              <w:t>施工机械和运输车辆等废气</w:t>
            </w:r>
          </w:p>
        </w:tc>
        <w:tc>
          <w:tcPr>
            <w:tcW w:w="2176" w:type="dxa"/>
            <w:vAlign w:val="center"/>
          </w:tcPr>
          <w:p w14:paraId="03180815">
            <w:pPr>
              <w:adjustRightInd w:val="0"/>
              <w:snapToGrid w:val="0"/>
              <w:jc w:val="center"/>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rPr>
              <w:t>保证施工机械及车辆运行状态的良好</w:t>
            </w:r>
          </w:p>
        </w:tc>
        <w:tc>
          <w:tcPr>
            <w:tcW w:w="2376" w:type="dxa"/>
            <w:vAlign w:val="center"/>
          </w:tcPr>
          <w:p w14:paraId="25189711">
            <w:pPr>
              <w:adjustRightInd w:val="0"/>
              <w:snapToGrid w:val="0"/>
              <w:jc w:val="center"/>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w:t>
            </w:r>
          </w:p>
        </w:tc>
      </w:tr>
      <w:tr w14:paraId="5EF926E3">
        <w:tblPrEx>
          <w:tblW w:w="0" w:type="auto"/>
          <w:jc w:val="center"/>
          <w:tblCellMar>
            <w:top w:w="0" w:type="dxa"/>
            <w:left w:w="108" w:type="dxa"/>
            <w:bottom w:w="0" w:type="dxa"/>
            <w:right w:w="108" w:type="dxa"/>
          </w:tblCellMar>
        </w:tblPrEx>
        <w:trPr>
          <w:trHeight w:val="425"/>
          <w:jc w:val="center"/>
        </w:trPr>
        <w:tc>
          <w:tcPr>
            <w:tcW w:w="1724" w:type="dxa"/>
            <w:vMerge w:val="restart"/>
            <w:vAlign w:val="center"/>
          </w:tcPr>
          <w:p w14:paraId="7A42CF57">
            <w:pPr>
              <w:adjustRightInd w:val="0"/>
              <w:snapToGrid w:val="0"/>
              <w:jc w:val="center"/>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地表水</w:t>
            </w:r>
            <w:r>
              <w:rPr>
                <w:rFonts w:ascii="Times New Roman" w:eastAsia="宋体" w:hAnsi="Times New Roman" w:cs="Times New Roman" w:hint="default"/>
                <w:color w:val="auto"/>
                <w:sz w:val="24"/>
                <w:szCs w:val="24"/>
                <w:highlight w:val="none"/>
                <w:lang w:eastAsia="zh-CN"/>
              </w:rPr>
              <w:t>环境</w:t>
            </w:r>
          </w:p>
        </w:tc>
        <w:tc>
          <w:tcPr>
            <w:tcW w:w="1440" w:type="dxa"/>
            <w:vAlign w:val="center"/>
          </w:tcPr>
          <w:p w14:paraId="0FF958FB">
            <w:pPr>
              <w:adjustRightInd w:val="0"/>
              <w:snapToGrid w:val="0"/>
              <w:jc w:val="center"/>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rPr>
              <w:t>施工期</w:t>
            </w:r>
          </w:p>
        </w:tc>
        <w:tc>
          <w:tcPr>
            <w:tcW w:w="1344" w:type="dxa"/>
            <w:vAlign w:val="top"/>
          </w:tcPr>
          <w:p w14:paraId="2585F950">
            <w:pPr>
              <w:adjustRightInd w:val="0"/>
              <w:snapToGrid w:val="0"/>
              <w:jc w:val="center"/>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pH、</w:t>
            </w:r>
            <w:r>
              <w:rPr>
                <w:rFonts w:ascii="Times New Roman" w:eastAsia="宋体" w:hAnsi="Times New Roman" w:cs="Times New Roman" w:hint="default"/>
                <w:color w:val="auto"/>
                <w:sz w:val="24"/>
                <w:szCs w:val="24"/>
                <w:highlight w:val="none"/>
              </w:rPr>
              <w:t>SS、NH</w:t>
            </w:r>
            <w:r>
              <w:rPr>
                <w:rFonts w:ascii="Times New Roman" w:eastAsia="宋体" w:hAnsi="Times New Roman" w:cs="Times New Roman" w:hint="default"/>
                <w:color w:val="auto"/>
                <w:sz w:val="24"/>
                <w:szCs w:val="24"/>
                <w:highlight w:val="none"/>
                <w:vertAlign w:val="subscript"/>
              </w:rPr>
              <w:t>3</w:t>
            </w:r>
            <w:r>
              <w:rPr>
                <w:rFonts w:ascii="Times New Roman" w:eastAsia="宋体" w:hAnsi="Times New Roman" w:cs="Times New Roman" w:hint="default"/>
                <w:color w:val="auto"/>
                <w:sz w:val="24"/>
                <w:szCs w:val="24"/>
                <w:highlight w:val="none"/>
              </w:rPr>
              <w:t>-N、COD</w:t>
            </w:r>
            <w:r>
              <w:rPr>
                <w:rFonts w:ascii="Times New Roman" w:eastAsia="宋体" w:hAnsi="Times New Roman" w:cs="Times New Roman" w:hint="default"/>
                <w:color w:val="auto"/>
                <w:sz w:val="24"/>
                <w:szCs w:val="24"/>
                <w:highlight w:val="none"/>
                <w:lang w:val="en-US" w:eastAsia="zh-CN"/>
              </w:rPr>
              <w:t>cr</w:t>
            </w:r>
            <w:r>
              <w:rPr>
                <w:rFonts w:ascii="Times New Roman" w:eastAsia="宋体" w:hAnsi="Times New Roman" w:cs="Times New Roman" w:hint="default"/>
                <w:color w:val="auto"/>
                <w:sz w:val="24"/>
                <w:szCs w:val="24"/>
                <w:highlight w:val="none"/>
              </w:rPr>
              <w:t>、BOD</w:t>
            </w:r>
            <w:r>
              <w:rPr>
                <w:rFonts w:ascii="Times New Roman" w:eastAsia="宋体" w:hAnsi="Times New Roman" w:cs="Times New Roman" w:hint="default"/>
                <w:color w:val="auto"/>
                <w:sz w:val="24"/>
                <w:szCs w:val="24"/>
                <w:highlight w:val="none"/>
                <w:vertAlign w:val="subscript"/>
                <w:lang w:val="en-US" w:eastAsia="zh-CN"/>
              </w:rPr>
              <w:t>5</w:t>
            </w:r>
            <w:r>
              <w:rPr>
                <w:rFonts w:ascii="Times New Roman" w:eastAsia="宋体" w:hAnsi="Times New Roman" w:cs="Times New Roman" w:hint="default"/>
                <w:color w:val="auto"/>
                <w:sz w:val="24"/>
                <w:szCs w:val="24"/>
                <w:highlight w:val="none"/>
                <w:lang w:eastAsia="zh-CN"/>
              </w:rPr>
              <w:t>、</w:t>
            </w:r>
            <w:r>
              <w:rPr>
                <w:rFonts w:ascii="Times New Roman" w:eastAsia="宋体" w:hAnsi="Times New Roman" w:cs="Times New Roman" w:hint="default"/>
                <w:color w:val="auto"/>
                <w:sz w:val="24"/>
                <w:szCs w:val="24"/>
                <w:highlight w:val="none"/>
                <w:lang w:val="en-US" w:eastAsia="zh-CN"/>
              </w:rPr>
              <w:t>TN、TP</w:t>
            </w:r>
          </w:p>
        </w:tc>
        <w:tc>
          <w:tcPr>
            <w:tcW w:w="2176" w:type="dxa"/>
            <w:vAlign w:val="center"/>
          </w:tcPr>
          <w:p w14:paraId="42BAE033">
            <w:pPr>
              <w:adjustRightInd w:val="0"/>
              <w:snapToGrid w:val="0"/>
              <w:jc w:val="center"/>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lang w:val="en-US" w:eastAsia="zh-CN"/>
              </w:rPr>
              <w:t>施工人员产生的生活污水，利用化粪池收集处理，定期清掏不外排</w:t>
            </w:r>
          </w:p>
        </w:tc>
        <w:tc>
          <w:tcPr>
            <w:tcW w:w="2376" w:type="dxa"/>
            <w:vAlign w:val="center"/>
          </w:tcPr>
          <w:p w14:paraId="52AFA964">
            <w:pPr>
              <w:adjustRightInd w:val="0"/>
              <w:snapToGrid w:val="0"/>
              <w:jc w:val="center"/>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w:t>
            </w:r>
          </w:p>
        </w:tc>
      </w:tr>
      <w:tr w14:paraId="595C0610">
        <w:tblPrEx>
          <w:tblW w:w="0" w:type="auto"/>
          <w:jc w:val="center"/>
          <w:tblCellMar>
            <w:top w:w="0" w:type="dxa"/>
            <w:left w:w="108" w:type="dxa"/>
            <w:bottom w:w="0" w:type="dxa"/>
            <w:right w:w="108" w:type="dxa"/>
          </w:tblCellMar>
        </w:tblPrEx>
        <w:trPr>
          <w:trHeight w:val="425"/>
          <w:jc w:val="center"/>
        </w:trPr>
        <w:tc>
          <w:tcPr>
            <w:tcW w:w="1724" w:type="dxa"/>
            <w:vMerge/>
            <w:vAlign w:val="center"/>
          </w:tcPr>
          <w:p w14:paraId="11878E24">
            <w:pPr>
              <w:adjustRightInd w:val="0"/>
              <w:snapToGrid w:val="0"/>
              <w:jc w:val="center"/>
              <w:rPr>
                <w:rFonts w:ascii="Times New Roman" w:eastAsia="宋体" w:hAnsi="Times New Roman" w:cs="Times New Roman" w:hint="default"/>
                <w:color w:val="auto"/>
                <w:sz w:val="24"/>
                <w:szCs w:val="24"/>
                <w:highlight w:val="none"/>
              </w:rPr>
            </w:pPr>
          </w:p>
        </w:tc>
        <w:tc>
          <w:tcPr>
            <w:tcW w:w="1440" w:type="dxa"/>
            <w:vAlign w:val="center"/>
          </w:tcPr>
          <w:p w14:paraId="4B243B16">
            <w:pPr>
              <w:adjustRightInd w:val="0"/>
              <w:snapToGrid w:val="0"/>
              <w:jc w:val="center"/>
              <w:rPr>
                <w:rFonts w:ascii="Times New Roman" w:eastAsia="宋体" w:hAnsi="Times New Roman" w:cs="Times New Roman" w:hint="default"/>
                <w:color w:val="auto"/>
                <w:sz w:val="24"/>
                <w:szCs w:val="24"/>
                <w:highlight w:val="none"/>
                <w:lang w:eastAsia="zh-CN"/>
              </w:rPr>
            </w:pPr>
            <w:r>
              <w:rPr>
                <w:rFonts w:ascii="Times New Roman" w:eastAsia="宋体" w:hAnsi="Times New Roman" w:cs="Times New Roman" w:hint="default"/>
                <w:color w:val="auto"/>
                <w:sz w:val="24"/>
                <w:szCs w:val="24"/>
                <w:highlight w:val="none"/>
                <w:lang w:val="en-US" w:eastAsia="zh-CN"/>
              </w:rPr>
              <w:t>运营期</w:t>
            </w:r>
          </w:p>
        </w:tc>
        <w:tc>
          <w:tcPr>
            <w:tcW w:w="1344" w:type="dxa"/>
            <w:vAlign w:val="top"/>
          </w:tcPr>
          <w:p w14:paraId="51E9CC08">
            <w:pPr>
              <w:adjustRightInd w:val="0"/>
              <w:snapToGrid w:val="0"/>
              <w:jc w:val="center"/>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lang w:val="en-US" w:eastAsia="zh-CN"/>
              </w:rPr>
              <w:t>pH、</w:t>
            </w:r>
            <w:r>
              <w:rPr>
                <w:rFonts w:ascii="Times New Roman" w:eastAsia="宋体" w:hAnsi="Times New Roman" w:cs="Times New Roman" w:hint="default"/>
                <w:color w:val="auto"/>
                <w:sz w:val="24"/>
                <w:szCs w:val="24"/>
                <w:highlight w:val="none"/>
              </w:rPr>
              <w:t>SS、NH</w:t>
            </w:r>
            <w:r>
              <w:rPr>
                <w:rFonts w:ascii="Times New Roman" w:eastAsia="宋体" w:hAnsi="Times New Roman" w:cs="Times New Roman" w:hint="default"/>
                <w:color w:val="auto"/>
                <w:sz w:val="24"/>
                <w:szCs w:val="24"/>
                <w:highlight w:val="none"/>
                <w:vertAlign w:val="subscript"/>
              </w:rPr>
              <w:t>3</w:t>
            </w:r>
            <w:r>
              <w:rPr>
                <w:rFonts w:ascii="Times New Roman" w:eastAsia="宋体" w:hAnsi="Times New Roman" w:cs="Times New Roman" w:hint="default"/>
                <w:color w:val="auto"/>
                <w:sz w:val="24"/>
                <w:szCs w:val="24"/>
                <w:highlight w:val="none"/>
              </w:rPr>
              <w:t>-N、COD</w:t>
            </w:r>
            <w:r>
              <w:rPr>
                <w:rFonts w:ascii="Times New Roman" w:eastAsia="宋体" w:hAnsi="Times New Roman" w:cs="Times New Roman" w:hint="default"/>
                <w:color w:val="auto"/>
                <w:sz w:val="24"/>
                <w:szCs w:val="24"/>
                <w:highlight w:val="none"/>
                <w:lang w:val="en-US" w:eastAsia="zh-CN"/>
              </w:rPr>
              <w:t>cr</w:t>
            </w:r>
            <w:r>
              <w:rPr>
                <w:rFonts w:ascii="Times New Roman" w:eastAsia="宋体" w:hAnsi="Times New Roman" w:cs="Times New Roman" w:hint="default"/>
                <w:color w:val="auto"/>
                <w:sz w:val="24"/>
                <w:szCs w:val="24"/>
                <w:highlight w:val="none"/>
              </w:rPr>
              <w:t>、BOD</w:t>
            </w:r>
            <w:r>
              <w:rPr>
                <w:rFonts w:ascii="Times New Roman" w:eastAsia="宋体" w:hAnsi="Times New Roman" w:cs="Times New Roman" w:hint="default"/>
                <w:color w:val="auto"/>
                <w:sz w:val="24"/>
                <w:szCs w:val="24"/>
                <w:highlight w:val="none"/>
                <w:vertAlign w:val="subscript"/>
                <w:lang w:val="en-US" w:eastAsia="zh-CN"/>
              </w:rPr>
              <w:t>5</w:t>
            </w:r>
            <w:r>
              <w:rPr>
                <w:rFonts w:ascii="Times New Roman" w:eastAsia="宋体" w:hAnsi="Times New Roman" w:cs="Times New Roman" w:hint="default"/>
                <w:color w:val="auto"/>
                <w:sz w:val="24"/>
                <w:szCs w:val="24"/>
                <w:highlight w:val="none"/>
                <w:lang w:eastAsia="zh-CN"/>
              </w:rPr>
              <w:t>、</w:t>
            </w:r>
            <w:r>
              <w:rPr>
                <w:rFonts w:ascii="Times New Roman" w:eastAsia="宋体" w:hAnsi="Times New Roman" w:cs="Times New Roman" w:hint="default"/>
                <w:color w:val="auto"/>
                <w:sz w:val="24"/>
                <w:szCs w:val="24"/>
                <w:highlight w:val="none"/>
                <w:lang w:val="en-US" w:eastAsia="zh-CN"/>
              </w:rPr>
              <w:t>TN、TP</w:t>
            </w:r>
          </w:p>
        </w:tc>
        <w:tc>
          <w:tcPr>
            <w:tcW w:w="2176" w:type="dxa"/>
            <w:vAlign w:val="center"/>
          </w:tcPr>
          <w:p w14:paraId="4F66CE11">
            <w:pPr>
              <w:adjustRightInd w:val="0"/>
              <w:snapToGrid w:val="0"/>
              <w:jc w:val="center"/>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lang w:val="en-US" w:eastAsia="zh-CN"/>
              </w:rPr>
              <w:t>生活污水经化粪池沉淀后，由地埋式一体化污水处理设备处理后作为厂区地面抑尘、绿化使用，不外排。</w:t>
            </w:r>
          </w:p>
        </w:tc>
        <w:tc>
          <w:tcPr>
            <w:tcW w:w="2376" w:type="dxa"/>
            <w:vAlign w:val="center"/>
          </w:tcPr>
          <w:p w14:paraId="43CD4611">
            <w:pPr>
              <w:adjustRightInd w:val="0"/>
              <w:snapToGrid w:val="0"/>
              <w:jc w:val="center"/>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w:t>
            </w:r>
          </w:p>
        </w:tc>
      </w:tr>
      <w:tr w14:paraId="1DFD70FA">
        <w:tblPrEx>
          <w:tblW w:w="0" w:type="auto"/>
          <w:jc w:val="center"/>
          <w:tblCellMar>
            <w:top w:w="0" w:type="dxa"/>
            <w:left w:w="108" w:type="dxa"/>
            <w:bottom w:w="0" w:type="dxa"/>
            <w:right w:w="108" w:type="dxa"/>
          </w:tblCellMar>
        </w:tblPrEx>
        <w:trPr>
          <w:trHeight w:val="425"/>
          <w:jc w:val="center"/>
        </w:trPr>
        <w:tc>
          <w:tcPr>
            <w:tcW w:w="1724" w:type="dxa"/>
            <w:vMerge w:val="restart"/>
            <w:vAlign w:val="center"/>
          </w:tcPr>
          <w:p w14:paraId="3E7739E7">
            <w:pPr>
              <w:adjustRightInd w:val="0"/>
              <w:snapToGrid w:val="0"/>
              <w:jc w:val="center"/>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声环境</w:t>
            </w:r>
          </w:p>
        </w:tc>
        <w:tc>
          <w:tcPr>
            <w:tcW w:w="1440" w:type="dxa"/>
            <w:vAlign w:val="center"/>
          </w:tcPr>
          <w:p w14:paraId="5D32A219">
            <w:pPr>
              <w:adjustRightInd w:val="0"/>
              <w:snapToGrid w:val="0"/>
              <w:jc w:val="center"/>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rPr>
              <w:t>施工期</w:t>
            </w:r>
          </w:p>
        </w:tc>
        <w:tc>
          <w:tcPr>
            <w:tcW w:w="1344" w:type="dxa"/>
            <w:vAlign w:val="center"/>
          </w:tcPr>
          <w:p w14:paraId="65B9C22B">
            <w:pPr>
              <w:adjustRightInd w:val="0"/>
              <w:snapToGrid w:val="0"/>
              <w:jc w:val="center"/>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等效</w:t>
            </w:r>
            <w:r>
              <w:rPr>
                <w:rFonts w:ascii="Times New Roman" w:eastAsia="宋体" w:hAnsi="Times New Roman" w:cs="Times New Roman" w:hint="default"/>
                <w:color w:val="auto"/>
                <w:sz w:val="24"/>
                <w:szCs w:val="24"/>
                <w:highlight w:val="none"/>
              </w:rPr>
              <w:t>A声级</w:t>
            </w:r>
          </w:p>
        </w:tc>
        <w:tc>
          <w:tcPr>
            <w:tcW w:w="2176" w:type="dxa"/>
            <w:vAlign w:val="center"/>
          </w:tcPr>
          <w:p w14:paraId="5CDCF13F">
            <w:pPr>
              <w:adjustRightInd w:val="0"/>
              <w:snapToGrid w:val="0"/>
              <w:jc w:val="center"/>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采取围挡、隔声装置，低噪音、振动小的施工设备，合理布置施工现场及安排施工时间，并加强管理；运输车辆途经居民点时采取控制车速、禁鸣，加强车辆维护等措施</w:t>
            </w:r>
          </w:p>
        </w:tc>
        <w:tc>
          <w:tcPr>
            <w:tcW w:w="2376" w:type="dxa"/>
            <w:vAlign w:val="center"/>
          </w:tcPr>
          <w:p w14:paraId="20C6CB54">
            <w:pPr>
              <w:adjustRightInd w:val="0"/>
              <w:snapToGrid w:val="0"/>
              <w:jc w:val="center"/>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《建筑施工厂界环境噪声排放标准》(GB12523-2011)</w:t>
            </w:r>
          </w:p>
        </w:tc>
      </w:tr>
      <w:tr w14:paraId="79969BA5">
        <w:tblPrEx>
          <w:tblW w:w="0" w:type="auto"/>
          <w:jc w:val="center"/>
          <w:tblCellMar>
            <w:top w:w="0" w:type="dxa"/>
            <w:left w:w="108" w:type="dxa"/>
            <w:bottom w:w="0" w:type="dxa"/>
            <w:right w:w="108" w:type="dxa"/>
          </w:tblCellMar>
        </w:tblPrEx>
        <w:trPr>
          <w:trHeight w:val="425"/>
          <w:jc w:val="center"/>
        </w:trPr>
        <w:tc>
          <w:tcPr>
            <w:tcW w:w="1724" w:type="dxa"/>
            <w:vMerge/>
            <w:vAlign w:val="center"/>
          </w:tcPr>
          <w:p w14:paraId="0F5E6631">
            <w:pPr>
              <w:adjustRightInd w:val="0"/>
              <w:snapToGrid w:val="0"/>
              <w:jc w:val="center"/>
              <w:rPr>
                <w:rFonts w:ascii="Times New Roman" w:eastAsia="宋体" w:hAnsi="Times New Roman" w:cs="Times New Roman" w:hint="default"/>
                <w:color w:val="auto"/>
                <w:sz w:val="24"/>
                <w:szCs w:val="24"/>
                <w:highlight w:val="none"/>
              </w:rPr>
            </w:pPr>
          </w:p>
        </w:tc>
        <w:tc>
          <w:tcPr>
            <w:tcW w:w="1440" w:type="dxa"/>
            <w:vAlign w:val="center"/>
          </w:tcPr>
          <w:p w14:paraId="23DE638C">
            <w:pPr>
              <w:adjustRightInd w:val="0"/>
              <w:snapToGrid w:val="0"/>
              <w:jc w:val="center"/>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运营期</w:t>
            </w:r>
          </w:p>
        </w:tc>
        <w:tc>
          <w:tcPr>
            <w:tcW w:w="1344" w:type="dxa"/>
            <w:vAlign w:val="center"/>
          </w:tcPr>
          <w:p w14:paraId="0A21EC9D">
            <w:pPr>
              <w:adjustRightInd w:val="0"/>
              <w:snapToGrid w:val="0"/>
              <w:jc w:val="center"/>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等效</w:t>
            </w:r>
            <w:r>
              <w:rPr>
                <w:rFonts w:ascii="Times New Roman" w:eastAsia="宋体" w:hAnsi="Times New Roman" w:cs="Times New Roman" w:hint="default"/>
                <w:color w:val="auto"/>
                <w:sz w:val="24"/>
                <w:szCs w:val="24"/>
                <w:highlight w:val="none"/>
              </w:rPr>
              <w:t>A声级</w:t>
            </w:r>
          </w:p>
        </w:tc>
        <w:tc>
          <w:tcPr>
            <w:tcW w:w="2176" w:type="dxa"/>
            <w:vAlign w:val="center"/>
          </w:tcPr>
          <w:p w14:paraId="0867A593">
            <w:pPr>
              <w:adjustRightInd w:val="0"/>
              <w:snapToGrid w:val="0"/>
              <w:jc w:val="center"/>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基础减震以及</w:t>
            </w:r>
            <w:r>
              <w:rPr>
                <w:rFonts w:ascii="Times New Roman" w:eastAsia="宋体" w:hAnsi="Times New Roman" w:cs="Times New Roman" w:hint="default"/>
                <w:color w:val="auto"/>
                <w:sz w:val="24"/>
                <w:szCs w:val="24"/>
                <w:highlight w:val="none"/>
                <w:lang w:val="en-US" w:eastAsia="zh-CN"/>
              </w:rPr>
              <w:t>柔性连接等</w:t>
            </w:r>
          </w:p>
        </w:tc>
        <w:tc>
          <w:tcPr>
            <w:tcW w:w="2376" w:type="dxa"/>
            <w:vAlign w:val="center"/>
          </w:tcPr>
          <w:p w14:paraId="05E11C9A">
            <w:pPr>
              <w:adjustRightInd w:val="0"/>
              <w:snapToGrid w:val="0"/>
              <w:jc w:val="center"/>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《工业企业厂界环境噪声排放标准》（GB12348-2008）</w:t>
            </w:r>
            <w:r>
              <w:rPr>
                <w:rFonts w:ascii="Times New Roman" w:eastAsia="宋体" w:hAnsi="Times New Roman" w:cs="Times New Roman" w:hint="default"/>
                <w:color w:val="auto"/>
                <w:sz w:val="24"/>
                <w:szCs w:val="24"/>
                <w:highlight w:val="none"/>
                <w:lang w:val="en-US" w:eastAsia="zh-CN"/>
              </w:rPr>
              <w:t>1</w:t>
            </w:r>
            <w:r>
              <w:rPr>
                <w:rFonts w:ascii="Times New Roman" w:eastAsia="宋体" w:hAnsi="Times New Roman" w:cs="Times New Roman" w:hint="default"/>
                <w:color w:val="auto"/>
                <w:sz w:val="24"/>
                <w:szCs w:val="24"/>
                <w:highlight w:val="none"/>
              </w:rPr>
              <w:t>类标准</w:t>
            </w:r>
          </w:p>
        </w:tc>
      </w:tr>
      <w:tr w14:paraId="0EA5D12B">
        <w:tblPrEx>
          <w:tblW w:w="0" w:type="auto"/>
          <w:jc w:val="center"/>
          <w:tblCellMar>
            <w:top w:w="0" w:type="dxa"/>
            <w:left w:w="108" w:type="dxa"/>
            <w:bottom w:w="0" w:type="dxa"/>
            <w:right w:w="108" w:type="dxa"/>
          </w:tblCellMar>
        </w:tblPrEx>
        <w:trPr>
          <w:trHeight w:val="425"/>
          <w:jc w:val="center"/>
        </w:trPr>
        <w:tc>
          <w:tcPr>
            <w:tcW w:w="1724" w:type="dxa"/>
            <w:vAlign w:val="center"/>
          </w:tcPr>
          <w:p w14:paraId="19866E62">
            <w:pPr>
              <w:adjustRightInd w:val="0"/>
              <w:snapToGrid w:val="0"/>
              <w:jc w:val="center"/>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电磁辐射</w:t>
            </w:r>
          </w:p>
        </w:tc>
        <w:tc>
          <w:tcPr>
            <w:tcW w:w="1440" w:type="dxa"/>
            <w:vAlign w:val="center"/>
          </w:tcPr>
          <w:p w14:paraId="689E7D2D">
            <w:pPr>
              <w:adjustRightInd w:val="0"/>
              <w:snapToGrid w:val="0"/>
              <w:jc w:val="center"/>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rPr>
              <w:t>运行期</w:t>
            </w:r>
          </w:p>
        </w:tc>
        <w:tc>
          <w:tcPr>
            <w:tcW w:w="1344" w:type="dxa"/>
            <w:vAlign w:val="center"/>
          </w:tcPr>
          <w:p w14:paraId="413986D3">
            <w:pPr>
              <w:adjustRightInd w:val="0"/>
              <w:snapToGrid w:val="0"/>
              <w:jc w:val="center"/>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rPr>
              <w:t>工频电场、工频磁场</w:t>
            </w:r>
          </w:p>
        </w:tc>
        <w:tc>
          <w:tcPr>
            <w:tcW w:w="2176" w:type="dxa"/>
            <w:vAlign w:val="center"/>
          </w:tcPr>
          <w:p w14:paraId="71255850">
            <w:pPr>
              <w:adjustRightInd w:val="0"/>
              <w:snapToGrid w:val="0"/>
              <w:jc w:val="center"/>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rPr>
              <w:t>选用</w:t>
            </w:r>
            <w:r>
              <w:rPr>
                <w:rFonts w:cs="Times New Roman" w:hint="eastAsia"/>
                <w:color w:val="auto"/>
                <w:sz w:val="24"/>
                <w:szCs w:val="24"/>
                <w:highlight w:val="none"/>
                <w:lang w:val="en-US" w:eastAsia="zh-CN"/>
              </w:rPr>
              <w:t>低噪声</w:t>
            </w:r>
            <w:r>
              <w:rPr>
                <w:rFonts w:ascii="Times New Roman" w:eastAsia="宋体" w:hAnsi="Times New Roman" w:cs="Times New Roman" w:hint="default"/>
                <w:color w:val="auto"/>
                <w:sz w:val="24"/>
                <w:szCs w:val="24"/>
                <w:highlight w:val="none"/>
              </w:rPr>
              <w:t>设备及配件，站内合理布局</w:t>
            </w:r>
          </w:p>
        </w:tc>
        <w:tc>
          <w:tcPr>
            <w:tcW w:w="2376" w:type="dxa"/>
            <w:vAlign w:val="center"/>
          </w:tcPr>
          <w:p w14:paraId="10D7D293">
            <w:pPr>
              <w:adjustRightInd w:val="0"/>
              <w:snapToGrid w:val="0"/>
              <w:jc w:val="center"/>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rPr>
              <w:t>厂界满足《电磁环境控制限值》（GB8702-2014）</w:t>
            </w:r>
          </w:p>
        </w:tc>
      </w:tr>
      <w:tr w14:paraId="615B87D0">
        <w:tblPrEx>
          <w:tblW w:w="0" w:type="auto"/>
          <w:jc w:val="center"/>
          <w:tblCellMar>
            <w:top w:w="0" w:type="dxa"/>
            <w:left w:w="108" w:type="dxa"/>
            <w:bottom w:w="0" w:type="dxa"/>
            <w:right w:w="108" w:type="dxa"/>
          </w:tblCellMar>
        </w:tblPrEx>
        <w:trPr>
          <w:trHeight w:val="1008"/>
          <w:jc w:val="center"/>
        </w:trPr>
        <w:tc>
          <w:tcPr>
            <w:tcW w:w="1724" w:type="dxa"/>
            <w:vMerge w:val="restart"/>
            <w:vAlign w:val="center"/>
          </w:tcPr>
          <w:p w14:paraId="1E99255C">
            <w:pPr>
              <w:adjustRightInd w:val="0"/>
              <w:snapToGrid w:val="0"/>
              <w:jc w:val="center"/>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固体废物</w:t>
            </w:r>
          </w:p>
        </w:tc>
        <w:tc>
          <w:tcPr>
            <w:tcW w:w="1440" w:type="dxa"/>
            <w:vAlign w:val="center"/>
          </w:tcPr>
          <w:p w14:paraId="246178F7">
            <w:pPr>
              <w:adjustRightInd w:val="0"/>
              <w:snapToGrid w:val="0"/>
              <w:jc w:val="center"/>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施工期</w:t>
            </w:r>
          </w:p>
        </w:tc>
        <w:tc>
          <w:tcPr>
            <w:tcW w:w="5896" w:type="dxa"/>
            <w:gridSpan w:val="3"/>
            <w:vAlign w:val="center"/>
          </w:tcPr>
          <w:p w14:paraId="58A5AB46">
            <w:pPr>
              <w:adjustRightInd w:val="0"/>
              <w:snapToGrid w:val="0"/>
              <w:jc w:val="center"/>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lang w:val="en-US" w:eastAsia="zh-CN"/>
              </w:rPr>
              <w:t>集中堆放，运至指定的场所处理</w:t>
            </w:r>
          </w:p>
        </w:tc>
      </w:tr>
      <w:tr w14:paraId="098481EA">
        <w:tblPrEx>
          <w:tblW w:w="0" w:type="auto"/>
          <w:jc w:val="center"/>
          <w:tblCellMar>
            <w:top w:w="0" w:type="dxa"/>
            <w:left w:w="108" w:type="dxa"/>
            <w:bottom w:w="0" w:type="dxa"/>
            <w:right w:w="108" w:type="dxa"/>
          </w:tblCellMar>
        </w:tblPrEx>
        <w:trPr>
          <w:trHeight w:val="1008"/>
          <w:jc w:val="center"/>
        </w:trPr>
        <w:tc>
          <w:tcPr>
            <w:tcW w:w="1724" w:type="dxa"/>
            <w:vMerge/>
            <w:vAlign w:val="center"/>
          </w:tcPr>
          <w:p w14:paraId="29A37CDE">
            <w:pPr>
              <w:adjustRightInd w:val="0"/>
              <w:snapToGrid w:val="0"/>
              <w:jc w:val="center"/>
              <w:rPr>
                <w:rFonts w:ascii="Times New Roman" w:eastAsia="宋体" w:hAnsi="Times New Roman" w:cs="Times New Roman" w:hint="default"/>
                <w:color w:val="auto"/>
                <w:sz w:val="24"/>
                <w:szCs w:val="24"/>
                <w:highlight w:val="none"/>
              </w:rPr>
            </w:pPr>
          </w:p>
        </w:tc>
        <w:tc>
          <w:tcPr>
            <w:tcW w:w="1440" w:type="dxa"/>
            <w:vAlign w:val="center"/>
          </w:tcPr>
          <w:p w14:paraId="18C38674">
            <w:pPr>
              <w:adjustRightInd w:val="0"/>
              <w:snapToGrid w:val="0"/>
              <w:jc w:val="center"/>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lang w:val="en-US" w:eastAsia="zh-CN"/>
              </w:rPr>
              <w:t>运营期</w:t>
            </w:r>
          </w:p>
        </w:tc>
        <w:tc>
          <w:tcPr>
            <w:tcW w:w="5896" w:type="dxa"/>
            <w:gridSpan w:val="3"/>
            <w:vAlign w:val="center"/>
          </w:tcPr>
          <w:p w14:paraId="2F15AD7C">
            <w:pPr>
              <w:adjustRightInd w:val="0"/>
              <w:snapToGrid w:val="0"/>
              <w:jc w:val="center"/>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一般固废收集后定期由物资部门回收</w:t>
            </w:r>
            <w:r>
              <w:rPr>
                <w:rFonts w:ascii="Times New Roman" w:eastAsia="宋体" w:hAnsi="Times New Roman" w:cs="Times New Roman" w:hint="default"/>
                <w:color w:val="auto"/>
                <w:sz w:val="24"/>
                <w:szCs w:val="24"/>
                <w:highlight w:val="none"/>
                <w:lang w:val="en-US" w:eastAsia="zh-CN"/>
              </w:rPr>
              <w:t>处理</w:t>
            </w:r>
            <w:r>
              <w:rPr>
                <w:rFonts w:ascii="Times New Roman" w:eastAsia="宋体" w:hAnsi="Times New Roman" w:cs="Times New Roman" w:hint="default"/>
                <w:color w:val="auto"/>
                <w:sz w:val="24"/>
                <w:szCs w:val="24"/>
                <w:highlight w:val="none"/>
              </w:rPr>
              <w:t>；废旧</w:t>
            </w:r>
            <w:r>
              <w:rPr>
                <w:rFonts w:ascii="Times New Roman" w:eastAsia="宋体" w:hAnsi="Times New Roman" w:cs="Times New Roman" w:hint="default"/>
                <w:color w:val="auto"/>
                <w:sz w:val="24"/>
                <w:szCs w:val="24"/>
                <w:highlight w:val="none"/>
                <w:lang w:val="en-US" w:eastAsia="zh-CN"/>
              </w:rPr>
              <w:t>铅蓄</w:t>
            </w:r>
            <w:r>
              <w:rPr>
                <w:rFonts w:ascii="Times New Roman" w:eastAsia="宋体" w:hAnsi="Times New Roman" w:cs="Times New Roman" w:hint="default"/>
                <w:color w:val="auto"/>
                <w:sz w:val="24"/>
                <w:szCs w:val="24"/>
                <w:highlight w:val="none"/>
              </w:rPr>
              <w:t>电池、废</w:t>
            </w:r>
            <w:r>
              <w:rPr>
                <w:rFonts w:ascii="Times New Roman" w:eastAsia="宋体" w:hAnsi="Times New Roman" w:cs="Times New Roman" w:hint="default"/>
                <w:color w:val="auto"/>
                <w:sz w:val="24"/>
                <w:szCs w:val="24"/>
                <w:highlight w:val="none"/>
                <w:lang w:val="en-US" w:eastAsia="zh-CN"/>
              </w:rPr>
              <w:t>抹布</w:t>
            </w:r>
            <w:r>
              <w:rPr>
                <w:rFonts w:ascii="Times New Roman" w:eastAsia="宋体" w:hAnsi="Times New Roman" w:cs="Times New Roman" w:hint="default"/>
                <w:color w:val="auto"/>
                <w:sz w:val="24"/>
                <w:szCs w:val="24"/>
                <w:highlight w:val="none"/>
              </w:rPr>
              <w:t>、</w:t>
            </w:r>
            <w:r>
              <w:rPr>
                <w:rFonts w:ascii="Times New Roman" w:eastAsia="宋体" w:hAnsi="Times New Roman" w:cs="Times New Roman" w:hint="default"/>
                <w:color w:val="auto"/>
                <w:sz w:val="24"/>
                <w:szCs w:val="24"/>
                <w:highlight w:val="none"/>
                <w:lang w:val="en-US" w:eastAsia="zh-CN"/>
              </w:rPr>
              <w:t>手套、</w:t>
            </w:r>
            <w:r>
              <w:rPr>
                <w:rFonts w:ascii="Times New Roman" w:eastAsia="宋体" w:hAnsi="Times New Roman" w:cs="Times New Roman" w:hint="default"/>
                <w:color w:val="auto"/>
                <w:sz w:val="24"/>
                <w:szCs w:val="24"/>
                <w:highlight w:val="none"/>
              </w:rPr>
              <w:t>废油桶集中收集在危险废物贮存间内，事故状态下废变压器油</w:t>
            </w:r>
            <w:r>
              <w:rPr>
                <w:rFonts w:ascii="Times New Roman" w:eastAsia="宋体" w:hAnsi="Times New Roman" w:cs="Times New Roman" w:hint="eastAsia"/>
                <w:color w:val="auto"/>
                <w:sz w:val="24"/>
                <w:szCs w:val="24"/>
                <w:highlight w:val="none"/>
                <w:lang w:eastAsia="zh-CN"/>
              </w:rPr>
              <w:t>、</w:t>
            </w:r>
            <w:r>
              <w:rPr>
                <w:rFonts w:ascii="Times New Roman" w:eastAsia="宋体" w:hAnsi="Times New Roman" w:cs="Times New Roman" w:hint="eastAsia"/>
                <w:color w:val="auto"/>
                <w:sz w:val="24"/>
                <w:szCs w:val="24"/>
                <w:highlight w:val="none"/>
                <w:lang w:val="en-US" w:eastAsia="zh-CN"/>
              </w:rPr>
              <w:t>废电解液</w:t>
            </w:r>
            <w:r>
              <w:rPr>
                <w:rFonts w:ascii="Times New Roman" w:eastAsia="宋体" w:hAnsi="Times New Roman" w:cs="Times New Roman" w:hint="default"/>
                <w:color w:val="auto"/>
                <w:sz w:val="24"/>
                <w:szCs w:val="24"/>
                <w:highlight w:val="none"/>
              </w:rPr>
              <w:t>储存于事故池，委托有资质的单位定期转运及处置</w:t>
            </w:r>
            <w:r>
              <w:rPr>
                <w:rFonts w:ascii="Times New Roman" w:eastAsia="宋体" w:hAnsi="Times New Roman" w:cs="Times New Roman" w:hint="default"/>
                <w:color w:val="auto"/>
                <w:sz w:val="24"/>
                <w:szCs w:val="24"/>
                <w:highlight w:val="none"/>
                <w:lang w:val="en-US" w:eastAsia="zh-CN"/>
              </w:rPr>
              <w:t>。</w:t>
            </w:r>
          </w:p>
        </w:tc>
      </w:tr>
      <w:tr w14:paraId="53D028A8">
        <w:tblPrEx>
          <w:tblW w:w="0" w:type="auto"/>
          <w:jc w:val="center"/>
          <w:tblCellMar>
            <w:top w:w="0" w:type="dxa"/>
            <w:left w:w="108" w:type="dxa"/>
            <w:bottom w:w="0" w:type="dxa"/>
            <w:right w:w="108" w:type="dxa"/>
          </w:tblCellMar>
        </w:tblPrEx>
        <w:trPr>
          <w:trHeight w:val="1008"/>
          <w:jc w:val="center"/>
        </w:trPr>
        <w:tc>
          <w:tcPr>
            <w:tcW w:w="1724" w:type="dxa"/>
            <w:vMerge/>
            <w:vAlign w:val="center"/>
          </w:tcPr>
          <w:p w14:paraId="41216BB4">
            <w:pPr>
              <w:adjustRightInd w:val="0"/>
              <w:snapToGrid w:val="0"/>
              <w:jc w:val="center"/>
              <w:rPr>
                <w:rFonts w:ascii="Times New Roman" w:eastAsia="宋体" w:hAnsi="Times New Roman" w:cs="Times New Roman" w:hint="default"/>
                <w:color w:val="auto"/>
                <w:sz w:val="24"/>
                <w:szCs w:val="24"/>
                <w:highlight w:val="none"/>
              </w:rPr>
            </w:pPr>
          </w:p>
        </w:tc>
        <w:tc>
          <w:tcPr>
            <w:tcW w:w="1440" w:type="dxa"/>
            <w:vAlign w:val="center"/>
          </w:tcPr>
          <w:p w14:paraId="18E7540D">
            <w:pPr>
              <w:adjustRightInd w:val="0"/>
              <w:snapToGrid w:val="0"/>
              <w:jc w:val="center"/>
              <w:rPr>
                <w:rFonts w:ascii="Times New Roman" w:eastAsia="宋体" w:hAnsi="Times New Roman" w:cs="Times New Roman" w:hint="default"/>
                <w:color w:val="auto"/>
                <w:sz w:val="24"/>
                <w:szCs w:val="24"/>
                <w:highlight w:val="none"/>
                <w:lang w:val="en-US" w:eastAsia="zh-CN"/>
              </w:rPr>
            </w:pPr>
            <w:r>
              <w:rPr>
                <w:rFonts w:cs="Times New Roman" w:hint="eastAsia"/>
                <w:color w:val="auto"/>
                <w:sz w:val="24"/>
                <w:szCs w:val="24"/>
                <w:highlight w:val="none"/>
                <w:lang w:val="en-US" w:eastAsia="zh-CN"/>
              </w:rPr>
              <w:t>服务期满</w:t>
            </w:r>
          </w:p>
        </w:tc>
        <w:tc>
          <w:tcPr>
            <w:tcW w:w="5896" w:type="dxa"/>
            <w:gridSpan w:val="3"/>
            <w:vAlign w:val="center"/>
          </w:tcPr>
          <w:p w14:paraId="6EB4021A">
            <w:pPr>
              <w:adjustRightInd w:val="0"/>
              <w:snapToGrid w:val="0"/>
              <w:jc w:val="center"/>
              <w:rPr>
                <w:rFonts w:ascii="Times New Roman" w:eastAsia="宋体" w:hAnsi="Times New Roman" w:cs="Times New Roman" w:hint="eastAsia"/>
                <w:color w:val="auto"/>
                <w:sz w:val="24"/>
                <w:szCs w:val="24"/>
                <w:highlight w:val="none"/>
                <w:lang w:eastAsia="zh-CN"/>
              </w:rPr>
            </w:pPr>
            <w:r>
              <w:rPr>
                <w:rFonts w:ascii="Times New Roman" w:eastAsia="宋体" w:hAnsi="Times New Roman" w:cs="Times New Roman" w:hint="default"/>
                <w:color w:val="auto"/>
                <w:sz w:val="24"/>
                <w:szCs w:val="24"/>
                <w:highlight w:val="none"/>
              </w:rPr>
              <w:t>一般固废</w:t>
            </w:r>
            <w:r>
              <w:rPr>
                <w:rFonts w:ascii="Times New Roman" w:eastAsia="宋体" w:hAnsi="Times New Roman" w:cs="Times New Roman" w:hint="eastAsia"/>
                <w:color w:val="auto"/>
                <w:sz w:val="24"/>
                <w:szCs w:val="24"/>
                <w:highlight w:val="none"/>
                <w:lang w:eastAsia="zh-CN"/>
              </w:rPr>
              <w:t>：</w:t>
            </w:r>
            <w:r>
              <w:rPr>
                <w:rFonts w:ascii="Times New Roman" w:eastAsia="宋体" w:hAnsi="Times New Roman" w:cs="Times New Roman" w:hint="default"/>
                <w:color w:val="auto"/>
                <w:sz w:val="24"/>
                <w:szCs w:val="24"/>
                <w:highlight w:val="none"/>
              </w:rPr>
              <w:t>废锂电池、废设备物资公司回收利用或梯次利用</w:t>
            </w:r>
            <w:r>
              <w:rPr>
                <w:rFonts w:ascii="Times New Roman" w:eastAsia="宋体" w:hAnsi="Times New Roman" w:cs="Times New Roman" w:hint="eastAsia"/>
                <w:color w:val="auto"/>
                <w:sz w:val="24"/>
                <w:szCs w:val="24"/>
                <w:highlight w:val="none"/>
                <w:lang w:eastAsia="zh-CN"/>
              </w:rPr>
              <w:t>。</w:t>
            </w:r>
          </w:p>
          <w:p w14:paraId="15F270B0">
            <w:pPr>
              <w:adjustRightInd w:val="0"/>
              <w:snapToGrid w:val="0"/>
              <w:jc w:val="center"/>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危险废物</w:t>
            </w:r>
            <w:r>
              <w:rPr>
                <w:rFonts w:ascii="Times New Roman" w:eastAsia="宋体" w:hAnsi="Times New Roman" w:cs="Times New Roman" w:hint="eastAsia"/>
                <w:color w:val="auto"/>
                <w:sz w:val="24"/>
                <w:szCs w:val="24"/>
                <w:highlight w:val="none"/>
                <w:lang w:eastAsia="zh-CN"/>
              </w:rPr>
              <w:t>：</w:t>
            </w:r>
            <w:r>
              <w:rPr>
                <w:rFonts w:ascii="Times New Roman" w:eastAsia="宋体" w:hAnsi="Times New Roman" w:cs="Times New Roman" w:hint="default"/>
                <w:color w:val="auto"/>
                <w:sz w:val="24"/>
                <w:szCs w:val="24"/>
                <w:highlight w:val="none"/>
              </w:rPr>
              <w:t>废油、废电解液委托资质单位处置或回收再利用</w:t>
            </w:r>
          </w:p>
        </w:tc>
      </w:tr>
      <w:tr w14:paraId="2AD98CF2">
        <w:tblPrEx>
          <w:tblW w:w="0" w:type="auto"/>
          <w:jc w:val="center"/>
          <w:tblCellMar>
            <w:top w:w="0" w:type="dxa"/>
            <w:left w:w="108" w:type="dxa"/>
            <w:bottom w:w="0" w:type="dxa"/>
            <w:right w:w="108" w:type="dxa"/>
          </w:tblCellMar>
        </w:tblPrEx>
        <w:trPr>
          <w:trHeight w:val="775"/>
          <w:jc w:val="center"/>
        </w:trPr>
        <w:tc>
          <w:tcPr>
            <w:tcW w:w="1724" w:type="dxa"/>
            <w:vAlign w:val="center"/>
          </w:tcPr>
          <w:p w14:paraId="5C403CDE">
            <w:pPr>
              <w:adjustRightInd w:val="0"/>
              <w:snapToGrid w:val="0"/>
              <w:jc w:val="center"/>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土壤及地下水</w:t>
            </w:r>
          </w:p>
          <w:p w14:paraId="4CAFD69B">
            <w:pPr>
              <w:adjustRightInd w:val="0"/>
              <w:snapToGrid w:val="0"/>
              <w:jc w:val="center"/>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污染防治措施</w:t>
            </w:r>
          </w:p>
        </w:tc>
        <w:tc>
          <w:tcPr>
            <w:tcW w:w="7336" w:type="dxa"/>
            <w:gridSpan w:val="4"/>
            <w:vAlign w:val="center"/>
          </w:tcPr>
          <w:p w14:paraId="499DE7B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危险废物为重点防渗，按《危险废物贮存污染控制标准》(GB18597-2023)执行（防渗层为至少1m厚黏土层（渗透系数≤10</w:t>
            </w:r>
            <w:r>
              <w:rPr>
                <w:rFonts w:ascii="Times New Roman" w:eastAsia="宋体" w:hAnsi="Times New Roman" w:cs="Times New Roman" w:hint="default"/>
                <w:color w:val="auto"/>
                <w:sz w:val="24"/>
                <w:szCs w:val="24"/>
                <w:highlight w:val="none"/>
                <w:vertAlign w:val="superscript"/>
                <w:lang w:val="en-US" w:eastAsia="zh-CN"/>
              </w:rPr>
              <w:t>-7</w:t>
            </w:r>
            <w:r>
              <w:rPr>
                <w:rFonts w:ascii="Times New Roman" w:eastAsia="宋体" w:hAnsi="Times New Roman" w:cs="Times New Roman" w:hint="default"/>
                <w:color w:val="auto"/>
                <w:sz w:val="24"/>
                <w:szCs w:val="24"/>
                <w:highlight w:val="none"/>
                <w:lang w:val="en-US" w:eastAsia="zh-CN"/>
              </w:rPr>
              <w:t>cm/s)，或2mm厚高密度聚乙烯，或至少2mm厚的其他人工材料，渗透系数≤10</w:t>
            </w:r>
            <w:r>
              <w:rPr>
                <w:rFonts w:ascii="Times New Roman" w:eastAsia="宋体" w:hAnsi="Times New Roman" w:cs="Times New Roman" w:hint="default"/>
                <w:color w:val="auto"/>
                <w:sz w:val="24"/>
                <w:szCs w:val="24"/>
                <w:highlight w:val="none"/>
                <w:vertAlign w:val="superscript"/>
                <w:lang w:val="en-US" w:eastAsia="zh-CN"/>
              </w:rPr>
              <w:t>-10</w:t>
            </w:r>
            <w:r>
              <w:rPr>
                <w:rFonts w:ascii="Times New Roman" w:eastAsia="宋体" w:hAnsi="Times New Roman" w:cs="Times New Roman" w:hint="default"/>
                <w:color w:val="auto"/>
                <w:sz w:val="24"/>
                <w:szCs w:val="24"/>
                <w:highlight w:val="none"/>
                <w:lang w:val="en-US" w:eastAsia="zh-CN"/>
              </w:rPr>
              <w:t>cm/s；</w:t>
            </w:r>
            <w:r>
              <w:rPr>
                <w:rFonts w:ascii="Times New Roman" w:eastAsia="宋体" w:hAnsi="Times New Roman" w:cs="Times New Roman" w:hint="eastAsia"/>
                <w:color w:val="auto"/>
                <w:sz w:val="24"/>
                <w:szCs w:val="24"/>
                <w:highlight w:val="none"/>
                <w:lang w:val="en-US" w:eastAsia="zh-CN"/>
              </w:rPr>
              <w:t>电解液事故池</w:t>
            </w:r>
            <w:r>
              <w:rPr>
                <w:rFonts w:ascii="Times New Roman" w:eastAsia="宋体" w:hAnsi="Times New Roman" w:cs="Times New Roman" w:hint="default"/>
                <w:color w:val="auto"/>
                <w:sz w:val="24"/>
                <w:szCs w:val="24"/>
                <w:highlight w:val="none"/>
                <w:lang w:val="en-US" w:eastAsia="zh-CN"/>
              </w:rPr>
              <w:t>事故油池采取防渗，渗透系数≤10</w:t>
            </w:r>
            <w:r>
              <w:rPr>
                <w:rFonts w:ascii="Times New Roman" w:eastAsia="宋体" w:hAnsi="Times New Roman" w:cs="Times New Roman" w:hint="default"/>
                <w:color w:val="auto"/>
                <w:sz w:val="24"/>
                <w:szCs w:val="24"/>
                <w:highlight w:val="none"/>
                <w:vertAlign w:val="superscript"/>
                <w:lang w:val="en-US" w:eastAsia="zh-CN"/>
              </w:rPr>
              <w:t>-10</w:t>
            </w:r>
            <w:r>
              <w:rPr>
                <w:rFonts w:ascii="Times New Roman" w:eastAsia="宋体" w:hAnsi="Times New Roman" w:cs="Times New Roman" w:hint="default"/>
                <w:color w:val="auto"/>
                <w:sz w:val="24"/>
                <w:szCs w:val="24"/>
                <w:highlight w:val="none"/>
                <w:lang w:val="en-US" w:eastAsia="zh-CN"/>
              </w:rPr>
              <w:t>cm/s</w:t>
            </w:r>
          </w:p>
        </w:tc>
      </w:tr>
      <w:tr w14:paraId="0F58F48C">
        <w:tblPrEx>
          <w:tblW w:w="0" w:type="auto"/>
          <w:jc w:val="center"/>
          <w:tblCellMar>
            <w:top w:w="0" w:type="dxa"/>
            <w:left w:w="108" w:type="dxa"/>
            <w:bottom w:w="0" w:type="dxa"/>
            <w:right w:w="108" w:type="dxa"/>
          </w:tblCellMar>
        </w:tblPrEx>
        <w:trPr>
          <w:trHeight w:val="550"/>
          <w:jc w:val="center"/>
        </w:trPr>
        <w:tc>
          <w:tcPr>
            <w:tcW w:w="1724" w:type="dxa"/>
            <w:vAlign w:val="center"/>
          </w:tcPr>
          <w:p w14:paraId="15F7C5B4">
            <w:pPr>
              <w:adjustRightInd w:val="0"/>
              <w:snapToGrid w:val="0"/>
              <w:jc w:val="center"/>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生态保护措施</w:t>
            </w:r>
          </w:p>
        </w:tc>
        <w:tc>
          <w:tcPr>
            <w:tcW w:w="7336" w:type="dxa"/>
            <w:gridSpan w:val="4"/>
            <w:vAlign w:val="center"/>
          </w:tcPr>
          <w:p w14:paraId="610F0E7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施工结束后进行场地平整、播撒草籽、道路两旁种植灌木的措施，降低由于草地数量减少而带来的生物量减少的影响</w:t>
            </w:r>
          </w:p>
        </w:tc>
      </w:tr>
      <w:tr w14:paraId="4363E5E8">
        <w:tblPrEx>
          <w:tblW w:w="0" w:type="auto"/>
          <w:jc w:val="center"/>
          <w:tblCellMar>
            <w:top w:w="0" w:type="dxa"/>
            <w:left w:w="108" w:type="dxa"/>
            <w:bottom w:w="0" w:type="dxa"/>
            <w:right w:w="108" w:type="dxa"/>
          </w:tblCellMar>
        </w:tblPrEx>
        <w:trPr>
          <w:trHeight w:val="1276"/>
          <w:jc w:val="center"/>
        </w:trPr>
        <w:tc>
          <w:tcPr>
            <w:tcW w:w="1724" w:type="dxa"/>
            <w:vAlign w:val="center"/>
          </w:tcPr>
          <w:p w14:paraId="37D6ECD7">
            <w:pPr>
              <w:adjustRightInd w:val="0"/>
              <w:snapToGrid w:val="0"/>
              <w:jc w:val="center"/>
              <w:rPr>
                <w:rFonts w:ascii="Times New Roman" w:eastAsia="宋体" w:hAnsi="Times New Roman" w:cs="Times New Roman" w:hint="default"/>
                <w:color w:val="auto"/>
                <w:spacing w:val="-8"/>
                <w:sz w:val="24"/>
                <w:szCs w:val="24"/>
                <w:highlight w:val="none"/>
              </w:rPr>
            </w:pPr>
            <w:r>
              <w:rPr>
                <w:rFonts w:ascii="Times New Roman" w:eastAsia="宋体" w:hAnsi="Times New Roman" w:cs="Times New Roman" w:hint="default"/>
                <w:color w:val="auto"/>
                <w:spacing w:val="-8"/>
                <w:sz w:val="24"/>
                <w:szCs w:val="24"/>
                <w:highlight w:val="none"/>
              </w:rPr>
              <w:t>环境风险</w:t>
            </w:r>
          </w:p>
          <w:p w14:paraId="0D291247">
            <w:pPr>
              <w:adjustRightInd w:val="0"/>
              <w:snapToGrid w:val="0"/>
              <w:jc w:val="center"/>
              <w:rPr>
                <w:rFonts w:ascii="Times New Roman" w:eastAsia="宋体" w:hAnsi="Times New Roman" w:cs="Times New Roman" w:hint="default"/>
                <w:color w:val="auto"/>
                <w:spacing w:val="-8"/>
                <w:sz w:val="24"/>
                <w:szCs w:val="24"/>
                <w:highlight w:val="none"/>
              </w:rPr>
            </w:pPr>
            <w:r>
              <w:rPr>
                <w:rFonts w:ascii="Times New Roman" w:eastAsia="宋体" w:hAnsi="Times New Roman" w:cs="Times New Roman" w:hint="default"/>
                <w:color w:val="auto"/>
                <w:spacing w:val="-8"/>
                <w:sz w:val="24"/>
                <w:szCs w:val="24"/>
                <w:highlight w:val="none"/>
              </w:rPr>
              <w:t>防范措施</w:t>
            </w:r>
          </w:p>
        </w:tc>
        <w:tc>
          <w:tcPr>
            <w:tcW w:w="7336" w:type="dxa"/>
            <w:gridSpan w:val="4"/>
            <w:vAlign w:val="center"/>
          </w:tcPr>
          <w:p w14:paraId="5A948154">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（1）钒电解液泄漏风险防范措施：</w:t>
            </w:r>
          </w:p>
          <w:p w14:paraId="6987F63E">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①对罐区进行日常巡视，如发现异常</w:t>
            </w:r>
            <w:r>
              <w:rPr>
                <w:rFonts w:ascii="Times New Roman" w:eastAsia="宋体" w:hAnsi="Times New Roman" w:cs="Times New Roman" w:hint="default"/>
                <w:color w:val="auto"/>
                <w:lang w:val="en-US" w:eastAsia="zh-CN"/>
              </w:rPr>
              <w:t>情况</w:t>
            </w:r>
            <w:r>
              <w:rPr>
                <w:rFonts w:ascii="Times New Roman" w:eastAsia="宋体" w:hAnsi="Times New Roman" w:cs="Times New Roman" w:hint="default"/>
                <w:color w:val="auto"/>
              </w:rPr>
              <w:t>应及时对罐区进行整改；</w:t>
            </w:r>
          </w:p>
          <w:p w14:paraId="0B4E2C10">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②对罐壁的接管等开口，检验试压合格后使用；</w:t>
            </w:r>
          </w:p>
          <w:p w14:paraId="4488693F">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③储罐液位超高报警，防止储罐充装过量导致钒电解液外溢；钒电解液装罐过程中应安排专人进行现场看护，未完成装罐作业不得离开，防止报警系统故障，导致储罐充装过量，钒电解液外溢；</w:t>
            </w:r>
          </w:p>
          <w:p w14:paraId="4F5400DB">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④钒电解液循环管道，特别是法兰或阀门连接处因内部空气热胀冷缩压力过大，导致管道出现渗漏</w:t>
            </w:r>
            <w:r>
              <w:rPr>
                <w:rFonts w:ascii="Times New Roman" w:eastAsia="宋体" w:hAnsi="Times New Roman" w:cs="Times New Roman" w:hint="default"/>
                <w:color w:val="auto"/>
                <w:lang w:eastAsia="zh-CN"/>
              </w:rPr>
              <w:t>，甚至</w:t>
            </w:r>
            <w:r>
              <w:rPr>
                <w:rFonts w:ascii="Times New Roman" w:eastAsia="宋体" w:hAnsi="Times New Roman" w:cs="Times New Roman" w:hint="default"/>
                <w:color w:val="auto"/>
              </w:rPr>
              <w:t>爆裂，运营期应定期对管道、法兰、阀门等进行检</w:t>
            </w:r>
          </w:p>
          <w:p w14:paraId="5F21D557">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查、维护，如出现不明渗漏情况，需立即检修。</w:t>
            </w:r>
          </w:p>
          <w:p w14:paraId="5C7F8DA3">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⑤钒电解液罐区设置围堰，围堰</w:t>
            </w:r>
            <w:r>
              <w:rPr>
                <w:rFonts w:cs="Times New Roman" w:hint="eastAsia"/>
                <w:color w:val="auto"/>
                <w:lang w:val="en-US" w:eastAsia="zh-CN"/>
              </w:rPr>
              <w:t>内设导流槽，通过管道排入事故池62.5m</w:t>
            </w:r>
            <w:r>
              <w:rPr>
                <w:rFonts w:cs="Times New Roman" w:hint="eastAsia"/>
                <w:color w:val="auto"/>
                <w:vertAlign w:val="superscript"/>
                <w:lang w:val="en-US" w:eastAsia="zh-CN"/>
              </w:rPr>
              <w:t>3</w:t>
            </w:r>
            <w:r>
              <w:rPr>
                <w:rFonts w:ascii="Times New Roman" w:eastAsia="宋体" w:hAnsi="Times New Roman" w:cs="Times New Roman" w:hint="default"/>
                <w:color w:val="auto"/>
              </w:rPr>
              <w:t>，围堰</w:t>
            </w:r>
            <w:r>
              <w:rPr>
                <w:rFonts w:cs="Times New Roman" w:hint="eastAsia"/>
                <w:color w:val="auto"/>
                <w:lang w:val="en-US" w:eastAsia="zh-CN"/>
              </w:rPr>
              <w:t>及事故池</w:t>
            </w:r>
            <w:r>
              <w:rPr>
                <w:rFonts w:ascii="Times New Roman" w:eastAsia="宋体" w:hAnsi="Times New Roman" w:cs="Times New Roman" w:hint="default"/>
                <w:color w:val="auto"/>
              </w:rPr>
              <w:t>内地面进行重点防渗。</w:t>
            </w:r>
          </w:p>
          <w:p w14:paraId="64D52498">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（2）环境风险事故应急处理措施</w:t>
            </w:r>
          </w:p>
          <w:p w14:paraId="0FB9B139">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①钒电解液泄漏应急处理：疏散泄漏污染区人员至安全区，禁止无关人员进入污染区，</w:t>
            </w:r>
          </w:p>
          <w:p w14:paraId="2FCEC6D0">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建议应急处理人员戴好面罩，穿化学防护服。合理通风，不要直接接触泄漏物，勿使泄漏物与可燃物质</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rPr>
              <w:t>木材、纸、油等)接触，在确保安全情况下堵漏。用沙土、干燥石灰或苏打灰混合，然后收集运至废物处理场所处置。如大量泄漏，利用</w:t>
            </w:r>
            <w:r>
              <w:rPr>
                <w:rFonts w:ascii="Times New Roman" w:eastAsia="宋体" w:hAnsi="Times New Roman" w:cs="Times New Roman" w:hint="default"/>
                <w:color w:val="auto"/>
                <w:lang w:val="en-US" w:eastAsia="zh-CN"/>
              </w:rPr>
              <w:t>围堰</w:t>
            </w:r>
            <w:r>
              <w:rPr>
                <w:rFonts w:ascii="Times New Roman" w:eastAsia="宋体" w:hAnsi="Times New Roman" w:cs="Times New Roman" w:hint="default"/>
                <w:color w:val="auto"/>
              </w:rPr>
              <w:t>收容，然后</w:t>
            </w:r>
            <w:r>
              <w:rPr>
                <w:rFonts w:ascii="Times New Roman" w:eastAsia="宋体" w:hAnsi="Times New Roman" w:cs="Times New Roman" w:hint="default"/>
                <w:color w:val="auto"/>
                <w:lang w:val="en-US" w:eastAsia="zh-CN"/>
              </w:rPr>
              <w:t>委托资质单位</w:t>
            </w:r>
            <w:r>
              <w:rPr>
                <w:rFonts w:ascii="Times New Roman" w:eastAsia="宋体" w:hAnsi="Times New Roman" w:cs="Times New Roman" w:hint="default"/>
                <w:color w:val="auto"/>
              </w:rPr>
              <w:t>收集、转移、回收或无害处理后废弃。</w:t>
            </w:r>
          </w:p>
          <w:p w14:paraId="561F96CC">
            <w:pPr>
              <w:pStyle w:val="00005"/>
              <w:numPr>
                <w:ilvl w:val="0"/>
                <w:numId w:val="9"/>
              </w:numPr>
              <w:bidi w:val="0"/>
              <w:ind w:left="0" w:firstLine="480" w:leftChars="0" w:firstLineChars="200"/>
              <w:rPr>
                <w:rFonts w:ascii="Times New Roman" w:eastAsia="宋体" w:hAnsi="Times New Roman" w:cs="Times New Roman" w:hint="default"/>
                <w:color w:val="auto"/>
              </w:rPr>
            </w:pPr>
            <w:r>
              <w:rPr>
                <w:rFonts w:ascii="Times New Roman" w:eastAsia="宋体" w:hAnsi="Times New Roman" w:cs="Times New Roman" w:hint="default"/>
                <w:color w:val="auto"/>
                <w:lang w:val="en-US" w:eastAsia="zh-CN"/>
              </w:rPr>
              <w:t>变压器</w:t>
            </w:r>
            <w:r>
              <w:rPr>
                <w:rFonts w:ascii="Times New Roman" w:eastAsia="宋体" w:hAnsi="Times New Roman" w:cs="Times New Roman" w:hint="default"/>
                <w:color w:val="auto"/>
              </w:rPr>
              <w:t>泄漏</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lang w:val="en-US" w:eastAsia="zh-CN"/>
              </w:rPr>
              <w:t>火灾爆炸</w:t>
            </w:r>
            <w:r>
              <w:rPr>
                <w:rFonts w:ascii="Times New Roman" w:eastAsia="宋体" w:hAnsi="Times New Roman" w:cs="Times New Roman" w:hint="default"/>
                <w:color w:val="auto"/>
              </w:rPr>
              <w:t>风险防范措施：</w:t>
            </w:r>
          </w:p>
          <w:p w14:paraId="4695DC7E">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①对</w:t>
            </w:r>
            <w:r>
              <w:rPr>
                <w:rFonts w:ascii="Times New Roman" w:eastAsia="宋体" w:hAnsi="Times New Roman" w:cs="Times New Roman" w:hint="default"/>
                <w:color w:val="auto"/>
                <w:lang w:val="en-US" w:eastAsia="zh-CN"/>
              </w:rPr>
              <w:t>变压器区域</w:t>
            </w:r>
            <w:r>
              <w:rPr>
                <w:rFonts w:ascii="Times New Roman" w:eastAsia="宋体" w:hAnsi="Times New Roman" w:cs="Times New Roman" w:hint="default"/>
                <w:color w:val="auto"/>
              </w:rPr>
              <w:t>进行日常巡视，如发现异常应及时进行整改；</w:t>
            </w:r>
          </w:p>
          <w:p w14:paraId="0D685D27">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②</w:t>
            </w:r>
            <w:r>
              <w:rPr>
                <w:rFonts w:ascii="Times New Roman" w:eastAsia="宋体" w:hAnsi="Times New Roman" w:cs="Times New Roman" w:hint="default"/>
                <w:color w:val="auto"/>
                <w:lang w:val="en-US" w:eastAsia="zh-CN"/>
              </w:rPr>
              <w:t>变压器</w:t>
            </w:r>
            <w:r>
              <w:rPr>
                <w:rFonts w:ascii="Times New Roman" w:eastAsia="宋体" w:hAnsi="Times New Roman" w:cs="Times New Roman" w:hint="default"/>
                <w:color w:val="auto"/>
              </w:rPr>
              <w:t>液位</w:t>
            </w:r>
            <w:r>
              <w:rPr>
                <w:rFonts w:ascii="Times New Roman" w:eastAsia="宋体" w:hAnsi="Times New Roman" w:cs="Times New Roman" w:hint="default"/>
                <w:color w:val="auto"/>
                <w:lang w:val="en-US" w:eastAsia="zh-CN"/>
              </w:rPr>
              <w:t>异常</w:t>
            </w:r>
            <w:r>
              <w:rPr>
                <w:rFonts w:ascii="Times New Roman" w:eastAsia="宋体" w:hAnsi="Times New Roman" w:cs="Times New Roman" w:hint="default"/>
                <w:color w:val="auto"/>
              </w:rPr>
              <w:t>报警，防止</w:t>
            </w:r>
            <w:r>
              <w:rPr>
                <w:rFonts w:ascii="Times New Roman" w:eastAsia="宋体" w:hAnsi="Times New Roman" w:cs="Times New Roman" w:hint="default"/>
                <w:color w:val="auto"/>
                <w:lang w:val="en-US" w:eastAsia="zh-CN"/>
              </w:rPr>
              <w:t>变压器温度过高变压器油</w:t>
            </w:r>
            <w:r>
              <w:rPr>
                <w:rFonts w:ascii="Times New Roman" w:eastAsia="宋体" w:hAnsi="Times New Roman" w:cs="Times New Roman" w:hint="default"/>
                <w:color w:val="auto"/>
              </w:rPr>
              <w:t>外溢；</w:t>
            </w:r>
          </w:p>
          <w:p w14:paraId="6E22D724">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④</w:t>
            </w:r>
            <w:r>
              <w:rPr>
                <w:rFonts w:ascii="Times New Roman" w:eastAsia="宋体" w:hAnsi="Times New Roman" w:cs="Times New Roman" w:hint="default"/>
                <w:color w:val="auto"/>
                <w:lang w:val="en-US" w:eastAsia="zh-CN"/>
              </w:rPr>
              <w:t>变压器</w:t>
            </w:r>
            <w:r>
              <w:rPr>
                <w:rFonts w:ascii="Times New Roman" w:eastAsia="宋体" w:hAnsi="Times New Roman" w:cs="Times New Roman" w:hint="default"/>
                <w:color w:val="auto"/>
              </w:rPr>
              <w:t>区</w:t>
            </w:r>
            <w:r>
              <w:rPr>
                <w:rFonts w:ascii="Times New Roman" w:eastAsia="宋体" w:hAnsi="Times New Roman" w:cs="Times New Roman" w:hint="default"/>
                <w:color w:val="auto"/>
                <w:lang w:val="en-US" w:eastAsia="zh-CN"/>
              </w:rPr>
              <w:t>下方</w:t>
            </w:r>
            <w:r>
              <w:rPr>
                <w:rFonts w:ascii="Times New Roman" w:eastAsia="宋体" w:hAnsi="Times New Roman" w:cs="Times New Roman" w:hint="default"/>
                <w:color w:val="auto"/>
              </w:rPr>
              <w:t>设置</w:t>
            </w:r>
            <w:r>
              <w:rPr>
                <w:rFonts w:ascii="Times New Roman" w:eastAsia="宋体" w:hAnsi="Times New Roman" w:cs="Times New Roman" w:hint="default"/>
                <w:color w:val="auto"/>
                <w:lang w:val="en-US" w:eastAsia="zh-CN"/>
              </w:rPr>
              <w:t>收油池</w:t>
            </w:r>
            <w:r>
              <w:rPr>
                <w:rFonts w:ascii="Times New Roman" w:eastAsia="宋体" w:hAnsi="Times New Roman" w:cs="Times New Roman" w:hint="default"/>
                <w:color w:val="auto"/>
              </w:rPr>
              <w:t>，</w:t>
            </w:r>
            <w:r>
              <w:rPr>
                <w:rFonts w:ascii="Times New Roman" w:eastAsia="宋体" w:hAnsi="Times New Roman" w:cs="Times New Roman" w:hint="default"/>
                <w:color w:val="auto"/>
                <w:lang w:val="en-US" w:eastAsia="zh-CN"/>
              </w:rPr>
              <w:t>并通过管道连接120</w:t>
            </w:r>
            <w:r>
              <w:rPr>
                <w:rFonts w:cs="Times New Roman" w:hint="eastAsia"/>
                <w:color w:val="auto"/>
                <w:lang w:val="en-US" w:eastAsia="zh-CN"/>
              </w:rPr>
              <w:t>m</w:t>
            </w:r>
            <w:r>
              <w:rPr>
                <w:rFonts w:cs="Times New Roman" w:hint="eastAsia"/>
                <w:color w:val="auto"/>
                <w:vertAlign w:val="superscript"/>
                <w:lang w:val="en-US" w:eastAsia="zh-CN"/>
              </w:rPr>
              <w:t>3</w:t>
            </w:r>
            <w:r>
              <w:rPr>
                <w:rFonts w:ascii="Times New Roman" w:eastAsia="宋体" w:hAnsi="Times New Roman" w:cs="Times New Roman" w:hint="default"/>
                <w:color w:val="auto"/>
                <w:lang w:val="en-US" w:eastAsia="zh-CN"/>
              </w:rPr>
              <w:t>事故池</w:t>
            </w:r>
            <w:r>
              <w:rPr>
                <w:rFonts w:ascii="Times New Roman" w:eastAsia="宋体" w:hAnsi="Times New Roman" w:cs="Times New Roman" w:hint="default"/>
                <w:color w:val="auto"/>
              </w:rPr>
              <w:t>，</w:t>
            </w:r>
            <w:r>
              <w:rPr>
                <w:rFonts w:ascii="Times New Roman" w:eastAsia="宋体" w:hAnsi="Times New Roman" w:cs="Times New Roman" w:hint="default"/>
                <w:color w:val="auto"/>
                <w:lang w:val="en-US" w:eastAsia="zh-CN"/>
              </w:rPr>
              <w:t>事故池</w:t>
            </w:r>
            <w:r>
              <w:rPr>
                <w:rFonts w:ascii="Times New Roman" w:eastAsia="宋体" w:hAnsi="Times New Roman" w:cs="Times New Roman" w:hint="default"/>
                <w:color w:val="auto"/>
              </w:rPr>
              <w:t>进行重点防渗。可满足事故状态下</w:t>
            </w:r>
            <w:r>
              <w:rPr>
                <w:rFonts w:ascii="Times New Roman" w:eastAsia="宋体" w:hAnsi="Times New Roman" w:cs="Times New Roman" w:hint="default"/>
                <w:color w:val="auto"/>
                <w:lang w:val="en-US" w:eastAsia="zh-CN"/>
              </w:rPr>
              <w:t>变压器油</w:t>
            </w:r>
            <w:r>
              <w:rPr>
                <w:rFonts w:ascii="Times New Roman" w:eastAsia="宋体" w:hAnsi="Times New Roman" w:cs="Times New Roman" w:hint="default"/>
                <w:color w:val="auto"/>
              </w:rPr>
              <w:t>收集需要。</w:t>
            </w:r>
          </w:p>
          <w:p w14:paraId="0432E056">
            <w:pPr>
              <w:pStyle w:val="00005"/>
              <w:bidi w:val="0"/>
              <w:rPr>
                <w:rFonts w:ascii="Times New Roman" w:eastAsia="宋体" w:hAnsi="Times New Roman" w:cs="Times New Roman" w:hint="default"/>
                <w:color w:val="auto"/>
                <w:spacing w:val="-2"/>
                <w:sz w:val="24"/>
                <w:szCs w:val="24"/>
              </w:rPr>
            </w:pPr>
            <w:r>
              <w:rPr>
                <w:rFonts w:ascii="Times New Roman" w:eastAsia="宋体" w:hAnsi="Times New Roman" w:cs="Times New Roman" w:hint="default"/>
                <w:color w:val="auto"/>
              </w:rPr>
              <w:t>事故池采用</w:t>
            </w:r>
            <w:r>
              <w:rPr>
                <w:rFonts w:ascii="Times New Roman" w:eastAsia="宋体" w:hAnsi="Times New Roman" w:cs="Times New Roman" w:hint="default"/>
                <w:color w:val="auto"/>
                <w:lang w:val="en-US" w:eastAsia="zh-CN"/>
              </w:rPr>
              <w:t>防渗混凝土及</w:t>
            </w:r>
            <w:r>
              <w:rPr>
                <w:rFonts w:ascii="Times New Roman" w:eastAsia="宋体" w:hAnsi="Times New Roman" w:cs="Times New Roman" w:hint="default"/>
                <w:color w:val="auto"/>
              </w:rPr>
              <w:t>HDPE土工膜防渗材料，渗透系数≤1×10</w:t>
            </w:r>
            <w:r>
              <w:rPr>
                <w:rFonts w:ascii="Times New Roman" w:eastAsia="宋体" w:hAnsi="Times New Roman" w:cs="Times New Roman" w:hint="default"/>
                <w:color w:val="auto"/>
                <w:vertAlign w:val="superscript"/>
              </w:rPr>
              <w:t>-10</w:t>
            </w:r>
            <w:r>
              <w:rPr>
                <w:rFonts w:ascii="Times New Roman" w:eastAsia="宋体" w:hAnsi="Times New Roman" w:cs="Times New Roman" w:hint="default"/>
                <w:color w:val="auto"/>
              </w:rPr>
              <w:t>cm/s。并制定可靠的</w:t>
            </w:r>
            <w:r>
              <w:rPr>
                <w:rFonts w:ascii="Times New Roman" w:eastAsia="宋体" w:hAnsi="Times New Roman" w:cs="Times New Roman" w:hint="default"/>
                <w:color w:val="auto"/>
                <w:lang w:val="en-US" w:eastAsia="zh-CN"/>
              </w:rPr>
              <w:t>废变压器油</w:t>
            </w:r>
            <w:r>
              <w:rPr>
                <w:rFonts w:ascii="Times New Roman" w:eastAsia="宋体" w:hAnsi="Times New Roman" w:cs="Times New Roman" w:hint="default"/>
                <w:color w:val="auto"/>
              </w:rPr>
              <w:t>送资质单位处置。综上，本项目事故状态下的</w:t>
            </w:r>
            <w:r>
              <w:rPr>
                <w:rFonts w:ascii="Times New Roman" w:eastAsia="宋体" w:hAnsi="Times New Roman" w:cs="Times New Roman" w:hint="default"/>
                <w:color w:val="auto"/>
                <w:lang w:val="en-US" w:eastAsia="zh-CN"/>
              </w:rPr>
              <w:t>废液压油</w:t>
            </w:r>
            <w:r>
              <w:rPr>
                <w:rFonts w:ascii="Times New Roman" w:eastAsia="宋体" w:hAnsi="Times New Roman" w:cs="Times New Roman" w:hint="default"/>
                <w:color w:val="auto"/>
              </w:rPr>
              <w:t>均可以得到有效处置，对周围</w:t>
            </w:r>
            <w:r>
              <w:rPr>
                <w:rFonts w:ascii="Times New Roman" w:eastAsia="宋体" w:hAnsi="Times New Roman" w:cs="Times New Roman" w:hint="default"/>
                <w:color w:val="auto"/>
                <w:spacing w:val="-2"/>
                <w:sz w:val="24"/>
                <w:szCs w:val="24"/>
              </w:rPr>
              <w:t>环境影响不大。</w:t>
            </w:r>
          </w:p>
          <w:p w14:paraId="3B468032">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⑤升压站等部位杜绝明火，厂区内禁止吸烟。</w:t>
            </w:r>
          </w:p>
          <w:p w14:paraId="05A95DAD">
            <w:pPr>
              <w:pStyle w:val="00005"/>
              <w:bidi w:val="0"/>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lang w:val="en-US" w:eastAsia="zh-CN"/>
              </w:rPr>
              <w:t>⑥企业应编制或修订突发环境事件应急预案，并定期进行演练，在加强风险源监控和防范措施，有效减少突发环境事件发生概率的同时，规定应急响应措施，对实际发生的环境污染事件和紧急情况做出响应，及时组织有效的应急处置，控制事故危害的蔓延，最大限度地减少伴随的环境影响。</w:t>
            </w:r>
          </w:p>
        </w:tc>
      </w:tr>
      <w:tr w14:paraId="5443A311">
        <w:tblPrEx>
          <w:tblW w:w="0" w:type="auto"/>
          <w:jc w:val="center"/>
          <w:tblCellMar>
            <w:top w:w="0" w:type="dxa"/>
            <w:left w:w="108" w:type="dxa"/>
            <w:bottom w:w="0" w:type="dxa"/>
            <w:right w:w="108" w:type="dxa"/>
          </w:tblCellMar>
        </w:tblPrEx>
        <w:trPr>
          <w:trHeight w:val="729"/>
          <w:jc w:val="center"/>
        </w:trPr>
        <w:tc>
          <w:tcPr>
            <w:tcW w:w="1724" w:type="dxa"/>
            <w:vAlign w:val="center"/>
          </w:tcPr>
          <w:p w14:paraId="1605DBEC">
            <w:pPr>
              <w:adjustRightInd w:val="0"/>
              <w:snapToGrid w:val="0"/>
              <w:jc w:val="center"/>
              <w:rPr>
                <w:rFonts w:ascii="Times New Roman" w:eastAsia="宋体" w:hAnsi="Times New Roman" w:cs="Times New Roman" w:hint="default"/>
                <w:color w:val="auto"/>
                <w:spacing w:val="-8"/>
                <w:sz w:val="24"/>
                <w:szCs w:val="24"/>
                <w:highlight w:val="none"/>
              </w:rPr>
            </w:pPr>
            <w:r>
              <w:rPr>
                <w:rFonts w:ascii="Times New Roman" w:eastAsia="宋体" w:hAnsi="Times New Roman" w:cs="Times New Roman" w:hint="default"/>
                <w:color w:val="auto"/>
                <w:spacing w:val="-8"/>
                <w:sz w:val="24"/>
                <w:szCs w:val="24"/>
                <w:highlight w:val="none"/>
              </w:rPr>
              <w:t>其他环境</w:t>
            </w:r>
          </w:p>
          <w:p w14:paraId="00EFB659">
            <w:pPr>
              <w:adjustRightInd w:val="0"/>
              <w:snapToGrid w:val="0"/>
              <w:jc w:val="center"/>
              <w:rPr>
                <w:rFonts w:ascii="Times New Roman" w:eastAsia="宋体" w:hAnsi="Times New Roman" w:cs="Times New Roman" w:hint="default"/>
                <w:color w:val="auto"/>
                <w:spacing w:val="-8"/>
                <w:sz w:val="24"/>
                <w:szCs w:val="24"/>
                <w:highlight w:val="none"/>
              </w:rPr>
            </w:pPr>
            <w:r>
              <w:rPr>
                <w:rFonts w:ascii="Times New Roman" w:eastAsia="宋体" w:hAnsi="Times New Roman" w:cs="Times New Roman" w:hint="default"/>
                <w:color w:val="auto"/>
                <w:spacing w:val="-8"/>
                <w:sz w:val="24"/>
                <w:szCs w:val="24"/>
                <w:highlight w:val="none"/>
              </w:rPr>
              <w:t>管理要求</w:t>
            </w:r>
          </w:p>
        </w:tc>
        <w:tc>
          <w:tcPr>
            <w:tcW w:w="7336" w:type="dxa"/>
            <w:gridSpan w:val="4"/>
            <w:vAlign w:val="center"/>
          </w:tcPr>
          <w:p w14:paraId="7BB3ED62">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1、环境管理</w:t>
            </w:r>
          </w:p>
          <w:p w14:paraId="5ABA2A63">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单位配备相应专业的管理人员加强日常环保管理。环境管理的职能为：</w:t>
            </w:r>
          </w:p>
          <w:p w14:paraId="17BFB8FA">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（1）制定和实施各项环境管理计划。</w:t>
            </w:r>
          </w:p>
          <w:p w14:paraId="28E359C7">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（2）建立工频电场、工频磁场环境监测，并定期向当地生态环境行政主管部门申报。</w:t>
            </w:r>
          </w:p>
          <w:p w14:paraId="3AE0F68C">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（3）建立环境管理和环境监测技术文件，包括：污染源的监测记录技术文件；污染控制、环境保护设施的设计和运行管理文件；导致严重环境影响事件的分析报 告和监测数据资料等，并定期向当地生态环境主管部门申报。</w:t>
            </w:r>
          </w:p>
          <w:p w14:paraId="5A99F076">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（4）检查治理设施运行情况，及时处理出现的问题，保证治理设施正常运行。</w:t>
            </w:r>
          </w:p>
          <w:p w14:paraId="469FA2BE">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2 、环境监测计划</w:t>
            </w:r>
          </w:p>
          <w:p w14:paraId="57D5C03D">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为建立本工程对环境影响情况的档案，应对升压站周围环境进行监测或调查。监测内容如下：</w:t>
            </w:r>
          </w:p>
          <w:p w14:paraId="7ED5BA23">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（1）监测项目：工频电场（V/m ）、工频磁场（μT）、噪声（dB（A））</w:t>
            </w:r>
          </w:p>
          <w:p w14:paraId="5AB2C598">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（2）监测点位：储能站厂界。</w:t>
            </w:r>
          </w:p>
          <w:p w14:paraId="627D3766">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（3）监测时间：环保验收监测一次，运行后按有关部门要求定期进行监测。</w:t>
            </w:r>
          </w:p>
          <w:p w14:paraId="36D5597B">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3、项目竣工环保验收</w:t>
            </w:r>
          </w:p>
          <w:p w14:paraId="62DCF38A">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建设项目竣工后，建设单位应当依据《建设项目竣工环境保护验收暂行办法》（国环规环评[2017]4号）和《中华人民共和国固体废物污染环境防治法》（2020年4月29日第二次修订）中的相关要求，自主开展环境保护验收。验收监测应当在确保主体工程调试工况稳定、环境保护设施运行正常的情况下进行，如实查验、监测、记载建设项目环境保护设施的建设和调试情况，参照《建设项目竣工环境保护验收技术指南 污染影响类》（生态环境部公告2018年第9号）编制验收监测报告，建设单位不具备编制验收监测报告能力的，可以委托有能力的技术机构编制，并对报告结论负责，项目必须在获得审批通过后5年内开工建设，超过5年未开工建设必须重新办理环评手续。项目在具备验收条件后3个月内需开展自主验收，若有特殊原因或开展自主验收工作超过3个月时间，需要延期的，需要进行说明，但最长不能超过1年。</w:t>
            </w:r>
          </w:p>
          <w:p w14:paraId="6C39F118">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建设项目配套建设的环境保护设施经验收合格后，其主体工程方可投入生产或者使用；未经验收或者验收不合格的，不得投入生产或者使用。</w:t>
            </w:r>
          </w:p>
          <w:p w14:paraId="2BD10102">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4、环保投资估算</w:t>
            </w:r>
          </w:p>
          <w:p w14:paraId="1C47B0C1">
            <w:pPr>
              <w:pStyle w:val="00005"/>
              <w:ind w:firstLine="461"/>
              <w:jc w:val="both"/>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z w:val="24"/>
                <w:szCs w:val="24"/>
              </w:rPr>
              <w:t>本项目总投资为</w:t>
            </w:r>
            <w:r>
              <w:rPr>
                <w:rFonts w:cs="Times New Roman" w:hint="eastAsia"/>
                <w:color w:val="auto"/>
                <w:kern w:val="0"/>
                <w:sz w:val="24"/>
                <w:highlight w:val="none"/>
                <w:lang w:val="en-US" w:eastAsia="zh-CN"/>
              </w:rPr>
              <w:t>160000</w:t>
            </w:r>
            <w:r>
              <w:rPr>
                <w:rFonts w:ascii="Times New Roman" w:eastAsia="宋体" w:hAnsi="Times New Roman" w:cs="Times New Roman" w:hint="default"/>
                <w:color w:val="auto"/>
                <w:sz w:val="24"/>
                <w:szCs w:val="24"/>
              </w:rPr>
              <w:t>万元，环保投资</w:t>
            </w:r>
            <w:r>
              <w:rPr>
                <w:rFonts w:ascii="Times New Roman" w:eastAsia="宋体" w:hAnsi="Times New Roman" w:cs="Times New Roman" w:hint="default"/>
                <w:color w:val="auto"/>
                <w:sz w:val="24"/>
                <w:szCs w:val="24"/>
                <w:lang w:val="en-US" w:eastAsia="zh-CN"/>
              </w:rPr>
              <w:t>231</w:t>
            </w:r>
            <w:r>
              <w:rPr>
                <w:rFonts w:ascii="Times New Roman" w:eastAsia="宋体" w:hAnsi="Times New Roman" w:cs="Times New Roman" w:hint="default"/>
                <w:color w:val="auto"/>
                <w:sz w:val="24"/>
                <w:szCs w:val="24"/>
              </w:rPr>
              <w:t>万元，占总投资</w:t>
            </w:r>
            <w:r>
              <w:rPr>
                <w:rFonts w:ascii="Times New Roman" w:eastAsia="宋体" w:hAnsi="Times New Roman" w:cs="Times New Roman" w:hint="default"/>
                <w:color w:val="auto"/>
                <w:sz w:val="24"/>
                <w:szCs w:val="24"/>
                <w:lang w:val="en-US" w:eastAsia="zh-CN"/>
              </w:rPr>
              <w:t>0.</w:t>
            </w:r>
            <w:r>
              <w:rPr>
                <w:rFonts w:cs="Times New Roman" w:hint="eastAsia"/>
                <w:color w:val="auto"/>
                <w:sz w:val="24"/>
                <w:szCs w:val="24"/>
                <w:lang w:val="en-US" w:eastAsia="zh-CN"/>
              </w:rPr>
              <w:t>144</w:t>
            </w:r>
            <w:r>
              <w:rPr>
                <w:rFonts w:ascii="Times New Roman" w:eastAsia="宋体" w:hAnsi="Times New Roman" w:cs="Times New Roman" w:hint="default"/>
                <w:color w:val="auto"/>
                <w:sz w:val="24"/>
                <w:szCs w:val="24"/>
              </w:rPr>
              <w:t>%，具体明细见下表。</w:t>
            </w:r>
          </w:p>
          <w:p w14:paraId="28FF3693">
            <w:pPr>
              <w:pStyle w:val="00000-"/>
              <w:adjustRightInd w:val="0"/>
              <w:snapToGrid w:val="0"/>
              <w:spacing w:line="360" w:lineRule="auto"/>
              <w:jc w:val="center"/>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z w:val="24"/>
                <w:szCs w:val="24"/>
              </w:rPr>
              <w:t>表</w:t>
            </w:r>
            <w:r>
              <w:rPr>
                <w:rFonts w:ascii="Times New Roman" w:eastAsia="宋体" w:hAnsi="Times New Roman" w:cs="Times New Roman" w:hint="default"/>
                <w:color w:val="auto"/>
                <w:sz w:val="24"/>
                <w:szCs w:val="24"/>
                <w:lang w:val="en-US" w:eastAsia="zh-CN"/>
              </w:rPr>
              <w:t>5-1</w:t>
            </w:r>
            <w:r>
              <w:rPr>
                <w:rFonts w:ascii="Times New Roman" w:eastAsia="宋体" w:hAnsi="Times New Roman" w:cs="Times New Roman" w:hint="default"/>
                <w:color w:val="auto"/>
                <w:sz w:val="24"/>
                <w:szCs w:val="24"/>
              </w:rPr>
              <w:t xml:space="preserve">  项目环保投资明细表</w:t>
            </w:r>
          </w:p>
          <w:tbl>
            <w:tblPr>
              <w:tblStyle w:val="TableNormal"/>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021"/>
              <w:gridCol w:w="1021"/>
              <w:gridCol w:w="2288"/>
              <w:gridCol w:w="650"/>
              <w:gridCol w:w="1349"/>
              <w:gridCol w:w="780"/>
            </w:tblGrid>
            <w:tr w14:paraId="566543C1">
              <w:tblPrEx>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0"/>
                <w:jc w:val="center"/>
              </w:trPr>
              <w:tc>
                <w:tcPr>
                  <w:tcW w:w="718" w:type="pct"/>
                  <w:noWrap w:val="0"/>
                  <w:vAlign w:val="center"/>
                </w:tcPr>
                <w:p w14:paraId="13E283FC">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类型</w:t>
                  </w:r>
                </w:p>
              </w:tc>
              <w:tc>
                <w:tcPr>
                  <w:tcW w:w="718" w:type="pct"/>
                  <w:noWrap w:val="0"/>
                  <w:vAlign w:val="center"/>
                </w:tcPr>
                <w:p w14:paraId="092658CD">
                  <w:pPr>
                    <w:widowControl/>
                    <w:snapToGrid w:val="0"/>
                    <w:spacing w:line="320" w:lineRule="exact"/>
                    <w:jc w:val="center"/>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z w:val="24"/>
                      <w:szCs w:val="24"/>
                    </w:rPr>
                    <w:t>处理对象</w:t>
                  </w:r>
                </w:p>
              </w:tc>
              <w:tc>
                <w:tcPr>
                  <w:tcW w:w="1609" w:type="pct"/>
                  <w:noWrap w:val="0"/>
                  <w:vAlign w:val="center"/>
                </w:tcPr>
                <w:p w14:paraId="43C802C2">
                  <w:pPr>
                    <w:widowControl/>
                    <w:snapToGrid w:val="0"/>
                    <w:spacing w:line="320" w:lineRule="exact"/>
                    <w:jc w:val="center"/>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z w:val="24"/>
                      <w:szCs w:val="24"/>
                    </w:rPr>
                    <w:t>项目</w:t>
                  </w:r>
                </w:p>
              </w:tc>
              <w:tc>
                <w:tcPr>
                  <w:tcW w:w="457" w:type="pct"/>
                  <w:noWrap w:val="0"/>
                  <w:vAlign w:val="center"/>
                </w:tcPr>
                <w:p w14:paraId="0BA5999D">
                  <w:pPr>
                    <w:widowControl/>
                    <w:snapToGrid w:val="0"/>
                    <w:spacing w:line="320" w:lineRule="exact"/>
                    <w:jc w:val="center"/>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z w:val="24"/>
                      <w:szCs w:val="24"/>
                    </w:rPr>
                    <w:t>数量</w:t>
                  </w:r>
                </w:p>
              </w:tc>
              <w:tc>
                <w:tcPr>
                  <w:tcW w:w="948" w:type="pct"/>
                  <w:noWrap w:val="0"/>
                  <w:vAlign w:val="center"/>
                </w:tcPr>
                <w:p w14:paraId="69C2FF0B">
                  <w:pPr>
                    <w:widowControl/>
                    <w:snapToGrid w:val="0"/>
                    <w:spacing w:line="320" w:lineRule="exact"/>
                    <w:jc w:val="center"/>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z w:val="24"/>
                      <w:szCs w:val="24"/>
                    </w:rPr>
                    <w:t>治理对象</w:t>
                  </w:r>
                </w:p>
              </w:tc>
              <w:tc>
                <w:tcPr>
                  <w:tcW w:w="548" w:type="pct"/>
                  <w:noWrap w:val="0"/>
                  <w:vAlign w:val="center"/>
                </w:tcPr>
                <w:p w14:paraId="5164E85D">
                  <w:pPr>
                    <w:widowControl/>
                    <w:snapToGrid w:val="0"/>
                    <w:spacing w:line="320" w:lineRule="exact"/>
                    <w:jc w:val="center"/>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z w:val="24"/>
                      <w:szCs w:val="24"/>
                    </w:rPr>
                    <w:t>投资</w:t>
                  </w:r>
                  <w:r>
                    <w:rPr>
                      <w:rFonts w:ascii="Times New Roman" w:eastAsia="宋体" w:hAnsi="Times New Roman" w:cs="Times New Roman" w:hint="default"/>
                      <w:color w:val="auto"/>
                      <w:sz w:val="24"/>
                      <w:szCs w:val="24"/>
                      <w:lang w:eastAsia="zh-CN"/>
                    </w:rPr>
                    <w:t>（</w:t>
                  </w:r>
                  <w:r>
                    <w:rPr>
                      <w:rFonts w:ascii="Times New Roman" w:eastAsia="宋体" w:hAnsi="Times New Roman" w:cs="Times New Roman" w:hint="default"/>
                      <w:color w:val="auto"/>
                      <w:sz w:val="24"/>
                      <w:szCs w:val="24"/>
                    </w:rPr>
                    <w:t>万元</w:t>
                  </w:r>
                  <w:r>
                    <w:rPr>
                      <w:rFonts w:ascii="Times New Roman" w:eastAsia="宋体" w:hAnsi="Times New Roman" w:cs="Times New Roman" w:hint="default"/>
                      <w:color w:val="auto"/>
                      <w:sz w:val="24"/>
                      <w:szCs w:val="24"/>
                      <w:lang w:eastAsia="zh-CN"/>
                    </w:rPr>
                    <w:t>）</w:t>
                  </w:r>
                </w:p>
              </w:tc>
            </w:tr>
            <w:tr w14:paraId="37F3492E">
              <w:tblPrEx>
                <w:tblW w:w="4999" w:type="pct"/>
                <w:jc w:val="center"/>
                <w:tblCellMar>
                  <w:top w:w="0" w:type="dxa"/>
                  <w:left w:w="108" w:type="dxa"/>
                  <w:bottom w:w="0" w:type="dxa"/>
                  <w:right w:w="108" w:type="dxa"/>
                </w:tblCellMar>
              </w:tblPrEx>
              <w:trPr>
                <w:trHeight w:val="296"/>
                <w:jc w:val="center"/>
              </w:trPr>
              <w:tc>
                <w:tcPr>
                  <w:tcW w:w="718" w:type="pct"/>
                  <w:vMerge w:val="restart"/>
                  <w:noWrap w:val="0"/>
                  <w:vAlign w:val="center"/>
                </w:tcPr>
                <w:p w14:paraId="766B8DEB">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施工期</w:t>
                  </w:r>
                </w:p>
              </w:tc>
              <w:tc>
                <w:tcPr>
                  <w:tcW w:w="718" w:type="pct"/>
                  <w:noWrap w:val="0"/>
                  <w:vAlign w:val="center"/>
                </w:tcPr>
                <w:p w14:paraId="01BA69ED">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废气</w:t>
                  </w:r>
                </w:p>
              </w:tc>
              <w:tc>
                <w:tcPr>
                  <w:tcW w:w="1609" w:type="pct"/>
                  <w:noWrap w:val="0"/>
                  <w:vAlign w:val="center"/>
                </w:tcPr>
                <w:p w14:paraId="7B8CD0C3">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施工扬尘</w:t>
                  </w:r>
                </w:p>
              </w:tc>
              <w:tc>
                <w:tcPr>
                  <w:tcW w:w="457" w:type="pct"/>
                  <w:noWrap w:val="0"/>
                  <w:vAlign w:val="center"/>
                </w:tcPr>
                <w:p w14:paraId="5B2471D3">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w:t>
                  </w:r>
                </w:p>
              </w:tc>
              <w:tc>
                <w:tcPr>
                  <w:tcW w:w="948" w:type="pct"/>
                  <w:noWrap w:val="0"/>
                  <w:vAlign w:val="center"/>
                </w:tcPr>
                <w:p w14:paraId="1B37CCEE">
                  <w:pPr>
                    <w:widowControl/>
                    <w:snapToGrid w:val="0"/>
                    <w:spacing w:line="320" w:lineRule="exact"/>
                    <w:jc w:val="center"/>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z w:val="24"/>
                      <w:szCs w:val="24"/>
                      <w:lang w:val="en-US" w:eastAsia="zh-CN"/>
                    </w:rPr>
                    <w:t>扬尘</w:t>
                  </w:r>
                </w:p>
              </w:tc>
              <w:tc>
                <w:tcPr>
                  <w:tcW w:w="548" w:type="pct"/>
                  <w:noWrap w:val="0"/>
                  <w:vAlign w:val="center"/>
                </w:tcPr>
                <w:p w14:paraId="333248AF">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10</w:t>
                  </w:r>
                </w:p>
              </w:tc>
            </w:tr>
            <w:tr w14:paraId="3FC08D14">
              <w:tblPrEx>
                <w:tblW w:w="4999" w:type="pct"/>
                <w:jc w:val="center"/>
                <w:tblCellMar>
                  <w:top w:w="0" w:type="dxa"/>
                  <w:left w:w="108" w:type="dxa"/>
                  <w:bottom w:w="0" w:type="dxa"/>
                  <w:right w:w="108" w:type="dxa"/>
                </w:tblCellMar>
              </w:tblPrEx>
              <w:trPr>
                <w:trHeight w:val="90"/>
                <w:jc w:val="center"/>
              </w:trPr>
              <w:tc>
                <w:tcPr>
                  <w:tcW w:w="718" w:type="pct"/>
                  <w:vMerge/>
                  <w:noWrap w:val="0"/>
                  <w:vAlign w:val="center"/>
                </w:tcPr>
                <w:p w14:paraId="652679EA">
                  <w:pPr>
                    <w:widowControl/>
                    <w:snapToGrid w:val="0"/>
                    <w:spacing w:line="320" w:lineRule="exact"/>
                    <w:jc w:val="center"/>
                    <w:rPr>
                      <w:rFonts w:ascii="Times New Roman" w:eastAsia="宋体" w:hAnsi="Times New Roman" w:cs="Times New Roman" w:hint="default"/>
                      <w:color w:val="auto"/>
                      <w:sz w:val="24"/>
                      <w:szCs w:val="24"/>
                      <w:lang w:val="en-US" w:eastAsia="zh-CN"/>
                    </w:rPr>
                  </w:pPr>
                </w:p>
              </w:tc>
              <w:tc>
                <w:tcPr>
                  <w:tcW w:w="718" w:type="pct"/>
                  <w:noWrap w:val="0"/>
                  <w:vAlign w:val="center"/>
                </w:tcPr>
                <w:p w14:paraId="04BF022D">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废水</w:t>
                  </w:r>
                </w:p>
              </w:tc>
              <w:tc>
                <w:tcPr>
                  <w:tcW w:w="1609" w:type="pct"/>
                  <w:noWrap w:val="0"/>
                  <w:vAlign w:val="center"/>
                </w:tcPr>
                <w:p w14:paraId="50B2870B">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施工废水清掏</w:t>
                  </w:r>
                </w:p>
              </w:tc>
              <w:tc>
                <w:tcPr>
                  <w:tcW w:w="457" w:type="pct"/>
                  <w:noWrap w:val="0"/>
                  <w:vAlign w:val="center"/>
                </w:tcPr>
                <w:p w14:paraId="4057456A">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w:t>
                  </w:r>
                </w:p>
              </w:tc>
              <w:tc>
                <w:tcPr>
                  <w:tcW w:w="948" w:type="pct"/>
                  <w:noWrap w:val="0"/>
                  <w:vAlign w:val="center"/>
                </w:tcPr>
                <w:p w14:paraId="4634E170">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生活污水</w:t>
                  </w:r>
                </w:p>
              </w:tc>
              <w:tc>
                <w:tcPr>
                  <w:tcW w:w="548" w:type="pct"/>
                  <w:noWrap w:val="0"/>
                  <w:vAlign w:val="center"/>
                </w:tcPr>
                <w:p w14:paraId="1C926FF1">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10</w:t>
                  </w:r>
                </w:p>
              </w:tc>
            </w:tr>
            <w:tr w14:paraId="1D973257">
              <w:tblPrEx>
                <w:tblW w:w="4999" w:type="pct"/>
                <w:jc w:val="center"/>
                <w:tblCellMar>
                  <w:top w:w="0" w:type="dxa"/>
                  <w:left w:w="108" w:type="dxa"/>
                  <w:bottom w:w="0" w:type="dxa"/>
                  <w:right w:w="108" w:type="dxa"/>
                </w:tblCellMar>
              </w:tblPrEx>
              <w:trPr>
                <w:trHeight w:val="90"/>
                <w:jc w:val="center"/>
              </w:trPr>
              <w:tc>
                <w:tcPr>
                  <w:tcW w:w="718" w:type="pct"/>
                  <w:vMerge/>
                  <w:noWrap w:val="0"/>
                  <w:vAlign w:val="center"/>
                </w:tcPr>
                <w:p w14:paraId="0D99737D">
                  <w:pPr>
                    <w:widowControl/>
                    <w:snapToGrid w:val="0"/>
                    <w:spacing w:line="320" w:lineRule="exact"/>
                    <w:jc w:val="center"/>
                    <w:rPr>
                      <w:rFonts w:ascii="Times New Roman" w:eastAsia="宋体" w:hAnsi="Times New Roman" w:cs="Times New Roman" w:hint="default"/>
                      <w:color w:val="auto"/>
                      <w:sz w:val="24"/>
                      <w:szCs w:val="24"/>
                      <w:lang w:val="en-US" w:eastAsia="zh-CN"/>
                    </w:rPr>
                  </w:pPr>
                </w:p>
              </w:tc>
              <w:tc>
                <w:tcPr>
                  <w:tcW w:w="718" w:type="pct"/>
                  <w:noWrap w:val="0"/>
                  <w:vAlign w:val="center"/>
                </w:tcPr>
                <w:p w14:paraId="1F8D24AD">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噪声</w:t>
                  </w:r>
                </w:p>
              </w:tc>
              <w:tc>
                <w:tcPr>
                  <w:tcW w:w="1609" w:type="pct"/>
                  <w:noWrap w:val="0"/>
                  <w:vAlign w:val="center"/>
                </w:tcPr>
                <w:p w14:paraId="526F09CC">
                  <w:pPr>
                    <w:widowControl/>
                    <w:snapToGrid w:val="0"/>
                    <w:spacing w:line="320" w:lineRule="exact"/>
                    <w:jc w:val="center"/>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z w:val="24"/>
                      <w:szCs w:val="24"/>
                      <w:highlight w:val="none"/>
                    </w:rPr>
                    <w:t>采取围挡、隔声装置</w:t>
                  </w:r>
                </w:p>
              </w:tc>
              <w:tc>
                <w:tcPr>
                  <w:tcW w:w="457" w:type="pct"/>
                  <w:noWrap w:val="0"/>
                  <w:vAlign w:val="center"/>
                </w:tcPr>
                <w:p w14:paraId="5A2BDF6D">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w:t>
                  </w:r>
                </w:p>
              </w:tc>
              <w:tc>
                <w:tcPr>
                  <w:tcW w:w="948" w:type="pct"/>
                  <w:noWrap w:val="0"/>
                  <w:vAlign w:val="center"/>
                </w:tcPr>
                <w:p w14:paraId="1C532940">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噪声</w:t>
                  </w:r>
                </w:p>
              </w:tc>
              <w:tc>
                <w:tcPr>
                  <w:tcW w:w="548" w:type="pct"/>
                  <w:noWrap w:val="0"/>
                  <w:vAlign w:val="center"/>
                </w:tcPr>
                <w:p w14:paraId="6373FF24">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20</w:t>
                  </w:r>
                </w:p>
              </w:tc>
            </w:tr>
            <w:tr w14:paraId="35A88C5F">
              <w:tblPrEx>
                <w:tblW w:w="4999" w:type="pct"/>
                <w:jc w:val="center"/>
                <w:tblCellMar>
                  <w:top w:w="0" w:type="dxa"/>
                  <w:left w:w="108" w:type="dxa"/>
                  <w:bottom w:w="0" w:type="dxa"/>
                  <w:right w:w="108" w:type="dxa"/>
                </w:tblCellMar>
              </w:tblPrEx>
              <w:trPr>
                <w:trHeight w:val="90"/>
                <w:jc w:val="center"/>
              </w:trPr>
              <w:tc>
                <w:tcPr>
                  <w:tcW w:w="718" w:type="pct"/>
                  <w:vMerge/>
                  <w:noWrap w:val="0"/>
                  <w:vAlign w:val="center"/>
                </w:tcPr>
                <w:p w14:paraId="26B63B94">
                  <w:pPr>
                    <w:widowControl/>
                    <w:snapToGrid w:val="0"/>
                    <w:spacing w:line="320" w:lineRule="exact"/>
                    <w:jc w:val="center"/>
                    <w:rPr>
                      <w:rFonts w:ascii="Times New Roman" w:eastAsia="宋体" w:hAnsi="Times New Roman" w:cs="Times New Roman" w:hint="default"/>
                      <w:color w:val="auto"/>
                      <w:sz w:val="24"/>
                      <w:szCs w:val="24"/>
                      <w:lang w:val="en-US" w:eastAsia="zh-CN"/>
                    </w:rPr>
                  </w:pPr>
                </w:p>
              </w:tc>
              <w:tc>
                <w:tcPr>
                  <w:tcW w:w="718" w:type="pct"/>
                  <w:noWrap w:val="0"/>
                  <w:vAlign w:val="center"/>
                </w:tcPr>
                <w:p w14:paraId="023F2F43">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固废</w:t>
                  </w:r>
                </w:p>
              </w:tc>
              <w:tc>
                <w:tcPr>
                  <w:tcW w:w="1609" w:type="pct"/>
                  <w:noWrap w:val="0"/>
                  <w:vAlign w:val="center"/>
                </w:tcPr>
                <w:p w14:paraId="2058077C">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建筑垃圾清运</w:t>
                  </w:r>
                </w:p>
              </w:tc>
              <w:tc>
                <w:tcPr>
                  <w:tcW w:w="457" w:type="pct"/>
                  <w:noWrap w:val="0"/>
                  <w:vAlign w:val="center"/>
                </w:tcPr>
                <w:p w14:paraId="433424FD">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w:t>
                  </w:r>
                </w:p>
              </w:tc>
              <w:tc>
                <w:tcPr>
                  <w:tcW w:w="948" w:type="pct"/>
                  <w:noWrap w:val="0"/>
                  <w:vAlign w:val="center"/>
                </w:tcPr>
                <w:p w14:paraId="3ACA5E48">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一般固废</w:t>
                  </w:r>
                </w:p>
              </w:tc>
              <w:tc>
                <w:tcPr>
                  <w:tcW w:w="548" w:type="pct"/>
                  <w:noWrap w:val="0"/>
                  <w:vAlign w:val="center"/>
                </w:tcPr>
                <w:p w14:paraId="369EB831">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30</w:t>
                  </w:r>
                </w:p>
              </w:tc>
            </w:tr>
            <w:tr w14:paraId="2208A5B4">
              <w:tblPrEx>
                <w:tblW w:w="4999" w:type="pct"/>
                <w:jc w:val="center"/>
                <w:tblCellMar>
                  <w:top w:w="0" w:type="dxa"/>
                  <w:left w:w="108" w:type="dxa"/>
                  <w:bottom w:w="0" w:type="dxa"/>
                  <w:right w:w="108" w:type="dxa"/>
                </w:tblCellMar>
              </w:tblPrEx>
              <w:trPr>
                <w:trHeight w:val="90"/>
                <w:jc w:val="center"/>
              </w:trPr>
              <w:tc>
                <w:tcPr>
                  <w:tcW w:w="718" w:type="pct"/>
                  <w:vMerge/>
                  <w:noWrap w:val="0"/>
                  <w:vAlign w:val="center"/>
                </w:tcPr>
                <w:p w14:paraId="301DBDA1">
                  <w:pPr>
                    <w:widowControl/>
                    <w:snapToGrid w:val="0"/>
                    <w:spacing w:line="320" w:lineRule="exact"/>
                    <w:jc w:val="center"/>
                    <w:rPr>
                      <w:rFonts w:ascii="Times New Roman" w:eastAsia="宋体" w:hAnsi="Times New Roman" w:cs="Times New Roman" w:hint="default"/>
                      <w:color w:val="auto"/>
                      <w:sz w:val="24"/>
                      <w:szCs w:val="24"/>
                      <w:lang w:val="en-US" w:eastAsia="zh-CN"/>
                    </w:rPr>
                  </w:pPr>
                </w:p>
              </w:tc>
              <w:tc>
                <w:tcPr>
                  <w:tcW w:w="718" w:type="pct"/>
                  <w:noWrap w:val="0"/>
                  <w:vAlign w:val="center"/>
                </w:tcPr>
                <w:p w14:paraId="3CE6D9D5">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生态环境</w:t>
                  </w:r>
                </w:p>
              </w:tc>
              <w:tc>
                <w:tcPr>
                  <w:tcW w:w="1609" w:type="pct"/>
                  <w:noWrap w:val="0"/>
                  <w:vAlign w:val="center"/>
                </w:tcPr>
                <w:p w14:paraId="332208C5">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生态恢复</w:t>
                  </w:r>
                </w:p>
              </w:tc>
              <w:tc>
                <w:tcPr>
                  <w:tcW w:w="457" w:type="pct"/>
                  <w:noWrap w:val="0"/>
                  <w:vAlign w:val="center"/>
                </w:tcPr>
                <w:p w14:paraId="7C9BD610">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w:t>
                  </w:r>
                </w:p>
              </w:tc>
              <w:tc>
                <w:tcPr>
                  <w:tcW w:w="948" w:type="pct"/>
                  <w:noWrap w:val="0"/>
                  <w:vAlign w:val="center"/>
                </w:tcPr>
                <w:p w14:paraId="29B20998">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植被</w:t>
                  </w:r>
                </w:p>
              </w:tc>
              <w:tc>
                <w:tcPr>
                  <w:tcW w:w="548" w:type="pct"/>
                  <w:noWrap w:val="0"/>
                  <w:vAlign w:val="center"/>
                </w:tcPr>
                <w:p w14:paraId="43544DFB">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25</w:t>
                  </w:r>
                </w:p>
              </w:tc>
            </w:tr>
            <w:tr w14:paraId="3CB505E2">
              <w:tblPrEx>
                <w:tblW w:w="4999" w:type="pct"/>
                <w:jc w:val="center"/>
                <w:tblCellMar>
                  <w:top w:w="0" w:type="dxa"/>
                  <w:left w:w="108" w:type="dxa"/>
                  <w:bottom w:w="0" w:type="dxa"/>
                  <w:right w:w="108" w:type="dxa"/>
                </w:tblCellMar>
              </w:tblPrEx>
              <w:trPr>
                <w:trHeight w:val="397"/>
                <w:jc w:val="center"/>
              </w:trPr>
              <w:tc>
                <w:tcPr>
                  <w:tcW w:w="718" w:type="pct"/>
                  <w:vMerge w:val="restart"/>
                  <w:noWrap w:val="0"/>
                  <w:vAlign w:val="center"/>
                </w:tcPr>
                <w:p w14:paraId="7170B280">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运行期</w:t>
                  </w:r>
                </w:p>
              </w:tc>
              <w:tc>
                <w:tcPr>
                  <w:tcW w:w="718" w:type="pct"/>
                  <w:noWrap w:val="0"/>
                  <w:vAlign w:val="center"/>
                </w:tcPr>
                <w:p w14:paraId="65459509">
                  <w:pPr>
                    <w:widowControl/>
                    <w:snapToGrid w:val="0"/>
                    <w:spacing w:line="320" w:lineRule="exact"/>
                    <w:jc w:val="center"/>
                    <w:rPr>
                      <w:rFonts w:ascii="Times New Roman" w:eastAsia="宋体" w:hAnsi="Times New Roman" w:cs="Times New Roman" w:hint="default"/>
                      <w:color w:val="auto"/>
                      <w:sz w:val="24"/>
                      <w:szCs w:val="24"/>
                      <w:lang w:eastAsia="zh-CN"/>
                    </w:rPr>
                  </w:pPr>
                  <w:r>
                    <w:rPr>
                      <w:rFonts w:ascii="Times New Roman" w:eastAsia="宋体" w:hAnsi="Times New Roman" w:cs="Times New Roman" w:hint="default"/>
                      <w:color w:val="auto"/>
                      <w:sz w:val="24"/>
                      <w:szCs w:val="24"/>
                      <w:lang w:val="en-US" w:eastAsia="zh-CN"/>
                    </w:rPr>
                    <w:t>废水</w:t>
                  </w:r>
                </w:p>
              </w:tc>
              <w:tc>
                <w:tcPr>
                  <w:tcW w:w="1609" w:type="pct"/>
                  <w:noWrap w:val="0"/>
                  <w:vAlign w:val="center"/>
                </w:tcPr>
                <w:p w14:paraId="2DCDA6AC">
                  <w:pPr>
                    <w:widowControl/>
                    <w:snapToGrid w:val="0"/>
                    <w:spacing w:line="320" w:lineRule="exact"/>
                    <w:jc w:val="center"/>
                    <w:rPr>
                      <w:rFonts w:ascii="Times New Roman" w:eastAsia="宋体" w:hAnsi="Times New Roman" w:cs="Times New Roman" w:hint="default"/>
                      <w:color w:val="auto"/>
                      <w:sz w:val="24"/>
                      <w:szCs w:val="24"/>
                      <w:lang w:val="en-US"/>
                    </w:rPr>
                  </w:pPr>
                  <w:r>
                    <w:rPr>
                      <w:rFonts w:ascii="Times New Roman" w:eastAsia="宋体" w:hAnsi="Times New Roman" w:cs="Times New Roman" w:hint="default"/>
                      <w:color w:val="auto"/>
                      <w:sz w:val="24"/>
                      <w:szCs w:val="24"/>
                      <w:lang w:val="en-US" w:eastAsia="zh-CN"/>
                    </w:rPr>
                    <w:t>废水处理设备</w:t>
                  </w:r>
                </w:p>
              </w:tc>
              <w:tc>
                <w:tcPr>
                  <w:tcW w:w="457" w:type="pct"/>
                  <w:noWrap w:val="0"/>
                  <w:vAlign w:val="center"/>
                </w:tcPr>
                <w:p w14:paraId="57E1F0D0">
                  <w:pPr>
                    <w:widowControl/>
                    <w:snapToGrid w:val="0"/>
                    <w:spacing w:line="320" w:lineRule="exact"/>
                    <w:jc w:val="center"/>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z w:val="24"/>
                      <w:szCs w:val="24"/>
                    </w:rPr>
                    <w:t>1套</w:t>
                  </w:r>
                </w:p>
              </w:tc>
              <w:tc>
                <w:tcPr>
                  <w:tcW w:w="948" w:type="pct"/>
                  <w:noWrap w:val="0"/>
                  <w:vAlign w:val="center"/>
                </w:tcPr>
                <w:p w14:paraId="6B55F9D1">
                  <w:pPr>
                    <w:widowControl/>
                    <w:snapToGrid w:val="0"/>
                    <w:spacing w:line="320" w:lineRule="exact"/>
                    <w:jc w:val="center"/>
                    <w:rPr>
                      <w:rFonts w:ascii="Times New Roman" w:eastAsia="宋体" w:hAnsi="Times New Roman" w:cs="Times New Roman" w:hint="default"/>
                      <w:color w:val="auto"/>
                      <w:sz w:val="24"/>
                      <w:szCs w:val="24"/>
                      <w:lang w:eastAsia="zh-CN"/>
                    </w:rPr>
                  </w:pPr>
                  <w:r>
                    <w:rPr>
                      <w:rFonts w:ascii="Times New Roman" w:eastAsia="宋体" w:hAnsi="Times New Roman" w:cs="Times New Roman" w:hint="default"/>
                      <w:color w:val="auto"/>
                      <w:sz w:val="24"/>
                      <w:szCs w:val="24"/>
                      <w:lang w:val="en-US" w:eastAsia="zh-CN"/>
                    </w:rPr>
                    <w:t>生活污水</w:t>
                  </w:r>
                </w:p>
              </w:tc>
              <w:tc>
                <w:tcPr>
                  <w:tcW w:w="548" w:type="pct"/>
                  <w:noWrap w:val="0"/>
                  <w:vAlign w:val="center"/>
                </w:tcPr>
                <w:p w14:paraId="0EFF615C">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15</w:t>
                  </w:r>
                </w:p>
              </w:tc>
            </w:tr>
            <w:tr w14:paraId="50B9CF93">
              <w:tblPrEx>
                <w:tblW w:w="4999" w:type="pct"/>
                <w:jc w:val="center"/>
                <w:tblCellMar>
                  <w:top w:w="0" w:type="dxa"/>
                  <w:left w:w="108" w:type="dxa"/>
                  <w:bottom w:w="0" w:type="dxa"/>
                  <w:right w:w="108" w:type="dxa"/>
                </w:tblCellMar>
              </w:tblPrEx>
              <w:trPr>
                <w:trHeight w:val="616"/>
                <w:jc w:val="center"/>
              </w:trPr>
              <w:tc>
                <w:tcPr>
                  <w:tcW w:w="718" w:type="pct"/>
                  <w:vMerge/>
                  <w:noWrap w:val="0"/>
                  <w:vAlign w:val="center"/>
                </w:tcPr>
                <w:p w14:paraId="23612904">
                  <w:pPr>
                    <w:widowControl/>
                    <w:snapToGrid w:val="0"/>
                    <w:spacing w:line="320" w:lineRule="exact"/>
                    <w:jc w:val="center"/>
                    <w:rPr>
                      <w:rFonts w:ascii="Times New Roman" w:eastAsia="宋体" w:hAnsi="Times New Roman" w:cs="Times New Roman" w:hint="default"/>
                      <w:color w:val="auto"/>
                      <w:sz w:val="24"/>
                      <w:szCs w:val="24"/>
                    </w:rPr>
                  </w:pPr>
                </w:p>
              </w:tc>
              <w:tc>
                <w:tcPr>
                  <w:tcW w:w="718" w:type="pct"/>
                  <w:noWrap w:val="0"/>
                  <w:vAlign w:val="center"/>
                </w:tcPr>
                <w:p w14:paraId="712071DE">
                  <w:pPr>
                    <w:widowControl/>
                    <w:snapToGrid w:val="0"/>
                    <w:spacing w:line="320" w:lineRule="exact"/>
                    <w:jc w:val="center"/>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z w:val="24"/>
                      <w:szCs w:val="24"/>
                    </w:rPr>
                    <w:t>噪声</w:t>
                  </w:r>
                </w:p>
              </w:tc>
              <w:tc>
                <w:tcPr>
                  <w:tcW w:w="1609" w:type="pct"/>
                  <w:noWrap w:val="0"/>
                  <w:vAlign w:val="center"/>
                </w:tcPr>
                <w:p w14:paraId="1B2B8ED4">
                  <w:pPr>
                    <w:widowControl/>
                    <w:snapToGrid w:val="0"/>
                    <w:spacing w:line="320" w:lineRule="exact"/>
                    <w:jc w:val="center"/>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z w:val="24"/>
                      <w:szCs w:val="24"/>
                    </w:rPr>
                    <w:t>减振基础、</w:t>
                  </w:r>
                  <w:r>
                    <w:rPr>
                      <w:rFonts w:ascii="Times New Roman" w:eastAsia="宋体" w:hAnsi="Times New Roman" w:cs="Times New Roman" w:hint="default"/>
                      <w:color w:val="auto"/>
                      <w:sz w:val="24"/>
                      <w:szCs w:val="24"/>
                      <w:lang w:val="en-US" w:eastAsia="zh-CN"/>
                    </w:rPr>
                    <w:t>柔性连接</w:t>
                  </w:r>
                  <w:r>
                    <w:rPr>
                      <w:rFonts w:ascii="Times New Roman" w:eastAsia="宋体" w:hAnsi="Times New Roman" w:cs="Times New Roman" w:hint="default"/>
                      <w:color w:val="auto"/>
                      <w:sz w:val="24"/>
                      <w:szCs w:val="24"/>
                    </w:rPr>
                    <w:t>隔声</w:t>
                  </w:r>
                </w:p>
              </w:tc>
              <w:tc>
                <w:tcPr>
                  <w:tcW w:w="457" w:type="pct"/>
                  <w:noWrap w:val="0"/>
                  <w:vAlign w:val="center"/>
                </w:tcPr>
                <w:p w14:paraId="0293AB72">
                  <w:pPr>
                    <w:widowControl/>
                    <w:snapToGrid w:val="0"/>
                    <w:spacing w:line="320" w:lineRule="exact"/>
                    <w:jc w:val="center"/>
                    <w:rPr>
                      <w:rFonts w:ascii="Times New Roman" w:eastAsia="宋体" w:hAnsi="Times New Roman" w:cs="Times New Roman" w:hint="default"/>
                      <w:color w:val="auto"/>
                      <w:sz w:val="24"/>
                      <w:szCs w:val="24"/>
                      <w:lang w:eastAsia="zh-CN"/>
                    </w:rPr>
                  </w:pPr>
                  <w:r>
                    <w:rPr>
                      <w:rFonts w:ascii="Times New Roman" w:eastAsia="宋体" w:hAnsi="Times New Roman" w:cs="Times New Roman" w:hint="default"/>
                      <w:color w:val="auto"/>
                      <w:sz w:val="24"/>
                      <w:szCs w:val="24"/>
                      <w:lang w:val="en-US" w:eastAsia="zh-CN"/>
                    </w:rPr>
                    <w:t>/</w:t>
                  </w:r>
                </w:p>
              </w:tc>
              <w:tc>
                <w:tcPr>
                  <w:tcW w:w="948" w:type="pct"/>
                  <w:noWrap w:val="0"/>
                  <w:vAlign w:val="center"/>
                </w:tcPr>
                <w:p w14:paraId="02E70F87">
                  <w:pPr>
                    <w:widowControl/>
                    <w:snapToGrid w:val="0"/>
                    <w:spacing w:line="320" w:lineRule="exact"/>
                    <w:jc w:val="center"/>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z w:val="24"/>
                      <w:szCs w:val="24"/>
                    </w:rPr>
                    <w:t>设备噪声</w:t>
                  </w:r>
                </w:p>
              </w:tc>
              <w:tc>
                <w:tcPr>
                  <w:tcW w:w="548" w:type="pct"/>
                  <w:noWrap w:val="0"/>
                  <w:vAlign w:val="center"/>
                </w:tcPr>
                <w:p w14:paraId="445DEDEA">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1</w:t>
                  </w:r>
                </w:p>
              </w:tc>
            </w:tr>
            <w:tr w14:paraId="0C553D27">
              <w:tblPrEx>
                <w:tblW w:w="4999" w:type="pct"/>
                <w:jc w:val="center"/>
                <w:tblCellMar>
                  <w:top w:w="0" w:type="dxa"/>
                  <w:left w:w="108" w:type="dxa"/>
                  <w:bottom w:w="0" w:type="dxa"/>
                  <w:right w:w="108" w:type="dxa"/>
                </w:tblCellMar>
              </w:tblPrEx>
              <w:trPr>
                <w:trHeight w:val="397"/>
                <w:jc w:val="center"/>
              </w:trPr>
              <w:tc>
                <w:tcPr>
                  <w:tcW w:w="718" w:type="pct"/>
                  <w:vMerge/>
                  <w:noWrap w:val="0"/>
                  <w:vAlign w:val="center"/>
                </w:tcPr>
                <w:p w14:paraId="50B7231D">
                  <w:pPr>
                    <w:widowControl/>
                    <w:snapToGrid w:val="0"/>
                    <w:spacing w:line="320" w:lineRule="exact"/>
                    <w:jc w:val="center"/>
                    <w:rPr>
                      <w:rFonts w:ascii="Times New Roman" w:eastAsia="宋体" w:hAnsi="Times New Roman" w:cs="Times New Roman" w:hint="default"/>
                      <w:color w:val="auto"/>
                      <w:sz w:val="24"/>
                      <w:szCs w:val="24"/>
                      <w:lang w:val="en-US" w:eastAsia="zh-CN"/>
                    </w:rPr>
                  </w:pPr>
                </w:p>
              </w:tc>
              <w:tc>
                <w:tcPr>
                  <w:tcW w:w="718" w:type="pct"/>
                  <w:noWrap w:val="0"/>
                  <w:vAlign w:val="center"/>
                </w:tcPr>
                <w:p w14:paraId="7F8A86FF">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环境风险</w:t>
                  </w:r>
                </w:p>
              </w:tc>
              <w:tc>
                <w:tcPr>
                  <w:tcW w:w="1609" w:type="pct"/>
                  <w:noWrap w:val="0"/>
                  <w:vAlign w:val="center"/>
                </w:tcPr>
                <w:p w14:paraId="447D4BE4">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风险防范措施（应急物资、事故池等）</w:t>
                  </w:r>
                </w:p>
              </w:tc>
              <w:tc>
                <w:tcPr>
                  <w:tcW w:w="457" w:type="pct"/>
                  <w:noWrap w:val="0"/>
                  <w:vAlign w:val="center"/>
                </w:tcPr>
                <w:p w14:paraId="39808745">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w:t>
                  </w:r>
                </w:p>
              </w:tc>
              <w:tc>
                <w:tcPr>
                  <w:tcW w:w="948" w:type="pct"/>
                  <w:noWrap w:val="0"/>
                  <w:vAlign w:val="center"/>
                </w:tcPr>
                <w:p w14:paraId="446C01BA">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环境风险</w:t>
                  </w:r>
                </w:p>
              </w:tc>
              <w:tc>
                <w:tcPr>
                  <w:tcW w:w="548" w:type="pct"/>
                  <w:noWrap w:val="0"/>
                  <w:vAlign w:val="center"/>
                </w:tcPr>
                <w:p w14:paraId="1A8BBF7A">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120</w:t>
                  </w:r>
                </w:p>
              </w:tc>
            </w:tr>
            <w:tr w14:paraId="2D8EA2B6">
              <w:tblPrEx>
                <w:tblW w:w="4999" w:type="pct"/>
                <w:jc w:val="center"/>
                <w:tblCellMar>
                  <w:top w:w="0" w:type="dxa"/>
                  <w:left w:w="108" w:type="dxa"/>
                  <w:bottom w:w="0" w:type="dxa"/>
                  <w:right w:w="108" w:type="dxa"/>
                </w:tblCellMar>
              </w:tblPrEx>
              <w:trPr>
                <w:trHeight w:val="397"/>
                <w:jc w:val="center"/>
              </w:trPr>
              <w:tc>
                <w:tcPr>
                  <w:tcW w:w="4451" w:type="pct"/>
                  <w:gridSpan w:val="5"/>
                  <w:noWrap w:val="0"/>
                  <w:vAlign w:val="center"/>
                </w:tcPr>
                <w:p w14:paraId="6866962D">
                  <w:pPr>
                    <w:widowControl/>
                    <w:snapToGrid w:val="0"/>
                    <w:spacing w:line="320" w:lineRule="exact"/>
                    <w:jc w:val="center"/>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z w:val="24"/>
                      <w:szCs w:val="24"/>
                    </w:rPr>
                    <w:t>总计</w:t>
                  </w:r>
                </w:p>
              </w:tc>
              <w:tc>
                <w:tcPr>
                  <w:tcW w:w="548" w:type="pct"/>
                  <w:noWrap w:val="0"/>
                  <w:vAlign w:val="center"/>
                </w:tcPr>
                <w:p w14:paraId="6B1B9609">
                  <w:pPr>
                    <w:widowControl/>
                    <w:snapToGrid w:val="0"/>
                    <w:spacing w:line="320" w:lineRule="exact"/>
                    <w:jc w:val="center"/>
                    <w:rPr>
                      <w:rFonts w:ascii="Times New Roman" w:eastAsia="宋体" w:hAnsi="Times New Roman" w:cs="Times New Roman" w:hint="default"/>
                      <w:color w:val="auto"/>
                      <w:sz w:val="24"/>
                      <w:szCs w:val="24"/>
                      <w:lang w:val="en-US" w:eastAsia="zh-CN"/>
                    </w:rPr>
                  </w:pPr>
                  <w:r>
                    <w:rPr>
                      <w:rFonts w:ascii="Times New Roman" w:eastAsia="宋体" w:hAnsi="Times New Roman" w:cs="Times New Roman" w:hint="default"/>
                      <w:color w:val="auto"/>
                      <w:sz w:val="24"/>
                      <w:szCs w:val="24"/>
                      <w:lang w:val="en-US" w:eastAsia="zh-CN"/>
                    </w:rPr>
                    <w:t>231</w:t>
                  </w:r>
                </w:p>
              </w:tc>
            </w:tr>
          </w:tbl>
          <w:p w14:paraId="1734B3BD">
            <w:pPr>
              <w:adjustRightInd w:val="0"/>
              <w:snapToGrid w:val="0"/>
              <w:jc w:val="center"/>
              <w:rPr>
                <w:rFonts w:ascii="Times New Roman" w:eastAsia="宋体" w:hAnsi="Times New Roman" w:cs="Times New Roman" w:hint="default"/>
                <w:color w:val="auto"/>
                <w:sz w:val="24"/>
                <w:szCs w:val="24"/>
                <w:highlight w:val="none"/>
                <w:lang w:val="en-US" w:eastAsia="zh-CN"/>
              </w:rPr>
            </w:pPr>
          </w:p>
        </w:tc>
      </w:tr>
    </w:tbl>
    <w:p w14:paraId="24CF2384">
      <w:pPr>
        <w:pStyle w:val="NormalWeb"/>
        <w:jc w:val="both"/>
        <w:outlineLvl w:val="0"/>
        <w:rPr>
          <w:rFonts w:ascii="Times New Roman" w:eastAsia="宋体" w:hAnsi="Times New Roman" w:cs="Times New Roman" w:hint="default"/>
          <w:snapToGrid w:val="0"/>
          <w:color w:val="auto"/>
          <w:sz w:val="30"/>
          <w:szCs w:val="30"/>
          <w:highlight w:val="none"/>
        </w:rPr>
        <w:sectPr>
          <w:pgSz w:w="11906" w:h="16838"/>
          <w:pgMar w:top="1701" w:right="1531" w:bottom="1701" w:left="1531" w:header="851" w:footer="851" w:gutter="0"/>
          <w:pgBorders>
            <w:top w:val="none" w:sz="0" w:space="0" w:color="auto"/>
            <w:left w:val="none" w:sz="0" w:space="0" w:color="auto"/>
            <w:bottom w:val="none" w:sz="0" w:space="0" w:color="auto"/>
            <w:right w:val="none" w:sz="0" w:space="0" w:color="auto"/>
          </w:pgBorders>
          <w:pgNumType w:fmt="decimal"/>
          <w:cols w:num="1" w:space="720"/>
          <w:docGrid w:type="lines" w:linePitch="312" w:charSpace="0"/>
        </w:sectPr>
      </w:pPr>
    </w:p>
    <w:p w14:paraId="220A3D66">
      <w:pPr>
        <w:pStyle w:val="NormalWeb"/>
        <w:spacing w:before="0" w:beforeAutospacing="0" w:after="0" w:afterAutospacing="0" w:line="480" w:lineRule="auto"/>
        <w:jc w:val="center"/>
        <w:outlineLvl w:val="0"/>
        <w:rPr>
          <w:rFonts w:ascii="Times New Roman" w:eastAsia="宋体" w:hAnsi="Times New Roman" w:cs="Times New Roman" w:hint="default"/>
          <w:snapToGrid w:val="0"/>
          <w:color w:val="auto"/>
          <w:sz w:val="30"/>
          <w:szCs w:val="30"/>
          <w:highlight w:val="none"/>
        </w:rPr>
      </w:pPr>
      <w:r>
        <w:rPr>
          <w:rFonts w:ascii="Times New Roman" w:eastAsia="宋体" w:hAnsi="Times New Roman" w:cs="Times New Roman" w:hint="default"/>
          <w:snapToGrid w:val="0"/>
          <w:color w:val="auto"/>
          <w:sz w:val="30"/>
          <w:szCs w:val="30"/>
          <w:highlight w:val="none"/>
        </w:rPr>
        <w:t>六、结论</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9060"/>
      </w:tblGrid>
      <w:tr w14:paraId="4EBFB392">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10948"/>
        </w:trPr>
        <w:tc>
          <w:tcPr>
            <w:tcW w:w="9060" w:type="dxa"/>
            <w:shd w:val="clear" w:color="auto" w:fill="auto"/>
          </w:tcPr>
          <w:p w14:paraId="1386F7B8">
            <w:pPr>
              <w:pStyle w:val="lh--"/>
              <w:rPr>
                <w:rFonts w:ascii="Times New Roman" w:eastAsia="宋体" w:hAnsi="Times New Roman" w:cs="Times New Roman" w:hint="default"/>
                <w:color w:val="auto"/>
                <w:highlight w:val="none"/>
              </w:rPr>
            </w:pPr>
            <w:r>
              <w:rPr>
                <w:rFonts w:ascii="Times New Roman" w:eastAsia="宋体" w:hAnsi="Times New Roman" w:cs="Times New Roman" w:hint="default"/>
                <w:color w:val="auto"/>
                <w:highlight w:val="none"/>
              </w:rPr>
              <w:t>本项目建设符合国家和</w:t>
            </w:r>
            <w:r>
              <w:rPr>
                <w:rFonts w:ascii="Times New Roman" w:eastAsia="宋体" w:hAnsi="Times New Roman" w:cs="Times New Roman" w:hint="default"/>
                <w:color w:val="auto"/>
                <w:highlight w:val="none"/>
                <w:lang w:val="en-US" w:eastAsia="zh-CN"/>
              </w:rPr>
              <w:t>河北省</w:t>
            </w:r>
            <w:r>
              <w:rPr>
                <w:rFonts w:ascii="Times New Roman" w:eastAsia="宋体" w:hAnsi="Times New Roman" w:cs="Times New Roman" w:hint="default"/>
                <w:color w:val="auto"/>
                <w:highlight w:val="none"/>
              </w:rPr>
              <w:t>产业政策要求，建设</w:t>
            </w:r>
            <w:r>
              <w:rPr>
                <w:rFonts w:ascii="Times New Roman" w:eastAsia="宋体" w:hAnsi="Times New Roman" w:cs="Times New Roman" w:hint="default"/>
                <w:color w:val="auto"/>
                <w:highlight w:val="none"/>
                <w:lang w:val="en-US" w:eastAsia="zh-CN"/>
              </w:rPr>
              <w:t>用地</w:t>
            </w:r>
            <w:r>
              <w:rPr>
                <w:rFonts w:ascii="Times New Roman" w:eastAsia="宋体" w:hAnsi="Times New Roman" w:cs="Times New Roman" w:hint="default"/>
                <w:color w:val="auto"/>
                <w:highlight w:val="none"/>
              </w:rPr>
              <w:t>为</w:t>
            </w:r>
            <w:r>
              <w:rPr>
                <w:rFonts w:ascii="Times New Roman" w:eastAsia="宋体" w:hAnsi="Times New Roman" w:cs="Times New Roman" w:hint="default"/>
                <w:color w:val="auto"/>
                <w:highlight w:val="none"/>
                <w:lang w:val="en-US" w:eastAsia="zh-CN"/>
              </w:rPr>
              <w:t>电力设施</w:t>
            </w:r>
            <w:r>
              <w:rPr>
                <w:rFonts w:ascii="Times New Roman" w:eastAsia="宋体" w:hAnsi="Times New Roman" w:cs="Times New Roman" w:hint="default"/>
                <w:color w:val="auto"/>
                <w:highlight w:val="none"/>
              </w:rPr>
              <w:t>用地，</w:t>
            </w:r>
            <w:r>
              <w:rPr>
                <w:rFonts w:ascii="Times New Roman" w:eastAsia="宋体" w:hAnsi="Times New Roman" w:cs="Times New Roman" w:hint="default"/>
                <w:color w:val="auto"/>
                <w:highlight w:val="none"/>
                <w:lang w:val="en-US" w:eastAsia="zh-CN"/>
              </w:rPr>
              <w:t>符合</w:t>
            </w:r>
            <w:r>
              <w:rPr>
                <w:rFonts w:ascii="Times New Roman" w:eastAsia="宋体" w:hAnsi="Times New Roman" w:cs="Times New Roman" w:hint="default"/>
                <w:color w:val="auto"/>
                <w:highlight w:val="none"/>
              </w:rPr>
              <w:t>总体规划及土地利用规划。本项目实施后产生的厂界噪声</w:t>
            </w:r>
            <w:r>
              <w:rPr>
                <w:rFonts w:ascii="Times New Roman" w:eastAsia="宋体" w:hAnsi="Times New Roman" w:cs="Times New Roman" w:hint="default"/>
                <w:color w:val="auto"/>
                <w:highlight w:val="none"/>
                <w:lang w:eastAsia="zh-CN"/>
              </w:rPr>
              <w:t>、工频电场、工频磁场</w:t>
            </w:r>
            <w:r>
              <w:rPr>
                <w:rFonts w:ascii="Times New Roman" w:eastAsia="宋体" w:hAnsi="Times New Roman" w:cs="Times New Roman" w:hint="default"/>
                <w:color w:val="auto"/>
                <w:highlight w:val="none"/>
              </w:rPr>
              <w:t>可实现达标排放，固体废物处置去向合理，针对可能的环境风险采取必要的事故防范措施和应急措施，预计不会对环境产生明显不利影响。综上所述，在落实本报告提出的各项环保措施的情况下，本项目的建设具备环境可行性。</w:t>
            </w:r>
          </w:p>
        </w:tc>
      </w:tr>
    </w:tbl>
    <w:p w14:paraId="34C666E0">
      <w:pPr>
        <w:rPr>
          <w:rFonts w:ascii="Times New Roman" w:eastAsia="宋体" w:hAnsi="Times New Roman" w:cs="Times New Roman" w:hint="default"/>
          <w:color w:val="auto"/>
          <w:highlight w:val="none"/>
        </w:rPr>
      </w:pPr>
    </w:p>
    <w:p w14:paraId="1964DBEA">
      <w:pPr>
        <w:rPr>
          <w:rFonts w:ascii="Times New Roman" w:eastAsia="宋体" w:hAnsi="Times New Roman" w:cs="Times New Roman" w:hint="default"/>
          <w:color w:val="auto"/>
          <w:highlight w:val="none"/>
        </w:rPr>
        <w:sectPr>
          <w:pgSz w:w="11906" w:h="16838"/>
          <w:pgMar w:top="1701" w:right="1531" w:bottom="1701" w:left="1531" w:header="851" w:footer="851" w:gutter="0"/>
          <w:pgBorders>
            <w:top w:val="none" w:sz="0" w:space="0" w:color="auto"/>
            <w:left w:val="none" w:sz="0" w:space="0" w:color="auto"/>
            <w:bottom w:val="none" w:sz="0" w:space="0" w:color="auto"/>
            <w:right w:val="none" w:sz="0" w:space="0" w:color="auto"/>
          </w:pgBorders>
          <w:pgNumType w:fmt="decimal"/>
          <w:cols w:num="1" w:space="720"/>
          <w:docGrid w:type="lines" w:linePitch="312" w:charSpace="0"/>
        </w:sectPr>
      </w:pPr>
    </w:p>
    <w:p w14:paraId="2BF0DFDB">
      <w:pPr>
        <w:pStyle w:val="NormalWeb"/>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ascii="Times New Roman" w:eastAsia="宋体" w:hAnsi="Times New Roman" w:cs="Times New Roman" w:hint="default"/>
          <w:snapToGrid w:val="0"/>
          <w:color w:val="auto"/>
          <w:sz w:val="32"/>
          <w:szCs w:val="32"/>
          <w:highlight w:val="none"/>
        </w:rPr>
      </w:pPr>
      <w:r>
        <w:rPr>
          <w:rFonts w:ascii="Times New Roman" w:eastAsia="宋体" w:hAnsi="Times New Roman" w:cs="Times New Roman" w:hint="default"/>
          <w:snapToGrid w:val="0"/>
          <w:color w:val="auto"/>
          <w:sz w:val="32"/>
          <w:szCs w:val="32"/>
          <w:highlight w:val="none"/>
        </w:rPr>
        <w:t>附表</w:t>
      </w:r>
    </w:p>
    <w:p w14:paraId="6978FEC4">
      <w:pPr>
        <w:pStyle w:val="NormalWeb"/>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ascii="Times New Roman" w:eastAsia="宋体" w:hAnsi="Times New Roman" w:cs="Times New Roman" w:hint="default"/>
          <w:snapToGrid w:val="0"/>
          <w:color w:val="auto"/>
          <w:sz w:val="38"/>
          <w:szCs w:val="38"/>
          <w:highlight w:val="none"/>
          <w:lang w:val="en-US" w:eastAsia="zh-CN"/>
        </w:rPr>
      </w:pPr>
      <w:r>
        <w:rPr>
          <w:rFonts w:ascii="Times New Roman" w:eastAsia="宋体" w:hAnsi="Times New Roman" w:cs="Times New Roman" w:hint="default"/>
          <w:snapToGrid w:val="0"/>
          <w:color w:val="auto"/>
          <w:sz w:val="38"/>
          <w:szCs w:val="38"/>
          <w:highlight w:val="none"/>
        </w:rPr>
        <w:t>建设项目污染物排放量汇总表</w:t>
      </w:r>
      <w:r>
        <w:rPr>
          <w:rFonts w:ascii="Times New Roman" w:eastAsia="宋体" w:hAnsi="Times New Roman" w:cs="Times New Roman" w:hint="default"/>
          <w:snapToGrid w:val="0"/>
          <w:color w:val="auto"/>
          <w:sz w:val="38"/>
          <w:szCs w:val="38"/>
          <w:highlight w:val="none"/>
          <w:lang w:val="en-US" w:eastAsia="zh-CN"/>
        </w:rPr>
        <w:t xml:space="preserve"> t/a</w:t>
      </w:r>
    </w:p>
    <w:tbl>
      <w:tblPr>
        <w:tblStyle w:val="TableNormal"/>
        <w:tblW w:w="5000" w:type="pct"/>
        <w:tblInd w:w="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108" w:type="dxa"/>
          <w:bottom w:w="0" w:type="dxa"/>
          <w:right w:w="108" w:type="dxa"/>
        </w:tblCellMar>
      </w:tblPr>
      <w:tblGrid>
        <w:gridCol w:w="1517"/>
        <w:gridCol w:w="1348"/>
        <w:gridCol w:w="1634"/>
        <w:gridCol w:w="1205"/>
        <w:gridCol w:w="1634"/>
        <w:gridCol w:w="1490"/>
        <w:gridCol w:w="1695"/>
        <w:gridCol w:w="1894"/>
        <w:gridCol w:w="1415"/>
      </w:tblGrid>
      <w:tr w14:paraId="35E60B5D">
        <w:tblPrEx>
          <w:tblW w:w="5000" w:type="pct"/>
          <w:tblInd w:w="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108" w:type="dxa"/>
            <w:bottom w:w="0" w:type="dxa"/>
            <w:right w:w="108" w:type="dxa"/>
          </w:tblCellMar>
        </w:tblPrEx>
        <w:trPr>
          <w:trHeight w:val="847"/>
        </w:trPr>
        <w:tc>
          <w:tcPr>
            <w:tcW w:w="548" w:type="pct"/>
            <w:tcBorders>
              <w:tl2br w:val="single" w:sz="4" w:space="0" w:color="auto"/>
            </w:tcBorders>
            <w:tcMar>
              <w:left w:w="28" w:type="dxa"/>
              <w:right w:w="28" w:type="dxa"/>
            </w:tcMar>
            <w:vAlign w:val="center"/>
          </w:tcPr>
          <w:p w14:paraId="4B0DCB39">
            <w:pPr>
              <w:pStyle w:val="a8"/>
              <w:keepNext w:val="0"/>
              <w:keepLines w:val="0"/>
              <w:pageBreakBefore w:val="0"/>
              <w:kinsoku/>
              <w:wordWrap/>
              <w:overflowPunct/>
              <w:topLinePunct w:val="0"/>
              <w:autoSpaceDE/>
              <w:autoSpaceDN/>
              <w:bidi w:val="0"/>
              <w:adjustRightInd w:val="0"/>
              <w:snapToGrid w:val="0"/>
              <w:spacing w:beforeLines="0" w:afterLines="0" w:line="240" w:lineRule="auto"/>
              <w:jc w:val="right"/>
              <w:rPr>
                <w:rFonts w:ascii="Times New Roman" w:eastAsia="宋体" w:hAnsi="Times New Roman" w:cs="Times New Roman" w:hint="default"/>
                <w:snapToGrid w:val="0"/>
                <w:color w:val="auto"/>
                <w:spacing w:val="-6"/>
                <w:kern w:val="21"/>
                <w:szCs w:val="21"/>
                <w:highlight w:val="none"/>
              </w:rPr>
            </w:pPr>
            <w:r>
              <w:rPr>
                <w:rFonts w:ascii="Times New Roman" w:eastAsia="宋体" w:hAnsi="Times New Roman" w:cs="Times New Roman" w:hint="default"/>
                <w:snapToGrid w:val="0"/>
                <w:color w:val="auto"/>
                <w:spacing w:val="-6"/>
                <w:kern w:val="21"/>
                <w:szCs w:val="21"/>
                <w:highlight w:val="none"/>
              </w:rPr>
              <w:t>项目</w:t>
            </w:r>
          </w:p>
          <w:p w14:paraId="40A5AD2D">
            <w:pPr>
              <w:pStyle w:val="a8"/>
              <w:keepNext w:val="0"/>
              <w:keepLines w:val="0"/>
              <w:pageBreakBefore w:val="0"/>
              <w:kinsoku/>
              <w:wordWrap/>
              <w:overflowPunct/>
              <w:topLinePunct w:val="0"/>
              <w:autoSpaceDE/>
              <w:autoSpaceDN/>
              <w:bidi w:val="0"/>
              <w:adjustRightInd w:val="0"/>
              <w:snapToGrid w:val="0"/>
              <w:spacing w:beforeLines="0" w:afterLines="0" w:line="240" w:lineRule="auto"/>
              <w:jc w:val="left"/>
              <w:rPr>
                <w:rFonts w:ascii="Times New Roman" w:eastAsia="宋体" w:hAnsi="Times New Roman" w:cs="Times New Roman" w:hint="default"/>
                <w:snapToGrid w:val="0"/>
                <w:color w:val="auto"/>
                <w:spacing w:val="-6"/>
                <w:kern w:val="21"/>
                <w:szCs w:val="21"/>
                <w:highlight w:val="none"/>
              </w:rPr>
            </w:pPr>
            <w:r>
              <w:rPr>
                <w:rFonts w:ascii="Times New Roman" w:eastAsia="宋体" w:hAnsi="Times New Roman" w:cs="Times New Roman" w:hint="default"/>
                <w:snapToGrid w:val="0"/>
                <w:color w:val="auto"/>
                <w:spacing w:val="-6"/>
                <w:kern w:val="21"/>
                <w:szCs w:val="21"/>
                <w:highlight w:val="none"/>
              </w:rPr>
              <w:t>分类</w:t>
            </w:r>
          </w:p>
        </w:tc>
        <w:tc>
          <w:tcPr>
            <w:tcW w:w="487" w:type="pct"/>
            <w:tcMar>
              <w:left w:w="28" w:type="dxa"/>
              <w:right w:w="28" w:type="dxa"/>
            </w:tcMar>
            <w:vAlign w:val="center"/>
          </w:tcPr>
          <w:p w14:paraId="649CFD71">
            <w:pPr>
              <w:pStyle w:val="a8"/>
              <w:keepNext w:val="0"/>
              <w:keepLines w:val="0"/>
              <w:pageBreakBefore w:val="0"/>
              <w:kinsoku/>
              <w:wordWrap/>
              <w:overflowPunct/>
              <w:topLinePunct w:val="0"/>
              <w:autoSpaceDE/>
              <w:autoSpaceDN/>
              <w:bidi w:val="0"/>
              <w:adjustRightInd w:val="0"/>
              <w:snapToGrid w:val="0"/>
              <w:spacing w:beforeLines="0" w:afterLines="0" w:line="240" w:lineRule="auto"/>
              <w:rPr>
                <w:rFonts w:ascii="Times New Roman" w:eastAsia="宋体" w:hAnsi="Times New Roman" w:cs="Times New Roman" w:hint="default"/>
                <w:snapToGrid w:val="0"/>
                <w:color w:val="auto"/>
                <w:spacing w:val="-6"/>
                <w:kern w:val="21"/>
                <w:szCs w:val="21"/>
                <w:highlight w:val="none"/>
              </w:rPr>
            </w:pPr>
            <w:r>
              <w:rPr>
                <w:rFonts w:ascii="Times New Roman" w:eastAsia="宋体" w:hAnsi="Times New Roman" w:cs="Times New Roman" w:hint="default"/>
                <w:snapToGrid w:val="0"/>
                <w:color w:val="auto"/>
                <w:spacing w:val="-6"/>
                <w:kern w:val="21"/>
                <w:szCs w:val="21"/>
                <w:highlight w:val="none"/>
              </w:rPr>
              <w:t>污染物名称</w:t>
            </w:r>
          </w:p>
        </w:tc>
        <w:tc>
          <w:tcPr>
            <w:tcW w:w="590" w:type="pct"/>
            <w:tcMar>
              <w:left w:w="28" w:type="dxa"/>
              <w:right w:w="28" w:type="dxa"/>
            </w:tcMar>
            <w:vAlign w:val="center"/>
          </w:tcPr>
          <w:p w14:paraId="6D8A0C29">
            <w:pPr>
              <w:pStyle w:val="a8"/>
              <w:keepNext w:val="0"/>
              <w:keepLines w:val="0"/>
              <w:pageBreakBefore w:val="0"/>
              <w:kinsoku/>
              <w:wordWrap/>
              <w:overflowPunct/>
              <w:topLinePunct w:val="0"/>
              <w:autoSpaceDE/>
              <w:autoSpaceDN/>
              <w:bidi w:val="0"/>
              <w:adjustRightInd w:val="0"/>
              <w:snapToGrid w:val="0"/>
              <w:spacing w:beforeLines="0" w:afterLines="0" w:line="240" w:lineRule="auto"/>
              <w:rPr>
                <w:rFonts w:ascii="Times New Roman" w:eastAsia="宋体" w:hAnsi="Times New Roman" w:cs="Times New Roman" w:hint="default"/>
                <w:snapToGrid w:val="0"/>
                <w:color w:val="auto"/>
                <w:spacing w:val="-6"/>
                <w:kern w:val="21"/>
                <w:szCs w:val="21"/>
                <w:highlight w:val="none"/>
              </w:rPr>
            </w:pPr>
            <w:r>
              <w:rPr>
                <w:rFonts w:ascii="Times New Roman" w:eastAsia="宋体" w:hAnsi="Times New Roman" w:cs="Times New Roman" w:hint="default"/>
                <w:snapToGrid w:val="0"/>
                <w:color w:val="auto"/>
                <w:spacing w:val="-6"/>
                <w:kern w:val="21"/>
                <w:szCs w:val="21"/>
                <w:highlight w:val="none"/>
              </w:rPr>
              <w:t>现有工程</w:t>
            </w:r>
          </w:p>
          <w:p w14:paraId="5D9E5471">
            <w:pPr>
              <w:pStyle w:val="a8"/>
              <w:keepNext w:val="0"/>
              <w:keepLines w:val="0"/>
              <w:pageBreakBefore w:val="0"/>
              <w:kinsoku/>
              <w:wordWrap/>
              <w:overflowPunct/>
              <w:topLinePunct w:val="0"/>
              <w:autoSpaceDE/>
              <w:autoSpaceDN/>
              <w:bidi w:val="0"/>
              <w:adjustRightInd w:val="0"/>
              <w:snapToGrid w:val="0"/>
              <w:spacing w:beforeLines="0" w:afterLines="0" w:line="240" w:lineRule="auto"/>
              <w:rPr>
                <w:rFonts w:ascii="Times New Roman" w:eastAsia="宋体" w:hAnsi="Times New Roman" w:cs="Times New Roman" w:hint="default"/>
                <w:snapToGrid w:val="0"/>
                <w:color w:val="auto"/>
                <w:spacing w:val="-6"/>
                <w:kern w:val="21"/>
                <w:szCs w:val="21"/>
                <w:highlight w:val="none"/>
              </w:rPr>
            </w:pPr>
            <w:r>
              <w:rPr>
                <w:rFonts w:ascii="Times New Roman" w:eastAsia="宋体" w:hAnsi="Times New Roman" w:cs="Times New Roman" w:hint="default"/>
                <w:snapToGrid w:val="0"/>
                <w:color w:val="auto"/>
                <w:spacing w:val="-6"/>
                <w:kern w:val="21"/>
                <w:szCs w:val="21"/>
                <w:highlight w:val="none"/>
              </w:rPr>
              <w:t>排放量（固体废物产生量）</w:t>
            </w:r>
            <w:r>
              <w:rPr>
                <w:rFonts w:ascii="Times New Roman" w:eastAsia="宋体" w:hAnsi="Times New Roman" w:cs="Times New Roman" w:hint="default"/>
                <w:snapToGrid w:val="0"/>
                <w:color w:val="auto"/>
                <w:spacing w:val="-6"/>
                <w:kern w:val="21"/>
                <w:szCs w:val="21"/>
                <w:highlight w:val="none"/>
              </w:rPr>
              <w:fldChar w:fldCharType="begin"/>
            </w:r>
            <w:r>
              <w:rPr>
                <w:rFonts w:ascii="Times New Roman" w:eastAsia="宋体" w:hAnsi="Times New Roman" w:cs="Times New Roman" w:hint="default"/>
                <w:snapToGrid w:val="0"/>
                <w:color w:val="auto"/>
                <w:spacing w:val="-6"/>
                <w:kern w:val="21"/>
                <w:szCs w:val="21"/>
                <w:highlight w:val="none"/>
              </w:rPr>
              <w:instrText xml:space="preserve"> = 1 \* GB3 \* MERGEFORMAT </w:instrText>
            </w:r>
            <w:r>
              <w:rPr>
                <w:rFonts w:ascii="Times New Roman" w:eastAsia="宋体" w:hAnsi="Times New Roman" w:cs="Times New Roman" w:hint="default"/>
                <w:snapToGrid w:val="0"/>
                <w:color w:val="auto"/>
                <w:spacing w:val="-6"/>
                <w:kern w:val="21"/>
                <w:szCs w:val="21"/>
                <w:highlight w:val="none"/>
              </w:rPr>
              <w:fldChar w:fldCharType="separate"/>
            </w:r>
            <w:r>
              <w:rPr>
                <w:rFonts w:ascii="Times New Roman" w:eastAsia="宋体" w:hAnsi="Times New Roman" w:cs="Times New Roman" w:hint="default"/>
                <w:color w:val="auto"/>
                <w:kern w:val="2"/>
                <w:szCs w:val="21"/>
                <w:highlight w:val="none"/>
              </w:rPr>
              <w:t>①</w:t>
            </w:r>
            <w:r>
              <w:rPr>
                <w:rFonts w:ascii="Times New Roman" w:eastAsia="宋体" w:hAnsi="Times New Roman" w:cs="Times New Roman" w:hint="default"/>
                <w:snapToGrid w:val="0"/>
                <w:color w:val="auto"/>
                <w:spacing w:val="-6"/>
                <w:kern w:val="21"/>
                <w:szCs w:val="21"/>
                <w:highlight w:val="none"/>
              </w:rPr>
              <w:fldChar w:fldCharType="end"/>
            </w:r>
          </w:p>
        </w:tc>
        <w:tc>
          <w:tcPr>
            <w:tcW w:w="435" w:type="pct"/>
            <w:tcMar>
              <w:left w:w="28" w:type="dxa"/>
              <w:right w:w="28" w:type="dxa"/>
            </w:tcMar>
            <w:vAlign w:val="center"/>
          </w:tcPr>
          <w:p w14:paraId="1612CEE0">
            <w:pPr>
              <w:pStyle w:val="a8"/>
              <w:keepNext w:val="0"/>
              <w:keepLines w:val="0"/>
              <w:pageBreakBefore w:val="0"/>
              <w:kinsoku/>
              <w:wordWrap/>
              <w:overflowPunct/>
              <w:topLinePunct w:val="0"/>
              <w:autoSpaceDE/>
              <w:autoSpaceDN/>
              <w:bidi w:val="0"/>
              <w:adjustRightInd w:val="0"/>
              <w:snapToGrid w:val="0"/>
              <w:spacing w:beforeLines="0" w:afterLines="0" w:line="240" w:lineRule="auto"/>
              <w:rPr>
                <w:rFonts w:ascii="Times New Roman" w:eastAsia="宋体" w:hAnsi="Times New Roman" w:cs="Times New Roman" w:hint="default"/>
                <w:snapToGrid w:val="0"/>
                <w:color w:val="auto"/>
                <w:spacing w:val="-6"/>
                <w:kern w:val="21"/>
                <w:szCs w:val="21"/>
                <w:highlight w:val="none"/>
              </w:rPr>
            </w:pPr>
            <w:r>
              <w:rPr>
                <w:rFonts w:ascii="Times New Roman" w:eastAsia="宋体" w:hAnsi="Times New Roman" w:cs="Times New Roman" w:hint="default"/>
                <w:snapToGrid w:val="0"/>
                <w:color w:val="auto"/>
                <w:spacing w:val="-6"/>
                <w:kern w:val="21"/>
                <w:szCs w:val="21"/>
                <w:highlight w:val="none"/>
              </w:rPr>
              <w:t>现有工程</w:t>
            </w:r>
          </w:p>
          <w:p w14:paraId="2A603C72">
            <w:pPr>
              <w:pStyle w:val="a8"/>
              <w:keepNext w:val="0"/>
              <w:keepLines w:val="0"/>
              <w:pageBreakBefore w:val="0"/>
              <w:kinsoku/>
              <w:wordWrap/>
              <w:overflowPunct/>
              <w:topLinePunct w:val="0"/>
              <w:autoSpaceDE/>
              <w:autoSpaceDN/>
              <w:bidi w:val="0"/>
              <w:adjustRightInd w:val="0"/>
              <w:snapToGrid w:val="0"/>
              <w:spacing w:beforeLines="0" w:afterLines="0" w:line="240" w:lineRule="auto"/>
              <w:rPr>
                <w:rFonts w:ascii="Times New Roman" w:eastAsia="宋体" w:hAnsi="Times New Roman" w:cs="Times New Roman" w:hint="default"/>
                <w:snapToGrid w:val="0"/>
                <w:color w:val="auto"/>
                <w:spacing w:val="-6"/>
                <w:kern w:val="21"/>
                <w:szCs w:val="21"/>
                <w:highlight w:val="none"/>
              </w:rPr>
            </w:pPr>
            <w:r>
              <w:rPr>
                <w:rFonts w:ascii="Times New Roman" w:eastAsia="宋体" w:hAnsi="Times New Roman" w:cs="Times New Roman" w:hint="default"/>
                <w:snapToGrid w:val="0"/>
                <w:color w:val="auto"/>
                <w:spacing w:val="-6"/>
                <w:kern w:val="21"/>
                <w:szCs w:val="21"/>
                <w:highlight w:val="none"/>
              </w:rPr>
              <w:t>许可排放量</w:t>
            </w:r>
          </w:p>
          <w:p w14:paraId="7C1A411B">
            <w:pPr>
              <w:pStyle w:val="a8"/>
              <w:keepNext w:val="0"/>
              <w:keepLines w:val="0"/>
              <w:pageBreakBefore w:val="0"/>
              <w:kinsoku/>
              <w:wordWrap/>
              <w:overflowPunct/>
              <w:topLinePunct w:val="0"/>
              <w:autoSpaceDE/>
              <w:autoSpaceDN/>
              <w:bidi w:val="0"/>
              <w:adjustRightInd w:val="0"/>
              <w:snapToGrid w:val="0"/>
              <w:spacing w:beforeLines="0" w:afterLines="0" w:line="240" w:lineRule="auto"/>
              <w:rPr>
                <w:rFonts w:ascii="Times New Roman" w:eastAsia="宋体" w:hAnsi="Times New Roman" w:cs="Times New Roman" w:hint="default"/>
                <w:snapToGrid w:val="0"/>
                <w:color w:val="auto"/>
                <w:spacing w:val="-6"/>
                <w:kern w:val="21"/>
                <w:szCs w:val="21"/>
                <w:highlight w:val="none"/>
              </w:rPr>
            </w:pPr>
            <w:r>
              <w:rPr>
                <w:rFonts w:ascii="Times New Roman" w:eastAsia="宋体" w:hAnsi="Times New Roman" w:cs="Times New Roman" w:hint="default"/>
                <w:snapToGrid w:val="0"/>
                <w:color w:val="auto"/>
                <w:spacing w:val="-6"/>
                <w:kern w:val="21"/>
                <w:szCs w:val="21"/>
                <w:highlight w:val="none"/>
              </w:rPr>
              <w:fldChar w:fldCharType="begin"/>
            </w:r>
            <w:r>
              <w:rPr>
                <w:rFonts w:ascii="Times New Roman" w:eastAsia="宋体" w:hAnsi="Times New Roman" w:cs="Times New Roman" w:hint="default"/>
                <w:snapToGrid w:val="0"/>
                <w:color w:val="auto"/>
                <w:spacing w:val="-6"/>
                <w:kern w:val="21"/>
                <w:szCs w:val="21"/>
                <w:highlight w:val="none"/>
              </w:rPr>
              <w:instrText xml:space="preserve"> = 2 \* GB3 \* MERGEFORMAT </w:instrText>
            </w:r>
            <w:r>
              <w:rPr>
                <w:rFonts w:ascii="Times New Roman" w:eastAsia="宋体" w:hAnsi="Times New Roman" w:cs="Times New Roman" w:hint="default"/>
                <w:snapToGrid w:val="0"/>
                <w:color w:val="auto"/>
                <w:spacing w:val="-6"/>
                <w:kern w:val="21"/>
                <w:szCs w:val="21"/>
                <w:highlight w:val="none"/>
              </w:rPr>
              <w:fldChar w:fldCharType="separate"/>
            </w:r>
            <w:r>
              <w:rPr>
                <w:rFonts w:ascii="Times New Roman" w:eastAsia="宋体" w:hAnsi="Times New Roman" w:cs="Times New Roman" w:hint="default"/>
                <w:snapToGrid w:val="0"/>
                <w:color w:val="auto"/>
                <w:spacing w:val="-6"/>
                <w:kern w:val="21"/>
                <w:szCs w:val="21"/>
                <w:highlight w:val="none"/>
              </w:rPr>
              <w:t>②</w:t>
            </w:r>
            <w:r>
              <w:rPr>
                <w:rFonts w:ascii="Times New Roman" w:eastAsia="宋体" w:hAnsi="Times New Roman" w:cs="Times New Roman" w:hint="default"/>
                <w:snapToGrid w:val="0"/>
                <w:color w:val="auto"/>
                <w:spacing w:val="-6"/>
                <w:kern w:val="21"/>
                <w:szCs w:val="21"/>
                <w:highlight w:val="none"/>
              </w:rPr>
              <w:fldChar w:fldCharType="end"/>
            </w:r>
          </w:p>
        </w:tc>
        <w:tc>
          <w:tcPr>
            <w:tcW w:w="590" w:type="pct"/>
            <w:tcMar>
              <w:left w:w="28" w:type="dxa"/>
              <w:right w:w="28" w:type="dxa"/>
            </w:tcMar>
            <w:vAlign w:val="center"/>
          </w:tcPr>
          <w:p w14:paraId="69A5C592">
            <w:pPr>
              <w:pStyle w:val="a8"/>
              <w:keepNext w:val="0"/>
              <w:keepLines w:val="0"/>
              <w:pageBreakBefore w:val="0"/>
              <w:kinsoku/>
              <w:wordWrap/>
              <w:overflowPunct/>
              <w:topLinePunct w:val="0"/>
              <w:autoSpaceDE/>
              <w:autoSpaceDN/>
              <w:bidi w:val="0"/>
              <w:adjustRightInd w:val="0"/>
              <w:snapToGrid w:val="0"/>
              <w:spacing w:beforeLines="0" w:afterLines="0" w:line="240" w:lineRule="auto"/>
              <w:rPr>
                <w:rFonts w:ascii="Times New Roman" w:eastAsia="宋体" w:hAnsi="Times New Roman" w:cs="Times New Roman" w:hint="default"/>
                <w:snapToGrid w:val="0"/>
                <w:color w:val="auto"/>
                <w:spacing w:val="-6"/>
                <w:kern w:val="21"/>
                <w:szCs w:val="21"/>
                <w:highlight w:val="none"/>
              </w:rPr>
            </w:pPr>
            <w:r>
              <w:rPr>
                <w:rFonts w:ascii="Times New Roman" w:eastAsia="宋体" w:hAnsi="Times New Roman" w:cs="Times New Roman" w:hint="default"/>
                <w:snapToGrid w:val="0"/>
                <w:color w:val="auto"/>
                <w:spacing w:val="-6"/>
                <w:kern w:val="21"/>
                <w:szCs w:val="21"/>
                <w:highlight w:val="none"/>
              </w:rPr>
              <w:t>在建工程</w:t>
            </w:r>
          </w:p>
          <w:p w14:paraId="64D6D235">
            <w:pPr>
              <w:pStyle w:val="a8"/>
              <w:keepNext w:val="0"/>
              <w:keepLines w:val="0"/>
              <w:pageBreakBefore w:val="0"/>
              <w:kinsoku/>
              <w:wordWrap/>
              <w:overflowPunct/>
              <w:topLinePunct w:val="0"/>
              <w:autoSpaceDE/>
              <w:autoSpaceDN/>
              <w:bidi w:val="0"/>
              <w:adjustRightInd w:val="0"/>
              <w:snapToGrid w:val="0"/>
              <w:spacing w:beforeLines="0" w:afterLines="0" w:line="240" w:lineRule="auto"/>
              <w:rPr>
                <w:rFonts w:ascii="Times New Roman" w:eastAsia="宋体" w:hAnsi="Times New Roman" w:cs="Times New Roman" w:hint="default"/>
                <w:snapToGrid w:val="0"/>
                <w:color w:val="auto"/>
                <w:spacing w:val="-6"/>
                <w:kern w:val="21"/>
                <w:szCs w:val="21"/>
                <w:highlight w:val="none"/>
              </w:rPr>
            </w:pPr>
            <w:r>
              <w:rPr>
                <w:rFonts w:ascii="Times New Roman" w:eastAsia="宋体" w:hAnsi="Times New Roman" w:cs="Times New Roman" w:hint="default"/>
                <w:snapToGrid w:val="0"/>
                <w:color w:val="auto"/>
                <w:spacing w:val="-6"/>
                <w:kern w:val="21"/>
                <w:szCs w:val="21"/>
                <w:highlight w:val="none"/>
              </w:rPr>
              <w:t>排放量（固体废物产生量）</w:t>
            </w:r>
            <w:r>
              <w:rPr>
                <w:rFonts w:ascii="Times New Roman" w:eastAsia="宋体" w:hAnsi="Times New Roman" w:cs="Times New Roman" w:hint="default"/>
                <w:snapToGrid w:val="0"/>
                <w:color w:val="auto"/>
                <w:spacing w:val="-6"/>
                <w:kern w:val="21"/>
                <w:szCs w:val="21"/>
                <w:highlight w:val="none"/>
              </w:rPr>
              <w:fldChar w:fldCharType="begin"/>
            </w:r>
            <w:r>
              <w:rPr>
                <w:rFonts w:ascii="Times New Roman" w:eastAsia="宋体" w:hAnsi="Times New Roman" w:cs="Times New Roman" w:hint="default"/>
                <w:snapToGrid w:val="0"/>
                <w:color w:val="auto"/>
                <w:spacing w:val="-6"/>
                <w:kern w:val="21"/>
                <w:szCs w:val="21"/>
                <w:highlight w:val="none"/>
              </w:rPr>
              <w:instrText xml:space="preserve"> = 3 \* GB3 \* MERGEFORMAT </w:instrText>
            </w:r>
            <w:r>
              <w:rPr>
                <w:rFonts w:ascii="Times New Roman" w:eastAsia="宋体" w:hAnsi="Times New Roman" w:cs="Times New Roman" w:hint="default"/>
                <w:snapToGrid w:val="0"/>
                <w:color w:val="auto"/>
                <w:spacing w:val="-6"/>
                <w:kern w:val="21"/>
                <w:szCs w:val="21"/>
                <w:highlight w:val="none"/>
              </w:rPr>
              <w:fldChar w:fldCharType="separate"/>
            </w:r>
            <w:r>
              <w:rPr>
                <w:rFonts w:ascii="Times New Roman" w:eastAsia="宋体" w:hAnsi="Times New Roman" w:cs="Times New Roman" w:hint="default"/>
                <w:color w:val="auto"/>
                <w:kern w:val="2"/>
                <w:szCs w:val="21"/>
                <w:highlight w:val="none"/>
              </w:rPr>
              <w:t>③</w:t>
            </w:r>
            <w:r>
              <w:rPr>
                <w:rFonts w:ascii="Times New Roman" w:eastAsia="宋体" w:hAnsi="Times New Roman" w:cs="Times New Roman" w:hint="default"/>
                <w:snapToGrid w:val="0"/>
                <w:color w:val="auto"/>
                <w:spacing w:val="-6"/>
                <w:kern w:val="21"/>
                <w:szCs w:val="21"/>
                <w:highlight w:val="none"/>
              </w:rPr>
              <w:fldChar w:fldCharType="end"/>
            </w:r>
          </w:p>
        </w:tc>
        <w:tc>
          <w:tcPr>
            <w:tcW w:w="538" w:type="pct"/>
            <w:tcMar>
              <w:left w:w="28" w:type="dxa"/>
              <w:right w:w="28" w:type="dxa"/>
            </w:tcMar>
            <w:vAlign w:val="center"/>
          </w:tcPr>
          <w:p w14:paraId="08FC9D23">
            <w:pPr>
              <w:pStyle w:val="a8"/>
              <w:keepNext w:val="0"/>
              <w:keepLines w:val="0"/>
              <w:pageBreakBefore w:val="0"/>
              <w:kinsoku/>
              <w:wordWrap/>
              <w:overflowPunct/>
              <w:topLinePunct w:val="0"/>
              <w:autoSpaceDE/>
              <w:autoSpaceDN/>
              <w:bidi w:val="0"/>
              <w:adjustRightInd w:val="0"/>
              <w:snapToGrid w:val="0"/>
              <w:spacing w:beforeLines="0" w:afterLines="0" w:line="240" w:lineRule="auto"/>
              <w:rPr>
                <w:rFonts w:ascii="Times New Roman" w:eastAsia="宋体" w:hAnsi="Times New Roman" w:cs="Times New Roman" w:hint="default"/>
                <w:snapToGrid w:val="0"/>
                <w:color w:val="auto"/>
                <w:spacing w:val="-6"/>
                <w:kern w:val="21"/>
                <w:szCs w:val="21"/>
                <w:highlight w:val="none"/>
              </w:rPr>
            </w:pPr>
            <w:r>
              <w:rPr>
                <w:rFonts w:ascii="Times New Roman" w:eastAsia="宋体" w:hAnsi="Times New Roman" w:cs="Times New Roman" w:hint="default"/>
                <w:snapToGrid w:val="0"/>
                <w:color w:val="auto"/>
                <w:spacing w:val="-6"/>
                <w:kern w:val="21"/>
                <w:szCs w:val="21"/>
                <w:highlight w:val="none"/>
              </w:rPr>
              <w:t>本项目</w:t>
            </w:r>
          </w:p>
          <w:p w14:paraId="69CD2E72">
            <w:pPr>
              <w:pStyle w:val="a8"/>
              <w:keepNext w:val="0"/>
              <w:keepLines w:val="0"/>
              <w:pageBreakBefore w:val="0"/>
              <w:kinsoku/>
              <w:wordWrap/>
              <w:overflowPunct/>
              <w:topLinePunct w:val="0"/>
              <w:autoSpaceDE/>
              <w:autoSpaceDN/>
              <w:bidi w:val="0"/>
              <w:adjustRightInd w:val="0"/>
              <w:snapToGrid w:val="0"/>
              <w:spacing w:beforeLines="0" w:afterLines="0" w:line="240" w:lineRule="auto"/>
              <w:rPr>
                <w:rFonts w:ascii="Times New Roman" w:eastAsia="宋体" w:hAnsi="Times New Roman" w:cs="Times New Roman" w:hint="default"/>
                <w:snapToGrid w:val="0"/>
                <w:color w:val="auto"/>
                <w:spacing w:val="-6"/>
                <w:kern w:val="21"/>
                <w:szCs w:val="21"/>
                <w:highlight w:val="none"/>
              </w:rPr>
            </w:pPr>
            <w:r>
              <w:rPr>
                <w:rFonts w:ascii="Times New Roman" w:eastAsia="宋体" w:hAnsi="Times New Roman" w:cs="Times New Roman" w:hint="default"/>
                <w:snapToGrid w:val="0"/>
                <w:color w:val="auto"/>
                <w:spacing w:val="-6"/>
                <w:kern w:val="21"/>
                <w:szCs w:val="21"/>
                <w:highlight w:val="none"/>
              </w:rPr>
              <w:t>排放量（固体废物产生量）</w:t>
            </w:r>
            <w:r>
              <w:rPr>
                <w:rFonts w:ascii="Times New Roman" w:eastAsia="宋体" w:hAnsi="Times New Roman" w:cs="Times New Roman" w:hint="default"/>
                <w:snapToGrid w:val="0"/>
                <w:color w:val="auto"/>
                <w:spacing w:val="-6"/>
                <w:kern w:val="21"/>
                <w:szCs w:val="21"/>
                <w:highlight w:val="none"/>
              </w:rPr>
              <w:fldChar w:fldCharType="begin"/>
            </w:r>
            <w:r>
              <w:rPr>
                <w:rFonts w:ascii="Times New Roman" w:eastAsia="宋体" w:hAnsi="Times New Roman" w:cs="Times New Roman" w:hint="default"/>
                <w:snapToGrid w:val="0"/>
                <w:color w:val="auto"/>
                <w:spacing w:val="-6"/>
                <w:kern w:val="21"/>
                <w:szCs w:val="21"/>
                <w:highlight w:val="none"/>
              </w:rPr>
              <w:instrText xml:space="preserve"> = 4 \* GB3 \* MERGEFORMAT </w:instrText>
            </w:r>
            <w:r>
              <w:rPr>
                <w:rFonts w:ascii="Times New Roman" w:eastAsia="宋体" w:hAnsi="Times New Roman" w:cs="Times New Roman" w:hint="default"/>
                <w:snapToGrid w:val="0"/>
                <w:color w:val="auto"/>
                <w:spacing w:val="-6"/>
                <w:kern w:val="21"/>
                <w:szCs w:val="21"/>
                <w:highlight w:val="none"/>
              </w:rPr>
              <w:fldChar w:fldCharType="separate"/>
            </w:r>
            <w:r>
              <w:rPr>
                <w:rFonts w:ascii="Times New Roman" w:eastAsia="宋体" w:hAnsi="Times New Roman" w:cs="Times New Roman" w:hint="default"/>
                <w:color w:val="auto"/>
                <w:kern w:val="2"/>
                <w:szCs w:val="21"/>
                <w:highlight w:val="none"/>
              </w:rPr>
              <w:t>④</w:t>
            </w:r>
            <w:r>
              <w:rPr>
                <w:rFonts w:ascii="Times New Roman" w:eastAsia="宋体" w:hAnsi="Times New Roman" w:cs="Times New Roman" w:hint="default"/>
                <w:snapToGrid w:val="0"/>
                <w:color w:val="auto"/>
                <w:spacing w:val="-6"/>
                <w:kern w:val="21"/>
                <w:szCs w:val="21"/>
                <w:highlight w:val="none"/>
              </w:rPr>
              <w:fldChar w:fldCharType="end"/>
            </w:r>
          </w:p>
        </w:tc>
        <w:tc>
          <w:tcPr>
            <w:tcW w:w="612" w:type="pct"/>
            <w:tcMar>
              <w:left w:w="28" w:type="dxa"/>
              <w:right w:w="28" w:type="dxa"/>
            </w:tcMar>
            <w:vAlign w:val="center"/>
          </w:tcPr>
          <w:p w14:paraId="5A46B973">
            <w:pPr>
              <w:pStyle w:val="a8"/>
              <w:keepNext w:val="0"/>
              <w:keepLines w:val="0"/>
              <w:pageBreakBefore w:val="0"/>
              <w:kinsoku/>
              <w:wordWrap/>
              <w:overflowPunct/>
              <w:topLinePunct w:val="0"/>
              <w:autoSpaceDE/>
              <w:autoSpaceDN/>
              <w:bidi w:val="0"/>
              <w:adjustRightInd w:val="0"/>
              <w:snapToGrid w:val="0"/>
              <w:spacing w:beforeLines="0" w:afterLines="0" w:line="240" w:lineRule="auto"/>
              <w:rPr>
                <w:rFonts w:ascii="Times New Roman" w:eastAsia="宋体" w:hAnsi="Times New Roman" w:cs="Times New Roman" w:hint="default"/>
                <w:snapToGrid w:val="0"/>
                <w:color w:val="auto"/>
                <w:spacing w:val="-16"/>
                <w:kern w:val="21"/>
                <w:szCs w:val="21"/>
                <w:highlight w:val="none"/>
              </w:rPr>
            </w:pPr>
            <w:r>
              <w:rPr>
                <w:rFonts w:ascii="Times New Roman" w:eastAsia="宋体" w:hAnsi="Times New Roman" w:cs="Times New Roman" w:hint="default"/>
                <w:snapToGrid w:val="0"/>
                <w:color w:val="auto"/>
                <w:spacing w:val="-16"/>
                <w:kern w:val="21"/>
                <w:szCs w:val="21"/>
                <w:highlight w:val="none"/>
              </w:rPr>
              <w:t>以新带老削减量</w:t>
            </w:r>
          </w:p>
          <w:p w14:paraId="42A43029">
            <w:pPr>
              <w:pStyle w:val="a8"/>
              <w:keepNext w:val="0"/>
              <w:keepLines w:val="0"/>
              <w:pageBreakBefore w:val="0"/>
              <w:kinsoku/>
              <w:wordWrap/>
              <w:overflowPunct/>
              <w:topLinePunct w:val="0"/>
              <w:autoSpaceDE/>
              <w:autoSpaceDN/>
              <w:bidi w:val="0"/>
              <w:adjustRightInd w:val="0"/>
              <w:snapToGrid w:val="0"/>
              <w:spacing w:beforeLines="0" w:afterLines="0" w:line="240" w:lineRule="auto"/>
              <w:rPr>
                <w:rFonts w:ascii="Times New Roman" w:eastAsia="宋体" w:hAnsi="Times New Roman" w:cs="Times New Roman" w:hint="default"/>
                <w:snapToGrid w:val="0"/>
                <w:color w:val="auto"/>
                <w:spacing w:val="-16"/>
                <w:kern w:val="21"/>
                <w:szCs w:val="21"/>
                <w:highlight w:val="none"/>
              </w:rPr>
            </w:pPr>
            <w:r>
              <w:rPr>
                <w:rFonts w:ascii="Times New Roman" w:eastAsia="宋体" w:hAnsi="Times New Roman" w:cs="Times New Roman" w:hint="default"/>
                <w:snapToGrid w:val="0"/>
                <w:color w:val="auto"/>
                <w:spacing w:val="-16"/>
                <w:kern w:val="21"/>
                <w:szCs w:val="21"/>
                <w:highlight w:val="none"/>
              </w:rPr>
              <w:t>（新建项目不填）</w:t>
            </w:r>
            <w:r>
              <w:rPr>
                <w:rFonts w:ascii="Times New Roman" w:eastAsia="宋体" w:hAnsi="Times New Roman" w:cs="Times New Roman" w:hint="default"/>
                <w:snapToGrid w:val="0"/>
                <w:color w:val="auto"/>
                <w:spacing w:val="-16"/>
                <w:kern w:val="21"/>
                <w:szCs w:val="21"/>
                <w:highlight w:val="none"/>
              </w:rPr>
              <w:fldChar w:fldCharType="begin"/>
            </w:r>
            <w:r>
              <w:rPr>
                <w:rFonts w:ascii="Times New Roman" w:eastAsia="宋体" w:hAnsi="Times New Roman" w:cs="Times New Roman" w:hint="default"/>
                <w:snapToGrid w:val="0"/>
                <w:color w:val="auto"/>
                <w:spacing w:val="-16"/>
                <w:kern w:val="21"/>
                <w:szCs w:val="21"/>
                <w:highlight w:val="none"/>
              </w:rPr>
              <w:instrText xml:space="preserve"> = 5 \* GB3 \* MERGEFORMAT </w:instrText>
            </w:r>
            <w:r>
              <w:rPr>
                <w:rFonts w:ascii="Times New Roman" w:eastAsia="宋体" w:hAnsi="Times New Roman" w:cs="Times New Roman" w:hint="default"/>
                <w:snapToGrid w:val="0"/>
                <w:color w:val="auto"/>
                <w:spacing w:val="-16"/>
                <w:kern w:val="21"/>
                <w:szCs w:val="21"/>
                <w:highlight w:val="none"/>
              </w:rPr>
              <w:fldChar w:fldCharType="separate"/>
            </w:r>
            <w:r>
              <w:rPr>
                <w:rFonts w:ascii="Times New Roman" w:eastAsia="宋体" w:hAnsi="Times New Roman" w:cs="Times New Roman" w:hint="default"/>
                <w:color w:val="auto"/>
                <w:kern w:val="2"/>
                <w:szCs w:val="21"/>
                <w:highlight w:val="none"/>
              </w:rPr>
              <w:t>⑤</w:t>
            </w:r>
            <w:r>
              <w:rPr>
                <w:rFonts w:ascii="Times New Roman" w:eastAsia="宋体" w:hAnsi="Times New Roman" w:cs="Times New Roman" w:hint="default"/>
                <w:snapToGrid w:val="0"/>
                <w:color w:val="auto"/>
                <w:spacing w:val="-16"/>
                <w:kern w:val="21"/>
                <w:szCs w:val="21"/>
                <w:highlight w:val="none"/>
              </w:rPr>
              <w:fldChar w:fldCharType="end"/>
            </w:r>
          </w:p>
        </w:tc>
        <w:tc>
          <w:tcPr>
            <w:tcW w:w="684" w:type="pct"/>
            <w:tcMar>
              <w:left w:w="28" w:type="dxa"/>
              <w:right w:w="28" w:type="dxa"/>
            </w:tcMar>
            <w:vAlign w:val="center"/>
          </w:tcPr>
          <w:p w14:paraId="7156B49E">
            <w:pPr>
              <w:pStyle w:val="a8"/>
              <w:keepNext w:val="0"/>
              <w:keepLines w:val="0"/>
              <w:pageBreakBefore w:val="0"/>
              <w:kinsoku/>
              <w:wordWrap/>
              <w:overflowPunct/>
              <w:topLinePunct w:val="0"/>
              <w:autoSpaceDE/>
              <w:autoSpaceDN/>
              <w:bidi w:val="0"/>
              <w:adjustRightInd w:val="0"/>
              <w:snapToGrid w:val="0"/>
              <w:spacing w:beforeLines="0" w:afterLines="0" w:line="240" w:lineRule="auto"/>
              <w:rPr>
                <w:rFonts w:ascii="Times New Roman" w:eastAsia="宋体" w:hAnsi="Times New Roman" w:cs="Times New Roman" w:hint="default"/>
                <w:snapToGrid w:val="0"/>
                <w:color w:val="auto"/>
                <w:spacing w:val="-16"/>
                <w:kern w:val="21"/>
                <w:szCs w:val="21"/>
                <w:highlight w:val="none"/>
              </w:rPr>
            </w:pPr>
            <w:r>
              <w:rPr>
                <w:rFonts w:ascii="Times New Roman" w:eastAsia="宋体" w:hAnsi="Times New Roman" w:cs="Times New Roman" w:hint="default"/>
                <w:snapToGrid w:val="0"/>
                <w:color w:val="auto"/>
                <w:spacing w:val="-16"/>
                <w:kern w:val="21"/>
                <w:szCs w:val="21"/>
                <w:highlight w:val="none"/>
              </w:rPr>
              <w:t>本项目建成后</w:t>
            </w:r>
          </w:p>
          <w:p w14:paraId="2239DD1A">
            <w:pPr>
              <w:pStyle w:val="a8"/>
              <w:keepNext w:val="0"/>
              <w:keepLines w:val="0"/>
              <w:pageBreakBefore w:val="0"/>
              <w:kinsoku/>
              <w:wordWrap/>
              <w:overflowPunct/>
              <w:topLinePunct w:val="0"/>
              <w:autoSpaceDE/>
              <w:autoSpaceDN/>
              <w:bidi w:val="0"/>
              <w:adjustRightInd w:val="0"/>
              <w:snapToGrid w:val="0"/>
              <w:spacing w:beforeLines="0" w:afterLines="0" w:line="240" w:lineRule="auto"/>
              <w:rPr>
                <w:rFonts w:ascii="Times New Roman" w:eastAsia="宋体" w:hAnsi="Times New Roman" w:cs="Times New Roman" w:hint="default"/>
                <w:snapToGrid w:val="0"/>
                <w:color w:val="auto"/>
                <w:spacing w:val="-16"/>
                <w:kern w:val="21"/>
                <w:szCs w:val="21"/>
                <w:highlight w:val="none"/>
              </w:rPr>
            </w:pPr>
            <w:r>
              <w:rPr>
                <w:rFonts w:ascii="Times New Roman" w:eastAsia="宋体" w:hAnsi="Times New Roman" w:cs="Times New Roman" w:hint="default"/>
                <w:snapToGrid w:val="0"/>
                <w:color w:val="auto"/>
                <w:spacing w:val="-16"/>
                <w:kern w:val="21"/>
                <w:szCs w:val="21"/>
                <w:highlight w:val="none"/>
              </w:rPr>
              <w:t>全厂排放量（固体废物产生量）</w:t>
            </w:r>
            <w:r>
              <w:rPr>
                <w:rFonts w:ascii="Times New Roman" w:eastAsia="宋体" w:hAnsi="Times New Roman" w:cs="Times New Roman" w:hint="default"/>
                <w:snapToGrid w:val="0"/>
                <w:color w:val="auto"/>
                <w:spacing w:val="-16"/>
                <w:kern w:val="21"/>
                <w:szCs w:val="21"/>
                <w:highlight w:val="none"/>
              </w:rPr>
              <w:fldChar w:fldCharType="begin"/>
            </w:r>
            <w:r>
              <w:rPr>
                <w:rFonts w:ascii="Times New Roman" w:eastAsia="宋体" w:hAnsi="Times New Roman" w:cs="Times New Roman" w:hint="default"/>
                <w:snapToGrid w:val="0"/>
                <w:color w:val="auto"/>
                <w:spacing w:val="-16"/>
                <w:kern w:val="21"/>
                <w:szCs w:val="21"/>
                <w:highlight w:val="none"/>
              </w:rPr>
              <w:instrText xml:space="preserve"> = 6 \* GB3 \* MERGEFORMAT </w:instrText>
            </w:r>
            <w:r>
              <w:rPr>
                <w:rFonts w:ascii="Times New Roman" w:eastAsia="宋体" w:hAnsi="Times New Roman" w:cs="Times New Roman" w:hint="default"/>
                <w:snapToGrid w:val="0"/>
                <w:color w:val="auto"/>
                <w:spacing w:val="-16"/>
                <w:kern w:val="21"/>
                <w:szCs w:val="21"/>
                <w:highlight w:val="none"/>
              </w:rPr>
              <w:fldChar w:fldCharType="separate"/>
            </w:r>
            <w:r>
              <w:rPr>
                <w:rFonts w:ascii="Times New Roman" w:eastAsia="宋体" w:hAnsi="Times New Roman" w:cs="Times New Roman" w:hint="default"/>
                <w:color w:val="auto"/>
                <w:kern w:val="2"/>
                <w:szCs w:val="21"/>
                <w:highlight w:val="none"/>
              </w:rPr>
              <w:t>⑥</w:t>
            </w:r>
            <w:r>
              <w:rPr>
                <w:rFonts w:ascii="Times New Roman" w:eastAsia="宋体" w:hAnsi="Times New Roman" w:cs="Times New Roman" w:hint="default"/>
                <w:snapToGrid w:val="0"/>
                <w:color w:val="auto"/>
                <w:spacing w:val="-16"/>
                <w:kern w:val="21"/>
                <w:szCs w:val="21"/>
                <w:highlight w:val="none"/>
              </w:rPr>
              <w:fldChar w:fldCharType="end"/>
            </w:r>
          </w:p>
        </w:tc>
        <w:tc>
          <w:tcPr>
            <w:tcW w:w="511" w:type="pct"/>
            <w:tcMar>
              <w:left w:w="28" w:type="dxa"/>
              <w:right w:w="28" w:type="dxa"/>
            </w:tcMar>
            <w:vAlign w:val="center"/>
          </w:tcPr>
          <w:p w14:paraId="398D9945">
            <w:pPr>
              <w:pStyle w:val="a8"/>
              <w:keepNext w:val="0"/>
              <w:keepLines w:val="0"/>
              <w:pageBreakBefore w:val="0"/>
              <w:kinsoku/>
              <w:wordWrap/>
              <w:overflowPunct/>
              <w:topLinePunct w:val="0"/>
              <w:autoSpaceDE/>
              <w:autoSpaceDN/>
              <w:bidi w:val="0"/>
              <w:adjustRightInd w:val="0"/>
              <w:snapToGrid w:val="0"/>
              <w:spacing w:beforeLines="0" w:afterLines="0" w:line="240" w:lineRule="auto"/>
              <w:rPr>
                <w:rFonts w:ascii="Times New Roman" w:eastAsia="宋体" w:hAnsi="Times New Roman" w:cs="Times New Roman" w:hint="default"/>
                <w:snapToGrid w:val="0"/>
                <w:color w:val="auto"/>
                <w:spacing w:val="-6"/>
                <w:kern w:val="21"/>
                <w:szCs w:val="21"/>
                <w:highlight w:val="none"/>
              </w:rPr>
            </w:pPr>
            <w:r>
              <w:rPr>
                <w:rFonts w:ascii="Times New Roman" w:eastAsia="宋体" w:hAnsi="Times New Roman" w:cs="Times New Roman" w:hint="default"/>
                <w:snapToGrid w:val="0"/>
                <w:color w:val="auto"/>
                <w:spacing w:val="-6"/>
                <w:kern w:val="21"/>
                <w:szCs w:val="21"/>
                <w:highlight w:val="none"/>
              </w:rPr>
              <w:t>变化量</w:t>
            </w:r>
          </w:p>
          <w:p w14:paraId="5CC81188">
            <w:pPr>
              <w:pStyle w:val="a8"/>
              <w:keepNext w:val="0"/>
              <w:keepLines w:val="0"/>
              <w:pageBreakBefore w:val="0"/>
              <w:kinsoku/>
              <w:wordWrap/>
              <w:overflowPunct/>
              <w:topLinePunct w:val="0"/>
              <w:autoSpaceDE/>
              <w:autoSpaceDN/>
              <w:bidi w:val="0"/>
              <w:adjustRightInd w:val="0"/>
              <w:snapToGrid w:val="0"/>
              <w:spacing w:beforeLines="0" w:afterLines="0" w:line="240" w:lineRule="auto"/>
              <w:rPr>
                <w:rFonts w:ascii="Times New Roman" w:eastAsia="宋体" w:hAnsi="Times New Roman" w:cs="Times New Roman" w:hint="default"/>
                <w:snapToGrid w:val="0"/>
                <w:color w:val="auto"/>
                <w:spacing w:val="-6"/>
                <w:kern w:val="21"/>
                <w:szCs w:val="21"/>
                <w:highlight w:val="none"/>
              </w:rPr>
            </w:pPr>
            <w:r>
              <w:rPr>
                <w:rFonts w:ascii="Times New Roman" w:eastAsia="宋体" w:hAnsi="Times New Roman" w:cs="Times New Roman" w:hint="default"/>
                <w:snapToGrid w:val="0"/>
                <w:color w:val="auto"/>
                <w:spacing w:val="-6"/>
                <w:kern w:val="21"/>
                <w:szCs w:val="21"/>
                <w:highlight w:val="none"/>
              </w:rPr>
              <w:fldChar w:fldCharType="begin"/>
            </w:r>
            <w:r>
              <w:rPr>
                <w:rFonts w:ascii="Times New Roman" w:eastAsia="宋体" w:hAnsi="Times New Roman" w:cs="Times New Roman" w:hint="default"/>
                <w:snapToGrid w:val="0"/>
                <w:color w:val="auto"/>
                <w:spacing w:val="-6"/>
                <w:kern w:val="21"/>
                <w:szCs w:val="21"/>
                <w:highlight w:val="none"/>
              </w:rPr>
              <w:instrText xml:space="preserve"> = 7 \* GB3 \* MERGEFORMAT </w:instrText>
            </w:r>
            <w:r>
              <w:rPr>
                <w:rFonts w:ascii="Times New Roman" w:eastAsia="宋体" w:hAnsi="Times New Roman" w:cs="Times New Roman" w:hint="default"/>
                <w:snapToGrid w:val="0"/>
                <w:color w:val="auto"/>
                <w:spacing w:val="-6"/>
                <w:kern w:val="21"/>
                <w:szCs w:val="21"/>
                <w:highlight w:val="none"/>
              </w:rPr>
              <w:fldChar w:fldCharType="separate"/>
            </w:r>
            <w:r>
              <w:rPr>
                <w:rFonts w:ascii="Times New Roman" w:eastAsia="宋体" w:hAnsi="Times New Roman" w:cs="Times New Roman" w:hint="default"/>
                <w:color w:val="auto"/>
                <w:kern w:val="2"/>
                <w:szCs w:val="21"/>
                <w:highlight w:val="none"/>
              </w:rPr>
              <w:t>⑦</w:t>
            </w:r>
            <w:r>
              <w:rPr>
                <w:rFonts w:ascii="Times New Roman" w:eastAsia="宋体" w:hAnsi="Times New Roman" w:cs="Times New Roman" w:hint="default"/>
                <w:snapToGrid w:val="0"/>
                <w:color w:val="auto"/>
                <w:spacing w:val="-6"/>
                <w:kern w:val="21"/>
                <w:szCs w:val="21"/>
                <w:highlight w:val="none"/>
              </w:rPr>
              <w:fldChar w:fldCharType="end"/>
            </w:r>
          </w:p>
        </w:tc>
      </w:tr>
      <w:tr w14:paraId="16C58C1B">
        <w:tblPrEx>
          <w:tblW w:w="5000" w:type="pct"/>
          <w:tblInd w:w="0" w:type="dxa"/>
          <w:tblCellMar>
            <w:top w:w="0" w:type="dxa"/>
            <w:left w:w="108" w:type="dxa"/>
            <w:bottom w:w="0" w:type="dxa"/>
            <w:right w:w="108" w:type="dxa"/>
          </w:tblCellMar>
        </w:tblPrEx>
        <w:trPr>
          <w:trHeight w:val="170"/>
        </w:trPr>
        <w:tc>
          <w:tcPr>
            <w:tcW w:w="548" w:type="pct"/>
            <w:vAlign w:val="center"/>
          </w:tcPr>
          <w:p w14:paraId="2A09B6EA">
            <w:pPr>
              <w:pStyle w:val="a8"/>
              <w:keepNext w:val="0"/>
              <w:keepLines w:val="0"/>
              <w:pageBreakBefore w:val="0"/>
              <w:kinsoku/>
              <w:wordWrap/>
              <w:overflowPunct/>
              <w:topLinePunct w:val="0"/>
              <w:autoSpaceDE/>
              <w:autoSpaceDN/>
              <w:bidi w:val="0"/>
              <w:adjustRightInd w:val="0"/>
              <w:snapToGrid w:val="0"/>
              <w:spacing w:beforeLines="0" w:afterLines="0" w:line="240" w:lineRule="auto"/>
              <w:rPr>
                <w:rFonts w:ascii="Times New Roman" w:eastAsia="宋体" w:hAnsi="Times New Roman" w:cs="Times New Roman" w:hint="default"/>
                <w:snapToGrid w:val="0"/>
                <w:color w:val="auto"/>
                <w:kern w:val="21"/>
                <w:szCs w:val="21"/>
                <w:highlight w:val="none"/>
                <w:lang w:val="en-US" w:eastAsia="zh-CN"/>
              </w:rPr>
            </w:pPr>
            <w:r>
              <w:rPr>
                <w:rFonts w:ascii="Times New Roman" w:eastAsia="宋体" w:hAnsi="Times New Roman" w:cs="Times New Roman" w:hint="default"/>
                <w:snapToGrid w:val="0"/>
                <w:color w:val="auto"/>
                <w:kern w:val="21"/>
                <w:szCs w:val="21"/>
                <w:highlight w:val="none"/>
                <w:lang w:val="en-US" w:eastAsia="zh-CN"/>
              </w:rPr>
              <w:t>废气</w:t>
            </w:r>
          </w:p>
        </w:tc>
        <w:tc>
          <w:tcPr>
            <w:tcW w:w="487" w:type="pct"/>
            <w:vAlign w:val="center"/>
          </w:tcPr>
          <w:p w14:paraId="725ABF32">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color w:val="auto"/>
                <w:sz w:val="21"/>
                <w:szCs w:val="21"/>
                <w:highlight w:val="none"/>
                <w:lang w:val="en-US" w:eastAsia="zh-CN"/>
              </w:rPr>
              <w:t>/</w:t>
            </w:r>
          </w:p>
        </w:tc>
        <w:tc>
          <w:tcPr>
            <w:tcW w:w="590" w:type="pct"/>
            <w:vAlign w:val="center"/>
          </w:tcPr>
          <w:p w14:paraId="0F1E1A15">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snapToGrid w:val="0"/>
                <w:color w:val="auto"/>
                <w:sz w:val="21"/>
                <w:szCs w:val="24"/>
                <w:highlight w:val="none"/>
                <w:lang w:val="en-US" w:eastAsia="zh-CN" w:bidi="ar-SA"/>
              </w:rPr>
            </w:pPr>
            <w:r>
              <w:rPr>
                <w:rFonts w:ascii="Times New Roman" w:eastAsia="宋体" w:hAnsi="Times New Roman" w:cs="Times New Roman" w:hint="default"/>
                <w:snapToGrid w:val="0"/>
                <w:color w:val="auto"/>
                <w:sz w:val="21"/>
                <w:szCs w:val="24"/>
                <w:highlight w:val="none"/>
                <w:lang w:val="en-US" w:eastAsia="zh-CN" w:bidi="ar-SA"/>
              </w:rPr>
              <w:t>/</w:t>
            </w:r>
          </w:p>
        </w:tc>
        <w:tc>
          <w:tcPr>
            <w:tcW w:w="435" w:type="pct"/>
            <w:vAlign w:val="center"/>
          </w:tcPr>
          <w:p w14:paraId="2E801A77">
            <w:pPr>
              <w:keepNext w:val="0"/>
              <w:keepLines w:val="0"/>
              <w:pageBreakBefore w:val="0"/>
              <w:kinsoku/>
              <w:wordWrap/>
              <w:overflowPunct/>
              <w:topLinePunct w:val="0"/>
              <w:autoSpaceDE/>
              <w:autoSpaceDN/>
              <w:bidi w:val="0"/>
              <w:adjustRightInd w:val="0"/>
              <w:snapToGrid w:val="0"/>
              <w:spacing w:beforeLines="0" w:afterLines="0" w:line="240" w:lineRule="auto"/>
              <w:jc w:val="center"/>
              <w:rPr>
                <w:rFonts w:ascii="Times New Roman" w:eastAsia="宋体" w:hAnsi="Times New Roman" w:cs="Times New Roman" w:hint="default"/>
                <w:snapToGrid w:val="0"/>
                <w:color w:val="auto"/>
                <w:kern w:val="21"/>
                <w:sz w:val="21"/>
                <w:szCs w:val="21"/>
                <w:highlight w:val="none"/>
                <w:lang w:val="en-US" w:eastAsia="zh-CN" w:bidi="ar-SA"/>
              </w:rPr>
            </w:pPr>
            <w:r>
              <w:rPr>
                <w:rFonts w:ascii="Times New Roman" w:eastAsia="宋体" w:hAnsi="Times New Roman" w:cs="Times New Roman" w:hint="default"/>
                <w:snapToGrid w:val="0"/>
                <w:color w:val="auto"/>
                <w:sz w:val="21"/>
                <w:szCs w:val="24"/>
                <w:highlight w:val="none"/>
                <w:lang w:val="en-US" w:eastAsia="zh-CN" w:bidi="ar-SA"/>
              </w:rPr>
              <w:t>/</w:t>
            </w:r>
          </w:p>
        </w:tc>
        <w:tc>
          <w:tcPr>
            <w:tcW w:w="590" w:type="pct"/>
            <w:vAlign w:val="center"/>
          </w:tcPr>
          <w:p w14:paraId="4FF3AA29">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snapToGrid w:val="0"/>
                <w:color w:val="auto"/>
                <w:sz w:val="21"/>
                <w:szCs w:val="24"/>
                <w:highlight w:val="none"/>
                <w:lang w:val="en-US" w:eastAsia="zh-CN" w:bidi="ar-SA"/>
              </w:rPr>
              <w:t>/</w:t>
            </w:r>
          </w:p>
        </w:tc>
        <w:tc>
          <w:tcPr>
            <w:tcW w:w="538" w:type="pct"/>
            <w:vAlign w:val="center"/>
          </w:tcPr>
          <w:p w14:paraId="106B9E0D">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snapToGrid w:val="0"/>
                <w:color w:val="auto"/>
                <w:sz w:val="21"/>
                <w:szCs w:val="24"/>
                <w:highlight w:val="none"/>
                <w:lang w:val="en-US" w:eastAsia="zh-CN" w:bidi="ar-SA"/>
              </w:rPr>
              <w:t>/</w:t>
            </w:r>
          </w:p>
        </w:tc>
        <w:tc>
          <w:tcPr>
            <w:tcW w:w="612" w:type="pct"/>
            <w:vAlign w:val="center"/>
          </w:tcPr>
          <w:p w14:paraId="6BD24778">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snapToGrid w:val="0"/>
                <w:color w:val="auto"/>
                <w:sz w:val="21"/>
                <w:szCs w:val="24"/>
                <w:highlight w:val="none"/>
                <w:lang w:val="en-US" w:eastAsia="zh-CN" w:bidi="ar-SA"/>
              </w:rPr>
              <w:t>/</w:t>
            </w:r>
          </w:p>
        </w:tc>
        <w:tc>
          <w:tcPr>
            <w:tcW w:w="684" w:type="pct"/>
            <w:vAlign w:val="center"/>
          </w:tcPr>
          <w:p w14:paraId="07B6F177">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snapToGrid w:val="0"/>
                <w:color w:val="auto"/>
                <w:sz w:val="21"/>
                <w:szCs w:val="24"/>
                <w:highlight w:val="none"/>
                <w:lang w:val="en-US" w:eastAsia="zh-CN" w:bidi="ar-SA"/>
              </w:rPr>
              <w:t>/</w:t>
            </w:r>
          </w:p>
        </w:tc>
        <w:tc>
          <w:tcPr>
            <w:tcW w:w="511" w:type="pct"/>
            <w:vAlign w:val="center"/>
          </w:tcPr>
          <w:p w14:paraId="175EFF2E">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snapToGrid w:val="0"/>
                <w:color w:val="auto"/>
                <w:sz w:val="21"/>
                <w:szCs w:val="24"/>
                <w:highlight w:val="none"/>
                <w:lang w:val="en-US" w:eastAsia="zh-CN" w:bidi="ar-SA"/>
              </w:rPr>
              <w:t>/</w:t>
            </w:r>
          </w:p>
        </w:tc>
      </w:tr>
      <w:tr w14:paraId="06599C64">
        <w:tblPrEx>
          <w:tblW w:w="5000" w:type="pct"/>
          <w:tblInd w:w="0" w:type="dxa"/>
          <w:tblCellMar>
            <w:top w:w="0" w:type="dxa"/>
            <w:left w:w="108" w:type="dxa"/>
            <w:bottom w:w="0" w:type="dxa"/>
            <w:right w:w="108" w:type="dxa"/>
          </w:tblCellMar>
        </w:tblPrEx>
        <w:trPr>
          <w:trHeight w:val="170"/>
        </w:trPr>
        <w:tc>
          <w:tcPr>
            <w:tcW w:w="548" w:type="pct"/>
            <w:vMerge w:val="restart"/>
            <w:vAlign w:val="center"/>
          </w:tcPr>
          <w:p w14:paraId="79F0D04A">
            <w:pPr>
              <w:pStyle w:val="a8"/>
              <w:keepNext w:val="0"/>
              <w:keepLines w:val="0"/>
              <w:pageBreakBefore w:val="0"/>
              <w:kinsoku/>
              <w:wordWrap/>
              <w:overflowPunct/>
              <w:topLinePunct w:val="0"/>
              <w:autoSpaceDE/>
              <w:autoSpaceDN/>
              <w:bidi w:val="0"/>
              <w:adjustRightInd w:val="0"/>
              <w:snapToGrid w:val="0"/>
              <w:spacing w:beforeLines="0" w:afterLines="0" w:line="240" w:lineRule="auto"/>
              <w:rPr>
                <w:rFonts w:ascii="Times New Roman" w:eastAsia="宋体" w:hAnsi="Times New Roman" w:cs="Times New Roman" w:hint="default"/>
                <w:snapToGrid w:val="0"/>
                <w:color w:val="auto"/>
                <w:kern w:val="21"/>
                <w:szCs w:val="21"/>
                <w:highlight w:val="none"/>
              </w:rPr>
            </w:pPr>
            <w:r>
              <w:rPr>
                <w:rFonts w:ascii="Times New Roman" w:eastAsia="宋体" w:hAnsi="Times New Roman" w:cs="Times New Roman" w:hint="default"/>
                <w:snapToGrid w:val="0"/>
                <w:color w:val="auto"/>
                <w:kern w:val="21"/>
                <w:szCs w:val="21"/>
                <w:highlight w:val="none"/>
              </w:rPr>
              <w:t>废水</w:t>
            </w:r>
          </w:p>
        </w:tc>
        <w:tc>
          <w:tcPr>
            <w:tcW w:w="487" w:type="pct"/>
            <w:vAlign w:val="center"/>
          </w:tcPr>
          <w:p w14:paraId="3877E62D">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color w:val="auto"/>
                <w:sz w:val="21"/>
                <w:szCs w:val="21"/>
                <w:highlight w:val="none"/>
              </w:rPr>
              <w:t>COD</w:t>
            </w:r>
            <w:r>
              <w:rPr>
                <w:rFonts w:ascii="Times New Roman" w:eastAsia="宋体" w:hAnsi="Times New Roman" w:cs="Times New Roman" w:hint="default"/>
                <w:color w:val="auto"/>
                <w:sz w:val="21"/>
                <w:szCs w:val="21"/>
                <w:highlight w:val="none"/>
                <w:lang w:val="en-US" w:eastAsia="zh-CN"/>
              </w:rPr>
              <w:t>cr</w:t>
            </w:r>
          </w:p>
        </w:tc>
        <w:tc>
          <w:tcPr>
            <w:tcW w:w="590" w:type="pct"/>
            <w:vAlign w:val="center"/>
          </w:tcPr>
          <w:p w14:paraId="52385A69">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snapToGrid w:val="0"/>
                <w:color w:val="auto"/>
                <w:kern w:val="21"/>
                <w:szCs w:val="21"/>
                <w:highlight w:val="none"/>
                <w:lang w:val="en-US" w:eastAsia="zh-CN"/>
              </w:rPr>
            </w:pPr>
            <w:r>
              <w:rPr>
                <w:rFonts w:ascii="Times New Roman" w:eastAsia="宋体" w:hAnsi="Times New Roman" w:cs="Times New Roman" w:hint="default"/>
                <w:snapToGrid w:val="0"/>
                <w:color w:val="auto"/>
                <w:sz w:val="21"/>
                <w:szCs w:val="24"/>
                <w:highlight w:val="none"/>
                <w:lang w:val="en-US" w:eastAsia="zh-CN" w:bidi="ar-SA"/>
              </w:rPr>
              <w:t>/</w:t>
            </w:r>
          </w:p>
        </w:tc>
        <w:tc>
          <w:tcPr>
            <w:tcW w:w="435" w:type="pct"/>
            <w:vAlign w:val="center"/>
          </w:tcPr>
          <w:p w14:paraId="274CBF09">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snapToGrid w:val="0"/>
                <w:color w:val="auto"/>
                <w:kern w:val="21"/>
                <w:szCs w:val="21"/>
                <w:highlight w:val="none"/>
              </w:rPr>
            </w:pPr>
            <w:r>
              <w:rPr>
                <w:rFonts w:ascii="Times New Roman" w:eastAsia="宋体" w:hAnsi="Times New Roman" w:cs="Times New Roman" w:hint="default"/>
                <w:snapToGrid w:val="0"/>
                <w:color w:val="auto"/>
                <w:sz w:val="21"/>
                <w:szCs w:val="24"/>
                <w:highlight w:val="none"/>
                <w:lang w:val="en-US" w:eastAsia="zh-CN" w:bidi="ar-SA"/>
              </w:rPr>
              <w:t>/</w:t>
            </w:r>
          </w:p>
        </w:tc>
        <w:tc>
          <w:tcPr>
            <w:tcW w:w="590" w:type="pct"/>
            <w:vAlign w:val="center"/>
          </w:tcPr>
          <w:p w14:paraId="2D8C065E">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snapToGrid w:val="0"/>
                <w:color w:val="auto"/>
                <w:kern w:val="21"/>
                <w:szCs w:val="21"/>
                <w:highlight w:val="none"/>
              </w:rPr>
            </w:pPr>
            <w:r>
              <w:rPr>
                <w:rFonts w:ascii="Times New Roman" w:eastAsia="宋体" w:hAnsi="Times New Roman" w:cs="Times New Roman" w:hint="default"/>
                <w:snapToGrid w:val="0"/>
                <w:color w:val="auto"/>
                <w:sz w:val="21"/>
                <w:szCs w:val="24"/>
                <w:highlight w:val="none"/>
                <w:lang w:val="en-US" w:eastAsia="zh-CN" w:bidi="ar-SA"/>
              </w:rPr>
              <w:t>/</w:t>
            </w:r>
          </w:p>
        </w:tc>
        <w:tc>
          <w:tcPr>
            <w:tcW w:w="538" w:type="pct"/>
            <w:vAlign w:val="center"/>
          </w:tcPr>
          <w:p w14:paraId="4D407A6A">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snapToGrid w:val="0"/>
                <w:color w:val="auto"/>
                <w:sz w:val="21"/>
                <w:szCs w:val="24"/>
                <w:highlight w:val="none"/>
                <w:lang w:val="en-US" w:eastAsia="zh-CN" w:bidi="ar-SA"/>
              </w:rPr>
              <w:t>/</w:t>
            </w:r>
          </w:p>
        </w:tc>
        <w:tc>
          <w:tcPr>
            <w:tcW w:w="612" w:type="pct"/>
            <w:vAlign w:val="center"/>
          </w:tcPr>
          <w:p w14:paraId="65381B4E">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snapToGrid w:val="0"/>
                <w:color w:val="auto"/>
                <w:kern w:val="21"/>
                <w:szCs w:val="21"/>
                <w:highlight w:val="none"/>
              </w:rPr>
            </w:pPr>
            <w:r>
              <w:rPr>
                <w:rFonts w:ascii="Times New Roman" w:eastAsia="宋体" w:hAnsi="Times New Roman" w:cs="Times New Roman" w:hint="default"/>
                <w:snapToGrid w:val="0"/>
                <w:color w:val="auto"/>
                <w:sz w:val="21"/>
                <w:szCs w:val="24"/>
                <w:highlight w:val="none"/>
                <w:lang w:val="en-US" w:eastAsia="zh-CN" w:bidi="ar-SA"/>
              </w:rPr>
              <w:t>/</w:t>
            </w:r>
          </w:p>
        </w:tc>
        <w:tc>
          <w:tcPr>
            <w:tcW w:w="684" w:type="pct"/>
            <w:vAlign w:val="center"/>
          </w:tcPr>
          <w:p w14:paraId="0C1A485E">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snapToGrid w:val="0"/>
                <w:color w:val="auto"/>
                <w:sz w:val="21"/>
                <w:szCs w:val="24"/>
                <w:highlight w:val="none"/>
                <w:lang w:val="en-US" w:eastAsia="zh-CN" w:bidi="ar-SA"/>
              </w:rPr>
              <w:t>/</w:t>
            </w:r>
          </w:p>
        </w:tc>
        <w:tc>
          <w:tcPr>
            <w:tcW w:w="511" w:type="pct"/>
            <w:vAlign w:val="center"/>
          </w:tcPr>
          <w:p w14:paraId="57BCDE5B">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snapToGrid w:val="0"/>
                <w:color w:val="auto"/>
                <w:sz w:val="21"/>
                <w:szCs w:val="24"/>
                <w:highlight w:val="none"/>
                <w:lang w:val="en-US" w:eastAsia="zh-CN" w:bidi="ar-SA"/>
              </w:rPr>
              <w:t>/</w:t>
            </w:r>
          </w:p>
        </w:tc>
      </w:tr>
      <w:tr w14:paraId="5F6EEE23">
        <w:tblPrEx>
          <w:tblW w:w="5000" w:type="pct"/>
          <w:tblInd w:w="0" w:type="dxa"/>
          <w:tblCellMar>
            <w:top w:w="0" w:type="dxa"/>
            <w:left w:w="108" w:type="dxa"/>
            <w:bottom w:w="0" w:type="dxa"/>
            <w:right w:w="108" w:type="dxa"/>
          </w:tblCellMar>
        </w:tblPrEx>
        <w:trPr>
          <w:trHeight w:val="170"/>
        </w:trPr>
        <w:tc>
          <w:tcPr>
            <w:tcW w:w="548" w:type="pct"/>
            <w:vMerge/>
            <w:vAlign w:val="center"/>
          </w:tcPr>
          <w:p w14:paraId="36BD8FCD">
            <w:pPr>
              <w:pStyle w:val="a8"/>
              <w:keepNext w:val="0"/>
              <w:keepLines w:val="0"/>
              <w:pageBreakBefore w:val="0"/>
              <w:kinsoku/>
              <w:wordWrap/>
              <w:overflowPunct/>
              <w:topLinePunct w:val="0"/>
              <w:autoSpaceDE/>
              <w:autoSpaceDN/>
              <w:bidi w:val="0"/>
              <w:adjustRightInd w:val="0"/>
              <w:snapToGrid w:val="0"/>
              <w:spacing w:beforeLines="0" w:afterLines="0" w:line="240" w:lineRule="auto"/>
              <w:rPr>
                <w:rFonts w:ascii="Times New Roman" w:eastAsia="宋体" w:hAnsi="Times New Roman" w:cs="Times New Roman" w:hint="default"/>
                <w:snapToGrid w:val="0"/>
                <w:color w:val="auto"/>
                <w:kern w:val="21"/>
                <w:szCs w:val="21"/>
                <w:highlight w:val="none"/>
              </w:rPr>
            </w:pPr>
          </w:p>
        </w:tc>
        <w:tc>
          <w:tcPr>
            <w:tcW w:w="487" w:type="pct"/>
            <w:vAlign w:val="center"/>
          </w:tcPr>
          <w:p w14:paraId="499170BC">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color w:val="auto"/>
                <w:sz w:val="21"/>
                <w:szCs w:val="21"/>
                <w:highlight w:val="none"/>
              </w:rPr>
              <w:t>NH</w:t>
            </w:r>
            <w:r>
              <w:rPr>
                <w:rFonts w:ascii="Times New Roman" w:eastAsia="宋体" w:hAnsi="Times New Roman" w:cs="Times New Roman" w:hint="default"/>
                <w:color w:val="auto"/>
                <w:sz w:val="21"/>
                <w:szCs w:val="21"/>
                <w:highlight w:val="none"/>
                <w:vertAlign w:val="subscript"/>
              </w:rPr>
              <w:t>3</w:t>
            </w:r>
            <w:r>
              <w:rPr>
                <w:rFonts w:ascii="Times New Roman" w:eastAsia="宋体" w:hAnsi="Times New Roman" w:cs="Times New Roman" w:hint="default"/>
                <w:color w:val="auto"/>
                <w:sz w:val="21"/>
                <w:szCs w:val="21"/>
                <w:highlight w:val="none"/>
              </w:rPr>
              <w:t>-N</w:t>
            </w:r>
          </w:p>
        </w:tc>
        <w:tc>
          <w:tcPr>
            <w:tcW w:w="590" w:type="pct"/>
            <w:vAlign w:val="center"/>
          </w:tcPr>
          <w:p w14:paraId="08B77AA8">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snapToGrid w:val="0"/>
                <w:color w:val="auto"/>
                <w:kern w:val="21"/>
                <w:szCs w:val="21"/>
                <w:highlight w:val="none"/>
                <w:lang w:val="en-US" w:eastAsia="zh-CN"/>
              </w:rPr>
            </w:pPr>
            <w:r>
              <w:rPr>
                <w:rFonts w:ascii="Times New Roman" w:eastAsia="宋体" w:hAnsi="Times New Roman" w:cs="Times New Roman" w:hint="default"/>
                <w:snapToGrid w:val="0"/>
                <w:color w:val="auto"/>
                <w:sz w:val="21"/>
                <w:szCs w:val="24"/>
                <w:highlight w:val="none"/>
                <w:lang w:val="en-US" w:eastAsia="zh-CN" w:bidi="ar-SA"/>
              </w:rPr>
              <w:t>/</w:t>
            </w:r>
          </w:p>
        </w:tc>
        <w:tc>
          <w:tcPr>
            <w:tcW w:w="435" w:type="pct"/>
            <w:vAlign w:val="center"/>
          </w:tcPr>
          <w:p w14:paraId="194E4D3C">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snapToGrid w:val="0"/>
                <w:color w:val="auto"/>
                <w:kern w:val="21"/>
                <w:szCs w:val="21"/>
                <w:highlight w:val="none"/>
              </w:rPr>
            </w:pPr>
            <w:r>
              <w:rPr>
                <w:rFonts w:ascii="Times New Roman" w:eastAsia="宋体" w:hAnsi="Times New Roman" w:cs="Times New Roman" w:hint="default"/>
                <w:snapToGrid w:val="0"/>
                <w:color w:val="auto"/>
                <w:sz w:val="21"/>
                <w:szCs w:val="24"/>
                <w:highlight w:val="none"/>
                <w:lang w:val="en-US" w:eastAsia="zh-CN" w:bidi="ar-SA"/>
              </w:rPr>
              <w:t>/</w:t>
            </w:r>
          </w:p>
        </w:tc>
        <w:tc>
          <w:tcPr>
            <w:tcW w:w="590" w:type="pct"/>
            <w:vAlign w:val="center"/>
          </w:tcPr>
          <w:p w14:paraId="0E5FA94D">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snapToGrid w:val="0"/>
                <w:color w:val="auto"/>
                <w:kern w:val="21"/>
                <w:szCs w:val="21"/>
                <w:highlight w:val="none"/>
              </w:rPr>
            </w:pPr>
            <w:r>
              <w:rPr>
                <w:rFonts w:ascii="Times New Roman" w:eastAsia="宋体" w:hAnsi="Times New Roman" w:cs="Times New Roman" w:hint="default"/>
                <w:snapToGrid w:val="0"/>
                <w:color w:val="auto"/>
                <w:sz w:val="21"/>
                <w:szCs w:val="24"/>
                <w:highlight w:val="none"/>
                <w:lang w:val="en-US" w:eastAsia="zh-CN" w:bidi="ar-SA"/>
              </w:rPr>
              <w:t>/</w:t>
            </w:r>
          </w:p>
        </w:tc>
        <w:tc>
          <w:tcPr>
            <w:tcW w:w="538" w:type="pct"/>
            <w:vAlign w:val="center"/>
          </w:tcPr>
          <w:p w14:paraId="5F2F9501">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snapToGrid w:val="0"/>
                <w:color w:val="auto"/>
                <w:sz w:val="21"/>
                <w:szCs w:val="24"/>
                <w:highlight w:val="none"/>
                <w:lang w:val="en-US" w:eastAsia="zh-CN" w:bidi="ar-SA"/>
              </w:rPr>
              <w:t>/</w:t>
            </w:r>
          </w:p>
        </w:tc>
        <w:tc>
          <w:tcPr>
            <w:tcW w:w="612" w:type="pct"/>
            <w:vAlign w:val="center"/>
          </w:tcPr>
          <w:p w14:paraId="69A83A05">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snapToGrid w:val="0"/>
                <w:color w:val="auto"/>
                <w:kern w:val="21"/>
                <w:szCs w:val="21"/>
                <w:highlight w:val="none"/>
              </w:rPr>
            </w:pPr>
            <w:r>
              <w:rPr>
                <w:rFonts w:ascii="Times New Roman" w:eastAsia="宋体" w:hAnsi="Times New Roman" w:cs="Times New Roman" w:hint="default"/>
                <w:snapToGrid w:val="0"/>
                <w:color w:val="auto"/>
                <w:sz w:val="21"/>
                <w:szCs w:val="24"/>
                <w:highlight w:val="none"/>
                <w:lang w:val="en-US" w:eastAsia="zh-CN" w:bidi="ar-SA"/>
              </w:rPr>
              <w:t>/</w:t>
            </w:r>
          </w:p>
        </w:tc>
        <w:tc>
          <w:tcPr>
            <w:tcW w:w="684" w:type="pct"/>
            <w:vAlign w:val="center"/>
          </w:tcPr>
          <w:p w14:paraId="497D14E8">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snapToGrid w:val="0"/>
                <w:color w:val="auto"/>
                <w:sz w:val="21"/>
                <w:szCs w:val="24"/>
                <w:highlight w:val="none"/>
                <w:lang w:val="en-US" w:eastAsia="zh-CN" w:bidi="ar-SA"/>
              </w:rPr>
              <w:t>/</w:t>
            </w:r>
          </w:p>
        </w:tc>
        <w:tc>
          <w:tcPr>
            <w:tcW w:w="511" w:type="pct"/>
            <w:vAlign w:val="center"/>
          </w:tcPr>
          <w:p w14:paraId="4EB9C834">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snapToGrid w:val="0"/>
                <w:color w:val="auto"/>
                <w:sz w:val="21"/>
                <w:szCs w:val="24"/>
                <w:highlight w:val="none"/>
                <w:lang w:val="en-US" w:eastAsia="zh-CN" w:bidi="ar-SA"/>
              </w:rPr>
              <w:t>/</w:t>
            </w:r>
          </w:p>
        </w:tc>
      </w:tr>
      <w:tr w14:paraId="469DFA04">
        <w:tblPrEx>
          <w:tblW w:w="5000" w:type="pct"/>
          <w:tblInd w:w="0" w:type="dxa"/>
          <w:tblCellMar>
            <w:top w:w="0" w:type="dxa"/>
            <w:left w:w="108" w:type="dxa"/>
            <w:bottom w:w="0" w:type="dxa"/>
            <w:right w:w="108" w:type="dxa"/>
          </w:tblCellMar>
        </w:tblPrEx>
        <w:trPr>
          <w:trHeight w:val="170"/>
        </w:trPr>
        <w:tc>
          <w:tcPr>
            <w:tcW w:w="548" w:type="pct"/>
            <w:vMerge/>
            <w:vAlign w:val="center"/>
          </w:tcPr>
          <w:p w14:paraId="2F169C43">
            <w:pPr>
              <w:pStyle w:val="a8"/>
              <w:keepNext w:val="0"/>
              <w:keepLines w:val="0"/>
              <w:pageBreakBefore w:val="0"/>
              <w:kinsoku/>
              <w:wordWrap/>
              <w:overflowPunct/>
              <w:topLinePunct w:val="0"/>
              <w:autoSpaceDE/>
              <w:autoSpaceDN/>
              <w:bidi w:val="0"/>
              <w:adjustRightInd w:val="0"/>
              <w:snapToGrid w:val="0"/>
              <w:spacing w:beforeLines="0" w:afterLines="0" w:line="240" w:lineRule="auto"/>
              <w:rPr>
                <w:rFonts w:ascii="Times New Roman" w:eastAsia="宋体" w:hAnsi="Times New Roman" w:cs="Times New Roman" w:hint="default"/>
                <w:snapToGrid w:val="0"/>
                <w:color w:val="auto"/>
                <w:kern w:val="21"/>
                <w:szCs w:val="21"/>
                <w:highlight w:val="none"/>
              </w:rPr>
            </w:pPr>
          </w:p>
        </w:tc>
        <w:tc>
          <w:tcPr>
            <w:tcW w:w="487" w:type="pct"/>
            <w:vAlign w:val="center"/>
          </w:tcPr>
          <w:p w14:paraId="623A08FA">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color w:val="auto"/>
                <w:sz w:val="21"/>
                <w:szCs w:val="21"/>
                <w:highlight w:val="none"/>
              </w:rPr>
              <w:t>总磷</w:t>
            </w:r>
          </w:p>
        </w:tc>
        <w:tc>
          <w:tcPr>
            <w:tcW w:w="590" w:type="pct"/>
            <w:vAlign w:val="center"/>
          </w:tcPr>
          <w:p w14:paraId="72D17EE0">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snapToGrid w:val="0"/>
                <w:color w:val="auto"/>
                <w:kern w:val="21"/>
                <w:szCs w:val="21"/>
                <w:highlight w:val="none"/>
                <w:lang w:val="en-US" w:eastAsia="zh-CN"/>
              </w:rPr>
            </w:pPr>
            <w:r>
              <w:rPr>
                <w:rFonts w:ascii="Times New Roman" w:eastAsia="宋体" w:hAnsi="Times New Roman" w:cs="Times New Roman" w:hint="default"/>
                <w:snapToGrid w:val="0"/>
                <w:color w:val="auto"/>
                <w:sz w:val="21"/>
                <w:szCs w:val="24"/>
                <w:highlight w:val="none"/>
                <w:lang w:val="en-US" w:eastAsia="zh-CN" w:bidi="ar-SA"/>
              </w:rPr>
              <w:t>/</w:t>
            </w:r>
          </w:p>
        </w:tc>
        <w:tc>
          <w:tcPr>
            <w:tcW w:w="435" w:type="pct"/>
            <w:vAlign w:val="center"/>
          </w:tcPr>
          <w:p w14:paraId="23EF0EF3">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snapToGrid w:val="0"/>
                <w:color w:val="auto"/>
                <w:kern w:val="21"/>
                <w:szCs w:val="21"/>
                <w:highlight w:val="none"/>
              </w:rPr>
            </w:pPr>
            <w:r>
              <w:rPr>
                <w:rFonts w:ascii="Times New Roman" w:eastAsia="宋体" w:hAnsi="Times New Roman" w:cs="Times New Roman" w:hint="default"/>
                <w:snapToGrid w:val="0"/>
                <w:color w:val="auto"/>
                <w:sz w:val="21"/>
                <w:szCs w:val="24"/>
                <w:highlight w:val="none"/>
                <w:lang w:val="en-US" w:eastAsia="zh-CN" w:bidi="ar-SA"/>
              </w:rPr>
              <w:t>/</w:t>
            </w:r>
          </w:p>
        </w:tc>
        <w:tc>
          <w:tcPr>
            <w:tcW w:w="590" w:type="pct"/>
            <w:vAlign w:val="center"/>
          </w:tcPr>
          <w:p w14:paraId="2DAFC2B4">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snapToGrid w:val="0"/>
                <w:color w:val="auto"/>
                <w:kern w:val="21"/>
                <w:szCs w:val="21"/>
                <w:highlight w:val="none"/>
              </w:rPr>
            </w:pPr>
            <w:r>
              <w:rPr>
                <w:rFonts w:ascii="Times New Roman" w:eastAsia="宋体" w:hAnsi="Times New Roman" w:cs="Times New Roman" w:hint="default"/>
                <w:snapToGrid w:val="0"/>
                <w:color w:val="auto"/>
                <w:sz w:val="21"/>
                <w:szCs w:val="24"/>
                <w:highlight w:val="none"/>
                <w:lang w:val="en-US" w:eastAsia="zh-CN" w:bidi="ar-SA"/>
              </w:rPr>
              <w:t>/</w:t>
            </w:r>
          </w:p>
        </w:tc>
        <w:tc>
          <w:tcPr>
            <w:tcW w:w="538" w:type="pct"/>
            <w:vAlign w:val="center"/>
          </w:tcPr>
          <w:p w14:paraId="1A51A5DB">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snapToGrid w:val="0"/>
                <w:color w:val="auto"/>
                <w:sz w:val="21"/>
                <w:szCs w:val="24"/>
                <w:highlight w:val="none"/>
                <w:lang w:val="en-US" w:eastAsia="zh-CN" w:bidi="ar-SA"/>
              </w:rPr>
              <w:t>/</w:t>
            </w:r>
          </w:p>
        </w:tc>
        <w:tc>
          <w:tcPr>
            <w:tcW w:w="612" w:type="pct"/>
            <w:vAlign w:val="center"/>
          </w:tcPr>
          <w:p w14:paraId="130410DD">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snapToGrid w:val="0"/>
                <w:color w:val="auto"/>
                <w:kern w:val="21"/>
                <w:szCs w:val="21"/>
                <w:highlight w:val="none"/>
              </w:rPr>
            </w:pPr>
            <w:r>
              <w:rPr>
                <w:rFonts w:ascii="Times New Roman" w:eastAsia="宋体" w:hAnsi="Times New Roman" w:cs="Times New Roman" w:hint="default"/>
                <w:snapToGrid w:val="0"/>
                <w:color w:val="auto"/>
                <w:sz w:val="21"/>
                <w:szCs w:val="24"/>
                <w:highlight w:val="none"/>
                <w:lang w:val="en-US" w:eastAsia="zh-CN" w:bidi="ar-SA"/>
              </w:rPr>
              <w:t>/</w:t>
            </w:r>
          </w:p>
        </w:tc>
        <w:tc>
          <w:tcPr>
            <w:tcW w:w="684" w:type="pct"/>
            <w:vAlign w:val="center"/>
          </w:tcPr>
          <w:p w14:paraId="325D1192">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snapToGrid w:val="0"/>
                <w:color w:val="auto"/>
                <w:sz w:val="21"/>
                <w:szCs w:val="24"/>
                <w:highlight w:val="none"/>
                <w:lang w:val="en-US" w:eastAsia="zh-CN" w:bidi="ar-SA"/>
              </w:rPr>
              <w:t>/</w:t>
            </w:r>
          </w:p>
        </w:tc>
        <w:tc>
          <w:tcPr>
            <w:tcW w:w="511" w:type="pct"/>
            <w:vAlign w:val="center"/>
          </w:tcPr>
          <w:p w14:paraId="725F9813">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snapToGrid w:val="0"/>
                <w:color w:val="auto"/>
                <w:sz w:val="21"/>
                <w:szCs w:val="24"/>
                <w:highlight w:val="none"/>
                <w:lang w:val="en-US" w:eastAsia="zh-CN" w:bidi="ar-SA"/>
              </w:rPr>
              <w:t>/</w:t>
            </w:r>
          </w:p>
        </w:tc>
      </w:tr>
      <w:tr w14:paraId="15B31B2B">
        <w:tblPrEx>
          <w:tblW w:w="5000" w:type="pct"/>
          <w:tblInd w:w="0" w:type="dxa"/>
          <w:tblCellMar>
            <w:top w:w="0" w:type="dxa"/>
            <w:left w:w="108" w:type="dxa"/>
            <w:bottom w:w="0" w:type="dxa"/>
            <w:right w:w="108" w:type="dxa"/>
          </w:tblCellMar>
        </w:tblPrEx>
        <w:trPr>
          <w:trHeight w:val="170"/>
        </w:trPr>
        <w:tc>
          <w:tcPr>
            <w:tcW w:w="548" w:type="pct"/>
            <w:vMerge/>
            <w:vAlign w:val="center"/>
          </w:tcPr>
          <w:p w14:paraId="6CC8A457">
            <w:pPr>
              <w:pStyle w:val="a8"/>
              <w:keepNext w:val="0"/>
              <w:keepLines w:val="0"/>
              <w:pageBreakBefore w:val="0"/>
              <w:kinsoku/>
              <w:wordWrap/>
              <w:overflowPunct/>
              <w:topLinePunct w:val="0"/>
              <w:autoSpaceDE/>
              <w:autoSpaceDN/>
              <w:bidi w:val="0"/>
              <w:adjustRightInd w:val="0"/>
              <w:snapToGrid w:val="0"/>
              <w:spacing w:beforeLines="0" w:afterLines="0" w:line="240" w:lineRule="auto"/>
              <w:rPr>
                <w:rFonts w:ascii="Times New Roman" w:eastAsia="宋体" w:hAnsi="Times New Roman" w:cs="Times New Roman" w:hint="default"/>
                <w:snapToGrid w:val="0"/>
                <w:color w:val="auto"/>
                <w:kern w:val="21"/>
                <w:szCs w:val="21"/>
                <w:highlight w:val="none"/>
              </w:rPr>
            </w:pPr>
          </w:p>
        </w:tc>
        <w:tc>
          <w:tcPr>
            <w:tcW w:w="487" w:type="pct"/>
            <w:vAlign w:val="center"/>
          </w:tcPr>
          <w:p w14:paraId="30E45A37">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color w:val="auto"/>
                <w:sz w:val="21"/>
                <w:szCs w:val="21"/>
                <w:highlight w:val="none"/>
              </w:rPr>
              <w:t>总氮</w:t>
            </w:r>
          </w:p>
        </w:tc>
        <w:tc>
          <w:tcPr>
            <w:tcW w:w="590" w:type="pct"/>
            <w:vAlign w:val="center"/>
          </w:tcPr>
          <w:p w14:paraId="11FE8326">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snapToGrid w:val="0"/>
                <w:color w:val="auto"/>
                <w:kern w:val="21"/>
                <w:szCs w:val="21"/>
                <w:highlight w:val="none"/>
                <w:lang w:val="en-US" w:eastAsia="zh-CN"/>
              </w:rPr>
            </w:pPr>
            <w:r>
              <w:rPr>
                <w:rFonts w:ascii="Times New Roman" w:eastAsia="宋体" w:hAnsi="Times New Roman" w:cs="Times New Roman" w:hint="default"/>
                <w:snapToGrid w:val="0"/>
                <w:color w:val="auto"/>
                <w:sz w:val="21"/>
                <w:szCs w:val="24"/>
                <w:highlight w:val="none"/>
                <w:lang w:val="en-US" w:eastAsia="zh-CN" w:bidi="ar-SA"/>
              </w:rPr>
              <w:t>/</w:t>
            </w:r>
          </w:p>
        </w:tc>
        <w:tc>
          <w:tcPr>
            <w:tcW w:w="435" w:type="pct"/>
            <w:vAlign w:val="center"/>
          </w:tcPr>
          <w:p w14:paraId="240F2D22">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snapToGrid w:val="0"/>
                <w:color w:val="auto"/>
                <w:kern w:val="21"/>
                <w:szCs w:val="21"/>
                <w:highlight w:val="none"/>
              </w:rPr>
            </w:pPr>
            <w:r>
              <w:rPr>
                <w:rFonts w:ascii="Times New Roman" w:eastAsia="宋体" w:hAnsi="Times New Roman" w:cs="Times New Roman" w:hint="default"/>
                <w:snapToGrid w:val="0"/>
                <w:color w:val="auto"/>
                <w:sz w:val="21"/>
                <w:szCs w:val="24"/>
                <w:highlight w:val="none"/>
                <w:lang w:val="en-US" w:eastAsia="zh-CN" w:bidi="ar-SA"/>
              </w:rPr>
              <w:t>/</w:t>
            </w:r>
          </w:p>
        </w:tc>
        <w:tc>
          <w:tcPr>
            <w:tcW w:w="590" w:type="pct"/>
            <w:vAlign w:val="center"/>
          </w:tcPr>
          <w:p w14:paraId="428AB5DF">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snapToGrid w:val="0"/>
                <w:color w:val="auto"/>
                <w:kern w:val="21"/>
                <w:szCs w:val="21"/>
                <w:highlight w:val="none"/>
              </w:rPr>
            </w:pPr>
            <w:r>
              <w:rPr>
                <w:rFonts w:ascii="Times New Roman" w:eastAsia="宋体" w:hAnsi="Times New Roman" w:cs="Times New Roman" w:hint="default"/>
                <w:snapToGrid w:val="0"/>
                <w:color w:val="auto"/>
                <w:sz w:val="21"/>
                <w:szCs w:val="24"/>
                <w:highlight w:val="none"/>
                <w:lang w:val="en-US" w:eastAsia="zh-CN" w:bidi="ar-SA"/>
              </w:rPr>
              <w:t>/</w:t>
            </w:r>
          </w:p>
        </w:tc>
        <w:tc>
          <w:tcPr>
            <w:tcW w:w="538" w:type="pct"/>
            <w:vAlign w:val="center"/>
          </w:tcPr>
          <w:p w14:paraId="6D20AA3B">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snapToGrid w:val="0"/>
                <w:color w:val="auto"/>
                <w:sz w:val="21"/>
                <w:szCs w:val="24"/>
                <w:highlight w:val="none"/>
                <w:lang w:val="en-US" w:eastAsia="zh-CN" w:bidi="ar-SA"/>
              </w:rPr>
              <w:t>/</w:t>
            </w:r>
          </w:p>
        </w:tc>
        <w:tc>
          <w:tcPr>
            <w:tcW w:w="612" w:type="pct"/>
            <w:vAlign w:val="center"/>
          </w:tcPr>
          <w:p w14:paraId="28FC03A3">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snapToGrid w:val="0"/>
                <w:color w:val="auto"/>
                <w:kern w:val="21"/>
                <w:szCs w:val="21"/>
                <w:highlight w:val="none"/>
              </w:rPr>
            </w:pPr>
            <w:r>
              <w:rPr>
                <w:rFonts w:ascii="Times New Roman" w:eastAsia="宋体" w:hAnsi="Times New Roman" w:cs="Times New Roman" w:hint="default"/>
                <w:snapToGrid w:val="0"/>
                <w:color w:val="auto"/>
                <w:sz w:val="21"/>
                <w:szCs w:val="24"/>
                <w:highlight w:val="none"/>
                <w:lang w:val="en-US" w:eastAsia="zh-CN" w:bidi="ar-SA"/>
              </w:rPr>
              <w:t>/</w:t>
            </w:r>
          </w:p>
        </w:tc>
        <w:tc>
          <w:tcPr>
            <w:tcW w:w="684" w:type="pct"/>
            <w:vAlign w:val="center"/>
          </w:tcPr>
          <w:p w14:paraId="0DE3C27D">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snapToGrid w:val="0"/>
                <w:color w:val="auto"/>
                <w:sz w:val="21"/>
                <w:szCs w:val="24"/>
                <w:highlight w:val="none"/>
                <w:lang w:val="en-US" w:eastAsia="zh-CN" w:bidi="ar-SA"/>
              </w:rPr>
              <w:t>/</w:t>
            </w:r>
          </w:p>
        </w:tc>
        <w:tc>
          <w:tcPr>
            <w:tcW w:w="511" w:type="pct"/>
            <w:vAlign w:val="center"/>
          </w:tcPr>
          <w:p w14:paraId="68DDC296">
            <w:pPr>
              <w:keepNext w:val="0"/>
              <w:keepLines w:val="0"/>
              <w:pageBreakBefore w:val="0"/>
              <w:kinsoku/>
              <w:wordWrap/>
              <w:overflowPunct/>
              <w:topLinePunct w:val="0"/>
              <w:autoSpaceDE/>
              <w:autoSpaceDN/>
              <w:bidi w:val="0"/>
              <w:adjustRightInd w:val="0"/>
              <w:snapToGrid w:val="0"/>
              <w:spacing w:line="240" w:lineRule="auto"/>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snapToGrid w:val="0"/>
                <w:color w:val="auto"/>
                <w:sz w:val="21"/>
                <w:szCs w:val="24"/>
                <w:highlight w:val="none"/>
                <w:lang w:val="en-US" w:eastAsia="zh-CN" w:bidi="ar-SA"/>
              </w:rPr>
              <w:t>/</w:t>
            </w:r>
          </w:p>
        </w:tc>
      </w:tr>
      <w:tr w14:paraId="30544843">
        <w:tblPrEx>
          <w:tblW w:w="5000" w:type="pct"/>
          <w:tblInd w:w="0" w:type="dxa"/>
          <w:tblCellMar>
            <w:top w:w="0" w:type="dxa"/>
            <w:left w:w="108" w:type="dxa"/>
            <w:bottom w:w="0" w:type="dxa"/>
            <w:right w:w="108" w:type="dxa"/>
          </w:tblCellMar>
        </w:tblPrEx>
        <w:trPr>
          <w:trHeight w:val="170"/>
        </w:trPr>
        <w:tc>
          <w:tcPr>
            <w:tcW w:w="548" w:type="pct"/>
            <w:vAlign w:val="center"/>
          </w:tcPr>
          <w:p w14:paraId="08F8DB19">
            <w:pPr>
              <w:pStyle w:val="a8"/>
              <w:keepNext w:val="0"/>
              <w:keepLines w:val="0"/>
              <w:pageBreakBefore w:val="0"/>
              <w:kinsoku/>
              <w:wordWrap/>
              <w:overflowPunct/>
              <w:topLinePunct w:val="0"/>
              <w:autoSpaceDE/>
              <w:autoSpaceDN/>
              <w:bidi w:val="0"/>
              <w:adjustRightInd w:val="0"/>
              <w:snapToGrid w:val="0"/>
              <w:spacing w:beforeLines="0" w:afterLines="0" w:line="240" w:lineRule="auto"/>
              <w:rPr>
                <w:rFonts w:ascii="Times New Roman" w:eastAsia="宋体" w:hAnsi="Times New Roman" w:cs="Times New Roman" w:hint="default"/>
                <w:snapToGrid w:val="0"/>
                <w:color w:val="auto"/>
                <w:kern w:val="21"/>
                <w:szCs w:val="21"/>
                <w:highlight w:val="none"/>
              </w:rPr>
            </w:pPr>
            <w:r>
              <w:rPr>
                <w:rFonts w:ascii="Times New Roman" w:eastAsia="宋体" w:hAnsi="Times New Roman" w:cs="Times New Roman" w:hint="default"/>
                <w:snapToGrid w:val="0"/>
                <w:color w:val="auto"/>
                <w:kern w:val="21"/>
                <w:szCs w:val="21"/>
                <w:highlight w:val="none"/>
              </w:rPr>
              <w:t>一般工业</w:t>
            </w:r>
          </w:p>
          <w:p w14:paraId="5406C6AC">
            <w:pPr>
              <w:pStyle w:val="a8"/>
              <w:keepNext w:val="0"/>
              <w:keepLines w:val="0"/>
              <w:pageBreakBefore w:val="0"/>
              <w:kinsoku/>
              <w:wordWrap/>
              <w:overflowPunct/>
              <w:topLinePunct w:val="0"/>
              <w:autoSpaceDE/>
              <w:autoSpaceDN/>
              <w:bidi w:val="0"/>
              <w:adjustRightInd w:val="0"/>
              <w:snapToGrid w:val="0"/>
              <w:spacing w:beforeLines="0" w:afterLines="0" w:line="240" w:lineRule="auto"/>
              <w:rPr>
                <w:rFonts w:ascii="Times New Roman" w:eastAsia="宋体" w:hAnsi="Times New Roman" w:cs="Times New Roman" w:hint="default"/>
                <w:snapToGrid w:val="0"/>
                <w:color w:val="auto"/>
                <w:kern w:val="21"/>
                <w:szCs w:val="21"/>
                <w:highlight w:val="none"/>
              </w:rPr>
            </w:pPr>
            <w:r>
              <w:rPr>
                <w:rFonts w:ascii="Times New Roman" w:eastAsia="宋体" w:hAnsi="Times New Roman" w:cs="Times New Roman" w:hint="default"/>
                <w:snapToGrid w:val="0"/>
                <w:color w:val="auto"/>
                <w:kern w:val="21"/>
                <w:szCs w:val="21"/>
                <w:highlight w:val="none"/>
              </w:rPr>
              <w:t>固体废物</w:t>
            </w:r>
          </w:p>
        </w:tc>
        <w:tc>
          <w:tcPr>
            <w:tcW w:w="487" w:type="pct"/>
            <w:vAlign w:val="center"/>
          </w:tcPr>
          <w:p w14:paraId="163554BE">
            <w:pPr>
              <w:overflowPunct w:val="0"/>
              <w:topLinePunct/>
              <w:autoSpaceDE w:val="0"/>
              <w:autoSpaceDN w:val="0"/>
              <w:ind w:firstLine="0" w:firstLineChars="0"/>
              <w:jc w:val="center"/>
              <w:textAlignment w:val="baseline"/>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color w:val="auto"/>
                <w:kern w:val="2"/>
                <w:sz w:val="21"/>
                <w:szCs w:val="21"/>
                <w:highlight w:val="none"/>
                <w:lang w:val="en-US" w:eastAsia="zh-CN" w:bidi="ar-SA"/>
              </w:rPr>
              <w:t>废磷酸铁锂电池</w:t>
            </w:r>
          </w:p>
        </w:tc>
        <w:tc>
          <w:tcPr>
            <w:tcW w:w="590" w:type="pct"/>
            <w:vAlign w:val="center"/>
          </w:tcPr>
          <w:p w14:paraId="058DAAF9">
            <w:pPr>
              <w:keepNext w:val="0"/>
              <w:keepLines w:val="0"/>
              <w:pageBreakBefore w:val="0"/>
              <w:kinsoku/>
              <w:wordWrap/>
              <w:overflowPunct/>
              <w:topLinePunct w:val="0"/>
              <w:autoSpaceDE/>
              <w:autoSpaceDN/>
              <w:bidi w:val="0"/>
              <w:adjustRightInd w:val="0"/>
              <w:snapToGrid w:val="0"/>
              <w:spacing w:beforeLines="0" w:afterLines="0" w:line="240" w:lineRule="auto"/>
              <w:jc w:val="center"/>
              <w:rPr>
                <w:rFonts w:ascii="Times New Roman" w:eastAsia="宋体" w:hAnsi="Times New Roman" w:cs="Times New Roman" w:hint="default"/>
                <w:snapToGrid w:val="0"/>
                <w:color w:val="auto"/>
                <w:kern w:val="21"/>
                <w:szCs w:val="21"/>
                <w:highlight w:val="none"/>
                <w:lang w:val="en-US" w:eastAsia="zh-CN"/>
              </w:rPr>
            </w:pPr>
            <w:r>
              <w:rPr>
                <w:rFonts w:ascii="Times New Roman" w:eastAsia="宋体" w:hAnsi="Times New Roman" w:cs="Times New Roman" w:hint="default"/>
                <w:snapToGrid w:val="0"/>
                <w:color w:val="auto"/>
                <w:sz w:val="21"/>
                <w:szCs w:val="24"/>
                <w:highlight w:val="none"/>
                <w:lang w:val="en-US" w:eastAsia="zh-CN" w:bidi="ar-SA"/>
              </w:rPr>
              <w:t>/</w:t>
            </w:r>
          </w:p>
        </w:tc>
        <w:tc>
          <w:tcPr>
            <w:tcW w:w="435" w:type="pct"/>
            <w:vAlign w:val="center"/>
          </w:tcPr>
          <w:p w14:paraId="338222AD">
            <w:pPr>
              <w:keepNext w:val="0"/>
              <w:keepLines w:val="0"/>
              <w:pageBreakBefore w:val="0"/>
              <w:kinsoku/>
              <w:wordWrap/>
              <w:overflowPunct/>
              <w:topLinePunct w:val="0"/>
              <w:autoSpaceDE/>
              <w:autoSpaceDN/>
              <w:bidi w:val="0"/>
              <w:adjustRightInd w:val="0"/>
              <w:snapToGrid w:val="0"/>
              <w:spacing w:beforeLines="0" w:afterLines="0" w:line="240" w:lineRule="auto"/>
              <w:jc w:val="center"/>
              <w:rPr>
                <w:rFonts w:ascii="Times New Roman" w:eastAsia="宋体" w:hAnsi="Times New Roman" w:cs="Times New Roman" w:hint="default"/>
                <w:snapToGrid w:val="0"/>
                <w:color w:val="auto"/>
                <w:kern w:val="21"/>
                <w:szCs w:val="21"/>
                <w:highlight w:val="none"/>
              </w:rPr>
            </w:pPr>
            <w:r>
              <w:rPr>
                <w:rFonts w:ascii="Times New Roman" w:eastAsia="宋体" w:hAnsi="Times New Roman" w:cs="Times New Roman" w:hint="default"/>
                <w:snapToGrid w:val="0"/>
                <w:color w:val="auto"/>
                <w:sz w:val="21"/>
                <w:szCs w:val="24"/>
                <w:highlight w:val="none"/>
                <w:lang w:val="en-US" w:eastAsia="zh-CN" w:bidi="ar-SA"/>
              </w:rPr>
              <w:t>/</w:t>
            </w:r>
          </w:p>
        </w:tc>
        <w:tc>
          <w:tcPr>
            <w:tcW w:w="590" w:type="pct"/>
            <w:vAlign w:val="center"/>
          </w:tcPr>
          <w:p w14:paraId="1307353B">
            <w:pPr>
              <w:keepNext w:val="0"/>
              <w:keepLines w:val="0"/>
              <w:pageBreakBefore w:val="0"/>
              <w:kinsoku/>
              <w:wordWrap/>
              <w:overflowPunct/>
              <w:topLinePunct w:val="0"/>
              <w:autoSpaceDE/>
              <w:autoSpaceDN/>
              <w:bidi w:val="0"/>
              <w:adjustRightInd w:val="0"/>
              <w:snapToGrid w:val="0"/>
              <w:spacing w:beforeLines="0" w:afterLines="0" w:line="240" w:lineRule="auto"/>
              <w:jc w:val="center"/>
              <w:rPr>
                <w:rFonts w:ascii="Times New Roman" w:eastAsia="宋体" w:hAnsi="Times New Roman" w:cs="Times New Roman" w:hint="default"/>
                <w:snapToGrid w:val="0"/>
                <w:color w:val="auto"/>
                <w:kern w:val="21"/>
                <w:szCs w:val="21"/>
                <w:highlight w:val="none"/>
              </w:rPr>
            </w:pPr>
            <w:r>
              <w:rPr>
                <w:rFonts w:ascii="Times New Roman" w:eastAsia="宋体" w:hAnsi="Times New Roman" w:cs="Times New Roman" w:hint="default"/>
                <w:snapToGrid w:val="0"/>
                <w:color w:val="auto"/>
                <w:sz w:val="21"/>
                <w:szCs w:val="24"/>
                <w:highlight w:val="none"/>
                <w:lang w:val="en-US" w:eastAsia="zh-CN" w:bidi="ar-SA"/>
              </w:rPr>
              <w:t>/</w:t>
            </w:r>
          </w:p>
        </w:tc>
        <w:tc>
          <w:tcPr>
            <w:tcW w:w="538" w:type="pct"/>
            <w:vAlign w:val="center"/>
          </w:tcPr>
          <w:p w14:paraId="7FCF059F">
            <w:pPr>
              <w:spacing w:line="240" w:lineRule="auto"/>
              <w:ind w:firstLine="0" w:firstLineChars="0"/>
              <w:jc w:val="center"/>
              <w:rPr>
                <w:rFonts w:ascii="Times New Roman" w:eastAsia="宋体" w:hAnsi="Times New Roman" w:cs="Times New Roman" w:hint="default"/>
                <w:color w:val="auto"/>
                <w:kern w:val="2"/>
                <w:sz w:val="21"/>
                <w:szCs w:val="21"/>
                <w:highlight w:val="none"/>
                <w:lang w:val="en-US" w:eastAsia="zh-CN" w:bidi="ar-SA"/>
              </w:rPr>
            </w:pPr>
            <w:r>
              <w:rPr>
                <w:rFonts w:cs="Times New Roman" w:hint="eastAsia"/>
                <w:color w:val="auto"/>
                <w:lang w:val="en-US" w:eastAsia="zh-CN"/>
              </w:rPr>
              <w:t>200</w:t>
            </w:r>
          </w:p>
        </w:tc>
        <w:tc>
          <w:tcPr>
            <w:tcW w:w="612" w:type="pct"/>
            <w:vAlign w:val="center"/>
          </w:tcPr>
          <w:p w14:paraId="43608DBA">
            <w:pPr>
              <w:keepNext w:val="0"/>
              <w:keepLines w:val="0"/>
              <w:pageBreakBefore w:val="0"/>
              <w:kinsoku/>
              <w:wordWrap/>
              <w:overflowPunct/>
              <w:topLinePunct w:val="0"/>
              <w:autoSpaceDE/>
              <w:autoSpaceDN/>
              <w:bidi w:val="0"/>
              <w:adjustRightInd w:val="0"/>
              <w:snapToGrid w:val="0"/>
              <w:spacing w:beforeLines="0" w:afterLines="0" w:line="240" w:lineRule="auto"/>
              <w:jc w:val="center"/>
              <w:rPr>
                <w:rFonts w:ascii="Times New Roman" w:eastAsia="宋体" w:hAnsi="Times New Roman" w:cs="Times New Roman" w:hint="default"/>
                <w:snapToGrid w:val="0"/>
                <w:color w:val="auto"/>
                <w:kern w:val="21"/>
                <w:szCs w:val="21"/>
                <w:highlight w:val="none"/>
              </w:rPr>
            </w:pPr>
            <w:r>
              <w:rPr>
                <w:rFonts w:ascii="Times New Roman" w:eastAsia="宋体" w:hAnsi="Times New Roman" w:cs="Times New Roman" w:hint="default"/>
                <w:snapToGrid w:val="0"/>
                <w:color w:val="auto"/>
                <w:sz w:val="21"/>
                <w:szCs w:val="24"/>
                <w:highlight w:val="none"/>
                <w:lang w:val="en-US" w:eastAsia="zh-CN" w:bidi="ar-SA"/>
              </w:rPr>
              <w:t>/</w:t>
            </w:r>
          </w:p>
        </w:tc>
        <w:tc>
          <w:tcPr>
            <w:tcW w:w="684" w:type="pct"/>
            <w:vAlign w:val="center"/>
          </w:tcPr>
          <w:p w14:paraId="1F2AB736">
            <w:pPr>
              <w:spacing w:line="240" w:lineRule="auto"/>
              <w:ind w:firstLine="0" w:firstLineChars="0"/>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color w:val="auto"/>
                <w:lang w:val="en-US" w:eastAsia="zh-CN"/>
              </w:rPr>
              <w:t>20</w:t>
            </w:r>
            <w:r>
              <w:rPr>
                <w:rFonts w:cs="Times New Roman" w:hint="eastAsia"/>
                <w:color w:val="auto"/>
                <w:lang w:val="en-US" w:eastAsia="zh-CN"/>
              </w:rPr>
              <w:t>0</w:t>
            </w:r>
          </w:p>
        </w:tc>
        <w:tc>
          <w:tcPr>
            <w:tcW w:w="511" w:type="pct"/>
            <w:vAlign w:val="center"/>
          </w:tcPr>
          <w:p w14:paraId="2E201B8C">
            <w:pPr>
              <w:spacing w:line="240" w:lineRule="auto"/>
              <w:ind w:firstLine="0" w:firstLineChars="0"/>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color w:val="auto"/>
                <w:kern w:val="2"/>
                <w:sz w:val="21"/>
                <w:szCs w:val="21"/>
                <w:highlight w:val="none"/>
                <w:lang w:val="en-US" w:eastAsia="zh-CN" w:bidi="ar-SA"/>
              </w:rPr>
              <w:t>+</w:t>
            </w:r>
            <w:r>
              <w:rPr>
                <w:rFonts w:ascii="Times New Roman" w:eastAsia="宋体" w:hAnsi="Times New Roman" w:cs="Times New Roman" w:hint="default"/>
                <w:color w:val="auto"/>
                <w:lang w:val="en-US" w:eastAsia="zh-CN"/>
              </w:rPr>
              <w:t>20</w:t>
            </w:r>
            <w:r>
              <w:rPr>
                <w:rFonts w:cs="Times New Roman" w:hint="eastAsia"/>
                <w:color w:val="auto"/>
                <w:lang w:val="en-US" w:eastAsia="zh-CN"/>
              </w:rPr>
              <w:t>0</w:t>
            </w:r>
          </w:p>
        </w:tc>
      </w:tr>
      <w:tr w14:paraId="5ED3FFF5">
        <w:tblPrEx>
          <w:tblW w:w="5000" w:type="pct"/>
          <w:tblInd w:w="0" w:type="dxa"/>
          <w:tblCellMar>
            <w:top w:w="0" w:type="dxa"/>
            <w:left w:w="108" w:type="dxa"/>
            <w:bottom w:w="0" w:type="dxa"/>
            <w:right w:w="108" w:type="dxa"/>
          </w:tblCellMar>
        </w:tblPrEx>
        <w:trPr>
          <w:trHeight w:val="482"/>
        </w:trPr>
        <w:tc>
          <w:tcPr>
            <w:tcW w:w="548" w:type="pct"/>
            <w:vMerge w:val="restart"/>
            <w:vAlign w:val="center"/>
          </w:tcPr>
          <w:p w14:paraId="24C01EE6">
            <w:pPr>
              <w:pStyle w:val="a8"/>
              <w:keepNext w:val="0"/>
              <w:keepLines w:val="0"/>
              <w:pageBreakBefore w:val="0"/>
              <w:kinsoku/>
              <w:wordWrap/>
              <w:overflowPunct/>
              <w:topLinePunct w:val="0"/>
              <w:autoSpaceDE/>
              <w:autoSpaceDN/>
              <w:bidi w:val="0"/>
              <w:adjustRightInd w:val="0"/>
              <w:snapToGrid w:val="0"/>
              <w:spacing w:beforeLines="0" w:afterLines="0" w:line="240" w:lineRule="auto"/>
              <w:rPr>
                <w:rFonts w:ascii="Times New Roman" w:eastAsia="宋体" w:hAnsi="Times New Roman" w:cs="Times New Roman" w:hint="default"/>
                <w:snapToGrid w:val="0"/>
                <w:color w:val="auto"/>
                <w:kern w:val="21"/>
                <w:szCs w:val="21"/>
                <w:highlight w:val="none"/>
              </w:rPr>
            </w:pPr>
            <w:r>
              <w:rPr>
                <w:rFonts w:ascii="Times New Roman" w:eastAsia="宋体" w:hAnsi="Times New Roman" w:cs="Times New Roman" w:hint="default"/>
                <w:snapToGrid w:val="0"/>
                <w:color w:val="auto"/>
                <w:kern w:val="21"/>
                <w:szCs w:val="21"/>
                <w:highlight w:val="none"/>
              </w:rPr>
              <w:t>危险废物</w:t>
            </w:r>
          </w:p>
        </w:tc>
        <w:tc>
          <w:tcPr>
            <w:tcW w:w="487" w:type="pct"/>
            <w:vAlign w:val="center"/>
          </w:tcPr>
          <w:p w14:paraId="6C7B1CDC">
            <w:pPr>
              <w:ind w:firstLine="0" w:firstLineChars="0"/>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color w:val="auto"/>
                <w:sz w:val="21"/>
                <w:szCs w:val="21"/>
              </w:rPr>
              <w:t>废抹布</w:t>
            </w:r>
            <w:r>
              <w:rPr>
                <w:rFonts w:ascii="Times New Roman" w:eastAsia="宋体" w:hAnsi="Times New Roman" w:cs="Times New Roman" w:hint="default"/>
                <w:color w:val="auto"/>
                <w:sz w:val="21"/>
                <w:szCs w:val="21"/>
                <w:lang w:eastAsia="zh-CN"/>
              </w:rPr>
              <w:t>、</w:t>
            </w:r>
            <w:r>
              <w:rPr>
                <w:rFonts w:ascii="Times New Roman" w:eastAsia="宋体" w:hAnsi="Times New Roman" w:cs="Times New Roman" w:hint="default"/>
                <w:color w:val="auto"/>
                <w:sz w:val="21"/>
                <w:szCs w:val="21"/>
                <w:lang w:val="en-US" w:eastAsia="zh-CN"/>
              </w:rPr>
              <w:t>手套</w:t>
            </w:r>
          </w:p>
        </w:tc>
        <w:tc>
          <w:tcPr>
            <w:tcW w:w="590" w:type="pct"/>
            <w:vAlign w:val="center"/>
          </w:tcPr>
          <w:p w14:paraId="16AB7314">
            <w:pPr>
              <w:keepNext w:val="0"/>
              <w:keepLines w:val="0"/>
              <w:pageBreakBefore w:val="0"/>
              <w:kinsoku/>
              <w:wordWrap/>
              <w:overflowPunct/>
              <w:topLinePunct w:val="0"/>
              <w:autoSpaceDE/>
              <w:autoSpaceDN/>
              <w:bidi w:val="0"/>
              <w:adjustRightInd w:val="0"/>
              <w:snapToGrid w:val="0"/>
              <w:spacing w:beforeLines="0" w:afterLines="0" w:line="240" w:lineRule="auto"/>
              <w:jc w:val="center"/>
              <w:rPr>
                <w:rFonts w:ascii="Times New Roman" w:eastAsia="宋体" w:hAnsi="Times New Roman" w:cs="Times New Roman" w:hint="default"/>
                <w:snapToGrid w:val="0"/>
                <w:color w:val="auto"/>
                <w:kern w:val="21"/>
                <w:szCs w:val="21"/>
                <w:highlight w:val="none"/>
                <w:lang w:val="en-US" w:eastAsia="zh-CN"/>
              </w:rPr>
            </w:pPr>
            <w:r>
              <w:rPr>
                <w:rFonts w:ascii="Times New Roman" w:eastAsia="宋体" w:hAnsi="Times New Roman" w:cs="Times New Roman" w:hint="default"/>
                <w:snapToGrid w:val="0"/>
                <w:color w:val="auto"/>
                <w:sz w:val="21"/>
                <w:szCs w:val="24"/>
                <w:highlight w:val="none"/>
                <w:lang w:val="en-US" w:eastAsia="zh-CN" w:bidi="ar-SA"/>
              </w:rPr>
              <w:t>/</w:t>
            </w:r>
          </w:p>
        </w:tc>
        <w:tc>
          <w:tcPr>
            <w:tcW w:w="435" w:type="pct"/>
            <w:vAlign w:val="center"/>
          </w:tcPr>
          <w:p w14:paraId="11B8313C">
            <w:pPr>
              <w:keepNext w:val="0"/>
              <w:keepLines w:val="0"/>
              <w:pageBreakBefore w:val="0"/>
              <w:kinsoku/>
              <w:wordWrap/>
              <w:overflowPunct/>
              <w:topLinePunct w:val="0"/>
              <w:autoSpaceDE/>
              <w:autoSpaceDN/>
              <w:bidi w:val="0"/>
              <w:adjustRightInd w:val="0"/>
              <w:snapToGrid w:val="0"/>
              <w:spacing w:beforeLines="0" w:afterLines="0" w:line="240" w:lineRule="auto"/>
              <w:jc w:val="center"/>
              <w:rPr>
                <w:rFonts w:ascii="Times New Roman" w:eastAsia="宋体" w:hAnsi="Times New Roman" w:cs="Times New Roman" w:hint="default"/>
                <w:snapToGrid w:val="0"/>
                <w:color w:val="auto"/>
                <w:kern w:val="21"/>
                <w:szCs w:val="21"/>
                <w:highlight w:val="none"/>
              </w:rPr>
            </w:pPr>
            <w:r>
              <w:rPr>
                <w:rFonts w:ascii="Times New Roman" w:eastAsia="宋体" w:hAnsi="Times New Roman" w:cs="Times New Roman" w:hint="default"/>
                <w:snapToGrid w:val="0"/>
                <w:color w:val="auto"/>
                <w:sz w:val="21"/>
                <w:szCs w:val="24"/>
                <w:highlight w:val="none"/>
                <w:lang w:val="en-US" w:eastAsia="zh-CN" w:bidi="ar-SA"/>
              </w:rPr>
              <w:t>/</w:t>
            </w:r>
          </w:p>
        </w:tc>
        <w:tc>
          <w:tcPr>
            <w:tcW w:w="590" w:type="pct"/>
            <w:vAlign w:val="center"/>
          </w:tcPr>
          <w:p w14:paraId="544D6F57">
            <w:pPr>
              <w:keepNext w:val="0"/>
              <w:keepLines w:val="0"/>
              <w:pageBreakBefore w:val="0"/>
              <w:kinsoku/>
              <w:wordWrap/>
              <w:overflowPunct/>
              <w:topLinePunct w:val="0"/>
              <w:autoSpaceDE/>
              <w:autoSpaceDN/>
              <w:bidi w:val="0"/>
              <w:adjustRightInd w:val="0"/>
              <w:snapToGrid w:val="0"/>
              <w:spacing w:beforeLines="0" w:afterLines="0" w:line="240" w:lineRule="auto"/>
              <w:jc w:val="center"/>
              <w:rPr>
                <w:rFonts w:ascii="Times New Roman" w:eastAsia="宋体" w:hAnsi="Times New Roman" w:cs="Times New Roman" w:hint="default"/>
                <w:snapToGrid w:val="0"/>
                <w:color w:val="auto"/>
                <w:kern w:val="21"/>
                <w:szCs w:val="21"/>
                <w:highlight w:val="none"/>
              </w:rPr>
            </w:pPr>
            <w:r>
              <w:rPr>
                <w:rFonts w:ascii="Times New Roman" w:eastAsia="宋体" w:hAnsi="Times New Roman" w:cs="Times New Roman" w:hint="default"/>
                <w:snapToGrid w:val="0"/>
                <w:color w:val="auto"/>
                <w:sz w:val="21"/>
                <w:szCs w:val="24"/>
                <w:highlight w:val="none"/>
                <w:lang w:val="en-US" w:eastAsia="zh-CN" w:bidi="ar-SA"/>
              </w:rPr>
              <w:t>/</w:t>
            </w:r>
          </w:p>
        </w:tc>
        <w:tc>
          <w:tcPr>
            <w:tcW w:w="538" w:type="pct"/>
            <w:vAlign w:val="center"/>
          </w:tcPr>
          <w:p w14:paraId="1A3BFBEA">
            <w:pPr>
              <w:spacing w:line="240" w:lineRule="auto"/>
              <w:ind w:firstLine="0" w:firstLineChars="0"/>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color w:val="auto"/>
                <w:sz w:val="21"/>
                <w:szCs w:val="21"/>
              </w:rPr>
              <w:t>0.</w:t>
            </w:r>
            <w:r>
              <w:rPr>
                <w:rFonts w:ascii="Times New Roman" w:eastAsia="宋体" w:hAnsi="Times New Roman" w:cs="Times New Roman" w:hint="default"/>
                <w:color w:val="auto"/>
                <w:sz w:val="21"/>
                <w:szCs w:val="21"/>
                <w:lang w:val="en-US" w:eastAsia="zh-CN"/>
              </w:rPr>
              <w:t>1</w:t>
            </w:r>
          </w:p>
        </w:tc>
        <w:tc>
          <w:tcPr>
            <w:tcW w:w="612" w:type="pct"/>
            <w:vAlign w:val="center"/>
          </w:tcPr>
          <w:p w14:paraId="2E399DB3">
            <w:pPr>
              <w:keepNext w:val="0"/>
              <w:keepLines w:val="0"/>
              <w:pageBreakBefore w:val="0"/>
              <w:kinsoku/>
              <w:wordWrap/>
              <w:overflowPunct/>
              <w:topLinePunct w:val="0"/>
              <w:autoSpaceDE/>
              <w:autoSpaceDN/>
              <w:bidi w:val="0"/>
              <w:adjustRightInd w:val="0"/>
              <w:snapToGrid w:val="0"/>
              <w:spacing w:beforeLines="0" w:afterLines="0" w:line="240" w:lineRule="auto"/>
              <w:jc w:val="center"/>
              <w:rPr>
                <w:rFonts w:ascii="Times New Roman" w:eastAsia="宋体" w:hAnsi="Times New Roman" w:cs="Times New Roman" w:hint="default"/>
                <w:snapToGrid w:val="0"/>
                <w:color w:val="auto"/>
                <w:kern w:val="21"/>
                <w:szCs w:val="21"/>
                <w:highlight w:val="none"/>
              </w:rPr>
            </w:pPr>
            <w:r>
              <w:rPr>
                <w:rFonts w:ascii="Times New Roman" w:eastAsia="宋体" w:hAnsi="Times New Roman" w:cs="Times New Roman" w:hint="default"/>
                <w:snapToGrid w:val="0"/>
                <w:color w:val="auto"/>
                <w:sz w:val="21"/>
                <w:szCs w:val="24"/>
                <w:highlight w:val="none"/>
                <w:lang w:val="en-US" w:eastAsia="zh-CN" w:bidi="ar-SA"/>
              </w:rPr>
              <w:t>/</w:t>
            </w:r>
          </w:p>
        </w:tc>
        <w:tc>
          <w:tcPr>
            <w:tcW w:w="1894" w:type="dxa"/>
            <w:vAlign w:val="center"/>
          </w:tcPr>
          <w:p w14:paraId="6D3AFA56">
            <w:pPr>
              <w:spacing w:line="240" w:lineRule="auto"/>
              <w:ind w:firstLine="0" w:firstLineChars="0"/>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color w:val="auto"/>
                <w:sz w:val="21"/>
                <w:szCs w:val="21"/>
              </w:rPr>
              <w:t>0.</w:t>
            </w:r>
            <w:r>
              <w:rPr>
                <w:rFonts w:ascii="Times New Roman" w:eastAsia="宋体" w:hAnsi="Times New Roman" w:cs="Times New Roman" w:hint="default"/>
                <w:color w:val="auto"/>
                <w:sz w:val="21"/>
                <w:szCs w:val="21"/>
                <w:lang w:val="en-US" w:eastAsia="zh-CN"/>
              </w:rPr>
              <w:t>1</w:t>
            </w:r>
          </w:p>
        </w:tc>
        <w:tc>
          <w:tcPr>
            <w:tcW w:w="1415" w:type="dxa"/>
            <w:vAlign w:val="center"/>
          </w:tcPr>
          <w:p w14:paraId="53F1B885">
            <w:pPr>
              <w:spacing w:line="240" w:lineRule="auto"/>
              <w:ind w:firstLine="0" w:firstLineChars="0"/>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color w:val="auto"/>
                <w:sz w:val="21"/>
                <w:szCs w:val="21"/>
                <w:lang w:val="en-US" w:eastAsia="zh-CN"/>
              </w:rPr>
              <w:t>+</w:t>
            </w:r>
            <w:r>
              <w:rPr>
                <w:rFonts w:ascii="Times New Roman" w:eastAsia="宋体" w:hAnsi="Times New Roman" w:cs="Times New Roman" w:hint="default"/>
                <w:color w:val="auto"/>
                <w:sz w:val="21"/>
                <w:szCs w:val="21"/>
              </w:rPr>
              <w:t>0.</w:t>
            </w:r>
            <w:r>
              <w:rPr>
                <w:rFonts w:ascii="Times New Roman" w:eastAsia="宋体" w:hAnsi="Times New Roman" w:cs="Times New Roman" w:hint="default"/>
                <w:color w:val="auto"/>
                <w:sz w:val="21"/>
                <w:szCs w:val="21"/>
                <w:lang w:val="en-US" w:eastAsia="zh-CN"/>
              </w:rPr>
              <w:t>1</w:t>
            </w:r>
          </w:p>
        </w:tc>
      </w:tr>
      <w:tr w14:paraId="69D3C7CB">
        <w:tblPrEx>
          <w:tblW w:w="5000" w:type="pct"/>
          <w:tblInd w:w="0" w:type="dxa"/>
          <w:tblCellMar>
            <w:top w:w="0" w:type="dxa"/>
            <w:left w:w="108" w:type="dxa"/>
            <w:bottom w:w="0" w:type="dxa"/>
            <w:right w:w="108" w:type="dxa"/>
          </w:tblCellMar>
        </w:tblPrEx>
        <w:trPr>
          <w:trHeight w:val="170"/>
        </w:trPr>
        <w:tc>
          <w:tcPr>
            <w:tcW w:w="548" w:type="pct"/>
            <w:vMerge/>
            <w:vAlign w:val="center"/>
          </w:tcPr>
          <w:p w14:paraId="4FC3F1D8">
            <w:pPr>
              <w:pStyle w:val="a8"/>
              <w:keepNext w:val="0"/>
              <w:keepLines w:val="0"/>
              <w:pageBreakBefore w:val="0"/>
              <w:kinsoku/>
              <w:wordWrap/>
              <w:overflowPunct/>
              <w:topLinePunct w:val="0"/>
              <w:autoSpaceDE/>
              <w:autoSpaceDN/>
              <w:bidi w:val="0"/>
              <w:adjustRightInd w:val="0"/>
              <w:snapToGrid w:val="0"/>
              <w:spacing w:beforeLines="0" w:afterLines="0" w:line="240" w:lineRule="auto"/>
              <w:rPr>
                <w:rFonts w:ascii="Times New Roman" w:eastAsia="宋体" w:hAnsi="Times New Roman" w:cs="Times New Roman" w:hint="default"/>
                <w:snapToGrid w:val="0"/>
                <w:color w:val="auto"/>
                <w:kern w:val="21"/>
                <w:szCs w:val="21"/>
                <w:highlight w:val="none"/>
              </w:rPr>
            </w:pPr>
          </w:p>
        </w:tc>
        <w:tc>
          <w:tcPr>
            <w:tcW w:w="487" w:type="pct"/>
            <w:vAlign w:val="center"/>
          </w:tcPr>
          <w:p w14:paraId="5077EB18">
            <w:pPr>
              <w:overflowPunct w:val="0"/>
              <w:topLinePunct/>
              <w:autoSpaceDE w:val="0"/>
              <w:autoSpaceDN w:val="0"/>
              <w:ind w:firstLine="0" w:firstLineChars="0"/>
              <w:jc w:val="center"/>
              <w:textAlignment w:val="baseline"/>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color w:val="auto"/>
              </w:rPr>
              <w:t>废</w:t>
            </w:r>
            <w:r>
              <w:rPr>
                <w:rFonts w:ascii="Times New Roman" w:eastAsia="宋体" w:hAnsi="Times New Roman" w:cs="Times New Roman" w:hint="default"/>
                <w:color w:val="auto"/>
                <w:lang w:val="en-US" w:eastAsia="zh-CN"/>
              </w:rPr>
              <w:t>油桶</w:t>
            </w:r>
          </w:p>
        </w:tc>
        <w:tc>
          <w:tcPr>
            <w:tcW w:w="590" w:type="pct"/>
            <w:vAlign w:val="center"/>
          </w:tcPr>
          <w:p w14:paraId="6E3D33E2">
            <w:pPr>
              <w:keepNext w:val="0"/>
              <w:keepLines w:val="0"/>
              <w:pageBreakBefore w:val="0"/>
              <w:kinsoku/>
              <w:wordWrap/>
              <w:overflowPunct/>
              <w:topLinePunct w:val="0"/>
              <w:autoSpaceDE/>
              <w:autoSpaceDN/>
              <w:bidi w:val="0"/>
              <w:adjustRightInd w:val="0"/>
              <w:snapToGrid w:val="0"/>
              <w:spacing w:beforeLines="0" w:afterLines="0" w:line="240" w:lineRule="auto"/>
              <w:jc w:val="center"/>
              <w:rPr>
                <w:rFonts w:ascii="Times New Roman" w:eastAsia="宋体" w:hAnsi="Times New Roman" w:cs="Times New Roman" w:hint="default"/>
                <w:snapToGrid w:val="0"/>
                <w:color w:val="auto"/>
                <w:kern w:val="21"/>
                <w:szCs w:val="21"/>
                <w:highlight w:val="none"/>
              </w:rPr>
            </w:pPr>
            <w:r>
              <w:rPr>
                <w:rFonts w:ascii="Times New Roman" w:eastAsia="宋体" w:hAnsi="Times New Roman" w:cs="Times New Roman" w:hint="default"/>
                <w:snapToGrid w:val="0"/>
                <w:color w:val="auto"/>
                <w:sz w:val="21"/>
                <w:szCs w:val="24"/>
                <w:highlight w:val="none"/>
                <w:lang w:val="en-US" w:eastAsia="zh-CN" w:bidi="ar-SA"/>
              </w:rPr>
              <w:t>/</w:t>
            </w:r>
          </w:p>
        </w:tc>
        <w:tc>
          <w:tcPr>
            <w:tcW w:w="435" w:type="pct"/>
            <w:vAlign w:val="center"/>
          </w:tcPr>
          <w:p w14:paraId="421437E6">
            <w:pPr>
              <w:keepNext w:val="0"/>
              <w:keepLines w:val="0"/>
              <w:pageBreakBefore w:val="0"/>
              <w:kinsoku/>
              <w:wordWrap/>
              <w:overflowPunct/>
              <w:topLinePunct w:val="0"/>
              <w:autoSpaceDE/>
              <w:autoSpaceDN/>
              <w:bidi w:val="0"/>
              <w:adjustRightInd w:val="0"/>
              <w:snapToGrid w:val="0"/>
              <w:spacing w:beforeLines="0" w:afterLines="0" w:line="240" w:lineRule="auto"/>
              <w:jc w:val="center"/>
              <w:rPr>
                <w:rFonts w:ascii="Times New Roman" w:eastAsia="宋体" w:hAnsi="Times New Roman" w:cs="Times New Roman" w:hint="default"/>
                <w:snapToGrid w:val="0"/>
                <w:color w:val="auto"/>
                <w:kern w:val="21"/>
                <w:szCs w:val="21"/>
                <w:highlight w:val="none"/>
              </w:rPr>
            </w:pPr>
            <w:r>
              <w:rPr>
                <w:rFonts w:ascii="Times New Roman" w:eastAsia="宋体" w:hAnsi="Times New Roman" w:cs="Times New Roman" w:hint="default"/>
                <w:snapToGrid w:val="0"/>
                <w:color w:val="auto"/>
                <w:sz w:val="21"/>
                <w:szCs w:val="24"/>
                <w:highlight w:val="none"/>
                <w:lang w:val="en-US" w:eastAsia="zh-CN" w:bidi="ar-SA"/>
              </w:rPr>
              <w:t>/</w:t>
            </w:r>
          </w:p>
        </w:tc>
        <w:tc>
          <w:tcPr>
            <w:tcW w:w="590" w:type="pct"/>
            <w:vAlign w:val="center"/>
          </w:tcPr>
          <w:p w14:paraId="46D6F26C">
            <w:pPr>
              <w:keepNext w:val="0"/>
              <w:keepLines w:val="0"/>
              <w:pageBreakBefore w:val="0"/>
              <w:kinsoku/>
              <w:wordWrap/>
              <w:overflowPunct/>
              <w:topLinePunct w:val="0"/>
              <w:autoSpaceDE/>
              <w:autoSpaceDN/>
              <w:bidi w:val="0"/>
              <w:adjustRightInd w:val="0"/>
              <w:snapToGrid w:val="0"/>
              <w:spacing w:beforeLines="0" w:afterLines="0" w:line="240" w:lineRule="auto"/>
              <w:jc w:val="center"/>
              <w:rPr>
                <w:rFonts w:ascii="Times New Roman" w:eastAsia="宋体" w:hAnsi="Times New Roman" w:cs="Times New Roman" w:hint="default"/>
                <w:snapToGrid w:val="0"/>
                <w:color w:val="auto"/>
                <w:kern w:val="21"/>
                <w:szCs w:val="21"/>
                <w:highlight w:val="none"/>
              </w:rPr>
            </w:pPr>
            <w:r>
              <w:rPr>
                <w:rFonts w:ascii="Times New Roman" w:eastAsia="宋体" w:hAnsi="Times New Roman" w:cs="Times New Roman" w:hint="default"/>
                <w:snapToGrid w:val="0"/>
                <w:color w:val="auto"/>
                <w:sz w:val="21"/>
                <w:szCs w:val="24"/>
                <w:highlight w:val="none"/>
                <w:lang w:val="en-US" w:eastAsia="zh-CN" w:bidi="ar-SA"/>
              </w:rPr>
              <w:t>/</w:t>
            </w:r>
          </w:p>
        </w:tc>
        <w:tc>
          <w:tcPr>
            <w:tcW w:w="538" w:type="pct"/>
            <w:vAlign w:val="center"/>
          </w:tcPr>
          <w:p w14:paraId="2B27DBEE">
            <w:pPr>
              <w:spacing w:line="240" w:lineRule="auto"/>
              <w:ind w:firstLine="0" w:firstLineChars="0"/>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color w:val="auto"/>
                <w:sz w:val="21"/>
                <w:szCs w:val="21"/>
                <w:lang w:val="en-US" w:eastAsia="zh-CN"/>
              </w:rPr>
              <w:t>0.1</w:t>
            </w:r>
          </w:p>
        </w:tc>
        <w:tc>
          <w:tcPr>
            <w:tcW w:w="612" w:type="pct"/>
            <w:vAlign w:val="center"/>
          </w:tcPr>
          <w:p w14:paraId="34881217">
            <w:pPr>
              <w:keepNext w:val="0"/>
              <w:keepLines w:val="0"/>
              <w:pageBreakBefore w:val="0"/>
              <w:kinsoku/>
              <w:wordWrap/>
              <w:overflowPunct/>
              <w:topLinePunct w:val="0"/>
              <w:autoSpaceDE/>
              <w:autoSpaceDN/>
              <w:bidi w:val="0"/>
              <w:adjustRightInd w:val="0"/>
              <w:snapToGrid w:val="0"/>
              <w:spacing w:beforeLines="0" w:afterLines="0" w:line="240" w:lineRule="auto"/>
              <w:jc w:val="center"/>
              <w:rPr>
                <w:rFonts w:ascii="Times New Roman" w:eastAsia="宋体" w:hAnsi="Times New Roman" w:cs="Times New Roman" w:hint="default"/>
                <w:snapToGrid w:val="0"/>
                <w:color w:val="auto"/>
                <w:kern w:val="21"/>
                <w:szCs w:val="21"/>
                <w:highlight w:val="none"/>
              </w:rPr>
            </w:pPr>
            <w:r>
              <w:rPr>
                <w:rFonts w:ascii="Times New Roman" w:eastAsia="宋体" w:hAnsi="Times New Roman" w:cs="Times New Roman" w:hint="default"/>
                <w:snapToGrid w:val="0"/>
                <w:color w:val="auto"/>
                <w:sz w:val="21"/>
                <w:szCs w:val="24"/>
                <w:highlight w:val="none"/>
                <w:lang w:val="en-US" w:eastAsia="zh-CN" w:bidi="ar-SA"/>
              </w:rPr>
              <w:t>/</w:t>
            </w:r>
          </w:p>
        </w:tc>
        <w:tc>
          <w:tcPr>
            <w:tcW w:w="1894" w:type="dxa"/>
            <w:vAlign w:val="center"/>
          </w:tcPr>
          <w:p w14:paraId="20EA4E41">
            <w:pPr>
              <w:spacing w:line="240" w:lineRule="auto"/>
              <w:ind w:firstLine="0" w:firstLineChars="0"/>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color w:val="auto"/>
                <w:sz w:val="21"/>
                <w:szCs w:val="21"/>
                <w:lang w:val="en-US" w:eastAsia="zh-CN"/>
              </w:rPr>
              <w:t>0.1</w:t>
            </w:r>
          </w:p>
        </w:tc>
        <w:tc>
          <w:tcPr>
            <w:tcW w:w="1415" w:type="dxa"/>
            <w:vAlign w:val="center"/>
          </w:tcPr>
          <w:p w14:paraId="7507CC6D">
            <w:pPr>
              <w:spacing w:line="240" w:lineRule="auto"/>
              <w:ind w:firstLine="0" w:firstLineChars="0"/>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color w:val="auto"/>
                <w:sz w:val="21"/>
                <w:szCs w:val="21"/>
                <w:lang w:val="en-US" w:eastAsia="zh-CN"/>
              </w:rPr>
              <w:t>+0.1</w:t>
            </w:r>
          </w:p>
        </w:tc>
      </w:tr>
      <w:tr w14:paraId="29009433">
        <w:tblPrEx>
          <w:tblW w:w="5000" w:type="pct"/>
          <w:tblInd w:w="0" w:type="dxa"/>
          <w:tblCellMar>
            <w:top w:w="0" w:type="dxa"/>
            <w:left w:w="108" w:type="dxa"/>
            <w:bottom w:w="0" w:type="dxa"/>
            <w:right w:w="108" w:type="dxa"/>
          </w:tblCellMar>
        </w:tblPrEx>
        <w:trPr>
          <w:trHeight w:val="182"/>
        </w:trPr>
        <w:tc>
          <w:tcPr>
            <w:tcW w:w="548" w:type="pct"/>
            <w:vMerge/>
            <w:vAlign w:val="center"/>
          </w:tcPr>
          <w:p w14:paraId="2EF857DB">
            <w:pPr>
              <w:pStyle w:val="a8"/>
              <w:keepNext w:val="0"/>
              <w:keepLines w:val="0"/>
              <w:pageBreakBefore w:val="0"/>
              <w:kinsoku/>
              <w:wordWrap/>
              <w:overflowPunct/>
              <w:topLinePunct w:val="0"/>
              <w:autoSpaceDE/>
              <w:autoSpaceDN/>
              <w:bidi w:val="0"/>
              <w:adjustRightInd w:val="0"/>
              <w:snapToGrid w:val="0"/>
              <w:spacing w:beforeLines="0" w:afterLines="0" w:line="240" w:lineRule="auto"/>
              <w:rPr>
                <w:rFonts w:ascii="Times New Roman" w:eastAsia="宋体" w:hAnsi="Times New Roman" w:cs="Times New Roman" w:hint="default"/>
                <w:snapToGrid w:val="0"/>
                <w:color w:val="auto"/>
                <w:kern w:val="21"/>
                <w:szCs w:val="21"/>
                <w:highlight w:val="none"/>
              </w:rPr>
            </w:pPr>
          </w:p>
        </w:tc>
        <w:tc>
          <w:tcPr>
            <w:tcW w:w="487" w:type="pct"/>
            <w:vAlign w:val="center"/>
          </w:tcPr>
          <w:p w14:paraId="7490A53C">
            <w:pPr>
              <w:ind w:firstLine="0" w:firstLineChars="0"/>
              <w:jc w:val="center"/>
              <w:rPr>
                <w:rFonts w:ascii="Times New Roman" w:eastAsia="宋体" w:hAnsi="Times New Roman" w:cs="Times New Roman" w:hint="default"/>
                <w:color w:val="auto"/>
                <w:sz w:val="21"/>
                <w:szCs w:val="21"/>
                <w:highlight w:val="none"/>
              </w:rPr>
            </w:pPr>
            <w:r>
              <w:rPr>
                <w:rFonts w:ascii="Times New Roman" w:eastAsia="宋体" w:hAnsi="Times New Roman" w:cs="Times New Roman" w:hint="default"/>
                <w:color w:val="auto"/>
              </w:rPr>
              <w:t>废变压器油</w:t>
            </w:r>
          </w:p>
        </w:tc>
        <w:tc>
          <w:tcPr>
            <w:tcW w:w="590" w:type="pct"/>
            <w:vAlign w:val="center"/>
          </w:tcPr>
          <w:p w14:paraId="19BBB8D7">
            <w:pPr>
              <w:keepNext w:val="0"/>
              <w:keepLines w:val="0"/>
              <w:pageBreakBefore w:val="0"/>
              <w:kinsoku/>
              <w:wordWrap/>
              <w:overflowPunct/>
              <w:topLinePunct w:val="0"/>
              <w:autoSpaceDE/>
              <w:autoSpaceDN/>
              <w:bidi w:val="0"/>
              <w:adjustRightInd w:val="0"/>
              <w:snapToGrid w:val="0"/>
              <w:spacing w:beforeLines="0" w:afterLines="0" w:line="240" w:lineRule="auto"/>
              <w:jc w:val="center"/>
              <w:rPr>
                <w:rFonts w:ascii="Times New Roman" w:eastAsia="宋体" w:hAnsi="Times New Roman" w:cs="Times New Roman" w:hint="default"/>
                <w:snapToGrid w:val="0"/>
                <w:color w:val="auto"/>
                <w:sz w:val="21"/>
                <w:szCs w:val="24"/>
                <w:highlight w:val="none"/>
                <w:lang w:val="en-US" w:eastAsia="zh-CN" w:bidi="ar-SA"/>
              </w:rPr>
            </w:pPr>
          </w:p>
        </w:tc>
        <w:tc>
          <w:tcPr>
            <w:tcW w:w="435" w:type="pct"/>
            <w:vAlign w:val="center"/>
          </w:tcPr>
          <w:p w14:paraId="7107AEE8">
            <w:pPr>
              <w:keepNext w:val="0"/>
              <w:keepLines w:val="0"/>
              <w:pageBreakBefore w:val="0"/>
              <w:kinsoku/>
              <w:wordWrap/>
              <w:overflowPunct/>
              <w:topLinePunct w:val="0"/>
              <w:autoSpaceDE/>
              <w:autoSpaceDN/>
              <w:bidi w:val="0"/>
              <w:adjustRightInd w:val="0"/>
              <w:snapToGrid w:val="0"/>
              <w:spacing w:beforeLines="0" w:afterLines="0" w:line="240" w:lineRule="auto"/>
              <w:jc w:val="center"/>
              <w:rPr>
                <w:rFonts w:ascii="Times New Roman" w:eastAsia="宋体" w:hAnsi="Times New Roman" w:cs="Times New Roman" w:hint="default"/>
                <w:snapToGrid w:val="0"/>
                <w:color w:val="auto"/>
                <w:sz w:val="21"/>
                <w:szCs w:val="24"/>
                <w:highlight w:val="none"/>
                <w:lang w:val="en-US" w:eastAsia="zh-CN" w:bidi="ar-SA"/>
              </w:rPr>
            </w:pPr>
          </w:p>
        </w:tc>
        <w:tc>
          <w:tcPr>
            <w:tcW w:w="590" w:type="pct"/>
            <w:vAlign w:val="center"/>
          </w:tcPr>
          <w:p w14:paraId="2EB064EF">
            <w:pPr>
              <w:keepNext w:val="0"/>
              <w:keepLines w:val="0"/>
              <w:pageBreakBefore w:val="0"/>
              <w:kinsoku/>
              <w:wordWrap/>
              <w:overflowPunct/>
              <w:topLinePunct w:val="0"/>
              <w:autoSpaceDE/>
              <w:autoSpaceDN/>
              <w:bidi w:val="0"/>
              <w:adjustRightInd w:val="0"/>
              <w:snapToGrid w:val="0"/>
              <w:spacing w:beforeLines="0" w:afterLines="0" w:line="240" w:lineRule="auto"/>
              <w:jc w:val="center"/>
              <w:rPr>
                <w:rFonts w:ascii="Times New Roman" w:eastAsia="宋体" w:hAnsi="Times New Roman" w:cs="Times New Roman" w:hint="default"/>
                <w:snapToGrid w:val="0"/>
                <w:color w:val="auto"/>
                <w:sz w:val="21"/>
                <w:szCs w:val="24"/>
                <w:highlight w:val="none"/>
                <w:lang w:val="en-US" w:eastAsia="zh-CN" w:bidi="ar-SA"/>
              </w:rPr>
            </w:pPr>
          </w:p>
        </w:tc>
        <w:tc>
          <w:tcPr>
            <w:tcW w:w="538" w:type="pct"/>
            <w:vAlign w:val="center"/>
          </w:tcPr>
          <w:p w14:paraId="3A15D5BD">
            <w:pPr>
              <w:spacing w:line="240" w:lineRule="auto"/>
              <w:ind w:firstLine="0" w:firstLineChars="0"/>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color w:val="auto"/>
                <w:sz w:val="21"/>
                <w:szCs w:val="21"/>
                <w:lang w:val="en-US" w:eastAsia="zh-CN"/>
              </w:rPr>
              <w:t>60</w:t>
            </w:r>
          </w:p>
        </w:tc>
        <w:tc>
          <w:tcPr>
            <w:tcW w:w="612" w:type="pct"/>
            <w:vAlign w:val="center"/>
          </w:tcPr>
          <w:p w14:paraId="3118C890">
            <w:pPr>
              <w:keepNext w:val="0"/>
              <w:keepLines w:val="0"/>
              <w:pageBreakBefore w:val="0"/>
              <w:kinsoku/>
              <w:wordWrap/>
              <w:overflowPunct/>
              <w:topLinePunct w:val="0"/>
              <w:autoSpaceDE/>
              <w:autoSpaceDN/>
              <w:bidi w:val="0"/>
              <w:adjustRightInd w:val="0"/>
              <w:snapToGrid w:val="0"/>
              <w:spacing w:beforeLines="0" w:afterLines="0" w:line="240" w:lineRule="auto"/>
              <w:jc w:val="center"/>
              <w:rPr>
                <w:rFonts w:ascii="Times New Roman" w:eastAsia="宋体" w:hAnsi="Times New Roman" w:cs="Times New Roman" w:hint="default"/>
                <w:snapToGrid w:val="0"/>
                <w:color w:val="auto"/>
                <w:kern w:val="21"/>
                <w:szCs w:val="21"/>
                <w:highlight w:val="none"/>
              </w:rPr>
            </w:pPr>
          </w:p>
        </w:tc>
        <w:tc>
          <w:tcPr>
            <w:tcW w:w="1894" w:type="dxa"/>
            <w:vAlign w:val="center"/>
          </w:tcPr>
          <w:p w14:paraId="47105D2C">
            <w:pPr>
              <w:spacing w:line="240" w:lineRule="auto"/>
              <w:ind w:firstLine="0" w:firstLineChars="0"/>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color w:val="auto"/>
                <w:sz w:val="21"/>
                <w:szCs w:val="21"/>
                <w:lang w:val="en-US" w:eastAsia="zh-CN"/>
              </w:rPr>
              <w:t>60</w:t>
            </w:r>
          </w:p>
        </w:tc>
        <w:tc>
          <w:tcPr>
            <w:tcW w:w="1415" w:type="dxa"/>
            <w:vAlign w:val="center"/>
          </w:tcPr>
          <w:p w14:paraId="7A2CE85E">
            <w:pPr>
              <w:spacing w:line="240" w:lineRule="auto"/>
              <w:ind w:firstLine="0" w:firstLineChars="0"/>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color w:val="auto"/>
                <w:sz w:val="21"/>
                <w:szCs w:val="21"/>
                <w:lang w:val="en-US" w:eastAsia="zh-CN"/>
              </w:rPr>
              <w:t>+60</w:t>
            </w:r>
          </w:p>
        </w:tc>
      </w:tr>
      <w:tr w14:paraId="7689A5AC">
        <w:tblPrEx>
          <w:tblW w:w="5000" w:type="pct"/>
          <w:tblInd w:w="0" w:type="dxa"/>
          <w:tblCellMar>
            <w:top w:w="0" w:type="dxa"/>
            <w:left w:w="108" w:type="dxa"/>
            <w:bottom w:w="0" w:type="dxa"/>
            <w:right w:w="108" w:type="dxa"/>
          </w:tblCellMar>
        </w:tblPrEx>
        <w:trPr>
          <w:trHeight w:val="170"/>
        </w:trPr>
        <w:tc>
          <w:tcPr>
            <w:tcW w:w="548" w:type="pct"/>
            <w:vMerge/>
            <w:vAlign w:val="center"/>
          </w:tcPr>
          <w:p w14:paraId="44B3F99B">
            <w:pPr>
              <w:pStyle w:val="a8"/>
              <w:keepNext w:val="0"/>
              <w:keepLines w:val="0"/>
              <w:pageBreakBefore w:val="0"/>
              <w:kinsoku/>
              <w:wordWrap/>
              <w:overflowPunct/>
              <w:topLinePunct w:val="0"/>
              <w:autoSpaceDE/>
              <w:autoSpaceDN/>
              <w:bidi w:val="0"/>
              <w:adjustRightInd w:val="0"/>
              <w:snapToGrid w:val="0"/>
              <w:spacing w:beforeLines="0" w:afterLines="0" w:line="240" w:lineRule="auto"/>
              <w:rPr>
                <w:rFonts w:ascii="Times New Roman" w:eastAsia="宋体" w:hAnsi="Times New Roman" w:cs="Times New Roman" w:hint="default"/>
                <w:snapToGrid w:val="0"/>
                <w:color w:val="auto"/>
                <w:kern w:val="21"/>
                <w:szCs w:val="21"/>
                <w:highlight w:val="none"/>
              </w:rPr>
            </w:pPr>
          </w:p>
        </w:tc>
        <w:tc>
          <w:tcPr>
            <w:tcW w:w="487" w:type="pct"/>
            <w:vAlign w:val="center"/>
          </w:tcPr>
          <w:p w14:paraId="508A8EF7">
            <w:pPr>
              <w:ind w:firstLine="0" w:firstLineChars="0"/>
              <w:jc w:val="center"/>
              <w:rPr>
                <w:rFonts w:ascii="Times New Roman" w:eastAsia="宋体" w:hAnsi="Times New Roman" w:cs="Times New Roman" w:hint="default"/>
                <w:color w:val="auto"/>
                <w:sz w:val="21"/>
                <w:szCs w:val="21"/>
                <w:highlight w:val="none"/>
              </w:rPr>
            </w:pPr>
            <w:r>
              <w:rPr>
                <w:rFonts w:ascii="Times New Roman" w:eastAsia="宋体" w:hAnsi="Times New Roman" w:cs="Times New Roman" w:hint="default"/>
                <w:color w:val="auto"/>
              </w:rPr>
              <w:t>废铅蓄电池</w:t>
            </w:r>
          </w:p>
        </w:tc>
        <w:tc>
          <w:tcPr>
            <w:tcW w:w="590" w:type="pct"/>
            <w:vAlign w:val="center"/>
          </w:tcPr>
          <w:p w14:paraId="13815E44">
            <w:pPr>
              <w:keepNext w:val="0"/>
              <w:keepLines w:val="0"/>
              <w:pageBreakBefore w:val="0"/>
              <w:kinsoku/>
              <w:wordWrap/>
              <w:overflowPunct/>
              <w:topLinePunct w:val="0"/>
              <w:autoSpaceDE/>
              <w:autoSpaceDN/>
              <w:bidi w:val="0"/>
              <w:adjustRightInd w:val="0"/>
              <w:snapToGrid w:val="0"/>
              <w:spacing w:beforeLines="0" w:afterLines="0" w:line="240" w:lineRule="auto"/>
              <w:jc w:val="center"/>
              <w:rPr>
                <w:rFonts w:ascii="Times New Roman" w:eastAsia="宋体" w:hAnsi="Times New Roman" w:cs="Times New Roman" w:hint="default"/>
                <w:snapToGrid w:val="0"/>
                <w:color w:val="auto"/>
                <w:sz w:val="21"/>
                <w:szCs w:val="24"/>
                <w:highlight w:val="none"/>
                <w:lang w:val="en-US" w:eastAsia="zh-CN" w:bidi="ar-SA"/>
              </w:rPr>
            </w:pPr>
          </w:p>
        </w:tc>
        <w:tc>
          <w:tcPr>
            <w:tcW w:w="435" w:type="pct"/>
            <w:vAlign w:val="center"/>
          </w:tcPr>
          <w:p w14:paraId="23089706">
            <w:pPr>
              <w:keepNext w:val="0"/>
              <w:keepLines w:val="0"/>
              <w:pageBreakBefore w:val="0"/>
              <w:kinsoku/>
              <w:wordWrap/>
              <w:overflowPunct/>
              <w:topLinePunct w:val="0"/>
              <w:autoSpaceDE/>
              <w:autoSpaceDN/>
              <w:bidi w:val="0"/>
              <w:adjustRightInd w:val="0"/>
              <w:snapToGrid w:val="0"/>
              <w:spacing w:beforeLines="0" w:afterLines="0" w:line="240" w:lineRule="auto"/>
              <w:jc w:val="center"/>
              <w:rPr>
                <w:rFonts w:ascii="Times New Roman" w:eastAsia="宋体" w:hAnsi="Times New Roman" w:cs="Times New Roman" w:hint="default"/>
                <w:snapToGrid w:val="0"/>
                <w:color w:val="auto"/>
                <w:sz w:val="21"/>
                <w:szCs w:val="24"/>
                <w:highlight w:val="none"/>
                <w:lang w:val="en-US" w:eastAsia="zh-CN" w:bidi="ar-SA"/>
              </w:rPr>
            </w:pPr>
          </w:p>
        </w:tc>
        <w:tc>
          <w:tcPr>
            <w:tcW w:w="590" w:type="pct"/>
            <w:vAlign w:val="center"/>
          </w:tcPr>
          <w:p w14:paraId="61D9AA19">
            <w:pPr>
              <w:keepNext w:val="0"/>
              <w:keepLines w:val="0"/>
              <w:pageBreakBefore w:val="0"/>
              <w:kinsoku/>
              <w:wordWrap/>
              <w:overflowPunct/>
              <w:topLinePunct w:val="0"/>
              <w:autoSpaceDE/>
              <w:autoSpaceDN/>
              <w:bidi w:val="0"/>
              <w:adjustRightInd w:val="0"/>
              <w:snapToGrid w:val="0"/>
              <w:spacing w:beforeLines="0" w:afterLines="0" w:line="240" w:lineRule="auto"/>
              <w:jc w:val="center"/>
              <w:rPr>
                <w:rFonts w:ascii="Times New Roman" w:eastAsia="宋体" w:hAnsi="Times New Roman" w:cs="Times New Roman" w:hint="default"/>
                <w:snapToGrid w:val="0"/>
                <w:color w:val="auto"/>
                <w:sz w:val="21"/>
                <w:szCs w:val="24"/>
                <w:highlight w:val="none"/>
                <w:lang w:val="en-US" w:eastAsia="zh-CN" w:bidi="ar-SA"/>
              </w:rPr>
            </w:pPr>
          </w:p>
        </w:tc>
        <w:tc>
          <w:tcPr>
            <w:tcW w:w="538" w:type="pct"/>
            <w:vAlign w:val="center"/>
          </w:tcPr>
          <w:p w14:paraId="190F7ABC">
            <w:pPr>
              <w:spacing w:line="240" w:lineRule="auto"/>
              <w:ind w:firstLine="0" w:firstLineChars="0"/>
              <w:jc w:val="center"/>
              <w:rPr>
                <w:rFonts w:ascii="Times New Roman" w:eastAsia="宋体" w:hAnsi="Times New Roman" w:cs="Times New Roman" w:hint="default"/>
                <w:color w:val="auto"/>
                <w:kern w:val="2"/>
                <w:sz w:val="21"/>
                <w:szCs w:val="21"/>
                <w:highlight w:val="none"/>
                <w:lang w:val="en-US" w:eastAsia="zh-CN" w:bidi="ar-SA"/>
              </w:rPr>
            </w:pPr>
            <w:r>
              <w:rPr>
                <w:rFonts w:cs="Times New Roman" w:hint="eastAsia"/>
                <w:color w:val="auto"/>
                <w:sz w:val="21"/>
                <w:szCs w:val="21"/>
                <w:lang w:val="en-US" w:eastAsia="zh-CN"/>
              </w:rPr>
              <w:t>9</w:t>
            </w:r>
          </w:p>
        </w:tc>
        <w:tc>
          <w:tcPr>
            <w:tcW w:w="612" w:type="pct"/>
            <w:vAlign w:val="center"/>
          </w:tcPr>
          <w:p w14:paraId="3DEED19F">
            <w:pPr>
              <w:keepNext w:val="0"/>
              <w:keepLines w:val="0"/>
              <w:pageBreakBefore w:val="0"/>
              <w:kinsoku/>
              <w:wordWrap/>
              <w:overflowPunct/>
              <w:topLinePunct w:val="0"/>
              <w:autoSpaceDE/>
              <w:autoSpaceDN/>
              <w:bidi w:val="0"/>
              <w:adjustRightInd w:val="0"/>
              <w:snapToGrid w:val="0"/>
              <w:spacing w:beforeLines="0" w:afterLines="0" w:line="240" w:lineRule="auto"/>
              <w:jc w:val="center"/>
              <w:rPr>
                <w:rFonts w:ascii="Times New Roman" w:eastAsia="宋体" w:hAnsi="Times New Roman" w:cs="Times New Roman" w:hint="default"/>
                <w:snapToGrid w:val="0"/>
                <w:color w:val="auto"/>
                <w:kern w:val="21"/>
                <w:szCs w:val="21"/>
                <w:highlight w:val="none"/>
              </w:rPr>
            </w:pPr>
          </w:p>
        </w:tc>
        <w:tc>
          <w:tcPr>
            <w:tcW w:w="1894" w:type="dxa"/>
            <w:vAlign w:val="center"/>
          </w:tcPr>
          <w:p w14:paraId="1A8806F7">
            <w:pPr>
              <w:spacing w:line="240" w:lineRule="auto"/>
              <w:ind w:firstLine="0" w:firstLineChars="0"/>
              <w:jc w:val="center"/>
              <w:rPr>
                <w:rFonts w:ascii="Times New Roman" w:eastAsia="宋体" w:hAnsi="Times New Roman" w:cs="Times New Roman" w:hint="default"/>
                <w:color w:val="auto"/>
                <w:kern w:val="2"/>
                <w:sz w:val="21"/>
                <w:szCs w:val="21"/>
                <w:highlight w:val="none"/>
                <w:lang w:val="en-US" w:eastAsia="zh-CN" w:bidi="ar-SA"/>
              </w:rPr>
            </w:pPr>
            <w:r>
              <w:rPr>
                <w:rFonts w:cs="Times New Roman" w:hint="eastAsia"/>
                <w:color w:val="auto"/>
                <w:sz w:val="21"/>
                <w:szCs w:val="21"/>
                <w:lang w:val="en-US" w:eastAsia="zh-CN"/>
              </w:rPr>
              <w:t>9</w:t>
            </w:r>
          </w:p>
        </w:tc>
        <w:tc>
          <w:tcPr>
            <w:tcW w:w="1415" w:type="dxa"/>
            <w:vAlign w:val="center"/>
          </w:tcPr>
          <w:p w14:paraId="311ACA6D">
            <w:pPr>
              <w:spacing w:line="240" w:lineRule="auto"/>
              <w:ind w:firstLine="0" w:firstLineChars="0"/>
              <w:jc w:val="center"/>
              <w:rPr>
                <w:rFonts w:ascii="Times New Roman" w:eastAsia="宋体" w:hAnsi="Times New Roman" w:cs="Times New Roman" w:hint="default"/>
                <w:color w:val="auto"/>
                <w:kern w:val="2"/>
                <w:sz w:val="21"/>
                <w:szCs w:val="21"/>
                <w:highlight w:val="none"/>
                <w:lang w:val="en-US" w:eastAsia="zh-CN" w:bidi="ar-SA"/>
              </w:rPr>
            </w:pPr>
            <w:r>
              <w:rPr>
                <w:rFonts w:ascii="Times New Roman" w:eastAsia="宋体" w:hAnsi="Times New Roman" w:cs="Times New Roman" w:hint="default"/>
                <w:color w:val="auto"/>
                <w:sz w:val="21"/>
                <w:szCs w:val="21"/>
                <w:lang w:val="en-US" w:eastAsia="zh-CN"/>
              </w:rPr>
              <w:t>+</w:t>
            </w:r>
            <w:r>
              <w:rPr>
                <w:rFonts w:cs="Times New Roman" w:hint="eastAsia"/>
                <w:color w:val="auto"/>
                <w:sz w:val="21"/>
                <w:szCs w:val="21"/>
                <w:lang w:val="en-US" w:eastAsia="zh-CN"/>
              </w:rPr>
              <w:t>9</w:t>
            </w:r>
          </w:p>
        </w:tc>
      </w:tr>
    </w:tbl>
    <w:p w14:paraId="75F3A1A2">
      <w:pPr>
        <w:pStyle w:val="a8"/>
        <w:keepNext w:val="0"/>
        <w:keepLines w:val="0"/>
        <w:pageBreakBefore w:val="0"/>
        <w:widowControl w:val="0"/>
        <w:kinsoku/>
        <w:wordWrap/>
        <w:overflowPunct/>
        <w:topLinePunct w:val="0"/>
        <w:autoSpaceDE/>
        <w:autoSpaceDN/>
        <w:bidi w:val="0"/>
        <w:adjustRightInd w:val="0"/>
        <w:snapToGrid w:val="0"/>
        <w:spacing w:beforeLines="0" w:afterLines="0" w:line="240" w:lineRule="auto"/>
        <w:jc w:val="left"/>
        <w:textAlignment w:val="auto"/>
        <w:rPr>
          <w:rFonts w:ascii="Times New Roman" w:eastAsia="宋体" w:hAnsi="Times New Roman" w:cs="Times New Roman" w:hint="default"/>
          <w:snapToGrid w:val="0"/>
          <w:color w:val="auto"/>
          <w:spacing w:val="-6"/>
          <w:kern w:val="21"/>
          <w:szCs w:val="21"/>
          <w:highlight w:val="none"/>
        </w:rPr>
        <w:sectPr>
          <w:footerReference w:type="default" r:id="rId18"/>
          <w:pgSz w:w="16838" w:h="11906" w:orient="landscape"/>
          <w:pgMar w:top="1701" w:right="1531" w:bottom="1701" w:left="1531" w:header="851" w:footer="851" w:gutter="0"/>
          <w:pgBorders>
            <w:top w:val="none" w:sz="0" w:space="0" w:color="auto"/>
            <w:left w:val="none" w:sz="0" w:space="0" w:color="auto"/>
            <w:bottom w:val="none" w:sz="0" w:space="0" w:color="auto"/>
            <w:right w:val="none" w:sz="0" w:space="0" w:color="auto"/>
          </w:pgBorders>
          <w:pgNumType w:fmt="decimal"/>
          <w:cols w:num="1" w:space="720"/>
          <w:docGrid w:type="lines" w:linePitch="312" w:charSpace="0"/>
        </w:sectPr>
      </w:pPr>
      <w:r>
        <w:rPr>
          <w:rFonts w:ascii="Times New Roman" w:eastAsia="宋体" w:hAnsi="Times New Roman" w:cs="Times New Roman" w:hint="default"/>
          <w:snapToGrid w:val="0"/>
          <w:color w:val="auto"/>
          <w:kern w:val="21"/>
          <w:szCs w:val="21"/>
          <w:highlight w:val="none"/>
        </w:rPr>
        <w:t>注：</w:t>
      </w:r>
      <w:r>
        <w:rPr>
          <w:rFonts w:ascii="Times New Roman" w:eastAsia="宋体" w:hAnsi="Times New Roman" w:cs="Times New Roman" w:hint="default"/>
          <w:snapToGrid w:val="0"/>
          <w:color w:val="auto"/>
          <w:spacing w:val="-16"/>
          <w:kern w:val="21"/>
          <w:szCs w:val="21"/>
          <w:highlight w:val="none"/>
        </w:rPr>
        <w:fldChar w:fldCharType="begin"/>
      </w:r>
      <w:r>
        <w:rPr>
          <w:rFonts w:ascii="Times New Roman" w:eastAsia="宋体" w:hAnsi="Times New Roman" w:cs="Times New Roman" w:hint="default"/>
          <w:snapToGrid w:val="0"/>
          <w:color w:val="auto"/>
          <w:spacing w:val="-16"/>
          <w:kern w:val="21"/>
          <w:szCs w:val="21"/>
          <w:highlight w:val="none"/>
        </w:rPr>
        <w:instrText xml:space="preserve"> = 6 \* GB3 \* MERGEFORMAT </w:instrText>
      </w:r>
      <w:r>
        <w:rPr>
          <w:rFonts w:ascii="Times New Roman" w:eastAsia="宋体" w:hAnsi="Times New Roman" w:cs="Times New Roman" w:hint="default"/>
          <w:snapToGrid w:val="0"/>
          <w:color w:val="auto"/>
          <w:spacing w:val="-16"/>
          <w:kern w:val="21"/>
          <w:szCs w:val="21"/>
          <w:highlight w:val="none"/>
        </w:rPr>
        <w:fldChar w:fldCharType="separate"/>
      </w:r>
      <w:r>
        <w:rPr>
          <w:rFonts w:ascii="Times New Roman" w:eastAsia="宋体" w:hAnsi="Times New Roman" w:cs="Times New Roman" w:hint="default"/>
          <w:color w:val="auto"/>
          <w:szCs w:val="21"/>
          <w:highlight w:val="none"/>
        </w:rPr>
        <w:t>⑥</w:t>
      </w:r>
      <w:r>
        <w:rPr>
          <w:rFonts w:ascii="Times New Roman" w:eastAsia="宋体" w:hAnsi="Times New Roman" w:cs="Times New Roman" w:hint="default"/>
          <w:snapToGrid w:val="0"/>
          <w:color w:val="auto"/>
          <w:spacing w:val="-16"/>
          <w:kern w:val="21"/>
          <w:szCs w:val="21"/>
          <w:highlight w:val="none"/>
        </w:rPr>
        <w:fldChar w:fldCharType="end"/>
      </w:r>
      <w:r>
        <w:rPr>
          <w:rFonts w:ascii="Times New Roman" w:eastAsia="宋体" w:hAnsi="Times New Roman" w:cs="Times New Roman" w:hint="default"/>
          <w:snapToGrid w:val="0"/>
          <w:color w:val="auto"/>
          <w:spacing w:val="-16"/>
          <w:kern w:val="21"/>
          <w:szCs w:val="21"/>
          <w:highlight w:val="none"/>
        </w:rPr>
        <w:t>=</w:t>
      </w:r>
      <w:r>
        <w:rPr>
          <w:rFonts w:ascii="Times New Roman" w:eastAsia="宋体" w:hAnsi="Times New Roman" w:cs="Times New Roman" w:hint="default"/>
          <w:snapToGrid w:val="0"/>
          <w:color w:val="auto"/>
          <w:spacing w:val="-6"/>
          <w:kern w:val="21"/>
          <w:szCs w:val="21"/>
          <w:highlight w:val="none"/>
        </w:rPr>
        <w:fldChar w:fldCharType="begin"/>
      </w:r>
      <w:r>
        <w:rPr>
          <w:rFonts w:ascii="Times New Roman" w:eastAsia="宋体" w:hAnsi="Times New Roman" w:cs="Times New Roman" w:hint="default"/>
          <w:snapToGrid w:val="0"/>
          <w:color w:val="auto"/>
          <w:spacing w:val="-6"/>
          <w:kern w:val="21"/>
          <w:szCs w:val="21"/>
          <w:highlight w:val="none"/>
        </w:rPr>
        <w:instrText xml:space="preserve"> = 1 \* GB3 \* MERGEFORMAT </w:instrText>
      </w:r>
      <w:r>
        <w:rPr>
          <w:rFonts w:ascii="Times New Roman" w:eastAsia="宋体" w:hAnsi="Times New Roman" w:cs="Times New Roman" w:hint="default"/>
          <w:snapToGrid w:val="0"/>
          <w:color w:val="auto"/>
          <w:spacing w:val="-6"/>
          <w:kern w:val="21"/>
          <w:szCs w:val="21"/>
          <w:highlight w:val="none"/>
        </w:rPr>
        <w:fldChar w:fldCharType="separate"/>
      </w:r>
      <w:r>
        <w:rPr>
          <w:rFonts w:ascii="Times New Roman" w:eastAsia="宋体" w:hAnsi="Times New Roman" w:cs="Times New Roman" w:hint="default"/>
          <w:color w:val="auto"/>
          <w:szCs w:val="21"/>
          <w:highlight w:val="none"/>
        </w:rPr>
        <w:t>①</w:t>
      </w:r>
      <w:r>
        <w:rPr>
          <w:rFonts w:ascii="Times New Roman" w:eastAsia="宋体" w:hAnsi="Times New Roman" w:cs="Times New Roman" w:hint="default"/>
          <w:snapToGrid w:val="0"/>
          <w:color w:val="auto"/>
          <w:spacing w:val="-6"/>
          <w:kern w:val="21"/>
          <w:szCs w:val="21"/>
          <w:highlight w:val="none"/>
        </w:rPr>
        <w:fldChar w:fldCharType="end"/>
      </w:r>
      <w:r>
        <w:rPr>
          <w:rFonts w:ascii="Times New Roman" w:eastAsia="宋体" w:hAnsi="Times New Roman" w:cs="Times New Roman" w:hint="default"/>
          <w:snapToGrid w:val="0"/>
          <w:color w:val="auto"/>
          <w:spacing w:val="-6"/>
          <w:kern w:val="21"/>
          <w:szCs w:val="21"/>
          <w:highlight w:val="none"/>
        </w:rPr>
        <w:t>+</w:t>
      </w:r>
      <w:r>
        <w:rPr>
          <w:rFonts w:ascii="Times New Roman" w:eastAsia="宋体" w:hAnsi="Times New Roman" w:cs="Times New Roman" w:hint="default"/>
          <w:snapToGrid w:val="0"/>
          <w:color w:val="auto"/>
          <w:spacing w:val="-6"/>
          <w:kern w:val="21"/>
          <w:szCs w:val="21"/>
          <w:highlight w:val="none"/>
        </w:rPr>
        <w:fldChar w:fldCharType="begin"/>
      </w:r>
      <w:r>
        <w:rPr>
          <w:rFonts w:ascii="Times New Roman" w:eastAsia="宋体" w:hAnsi="Times New Roman" w:cs="Times New Roman" w:hint="default"/>
          <w:snapToGrid w:val="0"/>
          <w:color w:val="auto"/>
          <w:spacing w:val="-6"/>
          <w:kern w:val="21"/>
          <w:szCs w:val="21"/>
          <w:highlight w:val="none"/>
        </w:rPr>
        <w:instrText xml:space="preserve"> = 3 \* GB3 \* MERGEFORMAT </w:instrText>
      </w:r>
      <w:r>
        <w:rPr>
          <w:rFonts w:ascii="Times New Roman" w:eastAsia="宋体" w:hAnsi="Times New Roman" w:cs="Times New Roman" w:hint="default"/>
          <w:snapToGrid w:val="0"/>
          <w:color w:val="auto"/>
          <w:spacing w:val="-6"/>
          <w:kern w:val="21"/>
          <w:szCs w:val="21"/>
          <w:highlight w:val="none"/>
        </w:rPr>
        <w:fldChar w:fldCharType="separate"/>
      </w:r>
      <w:r>
        <w:rPr>
          <w:rFonts w:ascii="Times New Roman" w:eastAsia="宋体" w:hAnsi="Times New Roman" w:cs="Times New Roman" w:hint="default"/>
          <w:color w:val="auto"/>
          <w:szCs w:val="21"/>
          <w:highlight w:val="none"/>
        </w:rPr>
        <w:t>③</w:t>
      </w:r>
      <w:r>
        <w:rPr>
          <w:rFonts w:ascii="Times New Roman" w:eastAsia="宋体" w:hAnsi="Times New Roman" w:cs="Times New Roman" w:hint="default"/>
          <w:snapToGrid w:val="0"/>
          <w:color w:val="auto"/>
          <w:spacing w:val="-6"/>
          <w:kern w:val="21"/>
          <w:szCs w:val="21"/>
          <w:highlight w:val="none"/>
        </w:rPr>
        <w:fldChar w:fldCharType="end"/>
      </w:r>
      <w:r>
        <w:rPr>
          <w:rFonts w:ascii="Times New Roman" w:eastAsia="宋体" w:hAnsi="Times New Roman" w:cs="Times New Roman" w:hint="default"/>
          <w:snapToGrid w:val="0"/>
          <w:color w:val="auto"/>
          <w:spacing w:val="-6"/>
          <w:kern w:val="21"/>
          <w:szCs w:val="21"/>
          <w:highlight w:val="none"/>
        </w:rPr>
        <w:t>+</w:t>
      </w:r>
      <w:r>
        <w:rPr>
          <w:rFonts w:ascii="Times New Roman" w:eastAsia="宋体" w:hAnsi="Times New Roman" w:cs="Times New Roman" w:hint="default"/>
          <w:snapToGrid w:val="0"/>
          <w:color w:val="auto"/>
          <w:spacing w:val="-6"/>
          <w:kern w:val="21"/>
          <w:szCs w:val="21"/>
          <w:highlight w:val="none"/>
        </w:rPr>
        <w:fldChar w:fldCharType="begin"/>
      </w:r>
      <w:r>
        <w:rPr>
          <w:rFonts w:ascii="Times New Roman" w:eastAsia="宋体" w:hAnsi="Times New Roman" w:cs="Times New Roman" w:hint="default"/>
          <w:snapToGrid w:val="0"/>
          <w:color w:val="auto"/>
          <w:spacing w:val="-6"/>
          <w:kern w:val="21"/>
          <w:szCs w:val="21"/>
          <w:highlight w:val="none"/>
        </w:rPr>
        <w:instrText xml:space="preserve"> = 4 \* GB3 \* MERGEFORMAT </w:instrText>
      </w:r>
      <w:r>
        <w:rPr>
          <w:rFonts w:ascii="Times New Roman" w:eastAsia="宋体" w:hAnsi="Times New Roman" w:cs="Times New Roman" w:hint="default"/>
          <w:snapToGrid w:val="0"/>
          <w:color w:val="auto"/>
          <w:spacing w:val="-6"/>
          <w:kern w:val="21"/>
          <w:szCs w:val="21"/>
          <w:highlight w:val="none"/>
        </w:rPr>
        <w:fldChar w:fldCharType="separate"/>
      </w:r>
      <w:r>
        <w:rPr>
          <w:rFonts w:ascii="Times New Roman" w:eastAsia="宋体" w:hAnsi="Times New Roman" w:cs="Times New Roman" w:hint="default"/>
          <w:color w:val="auto"/>
          <w:szCs w:val="21"/>
          <w:highlight w:val="none"/>
        </w:rPr>
        <w:t>④</w:t>
      </w:r>
      <w:r>
        <w:rPr>
          <w:rFonts w:ascii="Times New Roman" w:eastAsia="宋体" w:hAnsi="Times New Roman" w:cs="Times New Roman" w:hint="default"/>
          <w:snapToGrid w:val="0"/>
          <w:color w:val="auto"/>
          <w:spacing w:val="-6"/>
          <w:kern w:val="21"/>
          <w:szCs w:val="21"/>
          <w:highlight w:val="none"/>
        </w:rPr>
        <w:fldChar w:fldCharType="end"/>
      </w:r>
      <w:r>
        <w:rPr>
          <w:rFonts w:ascii="Times New Roman" w:eastAsia="宋体" w:hAnsi="Times New Roman" w:cs="Times New Roman" w:hint="default"/>
          <w:snapToGrid w:val="0"/>
          <w:color w:val="auto"/>
          <w:spacing w:val="-6"/>
          <w:kern w:val="21"/>
          <w:szCs w:val="21"/>
          <w:highlight w:val="none"/>
        </w:rPr>
        <w:t>-</w:t>
      </w:r>
      <w:r>
        <w:rPr>
          <w:rFonts w:ascii="Times New Roman" w:eastAsia="宋体" w:hAnsi="Times New Roman" w:cs="Times New Roman" w:hint="default"/>
          <w:snapToGrid w:val="0"/>
          <w:color w:val="auto"/>
          <w:spacing w:val="-16"/>
          <w:kern w:val="21"/>
          <w:szCs w:val="21"/>
          <w:highlight w:val="none"/>
        </w:rPr>
        <w:fldChar w:fldCharType="begin"/>
      </w:r>
      <w:r>
        <w:rPr>
          <w:rFonts w:ascii="Times New Roman" w:eastAsia="宋体" w:hAnsi="Times New Roman" w:cs="Times New Roman" w:hint="default"/>
          <w:snapToGrid w:val="0"/>
          <w:color w:val="auto"/>
          <w:spacing w:val="-16"/>
          <w:kern w:val="21"/>
          <w:szCs w:val="21"/>
          <w:highlight w:val="none"/>
        </w:rPr>
        <w:instrText xml:space="preserve"> = 5 \* GB3 \* MERGEFORMAT </w:instrText>
      </w:r>
      <w:r>
        <w:rPr>
          <w:rFonts w:ascii="Times New Roman" w:eastAsia="宋体" w:hAnsi="Times New Roman" w:cs="Times New Roman" w:hint="default"/>
          <w:snapToGrid w:val="0"/>
          <w:color w:val="auto"/>
          <w:spacing w:val="-16"/>
          <w:kern w:val="21"/>
          <w:szCs w:val="21"/>
          <w:highlight w:val="none"/>
        </w:rPr>
        <w:fldChar w:fldCharType="separate"/>
      </w:r>
      <w:r>
        <w:rPr>
          <w:rFonts w:ascii="Times New Roman" w:eastAsia="宋体" w:hAnsi="Times New Roman" w:cs="Times New Roman" w:hint="default"/>
          <w:color w:val="auto"/>
          <w:szCs w:val="21"/>
          <w:highlight w:val="none"/>
        </w:rPr>
        <w:t>⑤</w:t>
      </w:r>
      <w:r>
        <w:rPr>
          <w:rFonts w:ascii="Times New Roman" w:eastAsia="宋体" w:hAnsi="Times New Roman" w:cs="Times New Roman" w:hint="default"/>
          <w:snapToGrid w:val="0"/>
          <w:color w:val="auto"/>
          <w:spacing w:val="-16"/>
          <w:kern w:val="21"/>
          <w:szCs w:val="21"/>
          <w:highlight w:val="none"/>
        </w:rPr>
        <w:fldChar w:fldCharType="end"/>
      </w:r>
      <w:r>
        <w:rPr>
          <w:rFonts w:ascii="Times New Roman" w:eastAsia="宋体" w:hAnsi="Times New Roman" w:cs="Times New Roman" w:hint="default"/>
          <w:snapToGrid w:val="0"/>
          <w:color w:val="auto"/>
          <w:spacing w:val="-16"/>
          <w:kern w:val="21"/>
          <w:szCs w:val="21"/>
          <w:highlight w:val="none"/>
        </w:rPr>
        <w:t>；</w:t>
      </w:r>
      <w:r>
        <w:rPr>
          <w:rFonts w:ascii="Times New Roman" w:eastAsia="宋体" w:hAnsi="Times New Roman" w:cs="Times New Roman" w:hint="default"/>
          <w:snapToGrid w:val="0"/>
          <w:color w:val="auto"/>
          <w:spacing w:val="-6"/>
          <w:kern w:val="21"/>
          <w:szCs w:val="21"/>
          <w:highlight w:val="none"/>
        </w:rPr>
        <w:fldChar w:fldCharType="begin"/>
      </w:r>
      <w:r>
        <w:rPr>
          <w:rFonts w:ascii="Times New Roman" w:eastAsia="宋体" w:hAnsi="Times New Roman" w:cs="Times New Roman" w:hint="default"/>
          <w:snapToGrid w:val="0"/>
          <w:color w:val="auto"/>
          <w:spacing w:val="-6"/>
          <w:kern w:val="21"/>
          <w:szCs w:val="21"/>
          <w:highlight w:val="none"/>
        </w:rPr>
        <w:instrText xml:space="preserve"> = 7 \* GB3 \* MERGEFORMAT </w:instrText>
      </w:r>
      <w:r>
        <w:rPr>
          <w:rFonts w:ascii="Times New Roman" w:eastAsia="宋体" w:hAnsi="Times New Roman" w:cs="Times New Roman" w:hint="default"/>
          <w:snapToGrid w:val="0"/>
          <w:color w:val="auto"/>
          <w:spacing w:val="-6"/>
          <w:kern w:val="21"/>
          <w:szCs w:val="21"/>
          <w:highlight w:val="none"/>
        </w:rPr>
        <w:fldChar w:fldCharType="separate"/>
      </w:r>
      <w:r>
        <w:rPr>
          <w:rFonts w:ascii="Times New Roman" w:eastAsia="宋体" w:hAnsi="Times New Roman" w:cs="Times New Roman" w:hint="default"/>
          <w:color w:val="auto"/>
          <w:szCs w:val="21"/>
          <w:highlight w:val="none"/>
        </w:rPr>
        <w:t>⑦</w:t>
      </w:r>
      <w:r>
        <w:rPr>
          <w:rFonts w:ascii="Times New Roman" w:eastAsia="宋体" w:hAnsi="Times New Roman" w:cs="Times New Roman" w:hint="default"/>
          <w:snapToGrid w:val="0"/>
          <w:color w:val="auto"/>
          <w:spacing w:val="-6"/>
          <w:kern w:val="21"/>
          <w:szCs w:val="21"/>
          <w:highlight w:val="none"/>
        </w:rPr>
        <w:fldChar w:fldCharType="end"/>
      </w:r>
      <w:r>
        <w:rPr>
          <w:rFonts w:ascii="Times New Roman" w:eastAsia="宋体" w:hAnsi="Times New Roman" w:cs="Times New Roman" w:hint="default"/>
          <w:snapToGrid w:val="0"/>
          <w:color w:val="auto"/>
          <w:spacing w:val="-6"/>
          <w:kern w:val="21"/>
          <w:szCs w:val="21"/>
          <w:highlight w:val="none"/>
        </w:rPr>
        <w:t>=</w:t>
      </w:r>
      <w:r>
        <w:rPr>
          <w:rFonts w:ascii="Times New Roman" w:eastAsia="宋体" w:hAnsi="Times New Roman" w:cs="Times New Roman" w:hint="default"/>
          <w:snapToGrid w:val="0"/>
          <w:color w:val="auto"/>
          <w:spacing w:val="-16"/>
          <w:kern w:val="21"/>
          <w:szCs w:val="21"/>
          <w:highlight w:val="none"/>
        </w:rPr>
        <w:fldChar w:fldCharType="begin"/>
      </w:r>
      <w:r>
        <w:rPr>
          <w:rFonts w:ascii="Times New Roman" w:eastAsia="宋体" w:hAnsi="Times New Roman" w:cs="Times New Roman" w:hint="default"/>
          <w:snapToGrid w:val="0"/>
          <w:color w:val="auto"/>
          <w:spacing w:val="-16"/>
          <w:kern w:val="21"/>
          <w:szCs w:val="21"/>
          <w:highlight w:val="none"/>
        </w:rPr>
        <w:instrText xml:space="preserve"> = 6 \* GB3 \* MERGEFORMAT </w:instrText>
      </w:r>
      <w:r>
        <w:rPr>
          <w:rFonts w:ascii="Times New Roman" w:eastAsia="宋体" w:hAnsi="Times New Roman" w:cs="Times New Roman" w:hint="default"/>
          <w:snapToGrid w:val="0"/>
          <w:color w:val="auto"/>
          <w:spacing w:val="-16"/>
          <w:kern w:val="21"/>
          <w:szCs w:val="21"/>
          <w:highlight w:val="none"/>
        </w:rPr>
        <w:fldChar w:fldCharType="separate"/>
      </w:r>
      <w:r>
        <w:rPr>
          <w:rFonts w:ascii="Times New Roman" w:eastAsia="宋体" w:hAnsi="Times New Roman" w:cs="Times New Roman" w:hint="default"/>
          <w:color w:val="auto"/>
          <w:szCs w:val="21"/>
          <w:highlight w:val="none"/>
        </w:rPr>
        <w:t>⑥</w:t>
      </w:r>
      <w:r>
        <w:rPr>
          <w:rFonts w:ascii="Times New Roman" w:eastAsia="宋体" w:hAnsi="Times New Roman" w:cs="Times New Roman" w:hint="default"/>
          <w:snapToGrid w:val="0"/>
          <w:color w:val="auto"/>
          <w:spacing w:val="-16"/>
          <w:kern w:val="21"/>
          <w:szCs w:val="21"/>
          <w:highlight w:val="none"/>
        </w:rPr>
        <w:fldChar w:fldCharType="end"/>
      </w:r>
      <w:r>
        <w:rPr>
          <w:rFonts w:ascii="Times New Roman" w:eastAsia="宋体" w:hAnsi="Times New Roman" w:cs="Times New Roman" w:hint="default"/>
          <w:snapToGrid w:val="0"/>
          <w:color w:val="auto"/>
          <w:spacing w:val="-16"/>
          <w:kern w:val="21"/>
          <w:szCs w:val="21"/>
          <w:highlight w:val="none"/>
        </w:rPr>
        <w:t>-</w:t>
      </w:r>
      <w:r>
        <w:rPr>
          <w:rFonts w:ascii="Times New Roman" w:eastAsia="宋体" w:hAnsi="Times New Roman" w:cs="Times New Roman" w:hint="default"/>
          <w:snapToGrid w:val="0"/>
          <w:color w:val="auto"/>
          <w:spacing w:val="-6"/>
          <w:kern w:val="21"/>
          <w:szCs w:val="21"/>
          <w:highlight w:val="none"/>
        </w:rPr>
        <w:fldChar w:fldCharType="begin"/>
      </w:r>
      <w:r>
        <w:rPr>
          <w:rFonts w:ascii="Times New Roman" w:eastAsia="宋体" w:hAnsi="Times New Roman" w:cs="Times New Roman" w:hint="default"/>
          <w:snapToGrid w:val="0"/>
          <w:color w:val="auto"/>
          <w:spacing w:val="-6"/>
          <w:kern w:val="21"/>
          <w:szCs w:val="21"/>
          <w:highlight w:val="none"/>
        </w:rPr>
        <w:instrText xml:space="preserve"> = 1 \* GB3 \* MERGEFORMAT </w:instrText>
      </w:r>
      <w:r>
        <w:rPr>
          <w:rFonts w:ascii="Times New Roman" w:eastAsia="宋体" w:hAnsi="Times New Roman" w:cs="Times New Roman" w:hint="default"/>
          <w:snapToGrid w:val="0"/>
          <w:color w:val="auto"/>
          <w:spacing w:val="-6"/>
          <w:kern w:val="21"/>
          <w:szCs w:val="21"/>
          <w:highlight w:val="none"/>
        </w:rPr>
        <w:fldChar w:fldCharType="separate"/>
      </w:r>
      <w:r>
        <w:rPr>
          <w:rFonts w:ascii="Times New Roman" w:eastAsia="宋体" w:hAnsi="Times New Roman" w:cs="Times New Roman" w:hint="default"/>
          <w:color w:val="auto"/>
          <w:szCs w:val="21"/>
          <w:highlight w:val="none"/>
        </w:rPr>
        <w:t>①</w:t>
      </w:r>
      <w:r>
        <w:rPr>
          <w:rFonts w:ascii="Times New Roman" w:eastAsia="宋体" w:hAnsi="Times New Roman" w:cs="Times New Roman" w:hint="default"/>
          <w:snapToGrid w:val="0"/>
          <w:color w:val="auto"/>
          <w:spacing w:val="-6"/>
          <w:kern w:val="21"/>
          <w:szCs w:val="21"/>
          <w:highlight w:val="none"/>
        </w:rPr>
        <w:fldChar w:fldCharType="end"/>
      </w:r>
    </w:p>
    <w:p w14:paraId="5320FCC3">
      <w:pPr>
        <w:spacing w:before="204" w:line="226" w:lineRule="auto"/>
        <w:jc w:val="right"/>
        <w:rPr>
          <w:rFonts w:ascii="Times New Roman" w:eastAsia="宋体" w:hAnsi="Times New Roman" w:cs="Times New Roman" w:hint="default"/>
          <w:b/>
          <w:bCs/>
          <w:color w:val="auto"/>
          <w:spacing w:val="7"/>
          <w:sz w:val="47"/>
          <w:szCs w:val="47"/>
        </w:rPr>
      </w:pPr>
    </w:p>
    <w:p w14:paraId="7219017A">
      <w:pPr>
        <w:spacing w:before="204" w:line="226" w:lineRule="auto"/>
        <w:jc w:val="center"/>
        <w:rPr>
          <w:rFonts w:ascii="Times New Roman" w:eastAsia="宋体" w:hAnsi="Times New Roman" w:cs="Times New Roman" w:hint="default"/>
          <w:b/>
          <w:bCs/>
          <w:color w:val="auto"/>
          <w:spacing w:val="7"/>
          <w:sz w:val="48"/>
          <w:szCs w:val="48"/>
        </w:rPr>
      </w:pPr>
      <w:r>
        <w:rPr>
          <w:rFonts w:ascii="Times New Roman" w:eastAsia="宋体" w:hAnsi="Times New Roman" w:cs="Times New Roman" w:hint="default"/>
          <w:b/>
          <w:bCs/>
          <w:color w:val="auto"/>
          <w:spacing w:val="7"/>
          <w:sz w:val="48"/>
          <w:szCs w:val="48"/>
        </w:rPr>
        <w:t>天启鸿源围场共享储能电站项目</w:t>
      </w:r>
    </w:p>
    <w:p w14:paraId="3061F2AC">
      <w:pPr>
        <w:spacing w:before="204" w:line="226" w:lineRule="auto"/>
        <w:jc w:val="center"/>
        <w:rPr>
          <w:rFonts w:ascii="Times New Roman" w:eastAsia="宋体" w:hAnsi="Times New Roman" w:cs="Times New Roman" w:hint="default"/>
          <w:b/>
          <w:bCs/>
          <w:color w:val="auto"/>
          <w:sz w:val="48"/>
          <w:szCs w:val="48"/>
        </w:rPr>
      </w:pPr>
      <w:r>
        <w:rPr>
          <w:rFonts w:ascii="Times New Roman" w:eastAsia="宋体" w:hAnsi="Times New Roman" w:cs="Times New Roman" w:hint="default"/>
          <w:b/>
          <w:bCs/>
          <w:color w:val="auto"/>
          <w:spacing w:val="7"/>
          <w:sz w:val="48"/>
          <w:szCs w:val="48"/>
        </w:rPr>
        <w:t>电磁环境影响专项评价</w:t>
      </w:r>
    </w:p>
    <w:p w14:paraId="1D6B7707">
      <w:pPr>
        <w:pStyle w:val="BodyText"/>
        <w:spacing w:line="244" w:lineRule="auto"/>
        <w:rPr>
          <w:rFonts w:ascii="Times New Roman" w:eastAsia="宋体" w:hAnsi="Times New Roman" w:cs="Times New Roman" w:hint="default"/>
          <w:b/>
          <w:bCs/>
          <w:color w:val="auto"/>
        </w:rPr>
      </w:pPr>
    </w:p>
    <w:p w14:paraId="3E4D9729">
      <w:pPr>
        <w:pStyle w:val="BodyText"/>
        <w:spacing w:line="244" w:lineRule="auto"/>
        <w:rPr>
          <w:rFonts w:ascii="Times New Roman" w:eastAsia="宋体" w:hAnsi="Times New Roman" w:cs="Times New Roman" w:hint="default"/>
          <w:b/>
          <w:bCs/>
          <w:color w:val="auto"/>
        </w:rPr>
      </w:pPr>
    </w:p>
    <w:p w14:paraId="0267A25D">
      <w:pPr>
        <w:pStyle w:val="BodyText"/>
        <w:spacing w:line="244" w:lineRule="auto"/>
        <w:rPr>
          <w:rFonts w:ascii="Times New Roman" w:eastAsia="宋体" w:hAnsi="Times New Roman" w:cs="Times New Roman" w:hint="default"/>
          <w:b/>
          <w:bCs/>
          <w:color w:val="auto"/>
        </w:rPr>
      </w:pPr>
    </w:p>
    <w:p w14:paraId="45E15EF5">
      <w:pPr>
        <w:pStyle w:val="BodyText"/>
        <w:spacing w:line="244" w:lineRule="auto"/>
        <w:rPr>
          <w:rFonts w:ascii="Times New Roman" w:eastAsia="宋体" w:hAnsi="Times New Roman" w:cs="Times New Roman" w:hint="default"/>
          <w:b/>
          <w:bCs/>
          <w:color w:val="auto"/>
        </w:rPr>
      </w:pPr>
    </w:p>
    <w:p w14:paraId="0B01DE88">
      <w:pPr>
        <w:pStyle w:val="BodyText"/>
        <w:spacing w:line="244" w:lineRule="auto"/>
        <w:rPr>
          <w:rFonts w:ascii="Times New Roman" w:eastAsia="宋体" w:hAnsi="Times New Roman" w:cs="Times New Roman" w:hint="default"/>
          <w:b/>
          <w:bCs/>
          <w:color w:val="auto"/>
        </w:rPr>
      </w:pPr>
    </w:p>
    <w:p w14:paraId="5EA5D0A0">
      <w:pPr>
        <w:pStyle w:val="BodyText"/>
        <w:spacing w:line="244" w:lineRule="auto"/>
        <w:rPr>
          <w:rFonts w:ascii="Times New Roman" w:eastAsia="宋体" w:hAnsi="Times New Roman" w:cs="Times New Roman" w:hint="default"/>
          <w:b/>
          <w:bCs/>
          <w:color w:val="auto"/>
        </w:rPr>
      </w:pPr>
    </w:p>
    <w:p w14:paraId="5173EC00">
      <w:pPr>
        <w:pStyle w:val="BodyText"/>
        <w:spacing w:line="244" w:lineRule="auto"/>
        <w:rPr>
          <w:rFonts w:ascii="Times New Roman" w:eastAsia="宋体" w:hAnsi="Times New Roman" w:cs="Times New Roman" w:hint="default"/>
          <w:b/>
          <w:bCs/>
          <w:color w:val="auto"/>
        </w:rPr>
      </w:pPr>
    </w:p>
    <w:p w14:paraId="3E37D0DA">
      <w:pPr>
        <w:pStyle w:val="BodyText"/>
        <w:spacing w:line="244" w:lineRule="auto"/>
        <w:rPr>
          <w:rFonts w:ascii="Times New Roman" w:eastAsia="宋体" w:hAnsi="Times New Roman" w:cs="Times New Roman" w:hint="default"/>
          <w:b/>
          <w:bCs/>
          <w:color w:val="auto"/>
        </w:rPr>
      </w:pPr>
    </w:p>
    <w:p w14:paraId="4991D525">
      <w:pPr>
        <w:pStyle w:val="BodyText"/>
        <w:spacing w:line="244" w:lineRule="auto"/>
        <w:rPr>
          <w:rFonts w:ascii="Times New Roman" w:eastAsia="宋体" w:hAnsi="Times New Roman" w:cs="Times New Roman" w:hint="default"/>
          <w:b/>
          <w:bCs/>
          <w:color w:val="auto"/>
        </w:rPr>
      </w:pPr>
    </w:p>
    <w:p w14:paraId="30EE8A80">
      <w:pPr>
        <w:pStyle w:val="BodyText"/>
        <w:spacing w:line="244" w:lineRule="auto"/>
        <w:rPr>
          <w:rFonts w:ascii="Times New Roman" w:eastAsia="宋体" w:hAnsi="Times New Roman" w:cs="Times New Roman" w:hint="default"/>
          <w:b/>
          <w:bCs/>
          <w:color w:val="auto"/>
        </w:rPr>
      </w:pPr>
    </w:p>
    <w:p w14:paraId="7A998585">
      <w:pPr>
        <w:pStyle w:val="BodyText"/>
        <w:spacing w:line="244" w:lineRule="auto"/>
        <w:rPr>
          <w:rFonts w:ascii="Times New Roman" w:eastAsia="宋体" w:hAnsi="Times New Roman" w:cs="Times New Roman" w:hint="default"/>
          <w:b/>
          <w:bCs/>
          <w:color w:val="auto"/>
        </w:rPr>
      </w:pPr>
    </w:p>
    <w:p w14:paraId="0C973A65">
      <w:pPr>
        <w:pStyle w:val="BodyText"/>
        <w:spacing w:line="244" w:lineRule="auto"/>
        <w:rPr>
          <w:rFonts w:ascii="Times New Roman" w:eastAsia="宋体" w:hAnsi="Times New Roman" w:cs="Times New Roman" w:hint="default"/>
          <w:b/>
          <w:bCs/>
          <w:color w:val="auto"/>
        </w:rPr>
      </w:pPr>
    </w:p>
    <w:p w14:paraId="2C77EBF3">
      <w:pPr>
        <w:pStyle w:val="BodyText"/>
        <w:spacing w:line="244" w:lineRule="auto"/>
        <w:rPr>
          <w:rFonts w:ascii="Times New Roman" w:eastAsia="宋体" w:hAnsi="Times New Roman" w:cs="Times New Roman" w:hint="default"/>
          <w:b/>
          <w:bCs/>
          <w:color w:val="auto"/>
        </w:rPr>
      </w:pPr>
    </w:p>
    <w:p w14:paraId="6964A7AB">
      <w:pPr>
        <w:pStyle w:val="BodyText"/>
        <w:spacing w:line="244" w:lineRule="auto"/>
        <w:rPr>
          <w:rFonts w:ascii="Times New Roman" w:eastAsia="宋体" w:hAnsi="Times New Roman" w:cs="Times New Roman" w:hint="default"/>
          <w:b/>
          <w:bCs/>
          <w:color w:val="auto"/>
        </w:rPr>
      </w:pPr>
    </w:p>
    <w:p w14:paraId="7B5F9632">
      <w:pPr>
        <w:pStyle w:val="BodyText"/>
        <w:spacing w:line="245" w:lineRule="auto"/>
        <w:rPr>
          <w:rFonts w:ascii="Times New Roman" w:eastAsia="宋体" w:hAnsi="Times New Roman" w:cs="Times New Roman" w:hint="default"/>
          <w:b/>
          <w:bCs/>
          <w:color w:val="auto"/>
        </w:rPr>
      </w:pPr>
    </w:p>
    <w:p w14:paraId="54BB8AF2">
      <w:pPr>
        <w:pStyle w:val="BodyText"/>
        <w:spacing w:line="245" w:lineRule="auto"/>
        <w:rPr>
          <w:rFonts w:ascii="Times New Roman" w:eastAsia="宋体" w:hAnsi="Times New Roman" w:cs="Times New Roman" w:hint="default"/>
          <w:b/>
          <w:bCs/>
          <w:color w:val="auto"/>
        </w:rPr>
      </w:pPr>
    </w:p>
    <w:p w14:paraId="0E4151D7">
      <w:pPr>
        <w:pStyle w:val="BodyText"/>
        <w:spacing w:line="245" w:lineRule="auto"/>
        <w:rPr>
          <w:rFonts w:ascii="Times New Roman" w:eastAsia="宋体" w:hAnsi="Times New Roman" w:cs="Times New Roman" w:hint="default"/>
          <w:b/>
          <w:bCs/>
          <w:color w:val="auto"/>
        </w:rPr>
      </w:pPr>
    </w:p>
    <w:p w14:paraId="4FECA53D">
      <w:pPr>
        <w:pStyle w:val="BodyText"/>
        <w:spacing w:line="245" w:lineRule="auto"/>
        <w:rPr>
          <w:rFonts w:ascii="Times New Roman" w:eastAsia="宋体" w:hAnsi="Times New Roman" w:cs="Times New Roman" w:hint="default"/>
          <w:b/>
          <w:bCs/>
          <w:color w:val="auto"/>
        </w:rPr>
      </w:pPr>
    </w:p>
    <w:p w14:paraId="148772C2">
      <w:pPr>
        <w:spacing w:before="100" w:line="370" w:lineRule="auto"/>
        <w:ind w:left="566"/>
        <w:jc w:val="center"/>
        <w:rPr>
          <w:rFonts w:ascii="Times New Roman" w:eastAsia="宋体" w:hAnsi="Times New Roman" w:cs="Times New Roman" w:hint="default"/>
          <w:b/>
          <w:bCs/>
          <w:color w:val="auto"/>
          <w:spacing w:val="15"/>
          <w:sz w:val="31"/>
          <w:szCs w:val="31"/>
          <w:u w:val="single" w:color="auto"/>
        </w:rPr>
      </w:pPr>
      <w:r>
        <w:rPr>
          <w:rFonts w:ascii="Times New Roman" w:eastAsia="宋体" w:hAnsi="Times New Roman" w:cs="Times New Roman" w:hint="default"/>
          <w:b/>
          <w:bCs/>
          <w:color w:val="auto"/>
          <w:spacing w:val="8"/>
          <w:sz w:val="31"/>
          <w:szCs w:val="31"/>
        </w:rPr>
        <w:t>建设单位（盖章</w:t>
      </w:r>
      <w:r>
        <w:rPr>
          <w:rFonts w:ascii="Times New Roman" w:eastAsia="宋体" w:hAnsi="Times New Roman" w:cs="Times New Roman" w:hint="default"/>
          <w:b/>
          <w:bCs/>
          <w:color w:val="auto"/>
          <w:spacing w:val="-84"/>
          <w:sz w:val="31"/>
          <w:szCs w:val="31"/>
        </w:rPr>
        <w:t>）：</w:t>
      </w:r>
      <w:r>
        <w:rPr>
          <w:rFonts w:ascii="Times New Roman" w:eastAsia="宋体" w:hAnsi="Times New Roman" w:cs="Times New Roman" w:hint="default"/>
          <w:b/>
          <w:bCs/>
          <w:color w:val="auto"/>
          <w:spacing w:val="-112"/>
          <w:sz w:val="31"/>
          <w:szCs w:val="31"/>
        </w:rPr>
        <w:t xml:space="preserve"> </w:t>
      </w:r>
      <w:r>
        <w:rPr>
          <w:rFonts w:ascii="Times New Roman" w:eastAsia="宋体" w:hAnsi="Times New Roman" w:cs="Times New Roman" w:hint="default"/>
          <w:b/>
          <w:bCs/>
          <w:color w:val="auto"/>
          <w:spacing w:val="15"/>
          <w:sz w:val="31"/>
          <w:szCs w:val="31"/>
          <w:u w:val="single" w:color="auto"/>
        </w:rPr>
        <w:t>启鸿围场满族蒙古族自治县新能源科技有限公司</w:t>
      </w:r>
    </w:p>
    <w:p w14:paraId="537A7BD9">
      <w:pPr>
        <w:spacing w:before="1" w:line="218" w:lineRule="auto"/>
        <w:ind w:left="3616"/>
        <w:rPr>
          <w:rFonts w:ascii="Times New Roman" w:eastAsia="宋体" w:hAnsi="Times New Roman" w:cs="Times New Roman" w:hint="default"/>
          <w:color w:val="auto"/>
          <w:sz w:val="31"/>
          <w:szCs w:val="31"/>
        </w:rPr>
      </w:pPr>
      <w:r>
        <w:rPr>
          <w:rFonts w:ascii="Times New Roman" w:eastAsia="宋体" w:hAnsi="Times New Roman" w:cs="Times New Roman" w:hint="default"/>
          <w:b/>
          <w:bCs/>
          <w:color w:val="auto"/>
          <w:sz w:val="31"/>
          <w:szCs w:val="31"/>
        </w:rPr>
        <w:t>202</w:t>
      </w:r>
      <w:r>
        <w:rPr>
          <w:rFonts w:ascii="Times New Roman" w:eastAsia="宋体" w:hAnsi="Times New Roman" w:cs="Times New Roman" w:hint="default"/>
          <w:b/>
          <w:bCs/>
          <w:color w:val="auto"/>
          <w:sz w:val="31"/>
          <w:szCs w:val="31"/>
          <w:lang w:val="en-US" w:eastAsia="zh-CN"/>
        </w:rPr>
        <w:t>4</w:t>
      </w:r>
      <w:r>
        <w:rPr>
          <w:rFonts w:ascii="Times New Roman" w:eastAsia="宋体" w:hAnsi="Times New Roman" w:cs="Times New Roman" w:hint="default"/>
          <w:color w:val="auto"/>
          <w:sz w:val="31"/>
          <w:szCs w:val="31"/>
          <w14:textOutline w14:w="5793" w14:cap="sq">
            <w14:solidFill>
              <w14:srgbClr w14:val="000000"/>
            </w14:solidFill>
            <w14:bevel/>
          </w14:textOutline>
        </w:rPr>
        <w:t>年</w:t>
      </w:r>
      <w:r>
        <w:rPr>
          <w:rFonts w:cs="Times New Roman" w:hint="eastAsia"/>
          <w:color w:val="auto"/>
          <w:spacing w:val="-62"/>
          <w:sz w:val="31"/>
          <w:szCs w:val="31"/>
          <w:lang w:val="en-US" w:eastAsia="zh-CN"/>
        </w:rPr>
        <w:t>7</w:t>
      </w:r>
      <w:r>
        <w:rPr>
          <w:rFonts w:ascii="Times New Roman" w:eastAsia="宋体" w:hAnsi="Times New Roman" w:cs="Times New Roman" w:hint="default"/>
          <w:color w:val="auto"/>
          <w:sz w:val="31"/>
          <w:szCs w:val="31"/>
          <w14:textOutline w14:w="5793" w14:cap="sq">
            <w14:solidFill>
              <w14:srgbClr w14:val="000000"/>
            </w14:solidFill>
            <w14:bevel/>
          </w14:textOutline>
        </w:rPr>
        <w:t>月</w:t>
      </w:r>
    </w:p>
    <w:p w14:paraId="1DB6A915">
      <w:pPr>
        <w:spacing w:before="100" w:line="370" w:lineRule="auto"/>
        <w:ind w:left="566"/>
        <w:jc w:val="center"/>
        <w:rPr>
          <w:rFonts w:ascii="Times New Roman" w:eastAsia="宋体" w:hAnsi="Times New Roman" w:cs="Times New Roman" w:hint="default"/>
          <w:color w:val="auto"/>
          <w:spacing w:val="15"/>
          <w:sz w:val="31"/>
          <w:szCs w:val="31"/>
          <w:u w:val="single" w:color="auto"/>
        </w:rPr>
      </w:pPr>
    </w:p>
    <w:p w14:paraId="4F2400AF">
      <w:pPr>
        <w:pStyle w:val="BodyText"/>
        <w:spacing w:line="272" w:lineRule="auto"/>
        <w:rPr>
          <w:rFonts w:ascii="Times New Roman" w:eastAsia="宋体" w:hAnsi="Times New Roman" w:cs="Times New Roman" w:hint="default"/>
          <w:color w:val="auto"/>
        </w:rPr>
      </w:pPr>
    </w:p>
    <w:p w14:paraId="1087FB3F">
      <w:pPr>
        <w:spacing w:line="218" w:lineRule="auto"/>
        <w:rPr>
          <w:rFonts w:ascii="Times New Roman" w:eastAsia="宋体" w:hAnsi="Times New Roman" w:cs="Times New Roman" w:hint="default"/>
          <w:color w:val="auto"/>
          <w:sz w:val="24"/>
          <w:szCs w:val="24"/>
        </w:rPr>
        <w:sectPr>
          <w:footerReference w:type="default" r:id="rId19"/>
          <w:pgSz w:w="11906" w:h="16839"/>
          <w:pgMar w:top="1440" w:right="1797" w:bottom="1440" w:left="1797" w:header="0" w:footer="0" w:gutter="0"/>
          <w:pgBorders>
            <w:top w:val="none" w:sz="0" w:space="0" w:color="auto"/>
            <w:left w:val="none" w:sz="0" w:space="0" w:color="auto"/>
            <w:bottom w:val="none" w:sz="0" w:space="0" w:color="auto"/>
            <w:right w:val="none" w:sz="0" w:space="0" w:color="auto"/>
          </w:pgBorders>
          <w:pgNumType w:fmt="decimal" w:start="1"/>
          <w:cols w:num="1" w:space="720"/>
        </w:sectPr>
      </w:pPr>
    </w:p>
    <w:p w14:paraId="78B65D14">
      <w:pPr>
        <w:spacing w:before="57" w:line="227" w:lineRule="auto"/>
        <w:ind w:left="19"/>
        <w:outlineLvl w:val="1"/>
        <w:rPr>
          <w:rFonts w:ascii="Times New Roman" w:eastAsia="宋体" w:hAnsi="Times New Roman" w:cs="Times New Roman" w:hint="default"/>
          <w:color w:val="auto"/>
          <w:sz w:val="28"/>
          <w:szCs w:val="28"/>
        </w:rPr>
      </w:pPr>
      <w:bookmarkStart w:id="2" w:name="bookmark8"/>
      <w:bookmarkEnd w:id="2"/>
      <w:bookmarkStart w:id="3" w:name="bookmark7"/>
      <w:bookmarkEnd w:id="3"/>
      <w:r>
        <w:rPr>
          <w:rFonts w:ascii="Times New Roman" w:eastAsia="宋体" w:hAnsi="Times New Roman" w:cs="Times New Roman" w:hint="default"/>
          <w:b/>
          <w:bCs/>
          <w:color w:val="auto"/>
          <w:spacing w:val="-9"/>
          <w:sz w:val="28"/>
          <w:szCs w:val="28"/>
        </w:rPr>
        <w:t>1.</w:t>
      </w:r>
      <w:r>
        <w:rPr>
          <w:rFonts w:ascii="Times New Roman" w:eastAsia="宋体" w:hAnsi="Times New Roman" w:cs="Times New Roman" w:hint="default"/>
          <w:b/>
          <w:bCs/>
          <w:color w:val="auto"/>
          <w:spacing w:val="9"/>
          <w:sz w:val="28"/>
          <w:szCs w:val="28"/>
        </w:rPr>
        <w:t xml:space="preserve">  </w:t>
      </w:r>
      <w:r>
        <w:rPr>
          <w:rFonts w:ascii="Times New Roman" w:eastAsia="宋体" w:hAnsi="Times New Roman" w:cs="Times New Roman" w:hint="default"/>
          <w:color w:val="auto"/>
          <w:spacing w:val="-9"/>
          <w:sz w:val="28"/>
          <w:szCs w:val="28"/>
          <w14:textOutline w14:w="5103" w14:cap="sq">
            <w14:solidFill>
              <w14:srgbClr w14:val="000000"/>
            </w14:solidFill>
            <w14:bevel/>
          </w14:textOutline>
        </w:rPr>
        <w:t>总论</w:t>
      </w:r>
    </w:p>
    <w:p w14:paraId="5A1D99CF">
      <w:pPr>
        <w:pStyle w:val="00005"/>
        <w:bidi w:val="0"/>
        <w:rPr>
          <w:rFonts w:ascii="Times New Roman" w:eastAsia="宋体" w:hAnsi="Times New Roman" w:cs="Times New Roman" w:hint="default"/>
          <w:b/>
          <w:bCs/>
          <w:color w:val="auto"/>
          <w:lang w:val="en-US" w:eastAsia="zh-CN"/>
        </w:rPr>
      </w:pPr>
      <w:r>
        <w:rPr>
          <w:rFonts w:ascii="Times New Roman" w:eastAsia="宋体" w:hAnsi="Times New Roman" w:cs="Times New Roman" w:hint="default"/>
          <w:b/>
          <w:bCs/>
          <w:color w:val="auto"/>
          <w:lang w:val="en-US" w:eastAsia="zh-CN"/>
        </w:rPr>
        <w:t>1.1  项目概况</w:t>
      </w:r>
    </w:p>
    <w:p w14:paraId="263BCB6E">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项目名称：天启鸿源围场共享储能电站项目</w:t>
      </w:r>
    </w:p>
    <w:p w14:paraId="204D49F9">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建设性质：新建</w:t>
      </w:r>
    </w:p>
    <w:p w14:paraId="5D3623F4">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建设地点：河北省承德市围场满族蒙古族自治县半截</w:t>
      </w:r>
      <w:r>
        <w:rPr>
          <w:rFonts w:cs="Times New Roman" w:hint="eastAsia"/>
          <w:color w:val="auto"/>
          <w:lang w:val="en-US" w:eastAsia="zh-CN"/>
        </w:rPr>
        <w:t>村东</w:t>
      </w:r>
      <w:r>
        <w:rPr>
          <w:rFonts w:ascii="Times New Roman" w:eastAsia="宋体" w:hAnsi="Times New Roman" w:cs="Times New Roman" w:hint="default"/>
          <w:color w:val="auto"/>
          <w:lang w:val="en-US" w:eastAsia="zh-CN"/>
        </w:rPr>
        <w:t>侧，</w:t>
      </w:r>
    </w:p>
    <w:p w14:paraId="1570A412">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中心地理坐标为117度28分9.436秒，41度55分28.840秒；</w:t>
      </w:r>
    </w:p>
    <w:p w14:paraId="75578224">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建设规模：</w:t>
      </w:r>
      <w:bookmarkStart w:id="4" w:name="bookmark9"/>
      <w:bookmarkEnd w:id="4"/>
      <w:r>
        <w:rPr>
          <w:rFonts w:ascii="Times New Roman" w:eastAsia="宋体" w:hAnsi="Times New Roman" w:cs="Times New Roman" w:hint="default"/>
          <w:color w:val="auto"/>
          <w:lang w:val="en-US" w:eastAsia="zh-CN"/>
        </w:rPr>
        <w:t>本项目是以独立储能，并承担区域联合共享任务的电网侧储能电站。202</w:t>
      </w:r>
      <w:r>
        <w:rPr>
          <w:rFonts w:cs="Times New Roman" w:hint="eastAsia"/>
          <w:color w:val="auto"/>
          <w:lang w:val="en-US" w:eastAsia="zh-CN"/>
        </w:rPr>
        <w:t>4</w:t>
      </w:r>
      <w:r>
        <w:rPr>
          <w:rFonts w:ascii="Times New Roman" w:eastAsia="宋体" w:hAnsi="Times New Roman" w:cs="Times New Roman" w:hint="default"/>
          <w:color w:val="auto"/>
          <w:lang w:val="en-US" w:eastAsia="zh-CN"/>
        </w:rPr>
        <w:t>年</w:t>
      </w:r>
      <w:r>
        <w:rPr>
          <w:rFonts w:cs="Times New Roman" w:hint="eastAsia"/>
          <w:color w:val="auto"/>
          <w:lang w:val="en-US" w:eastAsia="zh-CN"/>
        </w:rPr>
        <w:t>7</w:t>
      </w:r>
      <w:r>
        <w:rPr>
          <w:rFonts w:ascii="Times New Roman" w:eastAsia="宋体" w:hAnsi="Times New Roman" w:cs="Times New Roman" w:hint="default"/>
          <w:color w:val="auto"/>
          <w:lang w:val="en-US" w:eastAsia="zh-CN"/>
        </w:rPr>
        <w:t>月已取得备案，备案编号：围审批备字〔202</w:t>
      </w:r>
      <w:r>
        <w:rPr>
          <w:rFonts w:cs="Times New Roman" w:hint="eastAsia"/>
          <w:color w:val="auto"/>
          <w:lang w:val="en-US" w:eastAsia="zh-CN"/>
        </w:rPr>
        <w:t>4</w:t>
      </w:r>
      <w:r>
        <w:rPr>
          <w:rFonts w:ascii="Times New Roman" w:eastAsia="宋体" w:hAnsi="Times New Roman" w:cs="Times New Roman" w:hint="default"/>
          <w:color w:val="auto"/>
          <w:lang w:val="en-US" w:eastAsia="zh-CN"/>
        </w:rPr>
        <w:t>〕</w:t>
      </w:r>
      <w:r>
        <w:rPr>
          <w:rFonts w:cs="Times New Roman" w:hint="eastAsia"/>
          <w:color w:val="auto"/>
          <w:lang w:val="en-US" w:eastAsia="zh-CN"/>
        </w:rPr>
        <w:t>24</w:t>
      </w:r>
      <w:r>
        <w:rPr>
          <w:rFonts w:ascii="Times New Roman" w:eastAsia="宋体" w:hAnsi="Times New Roman" w:cs="Times New Roman" w:hint="default"/>
          <w:color w:val="auto"/>
          <w:lang w:val="en-US" w:eastAsia="zh-CN"/>
        </w:rPr>
        <w:t>号。项目共建设</w:t>
      </w:r>
      <w:r>
        <w:rPr>
          <w:rFonts w:cs="Times New Roman" w:hint="eastAsia"/>
          <w:color w:val="auto"/>
          <w:lang w:val="en-US" w:eastAsia="zh-CN"/>
        </w:rPr>
        <w:t>355</w:t>
      </w:r>
      <w:r>
        <w:rPr>
          <w:rFonts w:ascii="Times New Roman" w:eastAsia="宋体" w:hAnsi="Times New Roman" w:cs="Times New Roman" w:hint="default"/>
          <w:color w:val="auto"/>
          <w:lang w:val="en-US" w:eastAsia="zh-CN"/>
        </w:rPr>
        <w:t>MW/</w:t>
      </w:r>
      <w:r>
        <w:rPr>
          <w:rFonts w:cs="Times New Roman" w:hint="eastAsia"/>
          <w:color w:val="auto"/>
          <w:lang w:val="en-US" w:eastAsia="zh-CN"/>
        </w:rPr>
        <w:t>92</w:t>
      </w:r>
      <w:r>
        <w:rPr>
          <w:rFonts w:ascii="Times New Roman" w:eastAsia="宋体" w:hAnsi="Times New Roman" w:cs="Times New Roman" w:hint="default"/>
          <w:color w:val="auto"/>
          <w:lang w:val="en-US" w:eastAsia="zh-CN"/>
        </w:rPr>
        <w:t>0MWh储能系统，新建1座220kV升压站其他配套设施。</w:t>
      </w:r>
    </w:p>
    <w:p w14:paraId="37F75752">
      <w:pPr>
        <w:pStyle w:val="00005"/>
        <w:bidi w:val="0"/>
        <w:rPr>
          <w:rFonts w:ascii="Times New Roman" w:eastAsia="宋体" w:hAnsi="Times New Roman" w:cs="Times New Roman" w:hint="default"/>
          <w:b/>
          <w:bCs/>
          <w:color w:val="auto"/>
          <w:lang w:val="en-US" w:eastAsia="zh-CN"/>
        </w:rPr>
      </w:pPr>
      <w:r>
        <w:rPr>
          <w:rFonts w:ascii="Times New Roman" w:eastAsia="宋体" w:hAnsi="Times New Roman" w:cs="Times New Roman" w:hint="default"/>
          <w:b/>
          <w:bCs/>
          <w:color w:val="auto"/>
          <w:lang w:val="en-US" w:eastAsia="zh-CN"/>
        </w:rPr>
        <w:t>1.2 编制依据</w:t>
      </w:r>
    </w:p>
    <w:p w14:paraId="5201823A">
      <w:pPr>
        <w:pStyle w:val="00005"/>
        <w:bidi w:val="0"/>
        <w:rPr>
          <w:rFonts w:ascii="Times New Roman" w:eastAsia="宋体" w:hAnsi="Times New Roman" w:cs="Times New Roman" w:hint="default"/>
          <w:b/>
          <w:bCs/>
          <w:color w:val="auto"/>
          <w:lang w:val="en-US" w:eastAsia="zh-CN"/>
        </w:rPr>
      </w:pPr>
      <w:r>
        <w:rPr>
          <w:rFonts w:ascii="Times New Roman" w:eastAsia="宋体" w:hAnsi="Times New Roman" w:cs="Times New Roman" w:hint="default"/>
          <w:b/>
          <w:bCs/>
          <w:color w:val="auto"/>
          <w:lang w:val="en-US" w:eastAsia="zh-CN"/>
        </w:rPr>
        <w:t>1.2.1 法律法规</w:t>
      </w:r>
    </w:p>
    <w:p w14:paraId="6AE2E85B">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(1)《中华人民共和国环境保护法》(2014年4月24日发布，2015年1月1日实施)；</w:t>
      </w:r>
    </w:p>
    <w:p w14:paraId="41CCD8EB">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(2)《中华人民共和国环境影响评价法》(2018年12月29日修正)；</w:t>
      </w:r>
    </w:p>
    <w:p w14:paraId="54943528">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(3)《中华人民共和国电力法》(2018年12月29日修订并实施)；</w:t>
      </w:r>
    </w:p>
    <w:p w14:paraId="49627EB5">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(4)《中华人民共和国土地管理法》(2019年8月26日修订，2020年1月1日实施)；</w:t>
      </w:r>
    </w:p>
    <w:p w14:paraId="1877229F">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(5)《中华人民共和国城乡规划法》(2019年4月23日修订并实施)；</w:t>
      </w:r>
    </w:p>
    <w:p w14:paraId="6E59F0B3">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(6)《建设项目环境保护管理条例》（国务院令第682号，2017年7月16日公布，2017年10月1日施行)；</w:t>
      </w:r>
    </w:p>
    <w:p w14:paraId="4FE23CA1">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(7)《产业结构调整指导目录（2019 年本)》（国家发改委令2019年第29号，2020年1月1日施行)；</w:t>
      </w:r>
    </w:p>
    <w:p w14:paraId="2AF00C48">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(8)《建设项目环境影响评价分类管理名录》（生态环境部令第16号，2020年11月</w:t>
      </w:r>
    </w:p>
    <w:p w14:paraId="35D9208D">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30日公布，2021年1月1日起施行)；</w:t>
      </w:r>
    </w:p>
    <w:p w14:paraId="09F47B68">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(9)《关于进一步加强输变电类建设项目环境保护监管工作的通知》（环办[2012]131号)；</w:t>
      </w:r>
    </w:p>
    <w:p w14:paraId="10E9F1DA">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(10)《河北省电力条例》（河北省第十二届人民代表大会常务委员会2014年5月30日发布，2014年8月1日实施)；</w:t>
      </w:r>
    </w:p>
    <w:p w14:paraId="47BA5F74">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(11)《河北省辐射污染防治条例》(2013年9月27日河北省第十二届人民代表大会常务委员会公告第11号公布，2020年7月30日河北省第十三届人民代表大会常务委员会第十八次会议修改并施行)。</w:t>
      </w:r>
    </w:p>
    <w:p w14:paraId="43110CF6">
      <w:pPr>
        <w:spacing w:before="193" w:line="219" w:lineRule="auto"/>
        <w:ind w:left="496"/>
        <w:rPr>
          <w:rFonts w:ascii="Times New Roman" w:eastAsia="宋体" w:hAnsi="Times New Roman" w:cs="Times New Roman" w:hint="default"/>
          <w:color w:val="auto"/>
          <w:sz w:val="24"/>
          <w:szCs w:val="24"/>
        </w:rPr>
      </w:pPr>
      <w:r>
        <w:rPr>
          <w:rFonts w:ascii="Times New Roman" w:eastAsia="宋体" w:hAnsi="Times New Roman" w:cs="Times New Roman" w:hint="default"/>
          <w:b/>
          <w:bCs/>
          <w:color w:val="auto"/>
          <w:spacing w:val="-1"/>
          <w:sz w:val="24"/>
          <w:szCs w:val="24"/>
        </w:rPr>
        <w:t xml:space="preserve">1.2.2 </w:t>
      </w:r>
      <w:r>
        <w:rPr>
          <w:rFonts w:ascii="Times New Roman" w:eastAsia="宋体" w:hAnsi="Times New Roman" w:cs="Times New Roman" w:hint="default"/>
          <w:color w:val="auto"/>
          <w:spacing w:val="-1"/>
          <w:sz w:val="24"/>
          <w:szCs w:val="24"/>
          <w14:textOutline w14:w="4358" w14:cap="sq">
            <w14:solidFill>
              <w14:srgbClr w14:val="000000"/>
            </w14:solidFill>
            <w14:bevel/>
          </w14:textOutline>
        </w:rPr>
        <w:t>标准、技术导则</w:t>
      </w:r>
    </w:p>
    <w:p w14:paraId="11E91FE0">
      <w:pPr>
        <w:spacing w:before="192" w:line="212" w:lineRule="auto"/>
        <w:ind w:left="603"/>
        <w:rPr>
          <w:rFonts w:ascii="Times New Roman" w:eastAsia="宋体" w:hAnsi="Times New Roman" w:cs="Times New Roman" w:hint="default"/>
          <w:color w:val="auto"/>
          <w:spacing w:val="-1"/>
          <w:sz w:val="24"/>
          <w:szCs w:val="24"/>
        </w:rPr>
      </w:pPr>
      <w:r>
        <w:rPr>
          <w:rFonts w:ascii="Times New Roman" w:eastAsia="宋体" w:hAnsi="Times New Roman" w:cs="Times New Roman" w:hint="default"/>
          <w:color w:val="auto"/>
          <w:spacing w:val="-1"/>
          <w:sz w:val="24"/>
          <w:szCs w:val="24"/>
        </w:rPr>
        <w:t>(1)《建设项目环境影响评价技术导则 总纲》(HJ2.1-2016)；</w:t>
      </w:r>
    </w:p>
    <w:p w14:paraId="57E51051">
      <w:pPr>
        <w:spacing w:before="192" w:line="212" w:lineRule="auto"/>
        <w:ind w:left="603"/>
        <w:rPr>
          <w:rFonts w:ascii="Times New Roman" w:eastAsia="宋体" w:hAnsi="Times New Roman" w:cs="Times New Roman" w:hint="default"/>
          <w:color w:val="auto"/>
          <w:spacing w:val="-1"/>
          <w:sz w:val="24"/>
          <w:szCs w:val="24"/>
        </w:rPr>
      </w:pPr>
      <w:r>
        <w:rPr>
          <w:rFonts w:ascii="Times New Roman" w:eastAsia="宋体" w:hAnsi="Times New Roman" w:cs="Times New Roman" w:hint="default"/>
          <w:color w:val="auto"/>
          <w:spacing w:val="-1"/>
          <w:sz w:val="24"/>
          <w:szCs w:val="24"/>
        </w:rPr>
        <w:t>(2)《环境影响评价技术导则 输变电》(HJ24-2020)；</w:t>
      </w:r>
    </w:p>
    <w:p w14:paraId="52C05057">
      <w:pPr>
        <w:spacing w:before="192" w:line="212" w:lineRule="auto"/>
        <w:ind w:left="603"/>
        <w:rPr>
          <w:rFonts w:ascii="Times New Roman" w:eastAsia="宋体" w:hAnsi="Times New Roman" w:cs="Times New Roman" w:hint="default"/>
          <w:color w:val="auto"/>
          <w:spacing w:val="-1"/>
          <w:sz w:val="24"/>
          <w:szCs w:val="24"/>
        </w:rPr>
      </w:pPr>
      <w:r>
        <w:rPr>
          <w:rFonts w:ascii="Times New Roman" w:eastAsia="宋体" w:hAnsi="Times New Roman" w:cs="Times New Roman" w:hint="default"/>
          <w:color w:val="auto"/>
          <w:spacing w:val="-1"/>
          <w:sz w:val="24"/>
          <w:szCs w:val="24"/>
        </w:rPr>
        <w:t>(3)《电磁环境控制限值》(GB8702-2014)；</w:t>
      </w:r>
    </w:p>
    <w:p w14:paraId="75F36EB1">
      <w:pPr>
        <w:spacing w:before="192" w:line="212" w:lineRule="auto"/>
        <w:ind w:left="603"/>
        <w:rPr>
          <w:rFonts w:ascii="Times New Roman" w:eastAsia="宋体" w:hAnsi="Times New Roman" w:cs="Times New Roman" w:hint="default"/>
          <w:color w:val="auto"/>
          <w:spacing w:val="-1"/>
          <w:sz w:val="24"/>
          <w:szCs w:val="24"/>
        </w:rPr>
      </w:pPr>
      <w:r>
        <w:rPr>
          <w:rFonts w:ascii="Times New Roman" w:eastAsia="宋体" w:hAnsi="Times New Roman" w:cs="Times New Roman" w:hint="default"/>
          <w:color w:val="auto"/>
          <w:spacing w:val="-1"/>
          <w:sz w:val="24"/>
          <w:szCs w:val="24"/>
        </w:rPr>
        <w:t>(4)《输变电建设项目环境保护技术要求》(HJ1113-2020)。</w:t>
      </w:r>
    </w:p>
    <w:p w14:paraId="5F45C222">
      <w:pPr>
        <w:spacing w:before="192" w:line="218" w:lineRule="auto"/>
        <w:ind w:left="129"/>
        <w:outlineLvl w:val="2"/>
        <w:rPr>
          <w:rFonts w:ascii="Times New Roman" w:eastAsia="宋体" w:hAnsi="Times New Roman" w:cs="Times New Roman" w:hint="default"/>
          <w:color w:val="auto"/>
          <w:sz w:val="24"/>
          <w:szCs w:val="24"/>
        </w:rPr>
      </w:pPr>
      <w:bookmarkStart w:id="5" w:name="bookmark10"/>
      <w:bookmarkEnd w:id="5"/>
      <w:r>
        <w:rPr>
          <w:rFonts w:ascii="Times New Roman" w:eastAsia="宋体" w:hAnsi="Times New Roman" w:cs="Times New Roman" w:hint="default"/>
          <w:b/>
          <w:bCs/>
          <w:color w:val="auto"/>
          <w:spacing w:val="-2"/>
          <w:sz w:val="24"/>
          <w:szCs w:val="24"/>
        </w:rPr>
        <w:t xml:space="preserve">1.3  </w:t>
      </w:r>
      <w:r>
        <w:rPr>
          <w:rFonts w:ascii="Times New Roman" w:eastAsia="宋体" w:hAnsi="Times New Roman" w:cs="Times New Roman" w:hint="default"/>
          <w:color w:val="auto"/>
          <w:spacing w:val="-2"/>
          <w:sz w:val="24"/>
          <w:szCs w:val="24"/>
          <w14:textOutline w14:w="4358" w14:cap="sq">
            <w14:solidFill>
              <w14:srgbClr w14:val="000000"/>
            </w14:solidFill>
            <w14:bevel/>
          </w14:textOutline>
        </w:rPr>
        <w:t>评价工作等级</w:t>
      </w:r>
    </w:p>
    <w:p w14:paraId="44C2C95F">
      <w:pPr>
        <w:pStyle w:val="lh-2---"/>
        <w:numPr>
          <w:ilvl w:val="1"/>
          <w:numId w:val="0"/>
        </w:numPr>
        <w:ind w:firstLine="480" w:firstLineChars="200"/>
        <w:rPr>
          <w:rFonts w:ascii="Times New Roman" w:eastAsia="宋体" w:hAnsi="Times New Roman" w:cs="Times New Roman" w:hint="default"/>
          <w:bCs w:val="0"/>
          <w:color w:val="auto"/>
          <w:kern w:val="2"/>
          <w:sz w:val="24"/>
          <w:szCs w:val="24"/>
          <w:highlight w:val="none"/>
          <w:lang w:val="en-US" w:eastAsia="zh-CN" w:bidi="ar-SA"/>
        </w:rPr>
      </w:pPr>
      <w:r>
        <w:rPr>
          <w:rFonts w:ascii="Times New Roman" w:eastAsia="宋体" w:hAnsi="Times New Roman" w:cs="Times New Roman" w:hint="default"/>
          <w:bCs w:val="0"/>
          <w:color w:val="auto"/>
          <w:kern w:val="2"/>
          <w:sz w:val="24"/>
          <w:szCs w:val="24"/>
          <w:highlight w:val="none"/>
          <w:lang w:val="en-US" w:eastAsia="zh-CN" w:bidi="ar-SA"/>
        </w:rPr>
        <w:t>根据本项目工程内容，参照《环境影响评价技术导则  输变电》（HJ24-2020），本工程220kV升压站</w:t>
      </w:r>
      <w:r>
        <w:rPr>
          <w:rFonts w:eastAsia="宋体" w:cs="Times New Roman" w:hint="eastAsia"/>
          <w:bCs w:val="0"/>
          <w:color w:val="auto"/>
          <w:kern w:val="2"/>
          <w:sz w:val="24"/>
          <w:szCs w:val="24"/>
          <w:highlight w:val="none"/>
          <w:lang w:val="en-US" w:eastAsia="zh-CN" w:bidi="ar-SA"/>
        </w:rPr>
        <w:t>为户外式，</w:t>
      </w:r>
      <w:r>
        <w:rPr>
          <w:rFonts w:ascii="Times New Roman" w:eastAsia="宋体" w:hAnsi="Times New Roman" w:cs="Times New Roman" w:hint="default"/>
          <w:bCs w:val="0"/>
          <w:color w:val="auto"/>
          <w:kern w:val="2"/>
          <w:sz w:val="24"/>
          <w:szCs w:val="24"/>
          <w:highlight w:val="none"/>
          <w:lang w:val="en-US" w:eastAsia="zh-CN" w:bidi="ar-SA"/>
        </w:rPr>
        <w:t>电磁环境影响评价工作等级确定为二级。</w:t>
      </w:r>
    </w:p>
    <w:p w14:paraId="6A6A96D7">
      <w:pPr>
        <w:spacing w:before="177" w:line="224" w:lineRule="auto"/>
        <w:jc w:val="center"/>
        <w:rPr>
          <w:rFonts w:ascii="Times New Roman" w:eastAsia="宋体" w:hAnsi="Times New Roman" w:cs="Times New Roman" w:hint="default"/>
          <w:color w:val="auto"/>
          <w:sz w:val="22"/>
          <w:szCs w:val="22"/>
        </w:rPr>
      </w:pPr>
      <w:r>
        <w:rPr>
          <w:rFonts w:ascii="Times New Roman" w:eastAsia="宋体" w:hAnsi="Times New Roman" w:cs="Times New Roman" w:hint="default"/>
          <w:color w:val="auto"/>
          <w:spacing w:val="7"/>
          <w:sz w:val="22"/>
          <w:szCs w:val="22"/>
          <w14:textOutline w14:w="3795" w14:cap="sq">
            <w14:solidFill>
              <w14:srgbClr w14:val="000000"/>
            </w14:solidFill>
            <w14:bevel/>
          </w14:textOutline>
        </w:rPr>
        <w:t>表</w:t>
      </w:r>
      <w:r>
        <w:rPr>
          <w:rFonts w:ascii="Times New Roman" w:eastAsia="宋体" w:hAnsi="Times New Roman" w:cs="Times New Roman" w:hint="default"/>
          <w:color w:val="auto"/>
          <w:spacing w:val="-19"/>
          <w:sz w:val="22"/>
          <w:szCs w:val="22"/>
        </w:rPr>
        <w:t xml:space="preserve"> </w:t>
      </w:r>
      <w:r>
        <w:rPr>
          <w:rFonts w:ascii="Times New Roman" w:eastAsia="宋体" w:hAnsi="Times New Roman" w:cs="Times New Roman" w:hint="default"/>
          <w:b/>
          <w:bCs/>
          <w:color w:val="auto"/>
          <w:spacing w:val="7"/>
          <w:sz w:val="22"/>
          <w:szCs w:val="22"/>
        </w:rPr>
        <w:t xml:space="preserve">1      </w:t>
      </w:r>
      <w:r>
        <w:rPr>
          <w:rFonts w:ascii="Times New Roman" w:eastAsia="宋体" w:hAnsi="Times New Roman" w:cs="Times New Roman" w:hint="default"/>
          <w:color w:val="auto"/>
          <w:spacing w:val="7"/>
          <w:sz w:val="22"/>
          <w:szCs w:val="22"/>
          <w14:textOutline w14:w="3795" w14:cap="sq">
            <w14:solidFill>
              <w14:srgbClr w14:val="000000"/>
            </w14:solidFill>
            <w14:bevel/>
          </w14:textOutline>
        </w:rPr>
        <w:t>输变电工程电磁环境影响评价工作等级</w:t>
      </w:r>
    </w:p>
    <w:tbl>
      <w:tblPr>
        <w:tblStyle w:val="TableNormal0"/>
        <w:tblW w:w="5007"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753"/>
        <w:gridCol w:w="1569"/>
        <w:gridCol w:w="1175"/>
        <w:gridCol w:w="3274"/>
        <w:gridCol w:w="1559"/>
      </w:tblGrid>
      <w:tr w14:paraId="03899A2E">
        <w:tblPrEx>
          <w:tblW w:w="5007"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403"/>
        </w:trPr>
        <w:tc>
          <w:tcPr>
            <w:tcW w:w="452" w:type="pct"/>
            <w:tcBorders>
              <w:tl2br w:val="nil"/>
              <w:tr2bl w:val="nil"/>
            </w:tcBorders>
            <w:vAlign w:val="center"/>
          </w:tcPr>
          <w:p w14:paraId="55AFB8AB">
            <w:pPr>
              <w:pStyle w:val="a4"/>
              <w:bidi w:val="0"/>
              <w:rPr>
                <w:rFonts w:hint="default"/>
                <w:color w:val="auto"/>
              </w:rPr>
            </w:pPr>
            <w:r>
              <w:rPr>
                <w:rFonts w:hint="default"/>
                <w:color w:val="auto"/>
              </w:rPr>
              <w:t>分类</w:t>
            </w:r>
          </w:p>
        </w:tc>
        <w:tc>
          <w:tcPr>
            <w:tcW w:w="942" w:type="pct"/>
            <w:tcBorders>
              <w:tl2br w:val="nil"/>
              <w:tr2bl w:val="nil"/>
            </w:tcBorders>
            <w:vAlign w:val="center"/>
          </w:tcPr>
          <w:p w14:paraId="58615A0B">
            <w:pPr>
              <w:pStyle w:val="a4"/>
              <w:bidi w:val="0"/>
              <w:rPr>
                <w:rFonts w:hint="default"/>
                <w:color w:val="auto"/>
              </w:rPr>
            </w:pPr>
            <w:r>
              <w:rPr>
                <w:rFonts w:hint="default"/>
                <w:color w:val="auto"/>
              </w:rPr>
              <w:t>电压等级</w:t>
            </w:r>
          </w:p>
        </w:tc>
        <w:tc>
          <w:tcPr>
            <w:tcW w:w="705" w:type="pct"/>
            <w:tcBorders>
              <w:tl2br w:val="nil"/>
              <w:tr2bl w:val="nil"/>
            </w:tcBorders>
            <w:vAlign w:val="center"/>
          </w:tcPr>
          <w:p w14:paraId="3FDE862D">
            <w:pPr>
              <w:pStyle w:val="a4"/>
              <w:bidi w:val="0"/>
              <w:rPr>
                <w:rFonts w:hint="default"/>
                <w:color w:val="auto"/>
              </w:rPr>
            </w:pPr>
            <w:r>
              <w:rPr>
                <w:rFonts w:hint="default"/>
                <w:color w:val="auto"/>
              </w:rPr>
              <w:t>工程</w:t>
            </w:r>
          </w:p>
        </w:tc>
        <w:tc>
          <w:tcPr>
            <w:tcW w:w="1965" w:type="pct"/>
            <w:tcBorders>
              <w:tl2br w:val="nil"/>
              <w:tr2bl w:val="nil"/>
            </w:tcBorders>
            <w:vAlign w:val="center"/>
          </w:tcPr>
          <w:p w14:paraId="6E8DBF46">
            <w:pPr>
              <w:pStyle w:val="a4"/>
              <w:bidi w:val="0"/>
              <w:rPr>
                <w:rFonts w:hint="default"/>
                <w:color w:val="auto"/>
              </w:rPr>
            </w:pPr>
            <w:r>
              <w:rPr>
                <w:rFonts w:hint="default"/>
                <w:color w:val="auto"/>
              </w:rPr>
              <w:t>条件</w:t>
            </w:r>
          </w:p>
        </w:tc>
        <w:tc>
          <w:tcPr>
            <w:tcW w:w="933" w:type="pct"/>
            <w:tcBorders>
              <w:tl2br w:val="nil"/>
              <w:tr2bl w:val="nil"/>
            </w:tcBorders>
            <w:vAlign w:val="center"/>
          </w:tcPr>
          <w:p w14:paraId="46E3DE0A">
            <w:pPr>
              <w:pStyle w:val="a4"/>
              <w:bidi w:val="0"/>
              <w:rPr>
                <w:rFonts w:hint="default"/>
                <w:color w:val="auto"/>
              </w:rPr>
            </w:pPr>
            <w:r>
              <w:rPr>
                <w:rFonts w:hint="default"/>
                <w:color w:val="auto"/>
              </w:rPr>
              <w:t>评价工作等级</w:t>
            </w:r>
          </w:p>
        </w:tc>
      </w:tr>
      <w:tr w14:paraId="3A0E802E">
        <w:tblPrEx>
          <w:tblW w:w="5007" w:type="pct"/>
          <w:tblInd w:w="0" w:type="dxa"/>
          <w:tblCellMar>
            <w:top w:w="0" w:type="dxa"/>
            <w:left w:w="0" w:type="dxa"/>
            <w:bottom w:w="0" w:type="dxa"/>
            <w:right w:w="0" w:type="dxa"/>
          </w:tblCellMar>
        </w:tblPrEx>
        <w:trPr>
          <w:trHeight w:val="399"/>
        </w:trPr>
        <w:tc>
          <w:tcPr>
            <w:tcW w:w="452" w:type="pct"/>
            <w:vMerge w:val="restart"/>
            <w:tcBorders>
              <w:tl2br w:val="nil"/>
              <w:tr2bl w:val="nil"/>
            </w:tcBorders>
            <w:textDirection w:val="tbRlV"/>
            <w:vAlign w:val="center"/>
          </w:tcPr>
          <w:p w14:paraId="366D918D">
            <w:pPr>
              <w:pStyle w:val="a4"/>
              <w:bidi w:val="0"/>
              <w:rPr>
                <w:rFonts w:hint="default"/>
                <w:color w:val="auto"/>
              </w:rPr>
            </w:pPr>
            <w:r>
              <w:rPr>
                <w:rFonts w:hint="default"/>
                <w:color w:val="auto"/>
              </w:rPr>
              <w:t>交流</w:t>
            </w:r>
          </w:p>
        </w:tc>
        <w:tc>
          <w:tcPr>
            <w:tcW w:w="942" w:type="pct"/>
            <w:vMerge w:val="restart"/>
            <w:tcBorders>
              <w:tl2br w:val="nil"/>
              <w:tr2bl w:val="nil"/>
            </w:tcBorders>
            <w:vAlign w:val="center"/>
          </w:tcPr>
          <w:p w14:paraId="50A00799">
            <w:pPr>
              <w:pStyle w:val="a4"/>
              <w:bidi w:val="0"/>
              <w:rPr>
                <w:rFonts w:hint="default"/>
                <w:color w:val="auto"/>
              </w:rPr>
            </w:pPr>
            <w:r>
              <w:rPr>
                <w:rFonts w:hint="default"/>
                <w:color w:val="auto"/>
              </w:rPr>
              <w:t>220kV</w:t>
            </w:r>
          </w:p>
        </w:tc>
        <w:tc>
          <w:tcPr>
            <w:tcW w:w="705" w:type="pct"/>
            <w:vMerge w:val="restart"/>
            <w:tcBorders>
              <w:tl2br w:val="nil"/>
              <w:tr2bl w:val="nil"/>
            </w:tcBorders>
            <w:vAlign w:val="center"/>
          </w:tcPr>
          <w:p w14:paraId="6B771356">
            <w:pPr>
              <w:pStyle w:val="a4"/>
              <w:bidi w:val="0"/>
              <w:rPr>
                <w:rFonts w:hint="default"/>
                <w:color w:val="auto"/>
              </w:rPr>
            </w:pPr>
            <w:r>
              <w:rPr>
                <w:rFonts w:hint="default"/>
                <w:color w:val="auto"/>
              </w:rPr>
              <w:t>变电站</w:t>
            </w:r>
          </w:p>
        </w:tc>
        <w:tc>
          <w:tcPr>
            <w:tcW w:w="1965" w:type="pct"/>
            <w:tcBorders>
              <w:tl2br w:val="nil"/>
              <w:tr2bl w:val="nil"/>
            </w:tcBorders>
            <w:vAlign w:val="center"/>
          </w:tcPr>
          <w:p w14:paraId="53AC6AE1">
            <w:pPr>
              <w:pStyle w:val="a4"/>
              <w:bidi w:val="0"/>
              <w:rPr>
                <w:rFonts w:hint="default"/>
                <w:color w:val="auto"/>
              </w:rPr>
            </w:pPr>
            <w:r>
              <w:rPr>
                <w:rFonts w:hint="default"/>
                <w:color w:val="auto"/>
              </w:rPr>
              <w:t>户内式、地下式</w:t>
            </w:r>
          </w:p>
        </w:tc>
        <w:tc>
          <w:tcPr>
            <w:tcW w:w="933" w:type="pct"/>
            <w:tcBorders>
              <w:tl2br w:val="nil"/>
              <w:tr2bl w:val="nil"/>
            </w:tcBorders>
            <w:vAlign w:val="center"/>
          </w:tcPr>
          <w:p w14:paraId="52C9A18B">
            <w:pPr>
              <w:pStyle w:val="a4"/>
              <w:bidi w:val="0"/>
              <w:rPr>
                <w:rFonts w:hint="default"/>
                <w:color w:val="auto"/>
              </w:rPr>
            </w:pPr>
            <w:r>
              <w:rPr>
                <w:rFonts w:hint="default"/>
                <w:color w:val="auto"/>
              </w:rPr>
              <w:t>三级</w:t>
            </w:r>
          </w:p>
        </w:tc>
      </w:tr>
      <w:tr w14:paraId="3A06B428">
        <w:tblPrEx>
          <w:tblW w:w="5007" w:type="pct"/>
          <w:tblInd w:w="0" w:type="dxa"/>
          <w:tblCellMar>
            <w:top w:w="0" w:type="dxa"/>
            <w:left w:w="0" w:type="dxa"/>
            <w:bottom w:w="0" w:type="dxa"/>
            <w:right w:w="0" w:type="dxa"/>
          </w:tblCellMar>
        </w:tblPrEx>
        <w:trPr>
          <w:trHeight w:val="399"/>
        </w:trPr>
        <w:tc>
          <w:tcPr>
            <w:tcW w:w="452" w:type="pct"/>
            <w:vMerge/>
            <w:tcBorders>
              <w:tl2br w:val="nil"/>
              <w:tr2bl w:val="nil"/>
            </w:tcBorders>
            <w:textDirection w:val="tbRlV"/>
            <w:vAlign w:val="center"/>
          </w:tcPr>
          <w:p w14:paraId="6526B736">
            <w:pPr>
              <w:pStyle w:val="a4"/>
              <w:bidi w:val="0"/>
              <w:rPr>
                <w:rFonts w:hint="default"/>
                <w:color w:val="auto"/>
              </w:rPr>
            </w:pPr>
          </w:p>
        </w:tc>
        <w:tc>
          <w:tcPr>
            <w:tcW w:w="942" w:type="pct"/>
            <w:vMerge/>
            <w:tcBorders>
              <w:tl2br w:val="nil"/>
              <w:tr2bl w:val="nil"/>
            </w:tcBorders>
            <w:vAlign w:val="center"/>
          </w:tcPr>
          <w:p w14:paraId="17E5B9A5">
            <w:pPr>
              <w:pStyle w:val="a4"/>
              <w:bidi w:val="0"/>
              <w:rPr>
                <w:rFonts w:hint="default"/>
                <w:color w:val="auto"/>
              </w:rPr>
            </w:pPr>
          </w:p>
        </w:tc>
        <w:tc>
          <w:tcPr>
            <w:tcW w:w="705" w:type="pct"/>
            <w:vMerge/>
            <w:tcBorders>
              <w:tl2br w:val="nil"/>
              <w:tr2bl w:val="nil"/>
            </w:tcBorders>
            <w:vAlign w:val="center"/>
          </w:tcPr>
          <w:p w14:paraId="1AB21A3B">
            <w:pPr>
              <w:pStyle w:val="a4"/>
              <w:bidi w:val="0"/>
              <w:rPr>
                <w:rFonts w:hint="default"/>
                <w:color w:val="auto"/>
              </w:rPr>
            </w:pPr>
          </w:p>
        </w:tc>
        <w:tc>
          <w:tcPr>
            <w:tcW w:w="1965" w:type="pct"/>
            <w:tcBorders>
              <w:tl2br w:val="nil"/>
              <w:tr2bl w:val="nil"/>
            </w:tcBorders>
            <w:vAlign w:val="center"/>
          </w:tcPr>
          <w:p w14:paraId="14B1F54E">
            <w:pPr>
              <w:pStyle w:val="a4"/>
              <w:bidi w:val="0"/>
              <w:rPr>
                <w:rFonts w:hint="default"/>
                <w:b/>
                <w:bCs/>
                <w:color w:val="auto"/>
              </w:rPr>
            </w:pPr>
            <w:r>
              <w:rPr>
                <w:rFonts w:hint="default"/>
                <w:b/>
                <w:bCs/>
                <w:color w:val="auto"/>
              </w:rPr>
              <w:t>户外式</w:t>
            </w:r>
          </w:p>
        </w:tc>
        <w:tc>
          <w:tcPr>
            <w:tcW w:w="933" w:type="pct"/>
            <w:tcBorders>
              <w:tl2br w:val="nil"/>
              <w:tr2bl w:val="nil"/>
            </w:tcBorders>
            <w:vAlign w:val="center"/>
          </w:tcPr>
          <w:p w14:paraId="6DE16815">
            <w:pPr>
              <w:pStyle w:val="a4"/>
              <w:bidi w:val="0"/>
              <w:rPr>
                <w:rFonts w:hint="default"/>
                <w:b/>
                <w:bCs/>
                <w:color w:val="auto"/>
              </w:rPr>
            </w:pPr>
            <w:r>
              <w:rPr>
                <w:rFonts w:hint="default"/>
                <w:b/>
                <w:bCs/>
                <w:color w:val="auto"/>
              </w:rPr>
              <w:t>二级</w:t>
            </w:r>
          </w:p>
        </w:tc>
      </w:tr>
      <w:tr w14:paraId="4B7A5AFD">
        <w:tblPrEx>
          <w:tblW w:w="5007" w:type="pct"/>
          <w:tblInd w:w="0" w:type="dxa"/>
          <w:tblCellMar>
            <w:top w:w="0" w:type="dxa"/>
            <w:left w:w="0" w:type="dxa"/>
            <w:bottom w:w="0" w:type="dxa"/>
            <w:right w:w="0" w:type="dxa"/>
          </w:tblCellMar>
        </w:tblPrEx>
        <w:trPr>
          <w:trHeight w:val="815"/>
        </w:trPr>
        <w:tc>
          <w:tcPr>
            <w:tcW w:w="452" w:type="pct"/>
            <w:vMerge/>
            <w:tcBorders>
              <w:tl2br w:val="nil"/>
              <w:tr2bl w:val="nil"/>
            </w:tcBorders>
            <w:textDirection w:val="tbRlV"/>
            <w:vAlign w:val="center"/>
          </w:tcPr>
          <w:p w14:paraId="2D75E0DC">
            <w:pPr>
              <w:pStyle w:val="a4"/>
              <w:bidi w:val="0"/>
              <w:rPr>
                <w:rFonts w:hint="default"/>
                <w:color w:val="auto"/>
              </w:rPr>
            </w:pPr>
          </w:p>
        </w:tc>
        <w:tc>
          <w:tcPr>
            <w:tcW w:w="942" w:type="pct"/>
            <w:vMerge/>
            <w:tcBorders>
              <w:tl2br w:val="nil"/>
              <w:tr2bl w:val="nil"/>
            </w:tcBorders>
            <w:vAlign w:val="center"/>
          </w:tcPr>
          <w:p w14:paraId="442D3778">
            <w:pPr>
              <w:pStyle w:val="a4"/>
              <w:bidi w:val="0"/>
              <w:rPr>
                <w:rFonts w:hint="default"/>
                <w:color w:val="auto"/>
              </w:rPr>
            </w:pPr>
          </w:p>
        </w:tc>
        <w:tc>
          <w:tcPr>
            <w:tcW w:w="705" w:type="pct"/>
            <w:vMerge w:val="restart"/>
            <w:tcBorders>
              <w:tl2br w:val="nil"/>
              <w:tr2bl w:val="nil"/>
            </w:tcBorders>
            <w:vAlign w:val="center"/>
          </w:tcPr>
          <w:p w14:paraId="73CB1E0E">
            <w:pPr>
              <w:pStyle w:val="a4"/>
              <w:bidi w:val="0"/>
              <w:rPr>
                <w:rFonts w:hint="default"/>
                <w:color w:val="auto"/>
              </w:rPr>
            </w:pPr>
            <w:r>
              <w:rPr>
                <w:rFonts w:hint="default"/>
                <w:color w:val="auto"/>
              </w:rPr>
              <w:t>输电线路</w:t>
            </w:r>
          </w:p>
        </w:tc>
        <w:tc>
          <w:tcPr>
            <w:tcW w:w="1965" w:type="pct"/>
            <w:tcBorders>
              <w:tl2br w:val="nil"/>
              <w:tr2bl w:val="nil"/>
            </w:tcBorders>
            <w:vAlign w:val="center"/>
          </w:tcPr>
          <w:p w14:paraId="68829A91">
            <w:pPr>
              <w:pStyle w:val="a4"/>
              <w:bidi w:val="0"/>
              <w:rPr>
                <w:rFonts w:hint="default"/>
                <w:color w:val="auto"/>
              </w:rPr>
            </w:pPr>
            <w:r>
              <w:rPr>
                <w:rFonts w:hint="default"/>
                <w:color w:val="auto"/>
              </w:rPr>
              <w:t>1、地下电缆</w:t>
            </w:r>
          </w:p>
          <w:p w14:paraId="6D3BA357">
            <w:pPr>
              <w:pStyle w:val="a4"/>
              <w:bidi w:val="0"/>
              <w:rPr>
                <w:rFonts w:hint="default"/>
                <w:color w:val="auto"/>
              </w:rPr>
            </w:pPr>
            <w:r>
              <w:rPr>
                <w:rFonts w:hint="default"/>
                <w:color w:val="auto"/>
              </w:rPr>
              <w:t>2、边导线地面投影外两侧各15m范围内无电磁环境敏感目标的架空线</w:t>
            </w:r>
          </w:p>
        </w:tc>
        <w:tc>
          <w:tcPr>
            <w:tcW w:w="933" w:type="pct"/>
            <w:tcBorders>
              <w:tl2br w:val="nil"/>
              <w:tr2bl w:val="nil"/>
            </w:tcBorders>
            <w:vAlign w:val="center"/>
          </w:tcPr>
          <w:p w14:paraId="2DC29EFB">
            <w:pPr>
              <w:pStyle w:val="a4"/>
              <w:bidi w:val="0"/>
              <w:rPr>
                <w:rFonts w:hint="default"/>
                <w:color w:val="auto"/>
              </w:rPr>
            </w:pPr>
            <w:r>
              <w:rPr>
                <w:rFonts w:hint="default"/>
                <w:color w:val="auto"/>
              </w:rPr>
              <w:t>三级</w:t>
            </w:r>
          </w:p>
        </w:tc>
      </w:tr>
      <w:tr w14:paraId="7EAEB574">
        <w:tblPrEx>
          <w:tblW w:w="5007" w:type="pct"/>
          <w:tblInd w:w="0" w:type="dxa"/>
          <w:tblCellMar>
            <w:top w:w="0" w:type="dxa"/>
            <w:left w:w="0" w:type="dxa"/>
            <w:bottom w:w="0" w:type="dxa"/>
            <w:right w:w="0" w:type="dxa"/>
          </w:tblCellMar>
        </w:tblPrEx>
        <w:trPr>
          <w:trHeight w:val="781"/>
        </w:trPr>
        <w:tc>
          <w:tcPr>
            <w:tcW w:w="452" w:type="pct"/>
            <w:vMerge/>
            <w:tcBorders>
              <w:tl2br w:val="nil"/>
              <w:tr2bl w:val="nil"/>
            </w:tcBorders>
            <w:textDirection w:val="tbRlV"/>
            <w:vAlign w:val="center"/>
          </w:tcPr>
          <w:p w14:paraId="2156133B">
            <w:pPr>
              <w:pStyle w:val="a4"/>
              <w:bidi w:val="0"/>
              <w:rPr>
                <w:rFonts w:hint="default"/>
                <w:color w:val="auto"/>
              </w:rPr>
            </w:pPr>
          </w:p>
        </w:tc>
        <w:tc>
          <w:tcPr>
            <w:tcW w:w="942" w:type="pct"/>
            <w:vMerge/>
            <w:tcBorders>
              <w:tl2br w:val="nil"/>
              <w:tr2bl w:val="nil"/>
            </w:tcBorders>
            <w:vAlign w:val="center"/>
          </w:tcPr>
          <w:p w14:paraId="77975D0A">
            <w:pPr>
              <w:pStyle w:val="a4"/>
              <w:bidi w:val="0"/>
              <w:rPr>
                <w:rFonts w:hint="default"/>
                <w:color w:val="auto"/>
              </w:rPr>
            </w:pPr>
          </w:p>
        </w:tc>
        <w:tc>
          <w:tcPr>
            <w:tcW w:w="705" w:type="pct"/>
            <w:vMerge/>
            <w:tcBorders>
              <w:tl2br w:val="nil"/>
              <w:tr2bl w:val="nil"/>
            </w:tcBorders>
            <w:vAlign w:val="center"/>
          </w:tcPr>
          <w:p w14:paraId="75619ABC">
            <w:pPr>
              <w:pStyle w:val="a4"/>
              <w:bidi w:val="0"/>
              <w:rPr>
                <w:rFonts w:hint="default"/>
                <w:color w:val="auto"/>
              </w:rPr>
            </w:pPr>
          </w:p>
        </w:tc>
        <w:tc>
          <w:tcPr>
            <w:tcW w:w="1965" w:type="pct"/>
            <w:tcBorders>
              <w:tl2br w:val="nil"/>
              <w:tr2bl w:val="nil"/>
            </w:tcBorders>
            <w:vAlign w:val="center"/>
          </w:tcPr>
          <w:p w14:paraId="3D8402C0">
            <w:pPr>
              <w:pStyle w:val="a4"/>
              <w:bidi w:val="0"/>
              <w:rPr>
                <w:rFonts w:hint="default"/>
                <w:color w:val="auto"/>
              </w:rPr>
            </w:pPr>
            <w:r>
              <w:rPr>
                <w:rFonts w:hint="default"/>
                <w:color w:val="auto"/>
              </w:rPr>
              <w:t>边导线地面投影外两侧各15m范围内 有电磁环境敏感目标的架空线</w:t>
            </w:r>
          </w:p>
        </w:tc>
        <w:tc>
          <w:tcPr>
            <w:tcW w:w="933" w:type="pct"/>
            <w:tcBorders>
              <w:tl2br w:val="nil"/>
              <w:tr2bl w:val="nil"/>
            </w:tcBorders>
            <w:vAlign w:val="center"/>
          </w:tcPr>
          <w:p w14:paraId="61C2DB8A">
            <w:pPr>
              <w:pStyle w:val="a4"/>
              <w:bidi w:val="0"/>
              <w:rPr>
                <w:rFonts w:hint="default"/>
                <w:color w:val="auto"/>
              </w:rPr>
            </w:pPr>
            <w:r>
              <w:rPr>
                <w:rFonts w:hint="default"/>
                <w:color w:val="auto"/>
              </w:rPr>
              <w:t>二级</w:t>
            </w:r>
          </w:p>
        </w:tc>
      </w:tr>
      <w:tr w14:paraId="590F741D">
        <w:tblPrEx>
          <w:tblW w:w="5007" w:type="pct"/>
          <w:tblInd w:w="0" w:type="dxa"/>
          <w:tblCellMar>
            <w:top w:w="0" w:type="dxa"/>
            <w:left w:w="0" w:type="dxa"/>
            <w:bottom w:w="0" w:type="dxa"/>
            <w:right w:w="0" w:type="dxa"/>
          </w:tblCellMar>
        </w:tblPrEx>
        <w:trPr>
          <w:trHeight w:val="545"/>
        </w:trPr>
        <w:tc>
          <w:tcPr>
            <w:tcW w:w="452" w:type="pct"/>
            <w:vMerge w:val="restart"/>
            <w:tcBorders>
              <w:tl2br w:val="nil"/>
              <w:tr2bl w:val="nil"/>
            </w:tcBorders>
            <w:textDirection w:val="tbRlV"/>
            <w:vAlign w:val="center"/>
          </w:tcPr>
          <w:p w14:paraId="78155827">
            <w:pPr>
              <w:pStyle w:val="a4"/>
              <w:bidi w:val="0"/>
              <w:rPr>
                <w:rFonts w:hint="default"/>
                <w:color w:val="auto"/>
                <w:lang w:val="en-US" w:eastAsia="zh-CN"/>
              </w:rPr>
            </w:pPr>
            <w:r>
              <w:rPr>
                <w:rFonts w:hint="default"/>
                <w:color w:val="auto"/>
                <w:lang w:val="en-US" w:eastAsia="zh-CN"/>
              </w:rPr>
              <w:t>直流</w:t>
            </w:r>
          </w:p>
        </w:tc>
        <w:tc>
          <w:tcPr>
            <w:tcW w:w="942" w:type="pct"/>
            <w:tcBorders>
              <w:tl2br w:val="nil"/>
              <w:tr2bl w:val="nil"/>
            </w:tcBorders>
            <w:vAlign w:val="center"/>
          </w:tcPr>
          <w:p w14:paraId="566A2F72">
            <w:pPr>
              <w:pStyle w:val="a4"/>
              <w:bidi w:val="0"/>
              <w:rPr>
                <w:rFonts w:hint="default"/>
                <w:color w:val="auto"/>
              </w:rPr>
            </w:pPr>
            <w:r>
              <w:rPr>
                <w:rFonts w:hint="default"/>
                <w:color w:val="auto"/>
              </w:rPr>
              <w:t>±400kV及以上</w:t>
            </w:r>
          </w:p>
        </w:tc>
        <w:tc>
          <w:tcPr>
            <w:tcW w:w="705" w:type="pct"/>
            <w:tcBorders>
              <w:tl2br w:val="nil"/>
              <w:tr2bl w:val="nil"/>
            </w:tcBorders>
            <w:vAlign w:val="center"/>
          </w:tcPr>
          <w:p w14:paraId="1BB146D6">
            <w:pPr>
              <w:pStyle w:val="a4"/>
              <w:bidi w:val="0"/>
              <w:rPr>
                <w:rFonts w:hint="default"/>
                <w:color w:val="auto"/>
              </w:rPr>
            </w:pPr>
            <w:r>
              <w:rPr>
                <w:rFonts w:hint="default"/>
                <w:color w:val="auto"/>
              </w:rPr>
              <w:t>/</w:t>
            </w:r>
          </w:p>
        </w:tc>
        <w:tc>
          <w:tcPr>
            <w:tcW w:w="1965" w:type="pct"/>
            <w:tcBorders>
              <w:tl2br w:val="nil"/>
              <w:tr2bl w:val="nil"/>
            </w:tcBorders>
            <w:vAlign w:val="center"/>
          </w:tcPr>
          <w:p w14:paraId="5CD9219B">
            <w:pPr>
              <w:pStyle w:val="a4"/>
              <w:bidi w:val="0"/>
              <w:rPr>
                <w:rFonts w:hint="default"/>
                <w:color w:val="auto"/>
              </w:rPr>
            </w:pPr>
            <w:r>
              <w:rPr>
                <w:rFonts w:hint="default"/>
                <w:color w:val="auto"/>
              </w:rPr>
              <w:t>/</w:t>
            </w:r>
          </w:p>
        </w:tc>
        <w:tc>
          <w:tcPr>
            <w:tcW w:w="933" w:type="pct"/>
            <w:tcBorders>
              <w:tl2br w:val="nil"/>
              <w:tr2bl w:val="nil"/>
            </w:tcBorders>
            <w:vAlign w:val="center"/>
          </w:tcPr>
          <w:p w14:paraId="29A44CD5">
            <w:pPr>
              <w:pStyle w:val="a4"/>
              <w:bidi w:val="0"/>
              <w:rPr>
                <w:rFonts w:hint="default"/>
                <w:color w:val="auto"/>
              </w:rPr>
            </w:pPr>
            <w:r>
              <w:rPr>
                <w:rFonts w:hint="default"/>
                <w:color w:val="auto"/>
                <w:lang w:val="en-US" w:eastAsia="zh-CN"/>
              </w:rPr>
              <w:t>一</w:t>
            </w:r>
            <w:r>
              <w:rPr>
                <w:rFonts w:hint="default"/>
                <w:color w:val="auto"/>
              </w:rPr>
              <w:t>级</w:t>
            </w:r>
          </w:p>
        </w:tc>
      </w:tr>
      <w:tr w14:paraId="78E25275">
        <w:tblPrEx>
          <w:tblW w:w="5007" w:type="pct"/>
          <w:tblInd w:w="0" w:type="dxa"/>
          <w:tblCellMar>
            <w:top w:w="0" w:type="dxa"/>
            <w:left w:w="0" w:type="dxa"/>
            <w:bottom w:w="0" w:type="dxa"/>
            <w:right w:w="0" w:type="dxa"/>
          </w:tblCellMar>
        </w:tblPrEx>
        <w:trPr>
          <w:trHeight w:val="545"/>
        </w:trPr>
        <w:tc>
          <w:tcPr>
            <w:tcW w:w="452" w:type="pct"/>
            <w:vMerge/>
            <w:tcBorders>
              <w:tl2br w:val="nil"/>
              <w:tr2bl w:val="nil"/>
            </w:tcBorders>
            <w:textDirection w:val="tbRlV"/>
            <w:vAlign w:val="center"/>
          </w:tcPr>
          <w:p w14:paraId="44BD7AE0">
            <w:pPr>
              <w:pStyle w:val="a4"/>
              <w:bidi w:val="0"/>
              <w:rPr>
                <w:rFonts w:hint="default"/>
                <w:color w:val="auto"/>
              </w:rPr>
            </w:pPr>
          </w:p>
        </w:tc>
        <w:tc>
          <w:tcPr>
            <w:tcW w:w="942" w:type="pct"/>
            <w:tcBorders>
              <w:tl2br w:val="nil"/>
              <w:tr2bl w:val="nil"/>
            </w:tcBorders>
            <w:vAlign w:val="center"/>
          </w:tcPr>
          <w:p w14:paraId="1606F1EC">
            <w:pPr>
              <w:pStyle w:val="a4"/>
              <w:bidi w:val="0"/>
              <w:rPr>
                <w:rFonts w:hint="default"/>
                <w:color w:val="auto"/>
              </w:rPr>
            </w:pPr>
            <w:r>
              <w:rPr>
                <w:rFonts w:hint="default"/>
                <w:color w:val="auto"/>
              </w:rPr>
              <w:t>其他</w:t>
            </w:r>
          </w:p>
        </w:tc>
        <w:tc>
          <w:tcPr>
            <w:tcW w:w="705" w:type="pct"/>
            <w:tcBorders>
              <w:tl2br w:val="nil"/>
              <w:tr2bl w:val="nil"/>
            </w:tcBorders>
            <w:vAlign w:val="center"/>
          </w:tcPr>
          <w:p w14:paraId="5A8068C1">
            <w:pPr>
              <w:pStyle w:val="a4"/>
              <w:bidi w:val="0"/>
              <w:rPr>
                <w:rFonts w:hint="default"/>
                <w:color w:val="auto"/>
              </w:rPr>
            </w:pPr>
            <w:r>
              <w:rPr>
                <w:rFonts w:hint="default"/>
                <w:color w:val="auto"/>
              </w:rPr>
              <w:t>/</w:t>
            </w:r>
          </w:p>
        </w:tc>
        <w:tc>
          <w:tcPr>
            <w:tcW w:w="1965" w:type="pct"/>
            <w:tcBorders>
              <w:tl2br w:val="nil"/>
              <w:tr2bl w:val="nil"/>
            </w:tcBorders>
            <w:vAlign w:val="center"/>
          </w:tcPr>
          <w:p w14:paraId="00CE011C">
            <w:pPr>
              <w:pStyle w:val="a4"/>
              <w:bidi w:val="0"/>
              <w:rPr>
                <w:rFonts w:hint="default"/>
                <w:color w:val="auto"/>
              </w:rPr>
            </w:pPr>
            <w:r>
              <w:rPr>
                <w:rFonts w:hint="default"/>
                <w:color w:val="auto"/>
              </w:rPr>
              <w:t>/</w:t>
            </w:r>
          </w:p>
        </w:tc>
        <w:tc>
          <w:tcPr>
            <w:tcW w:w="933" w:type="pct"/>
            <w:tcBorders>
              <w:tl2br w:val="nil"/>
              <w:tr2bl w:val="nil"/>
            </w:tcBorders>
            <w:vAlign w:val="center"/>
          </w:tcPr>
          <w:p w14:paraId="40A3787A">
            <w:pPr>
              <w:pStyle w:val="a4"/>
              <w:bidi w:val="0"/>
              <w:rPr>
                <w:rFonts w:hint="default"/>
                <w:color w:val="auto"/>
              </w:rPr>
            </w:pPr>
            <w:r>
              <w:rPr>
                <w:rFonts w:hint="default"/>
                <w:color w:val="auto"/>
              </w:rPr>
              <w:t>二级</w:t>
            </w:r>
          </w:p>
        </w:tc>
      </w:tr>
      <w:tr w14:paraId="4F6D9EBB">
        <w:tblPrEx>
          <w:tblW w:w="5007" w:type="pct"/>
          <w:tblInd w:w="0" w:type="dxa"/>
          <w:tblCellMar>
            <w:top w:w="0" w:type="dxa"/>
            <w:left w:w="0" w:type="dxa"/>
            <w:bottom w:w="0" w:type="dxa"/>
            <w:right w:w="0" w:type="dxa"/>
          </w:tblCellMar>
        </w:tblPrEx>
        <w:trPr>
          <w:trHeight w:val="569"/>
        </w:trPr>
        <w:tc>
          <w:tcPr>
            <w:tcW w:w="5000" w:type="pct"/>
            <w:gridSpan w:val="5"/>
            <w:tcBorders>
              <w:tl2br w:val="nil"/>
              <w:tr2bl w:val="nil"/>
            </w:tcBorders>
            <w:vAlign w:val="center"/>
          </w:tcPr>
          <w:p w14:paraId="44C547D3">
            <w:pPr>
              <w:pStyle w:val="a4"/>
              <w:bidi w:val="0"/>
              <w:rPr>
                <w:rFonts w:hint="default"/>
                <w:color w:val="auto"/>
              </w:rPr>
            </w:pPr>
            <w:r>
              <w:rPr>
                <w:rFonts w:hint="default"/>
                <w:color w:val="auto"/>
              </w:rPr>
              <w:t>注：根</w:t>
            </w:r>
            <w:r>
              <w:rPr>
                <w:rFonts w:hint="default"/>
                <w:color w:val="auto"/>
                <w:lang w:eastAsia="zh-CN"/>
              </w:rPr>
              <w:t>据不</w:t>
            </w:r>
            <w:r>
              <w:rPr>
                <w:rFonts w:hint="default"/>
                <w:color w:val="auto"/>
              </w:rPr>
              <w:t>同电压等级的变电站确定开关站、串补站的电磁环境影响评价工作等级，根据直流侧电压等级确定换流站的电磁环境影响评价工作等级。</w:t>
            </w:r>
          </w:p>
        </w:tc>
      </w:tr>
    </w:tbl>
    <w:p w14:paraId="792A2147">
      <w:pPr>
        <w:spacing w:before="156" w:line="218" w:lineRule="auto"/>
        <w:ind w:left="129"/>
        <w:outlineLvl w:val="2"/>
        <w:rPr>
          <w:rFonts w:ascii="Times New Roman" w:eastAsia="宋体" w:hAnsi="Times New Roman" w:cs="Times New Roman" w:hint="default"/>
          <w:color w:val="auto"/>
          <w:sz w:val="24"/>
          <w:szCs w:val="24"/>
        </w:rPr>
      </w:pPr>
      <w:bookmarkStart w:id="6" w:name="bookmark11"/>
      <w:bookmarkEnd w:id="6"/>
      <w:r>
        <w:rPr>
          <w:rFonts w:ascii="Times New Roman" w:eastAsia="宋体" w:hAnsi="Times New Roman" w:cs="Times New Roman" w:hint="default"/>
          <w:b/>
          <w:bCs/>
          <w:color w:val="auto"/>
          <w:spacing w:val="-2"/>
          <w:sz w:val="24"/>
          <w:szCs w:val="24"/>
        </w:rPr>
        <w:t xml:space="preserve">1.4  </w:t>
      </w:r>
      <w:r>
        <w:rPr>
          <w:rFonts w:ascii="Times New Roman" w:eastAsia="宋体" w:hAnsi="Times New Roman" w:cs="Times New Roman" w:hint="default"/>
          <w:color w:val="auto"/>
          <w:spacing w:val="-2"/>
          <w:sz w:val="24"/>
          <w:szCs w:val="24"/>
          <w14:textOutline w14:w="4358" w14:cap="sq">
            <w14:solidFill>
              <w14:srgbClr w14:val="000000"/>
            </w14:solidFill>
            <w14:bevel/>
          </w14:textOutline>
        </w:rPr>
        <w:t>评价范围</w:t>
      </w:r>
    </w:p>
    <w:p w14:paraId="0AA02108">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根据《环境影响评价技术导则 输变电》（HJ 24-2020），本输变电工程电磁环境影响评价范围确定为：220kV升压站站界外40m。</w:t>
      </w:r>
    </w:p>
    <w:p w14:paraId="22FCA3A2">
      <w:pPr>
        <w:spacing w:before="181" w:line="222" w:lineRule="auto"/>
        <w:jc w:val="center"/>
        <w:rPr>
          <w:rFonts w:ascii="Times New Roman" w:eastAsia="宋体" w:hAnsi="Times New Roman" w:cs="Times New Roman" w:hint="default"/>
          <w:color w:val="auto"/>
          <w:sz w:val="20"/>
          <w:szCs w:val="20"/>
        </w:rPr>
      </w:pPr>
      <w:r>
        <w:rPr>
          <w:rFonts w:ascii="Times New Roman" w:eastAsia="宋体" w:hAnsi="Times New Roman" w:cs="Times New Roman" w:hint="default"/>
          <w:color w:val="auto"/>
          <w:spacing w:val="7"/>
          <w:sz w:val="20"/>
          <w:szCs w:val="20"/>
          <w14:textOutline w14:w="3795" w14:cap="sq">
            <w14:solidFill>
              <w14:srgbClr w14:val="000000"/>
            </w14:solidFill>
            <w14:bevel/>
          </w14:textOutline>
        </w:rPr>
        <w:t>表</w:t>
      </w:r>
      <w:r>
        <w:rPr>
          <w:rFonts w:ascii="Times New Roman" w:eastAsia="宋体" w:hAnsi="Times New Roman" w:cs="Times New Roman" w:hint="default"/>
          <w:color w:val="auto"/>
          <w:spacing w:val="-25"/>
          <w:sz w:val="20"/>
          <w:szCs w:val="20"/>
        </w:rPr>
        <w:t xml:space="preserve"> </w:t>
      </w:r>
      <w:r>
        <w:rPr>
          <w:rFonts w:ascii="Times New Roman" w:eastAsia="宋体" w:hAnsi="Times New Roman" w:cs="Times New Roman" w:hint="default"/>
          <w:b/>
          <w:bCs/>
          <w:color w:val="auto"/>
          <w:spacing w:val="7"/>
          <w:sz w:val="20"/>
          <w:szCs w:val="20"/>
        </w:rPr>
        <w:t xml:space="preserve">2      </w:t>
      </w:r>
      <w:r>
        <w:rPr>
          <w:rFonts w:ascii="Times New Roman" w:eastAsia="宋体" w:hAnsi="Times New Roman" w:cs="Times New Roman" w:hint="default"/>
          <w:color w:val="auto"/>
          <w:spacing w:val="7"/>
          <w:sz w:val="20"/>
          <w:szCs w:val="20"/>
          <w14:textOutline w14:w="3795" w14:cap="sq">
            <w14:solidFill>
              <w14:srgbClr w14:val="000000"/>
            </w14:solidFill>
            <w14:bevel/>
          </w14:textOutline>
        </w:rPr>
        <w:t>输变电工程电磁环境影响评价范围</w:t>
      </w:r>
    </w:p>
    <w:tbl>
      <w:tblPr>
        <w:tblStyle w:val="TableNormal0"/>
        <w:tblW w:w="4998"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886"/>
        <w:gridCol w:w="1568"/>
        <w:gridCol w:w="1569"/>
        <w:gridCol w:w="2876"/>
        <w:gridCol w:w="1416"/>
      </w:tblGrid>
      <w:tr w14:paraId="2A3490CE">
        <w:tblPrEx>
          <w:tblW w:w="4998"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401"/>
        </w:trPr>
        <w:tc>
          <w:tcPr>
            <w:tcW w:w="533" w:type="pct"/>
            <w:vMerge w:val="restart"/>
            <w:tcBorders>
              <w:tl2br w:val="nil"/>
              <w:tr2bl w:val="nil"/>
            </w:tcBorders>
            <w:vAlign w:val="center"/>
          </w:tcPr>
          <w:p w14:paraId="650133D1">
            <w:pPr>
              <w:pStyle w:val="a4"/>
              <w:bidi w:val="0"/>
              <w:jc w:val="center"/>
              <w:rPr>
                <w:rFonts w:hint="default"/>
                <w:color w:val="auto"/>
              </w:rPr>
            </w:pPr>
            <w:r>
              <w:rPr>
                <w:rFonts w:hint="default"/>
                <w:color w:val="auto"/>
              </w:rPr>
              <w:t>分类</w:t>
            </w:r>
          </w:p>
        </w:tc>
        <w:tc>
          <w:tcPr>
            <w:tcW w:w="943" w:type="pct"/>
            <w:vMerge w:val="restart"/>
            <w:tcBorders>
              <w:tl2br w:val="nil"/>
              <w:tr2bl w:val="nil"/>
            </w:tcBorders>
            <w:vAlign w:val="center"/>
          </w:tcPr>
          <w:p w14:paraId="267A5DA6">
            <w:pPr>
              <w:pStyle w:val="a4"/>
              <w:bidi w:val="0"/>
              <w:jc w:val="center"/>
              <w:rPr>
                <w:rFonts w:hint="default"/>
                <w:color w:val="auto"/>
              </w:rPr>
            </w:pPr>
            <w:r>
              <w:rPr>
                <w:rFonts w:hint="default"/>
                <w:color w:val="auto"/>
              </w:rPr>
              <w:t>电压等级</w:t>
            </w:r>
          </w:p>
        </w:tc>
        <w:tc>
          <w:tcPr>
            <w:tcW w:w="3523" w:type="pct"/>
            <w:gridSpan w:val="3"/>
            <w:tcBorders>
              <w:tl2br w:val="nil"/>
              <w:tr2bl w:val="nil"/>
            </w:tcBorders>
            <w:vAlign w:val="center"/>
          </w:tcPr>
          <w:p w14:paraId="32F90FFB">
            <w:pPr>
              <w:pStyle w:val="a4"/>
              <w:bidi w:val="0"/>
              <w:jc w:val="center"/>
              <w:rPr>
                <w:rFonts w:hint="default"/>
                <w:color w:val="auto"/>
              </w:rPr>
            </w:pPr>
            <w:r>
              <w:rPr>
                <w:rFonts w:hint="default"/>
                <w:color w:val="auto"/>
              </w:rPr>
              <w:t>评价范围</w:t>
            </w:r>
          </w:p>
        </w:tc>
      </w:tr>
      <w:tr w14:paraId="03A30113">
        <w:tblPrEx>
          <w:tblW w:w="4998" w:type="pct"/>
          <w:tblInd w:w="0" w:type="dxa"/>
          <w:tblCellMar>
            <w:top w:w="0" w:type="dxa"/>
            <w:left w:w="0" w:type="dxa"/>
            <w:bottom w:w="0" w:type="dxa"/>
            <w:right w:w="0" w:type="dxa"/>
          </w:tblCellMar>
        </w:tblPrEx>
        <w:trPr>
          <w:trHeight w:val="397"/>
        </w:trPr>
        <w:tc>
          <w:tcPr>
            <w:tcW w:w="533" w:type="pct"/>
            <w:vMerge/>
            <w:tcBorders>
              <w:tl2br w:val="nil"/>
              <w:tr2bl w:val="nil"/>
            </w:tcBorders>
            <w:vAlign w:val="center"/>
          </w:tcPr>
          <w:p w14:paraId="78DD5B91">
            <w:pPr>
              <w:pStyle w:val="a4"/>
              <w:bidi w:val="0"/>
              <w:jc w:val="center"/>
              <w:rPr>
                <w:rFonts w:hint="default"/>
                <w:color w:val="auto"/>
              </w:rPr>
            </w:pPr>
          </w:p>
        </w:tc>
        <w:tc>
          <w:tcPr>
            <w:tcW w:w="943" w:type="pct"/>
            <w:vMerge/>
            <w:tcBorders>
              <w:tl2br w:val="nil"/>
              <w:tr2bl w:val="nil"/>
            </w:tcBorders>
            <w:vAlign w:val="center"/>
          </w:tcPr>
          <w:p w14:paraId="73FDC862">
            <w:pPr>
              <w:pStyle w:val="a4"/>
              <w:bidi w:val="0"/>
              <w:jc w:val="center"/>
              <w:rPr>
                <w:rFonts w:hint="default"/>
                <w:color w:val="auto"/>
              </w:rPr>
            </w:pPr>
          </w:p>
        </w:tc>
        <w:tc>
          <w:tcPr>
            <w:tcW w:w="943" w:type="pct"/>
            <w:vMerge w:val="restart"/>
            <w:tcBorders>
              <w:tl2br w:val="nil"/>
              <w:tr2bl w:val="nil"/>
            </w:tcBorders>
            <w:vAlign w:val="center"/>
          </w:tcPr>
          <w:p w14:paraId="69180172">
            <w:pPr>
              <w:pStyle w:val="a4"/>
              <w:bidi w:val="0"/>
              <w:jc w:val="center"/>
              <w:rPr>
                <w:rFonts w:hint="default"/>
                <w:b/>
                <w:bCs/>
                <w:color w:val="auto"/>
              </w:rPr>
            </w:pPr>
            <w:r>
              <w:rPr>
                <w:rFonts w:hint="default"/>
                <w:b/>
                <w:bCs/>
                <w:color w:val="auto"/>
              </w:rPr>
              <w:t>变电站、换流站、开关站、串补站</w:t>
            </w:r>
          </w:p>
        </w:tc>
        <w:tc>
          <w:tcPr>
            <w:tcW w:w="2580" w:type="pct"/>
            <w:gridSpan w:val="2"/>
            <w:tcBorders>
              <w:tl2br w:val="nil"/>
              <w:tr2bl w:val="nil"/>
            </w:tcBorders>
            <w:vAlign w:val="center"/>
          </w:tcPr>
          <w:p w14:paraId="7B523012">
            <w:pPr>
              <w:pStyle w:val="a4"/>
              <w:bidi w:val="0"/>
              <w:jc w:val="center"/>
              <w:rPr>
                <w:rFonts w:hint="default"/>
                <w:color w:val="auto"/>
              </w:rPr>
            </w:pPr>
            <w:r>
              <w:rPr>
                <w:rFonts w:hint="default"/>
                <w:color w:val="auto"/>
              </w:rPr>
              <w:t>线路</w:t>
            </w:r>
          </w:p>
        </w:tc>
      </w:tr>
      <w:tr w14:paraId="27135554">
        <w:tblPrEx>
          <w:tblW w:w="4998" w:type="pct"/>
          <w:tblInd w:w="0" w:type="dxa"/>
          <w:tblCellMar>
            <w:top w:w="0" w:type="dxa"/>
            <w:left w:w="0" w:type="dxa"/>
            <w:bottom w:w="0" w:type="dxa"/>
            <w:right w:w="0" w:type="dxa"/>
          </w:tblCellMar>
        </w:tblPrEx>
        <w:trPr>
          <w:trHeight w:val="397"/>
        </w:trPr>
        <w:tc>
          <w:tcPr>
            <w:tcW w:w="533" w:type="pct"/>
            <w:vMerge/>
            <w:tcBorders>
              <w:tl2br w:val="nil"/>
              <w:tr2bl w:val="nil"/>
            </w:tcBorders>
            <w:vAlign w:val="center"/>
          </w:tcPr>
          <w:p w14:paraId="547071EF">
            <w:pPr>
              <w:pStyle w:val="a4"/>
              <w:bidi w:val="0"/>
              <w:jc w:val="center"/>
              <w:rPr>
                <w:rFonts w:hint="default"/>
                <w:color w:val="auto"/>
              </w:rPr>
            </w:pPr>
          </w:p>
        </w:tc>
        <w:tc>
          <w:tcPr>
            <w:tcW w:w="943" w:type="pct"/>
            <w:vMerge/>
            <w:tcBorders>
              <w:tl2br w:val="nil"/>
              <w:tr2bl w:val="nil"/>
            </w:tcBorders>
            <w:vAlign w:val="center"/>
          </w:tcPr>
          <w:p w14:paraId="485847CC">
            <w:pPr>
              <w:pStyle w:val="a4"/>
              <w:bidi w:val="0"/>
              <w:jc w:val="center"/>
              <w:rPr>
                <w:rFonts w:hint="default"/>
                <w:color w:val="auto"/>
              </w:rPr>
            </w:pPr>
          </w:p>
        </w:tc>
        <w:tc>
          <w:tcPr>
            <w:tcW w:w="943" w:type="pct"/>
            <w:vMerge/>
            <w:tcBorders>
              <w:tl2br w:val="nil"/>
              <w:tr2bl w:val="nil"/>
            </w:tcBorders>
            <w:vAlign w:val="center"/>
          </w:tcPr>
          <w:p w14:paraId="251416C7">
            <w:pPr>
              <w:pStyle w:val="a4"/>
              <w:bidi w:val="0"/>
              <w:jc w:val="center"/>
              <w:rPr>
                <w:rFonts w:hint="default"/>
                <w:b/>
                <w:bCs/>
                <w:color w:val="auto"/>
              </w:rPr>
            </w:pPr>
          </w:p>
        </w:tc>
        <w:tc>
          <w:tcPr>
            <w:tcW w:w="1729" w:type="pct"/>
            <w:tcBorders>
              <w:tl2br w:val="nil"/>
              <w:tr2bl w:val="nil"/>
            </w:tcBorders>
            <w:vAlign w:val="center"/>
          </w:tcPr>
          <w:p w14:paraId="5EDCF06E">
            <w:pPr>
              <w:pStyle w:val="a4"/>
              <w:bidi w:val="0"/>
              <w:jc w:val="center"/>
              <w:rPr>
                <w:rFonts w:hint="default"/>
                <w:color w:val="auto"/>
              </w:rPr>
            </w:pPr>
            <w:r>
              <w:rPr>
                <w:rFonts w:hint="default"/>
                <w:color w:val="auto"/>
              </w:rPr>
              <w:t>架空线路</w:t>
            </w:r>
          </w:p>
        </w:tc>
        <w:tc>
          <w:tcPr>
            <w:tcW w:w="850" w:type="pct"/>
            <w:tcBorders>
              <w:tl2br w:val="nil"/>
              <w:tr2bl w:val="nil"/>
            </w:tcBorders>
            <w:vAlign w:val="center"/>
          </w:tcPr>
          <w:p w14:paraId="7C0D5A19">
            <w:pPr>
              <w:pStyle w:val="a4"/>
              <w:bidi w:val="0"/>
              <w:jc w:val="center"/>
              <w:rPr>
                <w:rFonts w:hint="default"/>
                <w:color w:val="auto"/>
              </w:rPr>
            </w:pPr>
            <w:r>
              <w:rPr>
                <w:rFonts w:hint="default"/>
                <w:color w:val="auto"/>
              </w:rPr>
              <w:t>地下电缆</w:t>
            </w:r>
          </w:p>
        </w:tc>
      </w:tr>
      <w:tr w14:paraId="3B6E93BB">
        <w:tblPrEx>
          <w:tblW w:w="4998" w:type="pct"/>
          <w:tblInd w:w="0" w:type="dxa"/>
          <w:tblCellMar>
            <w:top w:w="0" w:type="dxa"/>
            <w:left w:w="0" w:type="dxa"/>
            <w:bottom w:w="0" w:type="dxa"/>
            <w:right w:w="0" w:type="dxa"/>
          </w:tblCellMar>
        </w:tblPrEx>
        <w:trPr>
          <w:trHeight w:val="836"/>
        </w:trPr>
        <w:tc>
          <w:tcPr>
            <w:tcW w:w="533" w:type="pct"/>
            <w:tcBorders>
              <w:tl2br w:val="nil"/>
              <w:tr2bl w:val="nil"/>
            </w:tcBorders>
            <w:vAlign w:val="center"/>
          </w:tcPr>
          <w:p w14:paraId="4158D34F">
            <w:pPr>
              <w:pStyle w:val="a4"/>
              <w:bidi w:val="0"/>
              <w:jc w:val="center"/>
              <w:rPr>
                <w:rFonts w:hint="default"/>
                <w:color w:val="auto"/>
              </w:rPr>
            </w:pPr>
            <w:r>
              <w:rPr>
                <w:rFonts w:hint="default"/>
                <w:color w:val="auto"/>
              </w:rPr>
              <w:t>交流</w:t>
            </w:r>
          </w:p>
        </w:tc>
        <w:tc>
          <w:tcPr>
            <w:tcW w:w="943" w:type="pct"/>
            <w:tcBorders>
              <w:tl2br w:val="nil"/>
              <w:tr2bl w:val="nil"/>
            </w:tcBorders>
            <w:vAlign w:val="center"/>
          </w:tcPr>
          <w:p w14:paraId="2C89D5A5">
            <w:pPr>
              <w:pStyle w:val="a4"/>
              <w:bidi w:val="0"/>
              <w:jc w:val="center"/>
              <w:rPr>
                <w:rFonts w:hint="default"/>
                <w:color w:val="auto"/>
              </w:rPr>
            </w:pPr>
            <w:r>
              <w:rPr>
                <w:rFonts w:hint="default"/>
                <w:color w:val="auto"/>
              </w:rPr>
              <w:t>220kV</w:t>
            </w:r>
          </w:p>
        </w:tc>
        <w:tc>
          <w:tcPr>
            <w:tcW w:w="943" w:type="pct"/>
            <w:tcBorders>
              <w:tl2br w:val="nil"/>
              <w:tr2bl w:val="nil"/>
            </w:tcBorders>
            <w:vAlign w:val="center"/>
          </w:tcPr>
          <w:p w14:paraId="436F70DA">
            <w:pPr>
              <w:pStyle w:val="a4"/>
              <w:bidi w:val="0"/>
              <w:jc w:val="center"/>
              <w:rPr>
                <w:rFonts w:hint="default"/>
                <w:b/>
                <w:bCs/>
                <w:color w:val="auto"/>
              </w:rPr>
            </w:pPr>
            <w:r>
              <w:rPr>
                <w:rFonts w:hint="default"/>
                <w:b/>
                <w:bCs/>
                <w:color w:val="auto"/>
              </w:rPr>
              <w:t>站界外40m</w:t>
            </w:r>
          </w:p>
        </w:tc>
        <w:tc>
          <w:tcPr>
            <w:tcW w:w="1729" w:type="pct"/>
            <w:tcBorders>
              <w:tl2br w:val="nil"/>
              <w:tr2bl w:val="nil"/>
            </w:tcBorders>
            <w:vAlign w:val="center"/>
          </w:tcPr>
          <w:p w14:paraId="6125D8D3">
            <w:pPr>
              <w:pStyle w:val="a4"/>
              <w:bidi w:val="0"/>
              <w:jc w:val="center"/>
              <w:rPr>
                <w:rFonts w:hint="default"/>
                <w:color w:val="auto"/>
              </w:rPr>
            </w:pPr>
            <w:r>
              <w:rPr>
                <w:rFonts w:hint="default"/>
                <w:color w:val="auto"/>
              </w:rPr>
              <w:t>边导线地面投影外两侧40m</w:t>
            </w:r>
          </w:p>
        </w:tc>
        <w:tc>
          <w:tcPr>
            <w:tcW w:w="850" w:type="pct"/>
            <w:tcBorders>
              <w:tl2br w:val="nil"/>
              <w:tr2bl w:val="nil"/>
            </w:tcBorders>
            <w:vAlign w:val="center"/>
          </w:tcPr>
          <w:p w14:paraId="146EA5D3">
            <w:pPr>
              <w:pStyle w:val="a4"/>
              <w:bidi w:val="0"/>
              <w:jc w:val="center"/>
              <w:rPr>
                <w:rFonts w:hint="default"/>
                <w:color w:val="auto"/>
              </w:rPr>
            </w:pPr>
            <w:r>
              <w:rPr>
                <w:rFonts w:hint="default"/>
                <w:color w:val="auto"/>
              </w:rPr>
              <w:t>电缆管两侧边缘各外延5m（水平距离）</w:t>
            </w:r>
          </w:p>
        </w:tc>
      </w:tr>
    </w:tbl>
    <w:p w14:paraId="4911E004">
      <w:pPr>
        <w:spacing w:before="163" w:line="219" w:lineRule="auto"/>
        <w:ind w:left="129"/>
        <w:outlineLvl w:val="2"/>
        <w:rPr>
          <w:rFonts w:ascii="Times New Roman" w:eastAsia="宋体" w:hAnsi="Times New Roman" w:cs="Times New Roman" w:hint="default"/>
          <w:color w:val="auto"/>
          <w:sz w:val="24"/>
          <w:szCs w:val="24"/>
        </w:rPr>
      </w:pPr>
      <w:bookmarkStart w:id="7" w:name="bookmark12"/>
      <w:bookmarkEnd w:id="7"/>
      <w:r>
        <w:rPr>
          <w:rFonts w:ascii="Times New Roman" w:eastAsia="宋体" w:hAnsi="Times New Roman" w:cs="Times New Roman" w:hint="default"/>
          <w:b/>
          <w:bCs/>
          <w:color w:val="auto"/>
          <w:spacing w:val="-5"/>
          <w:sz w:val="24"/>
          <w:szCs w:val="24"/>
        </w:rPr>
        <w:t>1.5</w:t>
      </w:r>
      <w:r>
        <w:rPr>
          <w:rFonts w:ascii="Times New Roman" w:eastAsia="宋体" w:hAnsi="Times New Roman" w:cs="Times New Roman" w:hint="default"/>
          <w:b/>
          <w:bCs/>
          <w:color w:val="auto"/>
          <w:spacing w:val="22"/>
          <w:w w:val="101"/>
          <w:sz w:val="24"/>
          <w:szCs w:val="24"/>
        </w:rPr>
        <w:t xml:space="preserve">  </w:t>
      </w:r>
      <w:r>
        <w:rPr>
          <w:rFonts w:ascii="Times New Roman" w:eastAsia="宋体" w:hAnsi="Times New Roman" w:cs="Times New Roman" w:hint="default"/>
          <w:color w:val="auto"/>
          <w:spacing w:val="-5"/>
          <w:sz w:val="24"/>
          <w:szCs w:val="24"/>
          <w14:textOutline w14:w="4358" w14:cap="sq">
            <w14:solidFill>
              <w14:srgbClr w14:val="000000"/>
            </w14:solidFill>
            <w14:bevel/>
          </w14:textOutline>
        </w:rPr>
        <w:t>电磁环境敏感目标</w:t>
      </w:r>
    </w:p>
    <w:p w14:paraId="33333CA7">
      <w:pPr>
        <w:spacing w:before="175" w:line="219" w:lineRule="auto"/>
        <w:ind w:left="602"/>
        <w:rPr>
          <w:rFonts w:ascii="Times New Roman" w:eastAsia="宋体" w:hAnsi="Times New Roman" w:cs="Times New Roman" w:hint="default"/>
          <w:color w:val="auto"/>
          <w:sz w:val="24"/>
          <w:szCs w:val="24"/>
        </w:rPr>
      </w:pPr>
      <w:r>
        <w:rPr>
          <w:rFonts w:ascii="Times New Roman" w:eastAsia="宋体" w:hAnsi="Times New Roman" w:cs="Times New Roman" w:hint="default"/>
          <w:bCs w:val="0"/>
          <w:color w:val="auto"/>
          <w:kern w:val="2"/>
          <w:sz w:val="24"/>
          <w:szCs w:val="24"/>
          <w:highlight w:val="none"/>
          <w:lang w:val="en-US" w:eastAsia="zh-CN" w:bidi="ar-SA"/>
        </w:rPr>
        <w:t>根据现场踏勘，本项目拟建储能站周围40m范围内无电磁环境敏感目标</w:t>
      </w:r>
      <w:r>
        <w:rPr>
          <w:rFonts w:ascii="Times New Roman" w:eastAsia="宋体" w:hAnsi="Times New Roman" w:cs="Times New Roman" w:hint="default"/>
          <w:color w:val="auto"/>
          <w:spacing w:val="-1"/>
          <w:sz w:val="24"/>
          <w:szCs w:val="24"/>
        </w:rPr>
        <w:t>。</w:t>
      </w:r>
    </w:p>
    <w:p w14:paraId="0A0A21CC">
      <w:pPr>
        <w:spacing w:before="297" w:line="218" w:lineRule="auto"/>
        <w:ind w:left="129"/>
        <w:outlineLvl w:val="2"/>
        <w:rPr>
          <w:rFonts w:ascii="Times New Roman" w:eastAsia="宋体" w:hAnsi="Times New Roman" w:cs="Times New Roman" w:hint="default"/>
          <w:color w:val="auto"/>
          <w:sz w:val="24"/>
          <w:szCs w:val="24"/>
        </w:rPr>
      </w:pPr>
      <w:bookmarkStart w:id="8" w:name="bookmark13"/>
      <w:bookmarkEnd w:id="8"/>
      <w:r>
        <w:rPr>
          <w:rFonts w:ascii="Times New Roman" w:eastAsia="宋体" w:hAnsi="Times New Roman" w:cs="Times New Roman" w:hint="default"/>
          <w:b/>
          <w:bCs/>
          <w:color w:val="auto"/>
          <w:spacing w:val="-2"/>
          <w:sz w:val="24"/>
          <w:szCs w:val="24"/>
        </w:rPr>
        <w:t xml:space="preserve">1.6  </w:t>
      </w:r>
      <w:r>
        <w:rPr>
          <w:rFonts w:ascii="Times New Roman" w:eastAsia="宋体" w:hAnsi="Times New Roman" w:cs="Times New Roman" w:hint="default"/>
          <w:color w:val="auto"/>
          <w:spacing w:val="-2"/>
          <w:sz w:val="24"/>
          <w:szCs w:val="24"/>
          <w14:textOutline w14:w="4358" w14:cap="sq">
            <w14:solidFill>
              <w14:srgbClr w14:val="000000"/>
            </w14:solidFill>
            <w14:bevel/>
          </w14:textOutline>
        </w:rPr>
        <w:t>评价因子</w:t>
      </w:r>
    </w:p>
    <w:p w14:paraId="4D7B372D">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根据《环境影响评价技术导则 输变电》（HJ 24-2020），本工程电磁环境现状评价因子包括：工频电场、工频磁场；电磁环境预测评价因子：工频电场、工频磁场。</w:t>
      </w:r>
    </w:p>
    <w:p w14:paraId="0D445280">
      <w:pPr>
        <w:spacing w:before="177" w:line="218" w:lineRule="auto"/>
        <w:ind w:left="129"/>
        <w:outlineLvl w:val="2"/>
        <w:rPr>
          <w:rFonts w:ascii="Times New Roman" w:eastAsia="宋体" w:hAnsi="Times New Roman" w:cs="Times New Roman" w:hint="default"/>
          <w:color w:val="auto"/>
          <w:sz w:val="24"/>
          <w:szCs w:val="24"/>
        </w:rPr>
      </w:pPr>
      <w:bookmarkStart w:id="9" w:name="bookmark14"/>
      <w:bookmarkEnd w:id="9"/>
      <w:r>
        <w:rPr>
          <w:rFonts w:ascii="Times New Roman" w:eastAsia="宋体" w:hAnsi="Times New Roman" w:cs="Times New Roman" w:hint="default"/>
          <w:b/>
          <w:bCs/>
          <w:color w:val="auto"/>
          <w:spacing w:val="-2"/>
          <w:sz w:val="24"/>
          <w:szCs w:val="24"/>
        </w:rPr>
        <w:t xml:space="preserve">1.7  </w:t>
      </w:r>
      <w:r>
        <w:rPr>
          <w:rFonts w:ascii="Times New Roman" w:eastAsia="宋体" w:hAnsi="Times New Roman" w:cs="Times New Roman" w:hint="default"/>
          <w:color w:val="auto"/>
          <w:spacing w:val="-2"/>
          <w:sz w:val="24"/>
          <w:szCs w:val="24"/>
          <w14:textOutline w14:w="4358" w14:cap="sq">
            <w14:solidFill>
              <w14:srgbClr w14:val="000000"/>
            </w14:solidFill>
            <w14:bevel/>
          </w14:textOutline>
        </w:rPr>
        <w:t>评价标准</w:t>
      </w:r>
    </w:p>
    <w:p w14:paraId="768E06E3">
      <w:pPr>
        <w:pStyle w:val="0715"/>
        <w:bidi w:val="0"/>
        <w:rPr>
          <w:rFonts w:hint="default"/>
          <w:color w:val="auto"/>
        </w:rPr>
      </w:pPr>
      <w:r>
        <w:rPr>
          <w:rFonts w:hint="default"/>
          <w:color w:val="auto"/>
          <w:lang w:val="en-US" w:eastAsia="zh-CN"/>
        </w:rPr>
        <w:t>储能站</w:t>
      </w:r>
      <w:r>
        <w:rPr>
          <w:rFonts w:hint="default"/>
          <w:color w:val="auto"/>
        </w:rPr>
        <w:t>电磁环境现状工频电场强度、工频磁感应强度执行《电磁环境控制限值》（GB8702-2014）表1公众</w:t>
      </w:r>
      <w:r>
        <w:rPr>
          <w:rFonts w:hint="default"/>
          <w:color w:val="auto"/>
          <w:lang w:eastAsia="zh-CN"/>
        </w:rPr>
        <w:t>暴露</w:t>
      </w:r>
      <w:r>
        <w:rPr>
          <w:rFonts w:hint="default"/>
          <w:color w:val="auto"/>
        </w:rPr>
        <w:t>控制限值，频率f为0.05kHz，工频电场强度：200/f=4kV/m，工频磁感应强度5/f= 100μT（100μT=0</w:t>
      </w:r>
      <w:r>
        <w:rPr>
          <w:rFonts w:hint="default"/>
          <w:color w:val="auto"/>
          <w:lang w:val="en-US" w:eastAsia="zh-CN"/>
        </w:rPr>
        <w:t>.</w:t>
      </w:r>
      <w:r>
        <w:rPr>
          <w:rFonts w:hint="default"/>
          <w:color w:val="auto"/>
        </w:rPr>
        <w:t>1mT = 100000nT，相当于80A/m）。</w:t>
      </w:r>
      <w:bookmarkStart w:id="10" w:name="bookmark15"/>
      <w:bookmarkEnd w:id="10"/>
    </w:p>
    <w:p w14:paraId="4DD4E854">
      <w:pPr>
        <w:pStyle w:val="0000"/>
        <w:bidi w:val="0"/>
        <w:rPr>
          <w:rFonts w:ascii="Times New Roman" w:eastAsia="宋体" w:hAnsi="Times New Roman" w:cs="Times New Roman" w:hint="default"/>
          <w:color w:val="auto"/>
          <w:sz w:val="24"/>
          <w:szCs w:val="24"/>
        </w:rPr>
      </w:pPr>
      <w:r>
        <w:rPr>
          <w:rFonts w:ascii="Times New Roman" w:eastAsia="宋体" w:hAnsi="Times New Roman" w:cs="Times New Roman" w:hint="default"/>
          <w:b/>
          <w:bCs/>
          <w:color w:val="auto"/>
          <w:spacing w:val="-3"/>
          <w:sz w:val="24"/>
          <w:szCs w:val="24"/>
        </w:rPr>
        <w:t>2.</w:t>
      </w:r>
      <w:r>
        <w:rPr>
          <w:rFonts w:ascii="Times New Roman" w:eastAsia="宋体" w:hAnsi="Times New Roman" w:cs="Times New Roman" w:hint="default"/>
          <w:b/>
          <w:bCs/>
          <w:color w:val="auto"/>
          <w:spacing w:val="21"/>
          <w:sz w:val="24"/>
          <w:szCs w:val="24"/>
        </w:rPr>
        <w:t xml:space="preserve"> </w:t>
      </w:r>
      <w:r>
        <w:rPr>
          <w:rFonts w:ascii="Times New Roman" w:eastAsia="宋体" w:hAnsi="Times New Roman" w:cs="Times New Roman" w:hint="default"/>
          <w:color w:val="auto"/>
          <w:spacing w:val="-3"/>
          <w:sz w:val="24"/>
          <w:szCs w:val="24"/>
          <w14:textOutline w14:w="5103" w14:cap="sq">
            <w14:solidFill>
              <w14:srgbClr w14:val="000000"/>
            </w14:solidFill>
            <w14:bevel/>
          </w14:textOutline>
        </w:rPr>
        <w:t>电磁环境现状监测与评价</w:t>
      </w:r>
    </w:p>
    <w:p w14:paraId="03078824">
      <w:pPr>
        <w:pStyle w:val="0715"/>
        <w:bidi w:val="0"/>
        <w:rPr>
          <w:rFonts w:hint="default"/>
          <w:color w:val="auto"/>
        </w:rPr>
      </w:pPr>
      <w:r>
        <w:rPr>
          <w:rFonts w:hint="default"/>
          <w:color w:val="auto"/>
        </w:rPr>
        <w:t>本项目</w:t>
      </w:r>
      <w:r>
        <w:rPr>
          <w:rFonts w:hint="default"/>
          <w:color w:val="auto"/>
          <w:lang w:val="en-US" w:eastAsia="zh-CN"/>
        </w:rPr>
        <w:t>储能站内</w:t>
      </w:r>
      <w:r>
        <w:rPr>
          <w:rFonts w:hint="default"/>
          <w:color w:val="auto"/>
        </w:rPr>
        <w:t>拟新建220kV升压站一座，根据现场踏勘结果可知：拟建</w:t>
      </w:r>
      <w:r>
        <w:rPr>
          <w:rFonts w:hint="default"/>
          <w:color w:val="auto"/>
          <w:lang w:val="en-US" w:eastAsia="zh-CN"/>
        </w:rPr>
        <w:t>储能站周边40m</w:t>
      </w:r>
      <w:r>
        <w:rPr>
          <w:rFonts w:hint="default"/>
          <w:color w:val="auto"/>
        </w:rPr>
        <w:t>不存在电磁环境敏感目标，根据《环境影响评价技术导则 输变电》（HJ 24-2020）第6.3.</w:t>
      </w:r>
      <w:r>
        <w:rPr>
          <w:rFonts w:hint="default"/>
          <w:color w:val="auto"/>
          <w:lang w:eastAsia="zh-CN"/>
        </w:rPr>
        <w:t>两款</w:t>
      </w:r>
      <w:r>
        <w:rPr>
          <w:rFonts w:hint="default"/>
          <w:color w:val="auto"/>
        </w:rPr>
        <w:t>，监测点位主要在站址</w:t>
      </w:r>
      <w:r>
        <w:rPr>
          <w:rFonts w:hint="default"/>
          <w:color w:val="auto"/>
          <w:lang w:val="en-US" w:eastAsia="zh-CN"/>
        </w:rPr>
        <w:t>周边</w:t>
      </w:r>
      <w:r>
        <w:rPr>
          <w:rFonts w:hint="default"/>
          <w:color w:val="auto"/>
        </w:rPr>
        <w:t>。</w:t>
      </w:r>
    </w:p>
    <w:p w14:paraId="1D66CF38">
      <w:pPr>
        <w:pStyle w:val="0715"/>
        <w:bidi w:val="0"/>
        <w:rPr>
          <w:rFonts w:hint="default"/>
          <w:color w:val="auto"/>
        </w:rPr>
      </w:pPr>
      <w:r>
        <w:rPr>
          <w:rFonts w:hint="default"/>
          <w:color w:val="auto"/>
        </w:rPr>
        <w:t>委托</w:t>
      </w:r>
      <w:r>
        <w:rPr>
          <w:rFonts w:hint="default"/>
          <w:color w:val="auto"/>
          <w:lang w:val="en-US" w:eastAsia="zh-CN"/>
        </w:rPr>
        <w:t>监测单位</w:t>
      </w:r>
      <w:r>
        <w:rPr>
          <w:rFonts w:hint="default"/>
          <w:color w:val="auto"/>
        </w:rPr>
        <w:t>于202</w:t>
      </w:r>
      <w:r>
        <w:rPr>
          <w:rFonts w:hint="default"/>
          <w:color w:val="auto"/>
          <w:lang w:val="en-US" w:eastAsia="zh-CN"/>
        </w:rPr>
        <w:t>4</w:t>
      </w:r>
      <w:r>
        <w:rPr>
          <w:rFonts w:hint="default"/>
          <w:color w:val="auto"/>
        </w:rPr>
        <w:t>年</w:t>
      </w:r>
      <w:r>
        <w:rPr>
          <w:rFonts w:hint="default"/>
          <w:color w:val="auto"/>
          <w:lang w:val="en-US" w:eastAsia="zh-CN"/>
        </w:rPr>
        <w:t>1</w:t>
      </w:r>
      <w:r>
        <w:rPr>
          <w:rFonts w:hint="default"/>
          <w:color w:val="auto"/>
        </w:rPr>
        <w:t>月1</w:t>
      </w:r>
      <w:r>
        <w:rPr>
          <w:rFonts w:hint="default"/>
          <w:color w:val="auto"/>
          <w:lang w:val="en-US" w:eastAsia="zh-CN"/>
        </w:rPr>
        <w:t>7</w:t>
      </w:r>
      <w:r>
        <w:rPr>
          <w:rFonts w:hint="default"/>
          <w:color w:val="auto"/>
        </w:rPr>
        <w:t>日对本项目进行了工频电场强度和工频磁感应强度监测。</w:t>
      </w:r>
    </w:p>
    <w:p w14:paraId="1247D896">
      <w:pPr>
        <w:spacing w:before="180" w:line="219" w:lineRule="auto"/>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3"/>
          <w:sz w:val="24"/>
          <w:szCs w:val="24"/>
        </w:rPr>
        <w:t>（1）监测因子及频次</w:t>
      </w:r>
    </w:p>
    <w:p w14:paraId="149E8566">
      <w:pPr>
        <w:spacing w:before="183" w:line="217" w:lineRule="auto"/>
        <w:ind w:left="601"/>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2"/>
          <w:sz w:val="24"/>
          <w:szCs w:val="24"/>
        </w:rPr>
        <w:t>①监测因子</w:t>
      </w:r>
    </w:p>
    <w:p w14:paraId="6E4FEE16">
      <w:pPr>
        <w:spacing w:before="183" w:line="220" w:lineRule="auto"/>
        <w:ind w:left="605"/>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1"/>
          <w:sz w:val="24"/>
          <w:szCs w:val="24"/>
        </w:rPr>
        <w:t>工频电场强度、工频磁感应强度</w:t>
      </w:r>
    </w:p>
    <w:p w14:paraId="200754BB">
      <w:pPr>
        <w:spacing w:before="183" w:line="217" w:lineRule="auto"/>
        <w:ind w:left="600"/>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2"/>
          <w:sz w:val="24"/>
          <w:szCs w:val="24"/>
        </w:rPr>
        <w:t>②监测频次</w:t>
      </w:r>
    </w:p>
    <w:p w14:paraId="6416C2C6">
      <w:pPr>
        <w:spacing w:before="186" w:line="219" w:lineRule="auto"/>
        <w:ind w:left="605"/>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1"/>
          <w:sz w:val="24"/>
          <w:szCs w:val="24"/>
        </w:rPr>
        <w:t>工频电场强度、工频磁感应强度：1次</w:t>
      </w:r>
    </w:p>
    <w:p w14:paraId="0A43E988">
      <w:pPr>
        <w:spacing w:before="180" w:line="219" w:lineRule="auto"/>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3"/>
          <w:sz w:val="24"/>
          <w:szCs w:val="24"/>
        </w:rPr>
        <w:t>（2）监测布点</w:t>
      </w:r>
    </w:p>
    <w:p w14:paraId="349A1EC8">
      <w:pPr>
        <w:spacing w:before="184" w:line="217" w:lineRule="auto"/>
        <w:ind w:left="601"/>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2"/>
          <w:sz w:val="24"/>
          <w:szCs w:val="24"/>
        </w:rPr>
        <w:t>①布点原则</w:t>
      </w:r>
    </w:p>
    <w:p w14:paraId="2AD55CF3">
      <w:pPr>
        <w:spacing w:before="186" w:line="219" w:lineRule="auto"/>
        <w:ind w:firstLine="480" w:firstLineChars="200"/>
        <w:rPr>
          <w:rFonts w:ascii="Times New Roman" w:eastAsia="宋体" w:hAnsi="Times New Roman" w:cs="Times New Roman" w:hint="default"/>
          <w:color w:val="auto"/>
          <w:spacing w:val="-1"/>
          <w:sz w:val="24"/>
          <w:szCs w:val="24"/>
        </w:rPr>
      </w:pPr>
      <w:r>
        <w:rPr>
          <w:rFonts w:ascii="Times New Roman" w:eastAsia="宋体" w:hAnsi="Times New Roman" w:cs="Times New Roman" w:hint="default"/>
          <w:color w:val="auto"/>
          <w:spacing w:val="-1"/>
          <w:sz w:val="24"/>
          <w:szCs w:val="24"/>
        </w:rPr>
        <w:t>根据《环境影响评价技术导则 输变电》（HJ24-2020）要求，在</w:t>
      </w:r>
      <w:r>
        <w:rPr>
          <w:rFonts w:ascii="Times New Roman" w:eastAsia="宋体" w:hAnsi="Times New Roman" w:cs="Times New Roman" w:hint="default"/>
          <w:color w:val="auto"/>
          <w:spacing w:val="-1"/>
          <w:sz w:val="24"/>
          <w:szCs w:val="24"/>
          <w:lang w:val="en-US" w:eastAsia="zh-CN"/>
        </w:rPr>
        <w:t>储能站</w:t>
      </w:r>
      <w:r>
        <w:rPr>
          <w:rFonts w:ascii="Times New Roman" w:eastAsia="宋体" w:hAnsi="Times New Roman" w:cs="Times New Roman" w:hint="default"/>
          <w:color w:val="auto"/>
          <w:spacing w:val="-1"/>
          <w:sz w:val="24"/>
          <w:szCs w:val="24"/>
        </w:rPr>
        <w:t>四周布置电磁监测点。</w:t>
      </w:r>
    </w:p>
    <w:p w14:paraId="2096E1A9">
      <w:pPr>
        <w:spacing w:before="179" w:line="217" w:lineRule="auto"/>
        <w:ind w:left="600"/>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2"/>
          <w:sz w:val="24"/>
          <w:szCs w:val="24"/>
        </w:rPr>
        <w:t>②监测点位</w:t>
      </w:r>
    </w:p>
    <w:p w14:paraId="10871125">
      <w:pPr>
        <w:pStyle w:val="0000"/>
        <w:bidi w:val="0"/>
        <w:rPr>
          <w:rFonts w:ascii="Times New Roman" w:eastAsia="宋体" w:hAnsi="Times New Roman" w:cs="Times New Roman" w:hint="default"/>
          <w:color w:val="auto"/>
        </w:rPr>
      </w:pPr>
      <w:r>
        <w:rPr>
          <w:rFonts w:ascii="Times New Roman" w:eastAsia="宋体" w:hAnsi="Times New Roman" w:cs="Times New Roman" w:hint="default"/>
          <w:color w:val="auto"/>
        </w:rPr>
        <w:t>本项目周围</w:t>
      </w:r>
      <w:r>
        <w:rPr>
          <w:rFonts w:ascii="Times New Roman" w:eastAsia="宋体" w:hAnsi="Times New Roman" w:cs="Times New Roman" w:hint="default"/>
          <w:color w:val="auto"/>
          <w:lang w:val="en-US" w:eastAsia="zh-CN"/>
        </w:rPr>
        <w:t>40m内</w:t>
      </w:r>
      <w:r>
        <w:rPr>
          <w:rFonts w:ascii="Times New Roman" w:eastAsia="宋体" w:hAnsi="Times New Roman" w:cs="Times New Roman" w:hint="default"/>
          <w:color w:val="auto"/>
        </w:rPr>
        <w:t>不存在电磁环境敏感目标，故在升压站站址四周各布设监测点位，共设置4个监测点位。</w:t>
      </w:r>
    </w:p>
    <w:p w14:paraId="435A0430">
      <w:pPr>
        <w:spacing w:before="182" w:line="217" w:lineRule="auto"/>
        <w:ind w:left="600"/>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2"/>
          <w:sz w:val="24"/>
          <w:szCs w:val="24"/>
        </w:rPr>
        <w:t>③监测设备</w:t>
      </w:r>
    </w:p>
    <w:p w14:paraId="7A355470">
      <w:pPr>
        <w:pStyle w:val="0000"/>
        <w:bidi w:val="0"/>
        <w:rPr>
          <w:rFonts w:ascii="Times New Roman" w:eastAsia="宋体" w:hAnsi="Times New Roman" w:cs="Times New Roman" w:hint="default"/>
          <w:color w:val="auto"/>
        </w:rPr>
      </w:pPr>
      <w:r>
        <w:rPr>
          <w:rFonts w:ascii="Times New Roman" w:eastAsia="宋体" w:hAnsi="Times New Roman" w:cs="Times New Roman" w:hint="default"/>
          <w:color w:val="auto"/>
        </w:rPr>
        <w:t>工频电场强度、工频磁感应强度测量仪器说明见表3。</w:t>
      </w:r>
    </w:p>
    <w:p w14:paraId="47C5DB6C">
      <w:pPr>
        <w:pStyle w:val="a0"/>
        <w:bidi w:val="0"/>
        <w:rPr>
          <w:rFonts w:hint="default"/>
          <w:color w:val="auto"/>
        </w:rPr>
      </w:pPr>
    </w:p>
    <w:p w14:paraId="5E9F1F40">
      <w:pPr>
        <w:pStyle w:val="a0"/>
        <w:bidi w:val="0"/>
        <w:rPr>
          <w:rFonts w:hint="default"/>
          <w:color w:val="auto"/>
        </w:rPr>
      </w:pPr>
      <w:r>
        <w:rPr>
          <w:rFonts w:hint="default"/>
          <w:color w:val="auto"/>
        </w:rPr>
        <w:t>表</w:t>
      </w:r>
      <w:r>
        <w:rPr>
          <w:rFonts w:hint="default"/>
          <w:color w:val="auto"/>
          <w:lang w:val="en-US" w:eastAsia="zh-CN"/>
        </w:rPr>
        <w:t>3</w:t>
      </w:r>
      <w:r>
        <w:rPr>
          <w:rFonts w:hint="default"/>
          <w:color w:val="auto"/>
        </w:rPr>
        <w:t xml:space="preserve">   工频电场、磁场测量仪器情况一览表</w:t>
      </w:r>
    </w:p>
    <w:tbl>
      <w:tblPr>
        <w:tblStyle w:val="TableNormal0"/>
        <w:tblW w:w="500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3290"/>
        <w:gridCol w:w="5038"/>
      </w:tblGrid>
      <w:tr w14:paraId="53389847">
        <w:tblPrEx>
          <w:tblW w:w="500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403"/>
        </w:trPr>
        <w:tc>
          <w:tcPr>
            <w:tcW w:w="5000" w:type="pct"/>
            <w:gridSpan w:val="2"/>
            <w:tcBorders>
              <w:tl2br w:val="nil"/>
              <w:tr2bl w:val="nil"/>
            </w:tcBorders>
            <w:vAlign w:val="center"/>
          </w:tcPr>
          <w:p w14:paraId="6AEF3272">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场强</w:t>
            </w:r>
            <w:r>
              <w:rPr>
                <w:rFonts w:ascii="Times New Roman" w:eastAsia="宋体" w:hAnsi="Times New Roman" w:cs="Times New Roman" w:hint="default"/>
                <w:color w:val="auto"/>
                <w:lang w:val="en-US" w:eastAsia="zh-CN"/>
              </w:rPr>
              <w:t>分析</w:t>
            </w:r>
            <w:r>
              <w:rPr>
                <w:rFonts w:ascii="Times New Roman" w:eastAsia="宋体" w:hAnsi="Times New Roman" w:cs="Times New Roman" w:hint="default"/>
                <w:color w:val="auto"/>
              </w:rPr>
              <w:t>仪，用于工频电场、工频磁感应强度监测</w:t>
            </w:r>
          </w:p>
        </w:tc>
      </w:tr>
      <w:tr w14:paraId="0905B14F">
        <w:tblPrEx>
          <w:tblW w:w="5006" w:type="pct"/>
          <w:tblInd w:w="0" w:type="dxa"/>
          <w:tblCellMar>
            <w:top w:w="0" w:type="dxa"/>
            <w:left w:w="0" w:type="dxa"/>
            <w:bottom w:w="0" w:type="dxa"/>
            <w:right w:w="0" w:type="dxa"/>
          </w:tblCellMar>
        </w:tblPrEx>
        <w:trPr>
          <w:trHeight w:val="398"/>
        </w:trPr>
        <w:tc>
          <w:tcPr>
            <w:tcW w:w="1975" w:type="pct"/>
            <w:tcBorders>
              <w:tl2br w:val="nil"/>
              <w:tr2bl w:val="nil"/>
            </w:tcBorders>
            <w:vAlign w:val="center"/>
          </w:tcPr>
          <w:p w14:paraId="3A84C106">
            <w:pPr>
              <w:pStyle w:val="R-"/>
              <w:bidi w:val="0"/>
              <w:jc w:val="center"/>
              <w:rPr>
                <w:rFonts w:ascii="Times New Roman" w:eastAsia="宋体" w:hAnsi="Times New Roman" w:cs="Times New Roman" w:hint="default"/>
                <w:color w:val="auto"/>
                <w:lang w:eastAsia="zh-CN"/>
              </w:rPr>
            </w:pPr>
            <w:r>
              <w:rPr>
                <w:rFonts w:ascii="Times New Roman" w:eastAsia="宋体" w:hAnsi="Times New Roman" w:cs="Times New Roman" w:hint="default"/>
                <w:color w:val="auto"/>
              </w:rPr>
              <w:t>仪器</w:t>
            </w:r>
            <w:r>
              <w:rPr>
                <w:rFonts w:ascii="Times New Roman" w:eastAsia="宋体" w:hAnsi="Times New Roman" w:cs="Times New Roman" w:hint="default"/>
                <w:color w:val="auto"/>
                <w:lang w:val="en-US" w:eastAsia="zh-CN"/>
              </w:rPr>
              <w:t>型号</w:t>
            </w:r>
          </w:p>
        </w:tc>
        <w:tc>
          <w:tcPr>
            <w:tcW w:w="3024" w:type="pct"/>
            <w:tcBorders>
              <w:tl2br w:val="nil"/>
              <w:tr2bl w:val="nil"/>
            </w:tcBorders>
            <w:vAlign w:val="center"/>
          </w:tcPr>
          <w:p w14:paraId="396F9BF2">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KH5931/KH-T1</w:t>
            </w:r>
          </w:p>
        </w:tc>
      </w:tr>
      <w:tr w14:paraId="67EB9D64">
        <w:tblPrEx>
          <w:tblW w:w="5006" w:type="pct"/>
          <w:tblInd w:w="0" w:type="dxa"/>
          <w:tblCellMar>
            <w:top w:w="0" w:type="dxa"/>
            <w:left w:w="0" w:type="dxa"/>
            <w:bottom w:w="0" w:type="dxa"/>
            <w:right w:w="0" w:type="dxa"/>
          </w:tblCellMar>
        </w:tblPrEx>
        <w:trPr>
          <w:trHeight w:val="399"/>
        </w:trPr>
        <w:tc>
          <w:tcPr>
            <w:tcW w:w="1975" w:type="pct"/>
            <w:tcBorders>
              <w:tl2br w:val="nil"/>
              <w:tr2bl w:val="nil"/>
            </w:tcBorders>
            <w:vAlign w:val="center"/>
          </w:tcPr>
          <w:p w14:paraId="54CCEBA9">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测量范围</w:t>
            </w:r>
          </w:p>
        </w:tc>
        <w:tc>
          <w:tcPr>
            <w:tcW w:w="3024" w:type="pct"/>
            <w:tcBorders>
              <w:tl2br w:val="nil"/>
              <w:tr2bl w:val="nil"/>
            </w:tcBorders>
            <w:vAlign w:val="center"/>
          </w:tcPr>
          <w:p w14:paraId="329EE2AE">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电场：0.</w:t>
            </w:r>
            <w:r>
              <w:rPr>
                <w:rFonts w:ascii="Times New Roman" w:eastAsia="宋体" w:hAnsi="Times New Roman" w:cs="Times New Roman" w:hint="default"/>
                <w:color w:val="auto"/>
                <w:lang w:val="en-US" w:eastAsia="zh-CN"/>
              </w:rPr>
              <w:t>5</w:t>
            </w:r>
            <w:r>
              <w:rPr>
                <w:rFonts w:ascii="Times New Roman" w:eastAsia="宋体" w:hAnsi="Times New Roman" w:cs="Times New Roman" w:hint="default"/>
                <w:color w:val="auto"/>
              </w:rPr>
              <w:t>V/m~ 100kV/m，磁场：1</w:t>
            </w:r>
            <w:r>
              <w:rPr>
                <w:rFonts w:ascii="Times New Roman" w:eastAsia="宋体" w:hAnsi="Times New Roman" w:cs="Times New Roman" w:hint="default"/>
                <w:color w:val="auto"/>
                <w:lang w:val="en-US" w:eastAsia="zh-CN"/>
              </w:rPr>
              <w:t>0</w:t>
            </w:r>
            <w:r>
              <w:rPr>
                <w:rFonts w:ascii="Times New Roman" w:eastAsia="宋体" w:hAnsi="Times New Roman" w:cs="Times New Roman" w:hint="default"/>
                <w:color w:val="auto"/>
              </w:rPr>
              <w:t xml:space="preserve">nT~ </w:t>
            </w:r>
            <w:r>
              <w:rPr>
                <w:rFonts w:ascii="Times New Roman" w:eastAsia="宋体" w:hAnsi="Times New Roman" w:cs="Times New Roman" w:hint="default"/>
                <w:color w:val="auto"/>
                <w:lang w:val="en-US" w:eastAsia="zh-CN"/>
              </w:rPr>
              <w:t>3</w:t>
            </w:r>
            <w:r>
              <w:rPr>
                <w:rFonts w:ascii="Times New Roman" w:eastAsia="宋体" w:hAnsi="Times New Roman" w:cs="Times New Roman" w:hint="default"/>
                <w:color w:val="auto"/>
              </w:rPr>
              <w:t>mT</w:t>
            </w:r>
          </w:p>
        </w:tc>
      </w:tr>
      <w:tr w14:paraId="290B5A24">
        <w:tblPrEx>
          <w:tblW w:w="5006" w:type="pct"/>
          <w:tblInd w:w="0" w:type="dxa"/>
          <w:tblCellMar>
            <w:top w:w="0" w:type="dxa"/>
            <w:left w:w="0" w:type="dxa"/>
            <w:bottom w:w="0" w:type="dxa"/>
            <w:right w:w="0" w:type="dxa"/>
          </w:tblCellMar>
        </w:tblPrEx>
        <w:trPr>
          <w:trHeight w:val="398"/>
        </w:trPr>
        <w:tc>
          <w:tcPr>
            <w:tcW w:w="1975" w:type="pct"/>
            <w:tcBorders>
              <w:tl2br w:val="nil"/>
              <w:tr2bl w:val="nil"/>
            </w:tcBorders>
            <w:vAlign w:val="center"/>
          </w:tcPr>
          <w:p w14:paraId="477EF5D4">
            <w:pPr>
              <w:pStyle w:val="R-"/>
              <w:bidi w:val="0"/>
              <w:jc w:val="center"/>
              <w:rPr>
                <w:rFonts w:ascii="Times New Roman" w:eastAsia="宋体" w:hAnsi="Times New Roman" w:cs="Times New Roman" w:hint="default"/>
                <w:color w:val="auto"/>
                <w:lang w:eastAsia="zh-CN"/>
              </w:rPr>
            </w:pPr>
            <w:r>
              <w:rPr>
                <w:rFonts w:ascii="Times New Roman" w:eastAsia="宋体" w:hAnsi="Times New Roman" w:cs="Times New Roman" w:hint="default"/>
                <w:color w:val="auto"/>
                <w:lang w:val="en-US" w:eastAsia="zh-CN"/>
              </w:rPr>
              <w:t>仪器编号</w:t>
            </w:r>
          </w:p>
        </w:tc>
        <w:tc>
          <w:tcPr>
            <w:tcW w:w="3024" w:type="pct"/>
            <w:tcBorders>
              <w:tl2br w:val="nil"/>
              <w:tr2bl w:val="nil"/>
            </w:tcBorders>
            <w:vAlign w:val="center"/>
          </w:tcPr>
          <w:p w14:paraId="74A0B0AC">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JFYYQ-06</w:t>
            </w:r>
          </w:p>
        </w:tc>
      </w:tr>
      <w:tr w14:paraId="7014C730">
        <w:tblPrEx>
          <w:tblW w:w="5006" w:type="pct"/>
          <w:tblInd w:w="0" w:type="dxa"/>
          <w:tblCellMar>
            <w:top w:w="0" w:type="dxa"/>
            <w:left w:w="0" w:type="dxa"/>
            <w:bottom w:w="0" w:type="dxa"/>
            <w:right w:w="0" w:type="dxa"/>
          </w:tblCellMar>
        </w:tblPrEx>
        <w:trPr>
          <w:trHeight w:val="422"/>
        </w:trPr>
        <w:tc>
          <w:tcPr>
            <w:tcW w:w="1975" w:type="pct"/>
            <w:tcBorders>
              <w:tl2br w:val="nil"/>
              <w:tr2bl w:val="nil"/>
            </w:tcBorders>
            <w:vAlign w:val="center"/>
          </w:tcPr>
          <w:p w14:paraId="78F162A6">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有效时段</w:t>
            </w:r>
          </w:p>
        </w:tc>
        <w:tc>
          <w:tcPr>
            <w:tcW w:w="3024" w:type="pct"/>
            <w:tcBorders>
              <w:tl2br w:val="nil"/>
              <w:tr2bl w:val="nil"/>
            </w:tcBorders>
            <w:vAlign w:val="center"/>
          </w:tcPr>
          <w:p w14:paraId="22EF0FDE">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2023年</w:t>
            </w:r>
            <w:r>
              <w:rPr>
                <w:rFonts w:ascii="Times New Roman" w:eastAsia="宋体" w:hAnsi="Times New Roman" w:cs="Times New Roman" w:hint="default"/>
                <w:color w:val="auto"/>
                <w:lang w:val="en-US" w:eastAsia="zh-CN"/>
              </w:rPr>
              <w:t>12</w:t>
            </w:r>
            <w:r>
              <w:rPr>
                <w:rFonts w:ascii="Times New Roman" w:eastAsia="宋体" w:hAnsi="Times New Roman" w:cs="Times New Roman" w:hint="default"/>
                <w:color w:val="auto"/>
              </w:rPr>
              <w:t>月</w:t>
            </w:r>
            <w:r>
              <w:rPr>
                <w:rFonts w:ascii="Times New Roman" w:eastAsia="宋体" w:hAnsi="Times New Roman" w:cs="Times New Roman" w:hint="default"/>
                <w:color w:val="auto"/>
                <w:lang w:val="en-US" w:eastAsia="zh-CN"/>
              </w:rPr>
              <w:t>20</w:t>
            </w:r>
            <w:r>
              <w:rPr>
                <w:rFonts w:ascii="Times New Roman" w:eastAsia="宋体" w:hAnsi="Times New Roman" w:cs="Times New Roman" w:hint="default"/>
                <w:color w:val="auto"/>
              </w:rPr>
              <w:t>日~2024年</w:t>
            </w:r>
            <w:r>
              <w:rPr>
                <w:rFonts w:ascii="Times New Roman" w:eastAsia="宋体" w:hAnsi="Times New Roman" w:cs="Times New Roman" w:hint="default"/>
                <w:color w:val="auto"/>
                <w:lang w:val="en-US" w:eastAsia="zh-CN"/>
              </w:rPr>
              <w:t>12</w:t>
            </w:r>
            <w:r>
              <w:rPr>
                <w:rFonts w:ascii="Times New Roman" w:eastAsia="宋体" w:hAnsi="Times New Roman" w:cs="Times New Roman" w:hint="default"/>
                <w:color w:val="auto"/>
              </w:rPr>
              <w:t>月</w:t>
            </w:r>
            <w:r>
              <w:rPr>
                <w:rFonts w:ascii="Times New Roman" w:eastAsia="宋体" w:hAnsi="Times New Roman" w:cs="Times New Roman" w:hint="default"/>
                <w:color w:val="auto"/>
                <w:lang w:val="en-US" w:eastAsia="zh-CN"/>
              </w:rPr>
              <w:t>19</w:t>
            </w:r>
            <w:r>
              <w:rPr>
                <w:rFonts w:ascii="Times New Roman" w:eastAsia="宋体" w:hAnsi="Times New Roman" w:cs="Times New Roman" w:hint="default"/>
                <w:color w:val="auto"/>
              </w:rPr>
              <w:t xml:space="preserve"> 日</w:t>
            </w:r>
          </w:p>
        </w:tc>
      </w:tr>
    </w:tbl>
    <w:p w14:paraId="38745E89">
      <w:pPr>
        <w:spacing w:before="38" w:line="217" w:lineRule="auto"/>
        <w:ind w:left="600"/>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2"/>
          <w:sz w:val="24"/>
          <w:szCs w:val="24"/>
        </w:rPr>
        <w:t>④监测方法</w:t>
      </w:r>
    </w:p>
    <w:p w14:paraId="4DC64B4A">
      <w:pPr>
        <w:spacing w:before="183" w:line="465" w:lineRule="exact"/>
        <w:ind w:right="5"/>
        <w:jc w:val="right"/>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5"/>
          <w:position w:val="17"/>
          <w:sz w:val="24"/>
          <w:szCs w:val="24"/>
        </w:rPr>
        <w:t>工频电场强度、工频磁感应强度按照《交流输变电工程电磁</w:t>
      </w:r>
      <w:r>
        <w:rPr>
          <w:rFonts w:ascii="Times New Roman" w:eastAsia="宋体" w:hAnsi="Times New Roman" w:cs="Times New Roman" w:hint="default"/>
          <w:color w:val="auto"/>
          <w:spacing w:val="-6"/>
          <w:position w:val="17"/>
          <w:sz w:val="24"/>
          <w:szCs w:val="24"/>
        </w:rPr>
        <w:t>环境监测方法（试行）》</w:t>
      </w:r>
    </w:p>
    <w:p w14:paraId="370C6B2B">
      <w:pPr>
        <w:spacing w:line="220" w:lineRule="auto"/>
        <w:ind w:left="134"/>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2"/>
          <w:sz w:val="24"/>
          <w:szCs w:val="24"/>
        </w:rPr>
        <w:t>（HJ/681-2013）进行。</w:t>
      </w:r>
    </w:p>
    <w:p w14:paraId="569480CA">
      <w:pPr>
        <w:spacing w:before="182" w:line="217" w:lineRule="auto"/>
        <w:ind w:left="600"/>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1"/>
          <w:sz w:val="24"/>
          <w:szCs w:val="24"/>
        </w:rPr>
        <w:t>⑤监测单位及监测时间</w:t>
      </w:r>
    </w:p>
    <w:p w14:paraId="5F6CA513">
      <w:pPr>
        <w:spacing w:before="186" w:line="219" w:lineRule="auto"/>
        <w:ind w:left="601"/>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4"/>
          <w:sz w:val="24"/>
          <w:szCs w:val="24"/>
        </w:rPr>
        <w:t>河北</w:t>
      </w:r>
      <w:r>
        <w:rPr>
          <w:rFonts w:ascii="Times New Roman" w:eastAsia="宋体" w:hAnsi="Times New Roman" w:cs="Times New Roman" w:hint="default"/>
          <w:color w:val="auto"/>
          <w:spacing w:val="-4"/>
          <w:sz w:val="24"/>
          <w:szCs w:val="24"/>
          <w:lang w:val="en-US" w:eastAsia="zh-CN"/>
        </w:rPr>
        <w:t>冀</w:t>
      </w:r>
      <w:r>
        <w:rPr>
          <w:rFonts w:ascii="Times New Roman" w:eastAsia="宋体" w:hAnsi="Times New Roman" w:cs="Times New Roman" w:hint="default"/>
          <w:color w:val="auto"/>
          <w:spacing w:val="-4"/>
          <w:sz w:val="24"/>
          <w:szCs w:val="24"/>
        </w:rPr>
        <w:t>辐</w:t>
      </w:r>
      <w:r>
        <w:rPr>
          <w:rFonts w:ascii="Times New Roman" w:eastAsia="宋体" w:hAnsi="Times New Roman" w:cs="Times New Roman" w:hint="default"/>
          <w:color w:val="auto"/>
          <w:spacing w:val="-4"/>
          <w:sz w:val="24"/>
          <w:szCs w:val="24"/>
          <w:lang w:val="en-US" w:eastAsia="zh-CN"/>
        </w:rPr>
        <w:t>源环保科技有限公司</w:t>
      </w:r>
      <w:r>
        <w:rPr>
          <w:rFonts w:ascii="Times New Roman" w:eastAsia="宋体" w:hAnsi="Times New Roman" w:cs="Times New Roman" w:hint="default"/>
          <w:color w:val="auto"/>
          <w:spacing w:val="-4"/>
          <w:sz w:val="24"/>
          <w:szCs w:val="24"/>
        </w:rPr>
        <w:t>于</w:t>
      </w:r>
      <w:r>
        <w:rPr>
          <w:rFonts w:ascii="Times New Roman" w:eastAsia="宋体" w:hAnsi="Times New Roman" w:cs="Times New Roman" w:hint="default"/>
          <w:color w:val="auto"/>
          <w:spacing w:val="-2"/>
          <w:sz w:val="24"/>
          <w:szCs w:val="24"/>
          <w:lang w:val="en-US" w:eastAsia="zh-CN"/>
        </w:rPr>
        <w:t>2024年1月17日</w:t>
      </w:r>
      <w:r>
        <w:rPr>
          <w:rFonts w:ascii="Times New Roman" w:eastAsia="宋体" w:hAnsi="Times New Roman" w:cs="Times New Roman" w:hint="default"/>
          <w:color w:val="auto"/>
          <w:spacing w:val="-4"/>
          <w:sz w:val="24"/>
          <w:szCs w:val="24"/>
        </w:rPr>
        <w:t>进</w:t>
      </w:r>
      <w:r>
        <w:rPr>
          <w:rFonts w:ascii="Times New Roman" w:eastAsia="宋体" w:hAnsi="Times New Roman" w:cs="Times New Roman" w:hint="default"/>
          <w:color w:val="auto"/>
          <w:spacing w:val="-5"/>
          <w:sz w:val="24"/>
          <w:szCs w:val="24"/>
        </w:rPr>
        <w:t>行监测。</w:t>
      </w:r>
    </w:p>
    <w:p w14:paraId="3DFA194E">
      <w:pPr>
        <w:spacing w:before="180" w:line="220" w:lineRule="auto"/>
        <w:ind w:left="607"/>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3"/>
          <w:sz w:val="24"/>
          <w:szCs w:val="24"/>
        </w:rPr>
        <w:t>天气：晴；环境温度：</w:t>
      </w:r>
      <w:r>
        <w:rPr>
          <w:rFonts w:ascii="Times New Roman" w:eastAsia="宋体" w:hAnsi="Times New Roman" w:cs="Times New Roman" w:hint="default"/>
          <w:color w:val="auto"/>
          <w:spacing w:val="-3"/>
          <w:sz w:val="24"/>
          <w:szCs w:val="24"/>
          <w:lang w:val="en-US" w:eastAsia="zh-CN"/>
        </w:rPr>
        <w:t>-8</w:t>
      </w:r>
      <w:r>
        <w:rPr>
          <w:rFonts w:ascii="Times New Roman" w:eastAsia="宋体" w:hAnsi="Times New Roman" w:cs="Times New Roman" w:hint="default"/>
          <w:color w:val="auto"/>
          <w:spacing w:val="-3"/>
          <w:sz w:val="24"/>
          <w:szCs w:val="24"/>
        </w:rPr>
        <w:t>℃</w:t>
      </w:r>
      <w:r>
        <w:rPr>
          <w:rFonts w:ascii="Times New Roman" w:eastAsia="宋体" w:hAnsi="Times New Roman" w:cs="Times New Roman" w:hint="default"/>
          <w:color w:val="auto"/>
          <w:spacing w:val="-3"/>
          <w:sz w:val="24"/>
          <w:szCs w:val="24"/>
          <w:lang w:eastAsia="zh-CN"/>
        </w:rPr>
        <w:t>；</w:t>
      </w:r>
      <w:r>
        <w:rPr>
          <w:rFonts w:ascii="Times New Roman" w:eastAsia="宋体" w:hAnsi="Times New Roman" w:cs="Times New Roman" w:hint="default"/>
          <w:color w:val="auto"/>
          <w:spacing w:val="-3"/>
          <w:sz w:val="24"/>
          <w:szCs w:val="24"/>
        </w:rPr>
        <w:t>湿度：</w:t>
      </w:r>
      <w:r>
        <w:rPr>
          <w:rFonts w:ascii="Times New Roman" w:eastAsia="宋体" w:hAnsi="Times New Roman" w:cs="Times New Roman" w:hint="default"/>
          <w:color w:val="auto"/>
          <w:spacing w:val="-4"/>
          <w:sz w:val="24"/>
          <w:szCs w:val="24"/>
          <w:lang w:val="en-US" w:eastAsia="zh-CN"/>
        </w:rPr>
        <w:t>30</w:t>
      </w:r>
      <w:r>
        <w:rPr>
          <w:rFonts w:ascii="Times New Roman" w:eastAsia="宋体" w:hAnsi="Times New Roman" w:cs="Times New Roman" w:hint="default"/>
          <w:color w:val="auto"/>
          <w:spacing w:val="-4"/>
          <w:sz w:val="24"/>
          <w:szCs w:val="24"/>
        </w:rPr>
        <w:t>%。</w:t>
      </w:r>
    </w:p>
    <w:p w14:paraId="30D8649D">
      <w:pPr>
        <w:spacing w:before="182" w:line="217" w:lineRule="auto"/>
        <w:ind w:left="600"/>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2"/>
          <w:sz w:val="24"/>
          <w:szCs w:val="24"/>
        </w:rPr>
        <w:t>⑥监测结果</w:t>
      </w:r>
    </w:p>
    <w:p w14:paraId="1BDA14AE">
      <w:pPr>
        <w:spacing w:before="183" w:line="219" w:lineRule="auto"/>
        <w:ind w:left="603"/>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2"/>
          <w:sz w:val="24"/>
          <w:szCs w:val="24"/>
        </w:rPr>
        <w:t>本项目工频电场强度现状监测结果见表</w:t>
      </w:r>
      <w:r>
        <w:rPr>
          <w:rFonts w:ascii="Times New Roman" w:eastAsia="宋体" w:hAnsi="Times New Roman" w:cs="Times New Roman" w:hint="default"/>
          <w:color w:val="auto"/>
          <w:spacing w:val="-2"/>
          <w:sz w:val="24"/>
          <w:szCs w:val="24"/>
          <w:lang w:val="en-US" w:eastAsia="zh-CN"/>
        </w:rPr>
        <w:t>4</w:t>
      </w:r>
      <w:r>
        <w:rPr>
          <w:rFonts w:ascii="Times New Roman" w:eastAsia="宋体" w:hAnsi="Times New Roman" w:cs="Times New Roman" w:hint="default"/>
          <w:color w:val="auto"/>
          <w:spacing w:val="-2"/>
          <w:sz w:val="24"/>
          <w:szCs w:val="24"/>
        </w:rPr>
        <w:t>。</w:t>
      </w:r>
    </w:p>
    <w:p w14:paraId="3801FB57">
      <w:pPr>
        <w:pStyle w:val="a2"/>
        <w:bidi w:val="0"/>
        <w:rPr>
          <w:rFonts w:hint="default"/>
          <w:color w:val="auto"/>
        </w:rPr>
      </w:pPr>
      <w:r>
        <w:rPr>
          <w:rFonts w:hint="default"/>
          <w:color w:val="auto"/>
        </w:rPr>
        <w:t>表</w:t>
      </w:r>
      <w:r>
        <w:rPr>
          <w:rFonts w:hint="default"/>
          <w:color w:val="auto"/>
          <w:lang w:val="en-US" w:eastAsia="zh-CN"/>
        </w:rPr>
        <w:t>4</w:t>
      </w:r>
      <w:r>
        <w:rPr>
          <w:rFonts w:hint="default"/>
          <w:color w:val="auto"/>
        </w:rPr>
        <w:t xml:space="preserve">    电磁辐射环境现状监测结果</w:t>
      </w:r>
    </w:p>
    <w:tbl>
      <w:tblPr>
        <w:tblStyle w:val="TableNormal0"/>
        <w:tblW w:w="4998"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blGrid>
        <w:gridCol w:w="837"/>
        <w:gridCol w:w="2958"/>
        <w:gridCol w:w="2366"/>
        <w:gridCol w:w="2168"/>
      </w:tblGrid>
      <w:tr w14:paraId="267F4369">
        <w:tblPrEx>
          <w:tblW w:w="4998"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Ex>
        <w:trPr>
          <w:trHeight w:val="402"/>
        </w:trPr>
        <w:tc>
          <w:tcPr>
            <w:tcW w:w="502" w:type="pct"/>
            <w:tcBorders>
              <w:tl2br w:val="nil"/>
              <w:tr2bl w:val="nil"/>
            </w:tcBorders>
            <w:vAlign w:val="center"/>
          </w:tcPr>
          <w:p w14:paraId="05839454">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序号</w:t>
            </w:r>
          </w:p>
        </w:tc>
        <w:tc>
          <w:tcPr>
            <w:tcW w:w="1775" w:type="pct"/>
            <w:tcBorders>
              <w:tl2br w:val="nil"/>
              <w:tr2bl w:val="nil"/>
            </w:tcBorders>
            <w:vAlign w:val="center"/>
          </w:tcPr>
          <w:p w14:paraId="202132E4">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监测点位描述</w:t>
            </w:r>
          </w:p>
        </w:tc>
        <w:tc>
          <w:tcPr>
            <w:tcW w:w="1420" w:type="pct"/>
            <w:tcBorders>
              <w:tl2br w:val="nil"/>
              <w:tr2bl w:val="nil"/>
            </w:tcBorders>
            <w:vAlign w:val="center"/>
          </w:tcPr>
          <w:p w14:paraId="508EC644">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工频电场强度（V/m）</w:t>
            </w:r>
          </w:p>
        </w:tc>
        <w:tc>
          <w:tcPr>
            <w:tcW w:w="1301" w:type="pct"/>
            <w:tcBorders>
              <w:tl2br w:val="nil"/>
              <w:tr2bl w:val="nil"/>
            </w:tcBorders>
            <w:vAlign w:val="center"/>
          </w:tcPr>
          <w:p w14:paraId="04D6F87F">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工频磁感应强度</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rPr>
              <w:t>µT）</w:t>
            </w:r>
          </w:p>
        </w:tc>
      </w:tr>
      <w:tr w14:paraId="4ECC9277">
        <w:tblPrEx>
          <w:tblW w:w="4998" w:type="pct"/>
          <w:tblInd w:w="0" w:type="dxa"/>
          <w:tblCellMar>
            <w:top w:w="0" w:type="dxa"/>
            <w:left w:w="0" w:type="dxa"/>
            <w:bottom w:w="0" w:type="dxa"/>
            <w:right w:w="0" w:type="dxa"/>
          </w:tblCellMar>
        </w:tblPrEx>
        <w:trPr>
          <w:trHeight w:val="398"/>
        </w:trPr>
        <w:tc>
          <w:tcPr>
            <w:tcW w:w="502" w:type="pct"/>
            <w:tcBorders>
              <w:tl2br w:val="nil"/>
              <w:tr2bl w:val="nil"/>
            </w:tcBorders>
            <w:vAlign w:val="center"/>
          </w:tcPr>
          <w:p w14:paraId="238550AC">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1</w:t>
            </w:r>
          </w:p>
        </w:tc>
        <w:tc>
          <w:tcPr>
            <w:tcW w:w="1775" w:type="pct"/>
            <w:tcBorders>
              <w:tl2br w:val="nil"/>
              <w:tr2bl w:val="nil"/>
            </w:tcBorders>
            <w:vAlign w:val="center"/>
          </w:tcPr>
          <w:p w14:paraId="4AFF8618">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拟建</w:t>
            </w:r>
            <w:r>
              <w:rPr>
                <w:rFonts w:ascii="Times New Roman" w:eastAsia="宋体" w:hAnsi="Times New Roman" w:cs="Times New Roman" w:hint="default"/>
                <w:color w:val="auto"/>
                <w:lang w:val="en-US" w:eastAsia="zh-CN"/>
              </w:rPr>
              <w:t>储能站东</w:t>
            </w:r>
            <w:r>
              <w:rPr>
                <w:rFonts w:ascii="Times New Roman" w:eastAsia="宋体" w:hAnsi="Times New Roman" w:cs="Times New Roman" w:hint="default"/>
                <w:color w:val="auto"/>
              </w:rPr>
              <w:t>侧</w:t>
            </w:r>
          </w:p>
        </w:tc>
        <w:tc>
          <w:tcPr>
            <w:tcW w:w="1420" w:type="pct"/>
            <w:tcBorders>
              <w:tl2br w:val="nil"/>
              <w:tr2bl w:val="nil"/>
            </w:tcBorders>
            <w:vAlign w:val="center"/>
          </w:tcPr>
          <w:p w14:paraId="28DA5FDB">
            <w:pPr>
              <w:pStyle w:val="R-"/>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rPr>
              <w:t>0.</w:t>
            </w:r>
            <w:r>
              <w:rPr>
                <w:rFonts w:ascii="Times New Roman" w:eastAsia="宋体" w:hAnsi="Times New Roman" w:cs="Times New Roman" w:hint="default"/>
                <w:color w:val="auto"/>
                <w:lang w:val="en-US" w:eastAsia="zh-CN"/>
              </w:rPr>
              <w:t>74</w:t>
            </w:r>
          </w:p>
        </w:tc>
        <w:tc>
          <w:tcPr>
            <w:tcW w:w="1301" w:type="pct"/>
            <w:tcBorders>
              <w:tl2br w:val="nil"/>
              <w:tr2bl w:val="nil"/>
            </w:tcBorders>
            <w:vAlign w:val="center"/>
          </w:tcPr>
          <w:p w14:paraId="01362874">
            <w:pPr>
              <w:pStyle w:val="R-"/>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rPr>
              <w:t>0.</w:t>
            </w:r>
            <w:r>
              <w:rPr>
                <w:rFonts w:ascii="Times New Roman" w:eastAsia="宋体" w:hAnsi="Times New Roman" w:cs="Times New Roman" w:hint="default"/>
                <w:color w:val="auto"/>
                <w:lang w:val="en-US" w:eastAsia="zh-CN"/>
              </w:rPr>
              <w:t>0111</w:t>
            </w:r>
          </w:p>
        </w:tc>
      </w:tr>
      <w:tr w14:paraId="4B000E74">
        <w:tblPrEx>
          <w:tblW w:w="4998" w:type="pct"/>
          <w:tblInd w:w="0" w:type="dxa"/>
          <w:tblCellMar>
            <w:top w:w="0" w:type="dxa"/>
            <w:left w:w="0" w:type="dxa"/>
            <w:bottom w:w="0" w:type="dxa"/>
            <w:right w:w="0" w:type="dxa"/>
          </w:tblCellMar>
        </w:tblPrEx>
        <w:trPr>
          <w:trHeight w:val="398"/>
        </w:trPr>
        <w:tc>
          <w:tcPr>
            <w:tcW w:w="502" w:type="pct"/>
            <w:tcBorders>
              <w:tl2br w:val="nil"/>
              <w:tr2bl w:val="nil"/>
            </w:tcBorders>
            <w:vAlign w:val="center"/>
          </w:tcPr>
          <w:p w14:paraId="14595D8B">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2</w:t>
            </w:r>
          </w:p>
        </w:tc>
        <w:tc>
          <w:tcPr>
            <w:tcW w:w="1775" w:type="pct"/>
            <w:tcBorders>
              <w:tl2br w:val="nil"/>
              <w:tr2bl w:val="nil"/>
            </w:tcBorders>
            <w:vAlign w:val="center"/>
          </w:tcPr>
          <w:p w14:paraId="18B83455">
            <w:pPr>
              <w:pStyle w:val="R-"/>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拟建储能站南侧</w:t>
            </w:r>
          </w:p>
        </w:tc>
        <w:tc>
          <w:tcPr>
            <w:tcW w:w="1420" w:type="pct"/>
            <w:tcBorders>
              <w:tl2br w:val="nil"/>
              <w:tr2bl w:val="nil"/>
            </w:tcBorders>
            <w:vAlign w:val="center"/>
          </w:tcPr>
          <w:p w14:paraId="2E5A9E15">
            <w:pPr>
              <w:pStyle w:val="R-"/>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23.05</w:t>
            </w:r>
            <w:r>
              <w:rPr>
                <w:rFonts w:cs="Times New Roman" w:hint="eastAsia"/>
                <w:color w:val="auto"/>
                <w:lang w:val="en-US" w:eastAsia="zh-CN"/>
              </w:rPr>
              <w:t>*</w:t>
            </w:r>
          </w:p>
        </w:tc>
        <w:tc>
          <w:tcPr>
            <w:tcW w:w="1301" w:type="pct"/>
            <w:tcBorders>
              <w:tl2br w:val="nil"/>
              <w:tr2bl w:val="nil"/>
            </w:tcBorders>
            <w:vAlign w:val="center"/>
          </w:tcPr>
          <w:p w14:paraId="2BAD91BC">
            <w:pPr>
              <w:pStyle w:val="R-"/>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rPr>
              <w:t>0.</w:t>
            </w:r>
            <w:r>
              <w:rPr>
                <w:rFonts w:ascii="Times New Roman" w:eastAsia="宋体" w:hAnsi="Times New Roman" w:cs="Times New Roman" w:hint="default"/>
                <w:color w:val="auto"/>
                <w:lang w:val="en-US" w:eastAsia="zh-CN"/>
              </w:rPr>
              <w:t>0258</w:t>
            </w:r>
          </w:p>
        </w:tc>
      </w:tr>
      <w:tr w14:paraId="6A04C750">
        <w:tblPrEx>
          <w:tblW w:w="4998" w:type="pct"/>
          <w:tblInd w:w="0" w:type="dxa"/>
          <w:tblCellMar>
            <w:top w:w="0" w:type="dxa"/>
            <w:left w:w="0" w:type="dxa"/>
            <w:bottom w:w="0" w:type="dxa"/>
            <w:right w:w="0" w:type="dxa"/>
          </w:tblCellMar>
        </w:tblPrEx>
        <w:trPr>
          <w:trHeight w:val="398"/>
        </w:trPr>
        <w:tc>
          <w:tcPr>
            <w:tcW w:w="502" w:type="pct"/>
            <w:tcBorders>
              <w:tl2br w:val="nil"/>
              <w:tr2bl w:val="nil"/>
            </w:tcBorders>
            <w:vAlign w:val="center"/>
          </w:tcPr>
          <w:p w14:paraId="62999567">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3</w:t>
            </w:r>
          </w:p>
        </w:tc>
        <w:tc>
          <w:tcPr>
            <w:tcW w:w="1775" w:type="pct"/>
            <w:tcBorders>
              <w:tl2br w:val="nil"/>
              <w:tr2bl w:val="nil"/>
            </w:tcBorders>
            <w:vAlign w:val="center"/>
          </w:tcPr>
          <w:p w14:paraId="34DCBE49">
            <w:pPr>
              <w:pStyle w:val="R-"/>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拟建储能站西侧</w:t>
            </w:r>
          </w:p>
        </w:tc>
        <w:tc>
          <w:tcPr>
            <w:tcW w:w="1420" w:type="pct"/>
            <w:tcBorders>
              <w:tl2br w:val="nil"/>
              <w:tr2bl w:val="nil"/>
            </w:tcBorders>
            <w:vAlign w:val="center"/>
          </w:tcPr>
          <w:p w14:paraId="623FF4F5">
            <w:pPr>
              <w:pStyle w:val="R-"/>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1.74</w:t>
            </w:r>
          </w:p>
        </w:tc>
        <w:tc>
          <w:tcPr>
            <w:tcW w:w="1301" w:type="pct"/>
            <w:tcBorders>
              <w:tl2br w:val="nil"/>
              <w:tr2bl w:val="nil"/>
            </w:tcBorders>
            <w:vAlign w:val="center"/>
          </w:tcPr>
          <w:p w14:paraId="0194C500">
            <w:pPr>
              <w:pStyle w:val="R-"/>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rPr>
              <w:t>0.</w:t>
            </w:r>
            <w:r>
              <w:rPr>
                <w:rFonts w:ascii="Times New Roman" w:eastAsia="宋体" w:hAnsi="Times New Roman" w:cs="Times New Roman" w:hint="default"/>
                <w:color w:val="auto"/>
                <w:lang w:val="en-US" w:eastAsia="zh-CN"/>
              </w:rPr>
              <w:t>0184</w:t>
            </w:r>
          </w:p>
        </w:tc>
      </w:tr>
      <w:tr w14:paraId="5CC25D1E">
        <w:tblPrEx>
          <w:tblW w:w="4998" w:type="pct"/>
          <w:tblInd w:w="0" w:type="dxa"/>
          <w:tblCellMar>
            <w:top w:w="0" w:type="dxa"/>
            <w:left w:w="0" w:type="dxa"/>
            <w:bottom w:w="0" w:type="dxa"/>
            <w:right w:w="0" w:type="dxa"/>
          </w:tblCellMar>
        </w:tblPrEx>
        <w:trPr>
          <w:trHeight w:val="372"/>
        </w:trPr>
        <w:tc>
          <w:tcPr>
            <w:tcW w:w="502" w:type="pct"/>
            <w:tcBorders>
              <w:tl2br w:val="nil"/>
              <w:tr2bl w:val="nil"/>
            </w:tcBorders>
            <w:vAlign w:val="center"/>
          </w:tcPr>
          <w:p w14:paraId="369BA438">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4</w:t>
            </w:r>
          </w:p>
        </w:tc>
        <w:tc>
          <w:tcPr>
            <w:tcW w:w="1775" w:type="pct"/>
            <w:tcBorders>
              <w:tl2br w:val="nil"/>
              <w:tr2bl w:val="nil"/>
            </w:tcBorders>
            <w:vAlign w:val="center"/>
          </w:tcPr>
          <w:p w14:paraId="4BB1B60B">
            <w:pPr>
              <w:pStyle w:val="R-"/>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拟建储能站北侧</w:t>
            </w:r>
          </w:p>
        </w:tc>
        <w:tc>
          <w:tcPr>
            <w:tcW w:w="1420" w:type="pct"/>
            <w:tcBorders>
              <w:tl2br w:val="nil"/>
              <w:tr2bl w:val="nil"/>
            </w:tcBorders>
            <w:vAlign w:val="center"/>
          </w:tcPr>
          <w:p w14:paraId="43832F25">
            <w:pPr>
              <w:pStyle w:val="R-"/>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1.05</w:t>
            </w:r>
          </w:p>
        </w:tc>
        <w:tc>
          <w:tcPr>
            <w:tcW w:w="1301" w:type="pct"/>
            <w:tcBorders>
              <w:tl2br w:val="nil"/>
              <w:tr2bl w:val="nil"/>
            </w:tcBorders>
            <w:vAlign w:val="center"/>
          </w:tcPr>
          <w:p w14:paraId="1F170586">
            <w:pPr>
              <w:pStyle w:val="R-"/>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rPr>
              <w:t>0.</w:t>
            </w:r>
            <w:r>
              <w:rPr>
                <w:rFonts w:ascii="Times New Roman" w:eastAsia="宋体" w:hAnsi="Times New Roman" w:cs="Times New Roman" w:hint="default"/>
                <w:color w:val="auto"/>
                <w:lang w:val="en-US" w:eastAsia="zh-CN"/>
              </w:rPr>
              <w:t>157</w:t>
            </w:r>
          </w:p>
        </w:tc>
      </w:tr>
      <w:tr w14:paraId="792DB821">
        <w:tblPrEx>
          <w:tblW w:w="4998" w:type="pct"/>
          <w:tblInd w:w="0" w:type="dxa"/>
          <w:tblCellMar>
            <w:top w:w="0" w:type="dxa"/>
            <w:left w:w="0" w:type="dxa"/>
            <w:bottom w:w="0" w:type="dxa"/>
            <w:right w:w="0" w:type="dxa"/>
          </w:tblCellMar>
        </w:tblPrEx>
        <w:trPr>
          <w:trHeight w:val="421"/>
        </w:trPr>
        <w:tc>
          <w:tcPr>
            <w:tcW w:w="2277" w:type="pct"/>
            <w:gridSpan w:val="2"/>
            <w:tcBorders>
              <w:tl2br w:val="nil"/>
              <w:tr2bl w:val="nil"/>
            </w:tcBorders>
            <w:vAlign w:val="center"/>
          </w:tcPr>
          <w:p w14:paraId="5B62B2F7">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标准</w:t>
            </w:r>
          </w:p>
        </w:tc>
        <w:tc>
          <w:tcPr>
            <w:tcW w:w="1420" w:type="pct"/>
            <w:tcBorders>
              <w:tl2br w:val="nil"/>
              <w:tr2bl w:val="nil"/>
            </w:tcBorders>
            <w:vAlign w:val="center"/>
          </w:tcPr>
          <w:p w14:paraId="17146953">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4000</w:t>
            </w:r>
          </w:p>
        </w:tc>
        <w:tc>
          <w:tcPr>
            <w:tcW w:w="1301" w:type="pct"/>
            <w:tcBorders>
              <w:tl2br w:val="nil"/>
              <w:tr2bl w:val="nil"/>
            </w:tcBorders>
            <w:vAlign w:val="center"/>
          </w:tcPr>
          <w:p w14:paraId="56AB2DE8">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lang w:val="en-US" w:eastAsia="zh-CN"/>
              </w:rPr>
              <w:t>1</w:t>
            </w:r>
            <w:r>
              <w:rPr>
                <w:rFonts w:ascii="Times New Roman" w:eastAsia="宋体" w:hAnsi="Times New Roman" w:cs="Times New Roman" w:hint="default"/>
                <w:color w:val="auto"/>
              </w:rPr>
              <w:t>00</w:t>
            </w:r>
          </w:p>
        </w:tc>
      </w:tr>
      <w:tr w14:paraId="57060D06">
        <w:tblPrEx>
          <w:tblW w:w="4998" w:type="pct"/>
          <w:tblInd w:w="0" w:type="dxa"/>
          <w:tblCellMar>
            <w:top w:w="0" w:type="dxa"/>
            <w:left w:w="0" w:type="dxa"/>
            <w:bottom w:w="0" w:type="dxa"/>
            <w:right w:w="0" w:type="dxa"/>
          </w:tblCellMar>
        </w:tblPrEx>
        <w:trPr>
          <w:trHeight w:val="421"/>
        </w:trPr>
        <w:tc>
          <w:tcPr>
            <w:tcW w:w="2277" w:type="pct"/>
            <w:gridSpan w:val="2"/>
            <w:tcBorders>
              <w:tl2br w:val="nil"/>
              <w:tr2bl w:val="nil"/>
            </w:tcBorders>
            <w:vAlign w:val="center"/>
          </w:tcPr>
          <w:p w14:paraId="1D56E2D8">
            <w:pPr>
              <w:pStyle w:val="R-"/>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达标情况</w:t>
            </w:r>
          </w:p>
        </w:tc>
        <w:tc>
          <w:tcPr>
            <w:tcW w:w="1420" w:type="pct"/>
            <w:tcBorders>
              <w:tl2br w:val="nil"/>
              <w:tr2bl w:val="nil"/>
            </w:tcBorders>
            <w:vAlign w:val="center"/>
          </w:tcPr>
          <w:p w14:paraId="335E9887">
            <w:pPr>
              <w:pStyle w:val="R-"/>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达标</w:t>
            </w:r>
          </w:p>
        </w:tc>
        <w:tc>
          <w:tcPr>
            <w:tcW w:w="1301" w:type="pct"/>
            <w:tcBorders>
              <w:tl2br w:val="nil"/>
              <w:tr2bl w:val="nil"/>
            </w:tcBorders>
            <w:vAlign w:val="center"/>
          </w:tcPr>
          <w:p w14:paraId="7753E640">
            <w:pPr>
              <w:pStyle w:val="R-"/>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达标</w:t>
            </w:r>
          </w:p>
        </w:tc>
      </w:tr>
    </w:tbl>
    <w:p w14:paraId="27F740C5">
      <w:pPr>
        <w:spacing w:before="184" w:line="359" w:lineRule="auto"/>
        <w:ind w:right="111"/>
        <w:jc w:val="both"/>
        <w:rPr>
          <w:rFonts w:ascii="Times New Roman" w:eastAsia="宋体" w:hAnsi="Times New Roman" w:cs="Times New Roman" w:hint="default"/>
          <w:b/>
          <w:bCs/>
          <w:color w:val="auto"/>
          <w:spacing w:val="-2"/>
          <w:sz w:val="22"/>
          <w:szCs w:val="22"/>
          <w:lang w:val="en-US" w:eastAsia="zh-CN"/>
        </w:rPr>
      </w:pPr>
      <w:r>
        <w:rPr>
          <w:rFonts w:cs="Times New Roman" w:hint="eastAsia"/>
          <w:b/>
          <w:bCs/>
          <w:color w:val="auto"/>
          <w:spacing w:val="-2"/>
          <w:sz w:val="22"/>
          <w:szCs w:val="22"/>
          <w:lang w:val="en-US" w:eastAsia="zh-CN"/>
        </w:rPr>
        <w:t>*注：由于拟建项目南侧有架空10kV电力线路通过因此检测结果数值较高。</w:t>
      </w:r>
    </w:p>
    <w:p w14:paraId="42196405">
      <w:pPr>
        <w:spacing w:before="184" w:line="359" w:lineRule="auto"/>
        <w:ind w:left="126" w:right="111" w:firstLine="476"/>
        <w:jc w:val="both"/>
        <w:rPr>
          <w:rFonts w:ascii="Times New Roman" w:eastAsia="宋体" w:hAnsi="Times New Roman" w:cs="Times New Roman" w:hint="default"/>
          <w:color w:val="auto"/>
          <w:spacing w:val="-2"/>
          <w:sz w:val="24"/>
          <w:szCs w:val="24"/>
        </w:rPr>
      </w:pPr>
      <w:r>
        <w:rPr>
          <w:rFonts w:ascii="Times New Roman" w:eastAsia="宋体" w:hAnsi="Times New Roman" w:cs="Times New Roman" w:hint="default"/>
          <w:color w:val="auto"/>
          <w:spacing w:val="-2"/>
          <w:sz w:val="24"/>
          <w:szCs w:val="24"/>
        </w:rPr>
        <w:t>根据实测结果，本工程拟建</w:t>
      </w:r>
      <w:r>
        <w:rPr>
          <w:rFonts w:ascii="Times New Roman" w:eastAsia="宋体" w:hAnsi="Times New Roman" w:cs="Times New Roman" w:hint="default"/>
          <w:color w:val="auto"/>
          <w:spacing w:val="-2"/>
          <w:sz w:val="24"/>
          <w:szCs w:val="24"/>
          <w:lang w:val="en-US" w:eastAsia="zh-CN"/>
        </w:rPr>
        <w:t>储能站</w:t>
      </w:r>
      <w:r>
        <w:rPr>
          <w:rFonts w:ascii="Times New Roman" w:eastAsia="宋体" w:hAnsi="Times New Roman" w:cs="Times New Roman" w:hint="default"/>
          <w:color w:val="auto"/>
          <w:spacing w:val="-2"/>
          <w:sz w:val="24"/>
          <w:szCs w:val="24"/>
        </w:rPr>
        <w:t>工频电场强度、工频磁感应强度的背景值</w:t>
      </w:r>
      <w:r>
        <w:rPr>
          <w:rFonts w:ascii="Times New Roman" w:eastAsia="宋体" w:hAnsi="Times New Roman" w:cs="Times New Roman" w:hint="default"/>
          <w:color w:val="auto"/>
          <w:spacing w:val="-2"/>
          <w:sz w:val="24"/>
          <w:szCs w:val="24"/>
          <w:lang w:val="en-US" w:eastAsia="zh-CN"/>
        </w:rPr>
        <w:t>均</w:t>
      </w:r>
      <w:r>
        <w:rPr>
          <w:rFonts w:ascii="Times New Roman" w:eastAsia="宋体" w:hAnsi="Times New Roman" w:cs="Times New Roman" w:hint="default"/>
          <w:color w:val="auto"/>
          <w:spacing w:val="-2"/>
          <w:sz w:val="24"/>
          <w:szCs w:val="24"/>
        </w:rPr>
        <w:t>满足GB8702-2014《电磁环境控制限值》中标准限值的要求。</w:t>
      </w:r>
    </w:p>
    <w:p w14:paraId="3295FFD1">
      <w:pPr>
        <w:spacing w:before="187" w:line="219" w:lineRule="auto"/>
        <w:ind w:left="117"/>
        <w:outlineLvl w:val="1"/>
        <w:rPr>
          <w:rFonts w:ascii="Times New Roman" w:eastAsia="宋体" w:hAnsi="Times New Roman" w:cs="Times New Roman" w:hint="default"/>
          <w:color w:val="auto"/>
          <w:sz w:val="28"/>
          <w:szCs w:val="28"/>
        </w:rPr>
      </w:pPr>
      <w:bookmarkStart w:id="11" w:name="bookmark16"/>
      <w:bookmarkEnd w:id="11"/>
      <w:bookmarkStart w:id="12" w:name="bookmark17"/>
      <w:bookmarkEnd w:id="12"/>
      <w:r>
        <w:rPr>
          <w:rFonts w:ascii="Times New Roman" w:eastAsia="宋体" w:hAnsi="Times New Roman" w:cs="Times New Roman" w:hint="default"/>
          <w:b/>
          <w:bCs/>
          <w:color w:val="auto"/>
          <w:spacing w:val="-3"/>
          <w:sz w:val="28"/>
          <w:szCs w:val="28"/>
        </w:rPr>
        <w:t>3.</w:t>
      </w:r>
      <w:r>
        <w:rPr>
          <w:rFonts w:ascii="Times New Roman" w:eastAsia="宋体" w:hAnsi="Times New Roman" w:cs="Times New Roman" w:hint="default"/>
          <w:b/>
          <w:bCs/>
          <w:color w:val="auto"/>
          <w:spacing w:val="22"/>
          <w:sz w:val="28"/>
          <w:szCs w:val="28"/>
        </w:rPr>
        <w:t xml:space="preserve"> </w:t>
      </w:r>
      <w:r>
        <w:rPr>
          <w:rFonts w:ascii="Times New Roman" w:eastAsia="宋体" w:hAnsi="Times New Roman" w:cs="Times New Roman" w:hint="default"/>
          <w:color w:val="auto"/>
          <w:spacing w:val="-3"/>
          <w:sz w:val="28"/>
          <w:szCs w:val="28"/>
          <w14:textOutline w14:w="5103" w14:cap="sq">
            <w14:solidFill>
              <w14:srgbClr w14:val="000000"/>
            </w14:solidFill>
            <w14:bevel/>
          </w14:textOutline>
        </w:rPr>
        <w:t>电磁环境影响预测与评价</w:t>
      </w:r>
    </w:p>
    <w:p w14:paraId="3CEB24A5">
      <w:pPr>
        <w:spacing w:before="206" w:line="218" w:lineRule="auto"/>
        <w:ind w:left="117"/>
        <w:outlineLvl w:val="2"/>
        <w:rPr>
          <w:rFonts w:ascii="Times New Roman" w:eastAsia="宋体" w:hAnsi="Times New Roman" w:cs="Times New Roman" w:hint="default"/>
          <w:color w:val="auto"/>
          <w:sz w:val="24"/>
          <w:szCs w:val="24"/>
        </w:rPr>
      </w:pPr>
      <w:r>
        <w:rPr>
          <w:rFonts w:ascii="Times New Roman" w:eastAsia="宋体" w:hAnsi="Times New Roman" w:cs="Times New Roman" w:hint="default"/>
          <w:b/>
          <w:bCs/>
          <w:color w:val="auto"/>
          <w:spacing w:val="-2"/>
          <w:sz w:val="24"/>
          <w:szCs w:val="24"/>
        </w:rPr>
        <w:t>3.1</w:t>
      </w:r>
      <w:r>
        <w:rPr>
          <w:rFonts w:ascii="Times New Roman" w:eastAsia="宋体" w:hAnsi="Times New Roman" w:cs="Times New Roman" w:hint="default"/>
          <w:b/>
          <w:bCs/>
          <w:color w:val="auto"/>
          <w:spacing w:val="19"/>
          <w:sz w:val="24"/>
          <w:szCs w:val="24"/>
        </w:rPr>
        <w:t xml:space="preserve">  </w:t>
      </w:r>
      <w:r>
        <w:rPr>
          <w:rFonts w:ascii="Times New Roman" w:eastAsia="宋体" w:hAnsi="Times New Roman" w:cs="Times New Roman" w:hint="default"/>
          <w:color w:val="auto"/>
          <w:spacing w:val="-2"/>
          <w:sz w:val="24"/>
          <w:szCs w:val="24"/>
          <w14:textOutline w14:w="4358" w14:cap="sq">
            <w14:solidFill>
              <w14:srgbClr w14:val="000000"/>
            </w14:solidFill>
            <w14:bevel/>
          </w14:textOutline>
        </w:rPr>
        <w:t>电磁环境影响评价的基本内容</w:t>
      </w:r>
    </w:p>
    <w:p w14:paraId="585480DD">
      <w:pPr>
        <w:spacing w:before="184" w:line="359" w:lineRule="auto"/>
        <w:ind w:left="126" w:right="111" w:firstLine="476"/>
        <w:jc w:val="both"/>
        <w:rPr>
          <w:rFonts w:ascii="Times New Roman" w:eastAsia="宋体" w:hAnsi="Times New Roman" w:cs="Times New Roman" w:hint="default"/>
          <w:color w:val="auto"/>
          <w:spacing w:val="-2"/>
          <w:sz w:val="24"/>
          <w:szCs w:val="24"/>
        </w:rPr>
      </w:pPr>
      <w:r>
        <w:rPr>
          <w:rFonts w:ascii="Times New Roman" w:eastAsia="宋体" w:hAnsi="Times New Roman" w:cs="Times New Roman" w:hint="default"/>
          <w:color w:val="auto"/>
          <w:spacing w:val="-2"/>
          <w:sz w:val="24"/>
          <w:szCs w:val="24"/>
        </w:rPr>
        <w:t>根据本项目工程内容，参照《环境影响评价技术导则 输变电》（HJ 24-2020），本项目</w:t>
      </w:r>
      <w:r>
        <w:rPr>
          <w:rFonts w:ascii="Times New Roman" w:eastAsia="宋体" w:hAnsi="Times New Roman" w:cs="Times New Roman" w:hint="default"/>
          <w:color w:val="auto"/>
          <w:spacing w:val="-2"/>
          <w:sz w:val="24"/>
          <w:szCs w:val="24"/>
          <w:lang w:val="en-US" w:eastAsia="zh-CN"/>
        </w:rPr>
        <w:t>储能站</w:t>
      </w:r>
      <w:r>
        <w:rPr>
          <w:rFonts w:ascii="Times New Roman" w:eastAsia="宋体" w:hAnsi="Times New Roman" w:cs="Times New Roman" w:hint="default"/>
          <w:color w:val="auto"/>
          <w:spacing w:val="-2"/>
          <w:sz w:val="24"/>
          <w:szCs w:val="24"/>
        </w:rPr>
        <w:t>电磁环境影响评价工作等级确定为二级，根据导则中有关电磁环境影响评价二级评价的基本要求如下：</w:t>
      </w:r>
    </w:p>
    <w:p w14:paraId="0E330AA3">
      <w:pPr>
        <w:spacing w:before="184" w:line="359" w:lineRule="auto"/>
        <w:ind w:left="126" w:right="111" w:firstLine="476"/>
        <w:jc w:val="both"/>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2"/>
          <w:sz w:val="24"/>
          <w:szCs w:val="24"/>
        </w:rPr>
        <w:t>对于变电站、换流站、开关站、串补站，其评价范围内临近各侧站界的电磁环境敏感目标的电磁环境现状应实测，站界电磁环境现状可实测，也可利用已</w:t>
      </w:r>
      <w:r>
        <w:rPr>
          <w:rFonts w:ascii="Times New Roman" w:eastAsia="宋体" w:hAnsi="Times New Roman" w:cs="Times New Roman" w:hint="default"/>
          <w:color w:val="auto"/>
          <w:spacing w:val="1"/>
          <w:sz w:val="24"/>
          <w:szCs w:val="24"/>
        </w:rPr>
        <w:t>有的最近3年内</w:t>
      </w:r>
      <w:r>
        <w:rPr>
          <w:rFonts w:ascii="Times New Roman" w:eastAsia="宋体" w:hAnsi="Times New Roman" w:cs="Times New Roman" w:hint="default"/>
          <w:color w:val="auto"/>
          <w:spacing w:val="-2"/>
          <w:sz w:val="24"/>
          <w:szCs w:val="24"/>
        </w:rPr>
        <w:t>的电磁环境现状监测资料，并对电磁环境现状进行评价。电磁环境影响预测应采用类比监测的方式。</w:t>
      </w:r>
    </w:p>
    <w:p w14:paraId="370281A9">
      <w:pPr>
        <w:spacing w:before="52" w:line="219" w:lineRule="auto"/>
        <w:ind w:left="115"/>
        <w:outlineLvl w:val="3"/>
        <w:rPr>
          <w:rFonts w:ascii="Times New Roman" w:eastAsia="宋体" w:hAnsi="Times New Roman" w:cs="Times New Roman" w:hint="default"/>
          <w:color w:val="auto"/>
          <w:sz w:val="24"/>
          <w:szCs w:val="24"/>
          <w14:textOutline w14:w="4358" w14:cap="sq">
            <w14:solidFill>
              <w14:srgbClr w14:val="000000"/>
            </w14:solidFill>
            <w14:bevel/>
          </w14:textOutline>
        </w:rPr>
      </w:pPr>
      <w:bookmarkStart w:id="13" w:name="bookmark18"/>
      <w:bookmarkEnd w:id="13"/>
      <w:r>
        <w:rPr>
          <w:rFonts w:ascii="Times New Roman" w:eastAsia="宋体" w:hAnsi="Times New Roman" w:cs="Times New Roman" w:hint="default"/>
          <w:b/>
          <w:bCs/>
          <w:color w:val="auto"/>
          <w:sz w:val="24"/>
          <w:szCs w:val="24"/>
        </w:rPr>
        <w:t xml:space="preserve">3.2  </w:t>
      </w:r>
      <w:r>
        <w:rPr>
          <w:rFonts w:ascii="Times New Roman" w:eastAsia="宋体" w:hAnsi="Times New Roman" w:cs="Times New Roman" w:hint="default"/>
          <w:color w:val="auto"/>
          <w:sz w:val="24"/>
          <w:szCs w:val="24"/>
          <w14:textOutline w14:w="4358" w14:cap="sq">
            <w14:solidFill>
              <w14:srgbClr w14:val="000000"/>
            </w14:solidFill>
            <w14:bevel/>
          </w14:textOutline>
        </w:rPr>
        <w:t>升压站电磁环境影响预测及评价</w:t>
      </w:r>
    </w:p>
    <w:p w14:paraId="41E33CA8">
      <w:pPr>
        <w:spacing w:before="52" w:line="219" w:lineRule="auto"/>
        <w:ind w:left="115"/>
        <w:outlineLvl w:val="3"/>
        <w:rPr>
          <w:rFonts w:ascii="Times New Roman" w:eastAsia="宋体" w:hAnsi="Times New Roman" w:cs="Times New Roman" w:hint="default"/>
          <w:color w:val="auto"/>
          <w:sz w:val="24"/>
          <w:szCs w:val="24"/>
        </w:rPr>
      </w:pPr>
      <w:r>
        <w:rPr>
          <w:rFonts w:ascii="Times New Roman" w:eastAsia="宋体" w:hAnsi="Times New Roman" w:cs="Times New Roman" w:hint="default"/>
          <w:b/>
          <w:bCs/>
          <w:color w:val="auto"/>
          <w:spacing w:val="-3"/>
          <w:sz w:val="24"/>
          <w:szCs w:val="24"/>
        </w:rPr>
        <w:t>3.2.1</w:t>
      </w:r>
      <w:r>
        <w:rPr>
          <w:rFonts w:ascii="Times New Roman" w:eastAsia="宋体" w:hAnsi="Times New Roman" w:cs="Times New Roman" w:hint="default"/>
          <w:b/>
          <w:bCs/>
          <w:color w:val="auto"/>
          <w:spacing w:val="20"/>
          <w:w w:val="101"/>
          <w:sz w:val="24"/>
          <w:szCs w:val="24"/>
        </w:rPr>
        <w:t xml:space="preserve">  </w:t>
      </w:r>
      <w:r>
        <w:rPr>
          <w:rFonts w:ascii="Times New Roman" w:eastAsia="宋体" w:hAnsi="Times New Roman" w:cs="Times New Roman" w:hint="default"/>
          <w:color w:val="auto"/>
          <w:spacing w:val="-3"/>
          <w:sz w:val="24"/>
          <w:szCs w:val="24"/>
          <w14:textOutline w14:w="4358" w14:cap="sq">
            <w14:solidFill>
              <w14:srgbClr w14:val="000000"/>
            </w14:solidFill>
            <w14:bevel/>
          </w14:textOutline>
        </w:rPr>
        <w:t>电磁辐射场源分析</w:t>
      </w:r>
    </w:p>
    <w:p w14:paraId="7AD796F9">
      <w:pPr>
        <w:pStyle w:val="00005"/>
        <w:bidi w:val="0"/>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3"/>
          <w:sz w:val="24"/>
          <w:szCs w:val="24"/>
        </w:rPr>
        <w:t>升压站是以高电压转换的输变电</w:t>
      </w:r>
      <w:r>
        <w:rPr>
          <w:rFonts w:ascii="Times New Roman" w:eastAsia="宋体" w:hAnsi="Times New Roman" w:cs="Times New Roman" w:hint="default"/>
          <w:color w:val="auto"/>
          <w:spacing w:val="-3"/>
          <w:sz w:val="24"/>
          <w:szCs w:val="24"/>
          <w:lang w:eastAsia="zh-CN"/>
        </w:rPr>
        <w:t>场所</w:t>
      </w:r>
      <w:r>
        <w:rPr>
          <w:rFonts w:ascii="Times New Roman" w:eastAsia="宋体" w:hAnsi="Times New Roman" w:cs="Times New Roman" w:hint="default"/>
          <w:color w:val="auto"/>
          <w:spacing w:val="-3"/>
          <w:sz w:val="24"/>
          <w:szCs w:val="24"/>
        </w:rPr>
        <w:t>，基本工作频率为50Hz。因而其电磁辐射源是</w:t>
      </w:r>
      <w:r>
        <w:rPr>
          <w:rFonts w:ascii="Times New Roman" w:eastAsia="宋体" w:hAnsi="Times New Roman" w:cs="Times New Roman" w:hint="default"/>
          <w:color w:val="auto"/>
          <w:spacing w:val="-2"/>
          <w:sz w:val="24"/>
          <w:szCs w:val="24"/>
        </w:rPr>
        <w:t>工频辐射场源，主要来自高压输电线进线一侧和主变压器等高电压的电气设备，将形成</w:t>
      </w:r>
      <w:r>
        <w:rPr>
          <w:rFonts w:ascii="Times New Roman" w:eastAsia="宋体" w:hAnsi="Times New Roman" w:cs="Times New Roman" w:hint="default"/>
          <w:color w:val="auto"/>
          <w:spacing w:val="-1"/>
          <w:sz w:val="24"/>
          <w:szCs w:val="24"/>
        </w:rPr>
        <w:t>工频电磁场。220kV变电站电压虽高，但工</w:t>
      </w:r>
      <w:r>
        <w:rPr>
          <w:rFonts w:ascii="Times New Roman" w:eastAsia="宋体" w:hAnsi="Times New Roman" w:cs="Times New Roman" w:hint="default"/>
          <w:color w:val="auto"/>
          <w:spacing w:val="-2"/>
          <w:sz w:val="24"/>
          <w:szCs w:val="24"/>
        </w:rPr>
        <w:t>作频率仍是50Hz，属低频（工频）电磁场，其电磁辐射影响范围相对高频较小。同时在高压变电所内，由于一次系统的操作、短路事故、雷电波的侵袭等可导致有很强破坏力的高频电磁干扰，如没有适当的保护措施，这些电磁干扰将耦合至二次控制回路及电气设备，在一定范围内形成高频电磁场，影响</w:t>
      </w:r>
      <w:r>
        <w:rPr>
          <w:rFonts w:ascii="Times New Roman" w:eastAsia="宋体" w:hAnsi="Times New Roman" w:cs="Times New Roman" w:hint="default"/>
          <w:color w:val="auto"/>
          <w:spacing w:val="-1"/>
          <w:sz w:val="24"/>
          <w:szCs w:val="24"/>
        </w:rPr>
        <w:t>保护装置和计算机等设备的安全运行。</w:t>
      </w:r>
    </w:p>
    <w:p w14:paraId="67E83BA1">
      <w:pPr>
        <w:spacing w:before="181" w:line="219" w:lineRule="auto"/>
        <w:ind w:left="115"/>
        <w:outlineLvl w:val="3"/>
        <w:rPr>
          <w:rFonts w:ascii="Times New Roman" w:eastAsia="宋体" w:hAnsi="Times New Roman" w:cs="Times New Roman" w:hint="default"/>
          <w:color w:val="auto"/>
          <w:sz w:val="24"/>
          <w:szCs w:val="24"/>
        </w:rPr>
      </w:pPr>
      <w:r>
        <w:rPr>
          <w:rFonts w:ascii="Times New Roman" w:eastAsia="宋体" w:hAnsi="Times New Roman" w:cs="Times New Roman" w:hint="default"/>
          <w:b/>
          <w:bCs/>
          <w:color w:val="auto"/>
          <w:spacing w:val="-1"/>
          <w:sz w:val="24"/>
          <w:szCs w:val="24"/>
        </w:rPr>
        <w:t xml:space="preserve">3.2.2  </w:t>
      </w:r>
      <w:r>
        <w:rPr>
          <w:rFonts w:ascii="Times New Roman" w:eastAsia="宋体" w:hAnsi="Times New Roman" w:cs="Times New Roman" w:hint="default"/>
          <w:color w:val="auto"/>
          <w:spacing w:val="-1"/>
          <w:sz w:val="24"/>
          <w:szCs w:val="24"/>
          <w14:textOutline w14:w="4358" w14:cap="sq">
            <w14:solidFill>
              <w14:srgbClr w14:val="000000"/>
            </w14:solidFill>
            <w14:bevel/>
          </w14:textOutline>
        </w:rPr>
        <w:t>类比分析</w:t>
      </w:r>
    </w:p>
    <w:p w14:paraId="39786B47">
      <w:pPr>
        <w:spacing w:before="180" w:line="218" w:lineRule="auto"/>
        <w:ind w:left="601"/>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1"/>
          <w:sz w:val="24"/>
          <w:szCs w:val="24"/>
        </w:rPr>
        <w:t>本项目采用类比监测的方法预测及评价升压站的电磁辐射环境影响。</w:t>
      </w:r>
    </w:p>
    <w:p w14:paraId="1187C531">
      <w:pPr>
        <w:spacing w:before="185" w:line="219" w:lineRule="auto"/>
        <w:ind w:left="612"/>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1"/>
          <w:sz w:val="24"/>
          <w:szCs w:val="24"/>
        </w:rPr>
        <w:t>（1）与泰安果都220kV变电站项目类比分析</w:t>
      </w:r>
    </w:p>
    <w:p w14:paraId="08A5119E">
      <w:pPr>
        <w:spacing w:before="181" w:line="360" w:lineRule="auto"/>
        <w:ind w:left="125" w:right="109" w:firstLine="477"/>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2"/>
          <w:sz w:val="24"/>
          <w:szCs w:val="24"/>
        </w:rPr>
        <w:t>经收集资料和现场勘察，本项目升压站电压建设规模、电压等级、主变容量、面积与泰安果都220kV变电站主变增容工程情况基本类</w:t>
      </w:r>
      <w:r>
        <w:rPr>
          <w:rFonts w:ascii="Times New Roman" w:eastAsia="宋体" w:hAnsi="Times New Roman" w:cs="Times New Roman" w:hint="default"/>
          <w:color w:val="auto"/>
          <w:spacing w:val="-3"/>
          <w:sz w:val="24"/>
          <w:szCs w:val="24"/>
        </w:rPr>
        <w:t>似，主要指标对</w:t>
      </w:r>
      <w:r>
        <w:rPr>
          <w:rFonts w:ascii="Times New Roman" w:eastAsia="宋体" w:hAnsi="Times New Roman" w:cs="Times New Roman" w:hint="default"/>
          <w:color w:val="auto"/>
          <w:spacing w:val="-8"/>
          <w:sz w:val="24"/>
          <w:szCs w:val="24"/>
        </w:rPr>
        <w:t>比见表</w:t>
      </w:r>
      <w:r>
        <w:rPr>
          <w:rFonts w:cs="Times New Roman" w:hint="eastAsia"/>
          <w:color w:val="auto"/>
          <w:spacing w:val="-8"/>
          <w:sz w:val="24"/>
          <w:szCs w:val="24"/>
          <w:lang w:val="en-US" w:eastAsia="zh-CN"/>
        </w:rPr>
        <w:t>5</w:t>
      </w:r>
      <w:r>
        <w:rPr>
          <w:rFonts w:ascii="Times New Roman" w:eastAsia="宋体" w:hAnsi="Times New Roman" w:cs="Times New Roman" w:hint="default"/>
          <w:color w:val="auto"/>
          <w:spacing w:val="-8"/>
          <w:sz w:val="24"/>
          <w:szCs w:val="24"/>
        </w:rPr>
        <w:t>。</w:t>
      </w:r>
    </w:p>
    <w:p w14:paraId="7D07915F">
      <w:pPr>
        <w:spacing w:before="176" w:line="224" w:lineRule="auto"/>
        <w:jc w:val="center"/>
        <w:rPr>
          <w:rFonts w:ascii="Times New Roman" w:eastAsia="宋体" w:hAnsi="Times New Roman" w:cs="Times New Roman" w:hint="default"/>
          <w:color w:val="auto"/>
          <w:sz w:val="22"/>
          <w:szCs w:val="22"/>
        </w:rPr>
      </w:pPr>
      <w:r>
        <w:rPr>
          <w:rFonts w:ascii="Times New Roman" w:eastAsia="宋体" w:hAnsi="Times New Roman" w:cs="Times New Roman" w:hint="default"/>
          <w:color w:val="auto"/>
          <w:spacing w:val="5"/>
          <w:sz w:val="22"/>
          <w:szCs w:val="22"/>
          <w14:textOutline w14:w="3795" w14:cap="sq">
            <w14:solidFill>
              <w14:srgbClr w14:val="000000"/>
            </w14:solidFill>
            <w14:bevel/>
          </w14:textOutline>
        </w:rPr>
        <w:t>表</w:t>
      </w:r>
      <w:r>
        <w:rPr>
          <w:rFonts w:ascii="Times New Roman" w:eastAsia="宋体" w:hAnsi="Times New Roman" w:cs="Times New Roman" w:hint="default"/>
          <w:color w:val="auto"/>
          <w:spacing w:val="-26"/>
          <w:sz w:val="22"/>
          <w:szCs w:val="22"/>
        </w:rPr>
        <w:t xml:space="preserve"> </w:t>
      </w:r>
      <w:r>
        <w:rPr>
          <w:rFonts w:ascii="Times New Roman" w:eastAsia="宋体" w:hAnsi="Times New Roman" w:cs="Times New Roman" w:hint="default"/>
          <w:b/>
          <w:bCs/>
          <w:color w:val="auto"/>
          <w:spacing w:val="5"/>
          <w:sz w:val="22"/>
          <w:szCs w:val="22"/>
          <w:lang w:val="en-US" w:eastAsia="zh-CN"/>
        </w:rPr>
        <w:t>5</w:t>
      </w:r>
      <w:r>
        <w:rPr>
          <w:rFonts w:ascii="Times New Roman" w:eastAsia="宋体" w:hAnsi="Times New Roman" w:cs="Times New Roman" w:hint="default"/>
          <w:b/>
          <w:bCs/>
          <w:color w:val="auto"/>
          <w:spacing w:val="5"/>
          <w:sz w:val="22"/>
          <w:szCs w:val="22"/>
        </w:rPr>
        <w:t xml:space="preserve">    </w:t>
      </w:r>
      <w:r>
        <w:rPr>
          <w:rFonts w:ascii="Times New Roman" w:eastAsia="宋体" w:hAnsi="Times New Roman" w:cs="Times New Roman" w:hint="default"/>
          <w:color w:val="auto"/>
          <w:spacing w:val="5"/>
          <w:sz w:val="22"/>
          <w:szCs w:val="22"/>
          <w14:textOutline w14:w="3795" w14:cap="sq">
            <w14:solidFill>
              <w14:srgbClr w14:val="000000"/>
            </w14:solidFill>
            <w14:bevel/>
          </w14:textOutline>
        </w:rPr>
        <w:t>项目可比性分析</w:t>
      </w:r>
    </w:p>
    <w:tbl>
      <w:tblPr>
        <w:tblStyle w:val="TableNormal0"/>
        <w:tblW w:w="5008"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1677"/>
        <w:gridCol w:w="2007"/>
        <w:gridCol w:w="2350"/>
        <w:gridCol w:w="2297"/>
      </w:tblGrid>
      <w:tr w14:paraId="4F133212">
        <w:tblPrEx>
          <w:tblW w:w="5008"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569"/>
        </w:trPr>
        <w:tc>
          <w:tcPr>
            <w:tcW w:w="1007" w:type="pct"/>
            <w:tcBorders>
              <w:tl2br w:val="nil"/>
              <w:tr2bl w:val="nil"/>
            </w:tcBorders>
            <w:vAlign w:val="center"/>
          </w:tcPr>
          <w:p w14:paraId="7B03813D">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主要指标</w:t>
            </w:r>
          </w:p>
        </w:tc>
        <w:tc>
          <w:tcPr>
            <w:tcW w:w="1204" w:type="pct"/>
            <w:tcBorders>
              <w:tl2br w:val="nil"/>
              <w:tr2bl w:val="nil"/>
            </w:tcBorders>
            <w:vAlign w:val="center"/>
          </w:tcPr>
          <w:p w14:paraId="40B81BD9">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本项目220千伏升压站</w:t>
            </w:r>
          </w:p>
        </w:tc>
        <w:tc>
          <w:tcPr>
            <w:tcW w:w="1410" w:type="pct"/>
            <w:tcBorders>
              <w:tl2br w:val="nil"/>
              <w:tr2bl w:val="nil"/>
            </w:tcBorders>
            <w:vAlign w:val="center"/>
          </w:tcPr>
          <w:p w14:paraId="3935ABE2">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泰安果都220kV变电站</w:t>
            </w:r>
          </w:p>
        </w:tc>
        <w:tc>
          <w:tcPr>
            <w:tcW w:w="1378" w:type="pct"/>
            <w:tcBorders>
              <w:tl2br w:val="nil"/>
              <w:tr2bl w:val="nil"/>
            </w:tcBorders>
            <w:vAlign w:val="center"/>
          </w:tcPr>
          <w:p w14:paraId="631FABD1">
            <w:pPr>
              <w:pStyle w:val="R-"/>
              <w:bidi w:val="0"/>
              <w:rPr>
                <w:rFonts w:ascii="Times New Roman" w:eastAsia="宋体" w:hAnsi="Times New Roman" w:cs="Times New Roman" w:hint="default"/>
                <w:color w:val="auto"/>
                <w:lang w:val="en-US" w:eastAsia="zh-CN"/>
              </w:rPr>
            </w:pPr>
            <w:r>
              <w:rPr>
                <w:rFonts w:cs="Times New Roman" w:hint="eastAsia"/>
                <w:color w:val="auto"/>
                <w:lang w:val="en-US" w:eastAsia="zh-CN"/>
              </w:rPr>
              <w:t>类比情况</w:t>
            </w:r>
          </w:p>
        </w:tc>
      </w:tr>
      <w:tr w14:paraId="4ECE5D29">
        <w:tblPrEx>
          <w:tblW w:w="5008" w:type="pct"/>
          <w:tblInd w:w="0" w:type="dxa"/>
          <w:tblCellMar>
            <w:top w:w="0" w:type="dxa"/>
            <w:left w:w="0" w:type="dxa"/>
            <w:bottom w:w="0" w:type="dxa"/>
            <w:right w:w="0" w:type="dxa"/>
          </w:tblCellMar>
        </w:tblPrEx>
        <w:trPr>
          <w:trHeight w:val="399"/>
        </w:trPr>
        <w:tc>
          <w:tcPr>
            <w:tcW w:w="1007" w:type="pct"/>
            <w:tcBorders>
              <w:tl2br w:val="nil"/>
              <w:tr2bl w:val="nil"/>
            </w:tcBorders>
            <w:vAlign w:val="center"/>
          </w:tcPr>
          <w:p w14:paraId="45F1B61B">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电压等级</w:t>
            </w:r>
          </w:p>
        </w:tc>
        <w:tc>
          <w:tcPr>
            <w:tcW w:w="1204" w:type="pct"/>
            <w:tcBorders>
              <w:tl2br w:val="nil"/>
              <w:tr2bl w:val="nil"/>
            </w:tcBorders>
            <w:vAlign w:val="center"/>
          </w:tcPr>
          <w:p w14:paraId="25DE8A68">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220kV</w:t>
            </w:r>
          </w:p>
        </w:tc>
        <w:tc>
          <w:tcPr>
            <w:tcW w:w="1410" w:type="pct"/>
            <w:tcBorders>
              <w:tl2br w:val="nil"/>
              <w:tr2bl w:val="nil"/>
            </w:tcBorders>
            <w:vAlign w:val="center"/>
          </w:tcPr>
          <w:p w14:paraId="5DCC48C0">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220kV</w:t>
            </w:r>
          </w:p>
        </w:tc>
        <w:tc>
          <w:tcPr>
            <w:tcW w:w="1378" w:type="pct"/>
            <w:tcBorders>
              <w:tl2br w:val="nil"/>
              <w:tr2bl w:val="nil"/>
            </w:tcBorders>
            <w:vAlign w:val="center"/>
          </w:tcPr>
          <w:p w14:paraId="71AE021F">
            <w:pPr>
              <w:pStyle w:val="R-"/>
              <w:bidi w:val="0"/>
              <w:rPr>
                <w:rFonts w:ascii="Times New Roman" w:eastAsia="宋体" w:hAnsi="Times New Roman" w:cs="Times New Roman" w:hint="default"/>
                <w:color w:val="auto"/>
                <w:lang w:val="en-US" w:eastAsia="zh-CN"/>
              </w:rPr>
            </w:pPr>
            <w:r>
              <w:rPr>
                <w:rFonts w:cs="Times New Roman" w:hint="eastAsia"/>
                <w:color w:val="auto"/>
                <w:lang w:val="en-US" w:eastAsia="zh-CN"/>
              </w:rPr>
              <w:t>相同可类比</w:t>
            </w:r>
          </w:p>
        </w:tc>
      </w:tr>
      <w:tr w14:paraId="625DFA5D">
        <w:tblPrEx>
          <w:tblW w:w="5008" w:type="pct"/>
          <w:tblInd w:w="0" w:type="dxa"/>
          <w:tblCellMar>
            <w:top w:w="0" w:type="dxa"/>
            <w:left w:w="0" w:type="dxa"/>
            <w:bottom w:w="0" w:type="dxa"/>
            <w:right w:w="0" w:type="dxa"/>
          </w:tblCellMar>
        </w:tblPrEx>
        <w:trPr>
          <w:trHeight w:val="399"/>
        </w:trPr>
        <w:tc>
          <w:tcPr>
            <w:tcW w:w="1007" w:type="pct"/>
            <w:tcBorders>
              <w:tl2br w:val="nil"/>
              <w:tr2bl w:val="nil"/>
            </w:tcBorders>
            <w:vAlign w:val="center"/>
          </w:tcPr>
          <w:p w14:paraId="7358E2BF">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主变容量</w:t>
            </w:r>
          </w:p>
        </w:tc>
        <w:tc>
          <w:tcPr>
            <w:tcW w:w="1204" w:type="pct"/>
            <w:tcBorders>
              <w:tl2br w:val="nil"/>
              <w:tr2bl w:val="nil"/>
            </w:tcBorders>
            <w:vAlign w:val="center"/>
          </w:tcPr>
          <w:p w14:paraId="4098DA67">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lang w:val="en-US" w:eastAsia="zh-CN"/>
              </w:rPr>
              <w:t>2×</w:t>
            </w:r>
            <w:r>
              <w:rPr>
                <w:rFonts w:cs="Times New Roman" w:hint="eastAsia"/>
                <w:color w:val="auto"/>
                <w:lang w:val="en-US" w:eastAsia="zh-CN"/>
              </w:rPr>
              <w:t>180MVA</w:t>
            </w:r>
          </w:p>
        </w:tc>
        <w:tc>
          <w:tcPr>
            <w:tcW w:w="1410" w:type="pct"/>
            <w:tcBorders>
              <w:tl2br w:val="nil"/>
              <w:tr2bl w:val="nil"/>
            </w:tcBorders>
            <w:vAlign w:val="center"/>
          </w:tcPr>
          <w:p w14:paraId="7EA6FB52">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lang w:val="en-US" w:eastAsia="zh-CN"/>
              </w:rPr>
              <w:t>2×</w:t>
            </w:r>
            <w:r>
              <w:rPr>
                <w:rFonts w:cs="Times New Roman" w:hint="eastAsia"/>
                <w:color w:val="auto"/>
                <w:lang w:val="en-US" w:eastAsia="zh-CN"/>
              </w:rPr>
              <w:t>180MVA</w:t>
            </w:r>
          </w:p>
        </w:tc>
        <w:tc>
          <w:tcPr>
            <w:tcW w:w="1378" w:type="pct"/>
            <w:tcBorders>
              <w:tl2br w:val="nil"/>
              <w:tr2bl w:val="nil"/>
            </w:tcBorders>
            <w:vAlign w:val="center"/>
          </w:tcPr>
          <w:p w14:paraId="35C31559">
            <w:pPr>
              <w:pStyle w:val="R-"/>
              <w:bidi w:val="0"/>
              <w:rPr>
                <w:rFonts w:ascii="Times New Roman" w:eastAsia="宋体" w:hAnsi="Times New Roman" w:cs="Times New Roman" w:hint="default"/>
                <w:color w:val="auto"/>
                <w:lang w:val="en-US" w:eastAsia="zh-CN"/>
              </w:rPr>
            </w:pPr>
            <w:r>
              <w:rPr>
                <w:rFonts w:cs="Times New Roman" w:hint="eastAsia"/>
                <w:color w:val="auto"/>
                <w:lang w:val="en-US" w:eastAsia="zh-CN"/>
              </w:rPr>
              <w:t>相同可类比</w:t>
            </w:r>
          </w:p>
        </w:tc>
      </w:tr>
      <w:tr w14:paraId="245A2DDB">
        <w:tblPrEx>
          <w:tblW w:w="5008" w:type="pct"/>
          <w:tblInd w:w="0" w:type="dxa"/>
          <w:tblCellMar>
            <w:top w:w="0" w:type="dxa"/>
            <w:left w:w="0" w:type="dxa"/>
            <w:bottom w:w="0" w:type="dxa"/>
            <w:right w:w="0" w:type="dxa"/>
          </w:tblCellMar>
        </w:tblPrEx>
        <w:trPr>
          <w:trHeight w:val="399"/>
        </w:trPr>
        <w:tc>
          <w:tcPr>
            <w:tcW w:w="1007" w:type="pct"/>
            <w:tcBorders>
              <w:tl2br w:val="nil"/>
              <w:tr2bl w:val="nil"/>
            </w:tcBorders>
            <w:vAlign w:val="center"/>
          </w:tcPr>
          <w:p w14:paraId="6F588865">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布置方式</w:t>
            </w:r>
          </w:p>
        </w:tc>
        <w:tc>
          <w:tcPr>
            <w:tcW w:w="1204" w:type="pct"/>
            <w:tcBorders>
              <w:tl2br w:val="nil"/>
              <w:tr2bl w:val="nil"/>
            </w:tcBorders>
            <w:vAlign w:val="center"/>
          </w:tcPr>
          <w:p w14:paraId="2D55143F">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主变户外布置及配电装置</w:t>
            </w:r>
            <w:r>
              <w:rPr>
                <w:rFonts w:cs="Times New Roman" w:hint="eastAsia"/>
                <w:color w:val="auto"/>
                <w:lang w:val="en-US" w:eastAsia="zh-CN"/>
              </w:rPr>
              <w:t>舱内</w:t>
            </w:r>
            <w:r>
              <w:rPr>
                <w:rFonts w:ascii="Times New Roman" w:eastAsia="宋体" w:hAnsi="Times New Roman" w:cs="Times New Roman" w:hint="default"/>
                <w:color w:val="auto"/>
              </w:rPr>
              <w:t>布置</w:t>
            </w:r>
          </w:p>
        </w:tc>
        <w:tc>
          <w:tcPr>
            <w:tcW w:w="1410" w:type="pct"/>
            <w:tcBorders>
              <w:tl2br w:val="nil"/>
              <w:tr2bl w:val="nil"/>
            </w:tcBorders>
            <w:vAlign w:val="center"/>
          </w:tcPr>
          <w:p w14:paraId="78630AE5">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主变及配电装置户外布置</w:t>
            </w:r>
          </w:p>
        </w:tc>
        <w:tc>
          <w:tcPr>
            <w:tcW w:w="1378" w:type="pct"/>
            <w:tcBorders>
              <w:tl2br w:val="nil"/>
              <w:tr2bl w:val="nil"/>
            </w:tcBorders>
            <w:vAlign w:val="center"/>
          </w:tcPr>
          <w:p w14:paraId="55DD7161">
            <w:pPr>
              <w:pStyle w:val="R-"/>
              <w:bidi w:val="0"/>
              <w:rPr>
                <w:rFonts w:ascii="Times New Roman" w:eastAsia="宋体" w:hAnsi="Times New Roman" w:cs="Times New Roman" w:hint="default"/>
                <w:color w:val="auto"/>
                <w:lang w:val="en-US"/>
              </w:rPr>
            </w:pPr>
            <w:r>
              <w:rPr>
                <w:rFonts w:cs="Times New Roman" w:hint="eastAsia"/>
                <w:color w:val="auto"/>
                <w:lang w:val="en-US" w:eastAsia="zh-CN"/>
              </w:rPr>
              <w:t>优于类比项目</w:t>
            </w:r>
          </w:p>
        </w:tc>
      </w:tr>
      <w:tr w14:paraId="0BE566F7">
        <w:tblPrEx>
          <w:tblW w:w="5008" w:type="pct"/>
          <w:tblInd w:w="0" w:type="dxa"/>
          <w:tblCellMar>
            <w:top w:w="0" w:type="dxa"/>
            <w:left w:w="0" w:type="dxa"/>
            <w:bottom w:w="0" w:type="dxa"/>
            <w:right w:w="0" w:type="dxa"/>
          </w:tblCellMar>
        </w:tblPrEx>
        <w:trPr>
          <w:trHeight w:val="544"/>
        </w:trPr>
        <w:tc>
          <w:tcPr>
            <w:tcW w:w="1007" w:type="pct"/>
            <w:tcBorders>
              <w:tl2br w:val="nil"/>
              <w:tr2bl w:val="nil"/>
            </w:tcBorders>
            <w:vAlign w:val="center"/>
          </w:tcPr>
          <w:p w14:paraId="6340E847">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占地面积</w:t>
            </w:r>
          </w:p>
        </w:tc>
        <w:tc>
          <w:tcPr>
            <w:tcW w:w="1204" w:type="pct"/>
            <w:tcBorders>
              <w:tl2br w:val="nil"/>
              <w:tr2bl w:val="nil"/>
            </w:tcBorders>
            <w:vAlign w:val="center"/>
          </w:tcPr>
          <w:p w14:paraId="70AFA6A4">
            <w:pPr>
              <w:pStyle w:val="R-"/>
              <w:bidi w:val="0"/>
              <w:rPr>
                <w:rFonts w:ascii="Times New Roman" w:eastAsia="宋体" w:hAnsi="Times New Roman" w:cs="Times New Roman" w:hint="default"/>
                <w:color w:val="auto"/>
              </w:rPr>
            </w:pPr>
            <w:r>
              <w:rPr>
                <w:rFonts w:ascii="Times New Roman" w:hAnsi="Times New Roman" w:cs="Times New Roman" w:hint="eastAsia"/>
                <w:color w:val="auto"/>
                <w:spacing w:val="-2"/>
                <w:sz w:val="21"/>
                <w:szCs w:val="21"/>
                <w:lang w:val="en-US" w:eastAsia="zh-CN"/>
              </w:rPr>
              <w:t>82943</w:t>
            </w:r>
            <w:r>
              <w:rPr>
                <w:rFonts w:ascii="Times New Roman" w:eastAsia="宋体" w:hAnsi="Times New Roman" w:cs="Times New Roman" w:hint="default"/>
                <w:color w:val="auto"/>
              </w:rPr>
              <w:t>m</w:t>
            </w:r>
            <w:r>
              <w:rPr>
                <w:rFonts w:ascii="Times New Roman" w:eastAsia="宋体" w:hAnsi="Times New Roman" w:cs="Times New Roman" w:hint="default"/>
                <w:color w:val="auto"/>
                <w:vertAlign w:val="superscript"/>
              </w:rPr>
              <w:t>2</w:t>
            </w:r>
          </w:p>
        </w:tc>
        <w:tc>
          <w:tcPr>
            <w:tcW w:w="1410" w:type="pct"/>
            <w:tcBorders>
              <w:tl2br w:val="nil"/>
              <w:tr2bl w:val="nil"/>
            </w:tcBorders>
            <w:vAlign w:val="center"/>
          </w:tcPr>
          <w:p w14:paraId="755DA68F">
            <w:pPr>
              <w:pStyle w:val="R-"/>
              <w:bidi w:val="0"/>
              <w:rPr>
                <w:rFonts w:ascii="Times New Roman" w:eastAsia="宋体" w:hAnsi="Times New Roman" w:cs="Times New Roman" w:hint="default"/>
                <w:color w:val="auto"/>
              </w:rPr>
            </w:pPr>
            <w:r>
              <w:rPr>
                <w:rFonts w:cs="Times New Roman" w:hint="eastAsia"/>
                <w:color w:val="auto"/>
                <w:lang w:val="en-US" w:eastAsia="zh-CN"/>
              </w:rPr>
              <w:t>7847</w:t>
            </w:r>
            <w:r>
              <w:rPr>
                <w:rFonts w:ascii="Times New Roman" w:eastAsia="宋体" w:hAnsi="Times New Roman" w:cs="Times New Roman" w:hint="default"/>
                <w:color w:val="auto"/>
              </w:rPr>
              <w:t>m</w:t>
            </w:r>
            <w:r>
              <w:rPr>
                <w:rFonts w:ascii="Times New Roman" w:eastAsia="宋体" w:hAnsi="Times New Roman" w:cs="Times New Roman" w:hint="default"/>
                <w:color w:val="auto"/>
                <w:vertAlign w:val="superscript"/>
              </w:rPr>
              <w:t>2</w:t>
            </w:r>
          </w:p>
        </w:tc>
        <w:tc>
          <w:tcPr>
            <w:tcW w:w="1378" w:type="pct"/>
            <w:tcBorders>
              <w:tl2br w:val="nil"/>
              <w:tr2bl w:val="nil"/>
            </w:tcBorders>
            <w:vAlign w:val="center"/>
          </w:tcPr>
          <w:p w14:paraId="0A280E41">
            <w:pPr>
              <w:pStyle w:val="R-"/>
              <w:bidi w:val="0"/>
              <w:rPr>
                <w:rFonts w:ascii="Times New Roman" w:eastAsia="宋体" w:hAnsi="Times New Roman" w:cs="Times New Roman" w:hint="default"/>
                <w:color w:val="auto"/>
              </w:rPr>
            </w:pPr>
            <w:r>
              <w:rPr>
                <w:rFonts w:cs="Times New Roman" w:hint="eastAsia"/>
                <w:color w:val="auto"/>
                <w:lang w:val="en-US" w:eastAsia="zh-CN"/>
              </w:rPr>
              <w:t>面积远大于类比项目</w:t>
            </w:r>
          </w:p>
        </w:tc>
      </w:tr>
      <w:tr w14:paraId="23090DFE">
        <w:tblPrEx>
          <w:tblW w:w="5008" w:type="pct"/>
          <w:tblInd w:w="0" w:type="dxa"/>
          <w:tblCellMar>
            <w:top w:w="0" w:type="dxa"/>
            <w:left w:w="0" w:type="dxa"/>
            <w:bottom w:w="0" w:type="dxa"/>
            <w:right w:w="0" w:type="dxa"/>
          </w:tblCellMar>
        </w:tblPrEx>
        <w:trPr>
          <w:trHeight w:val="422"/>
        </w:trPr>
        <w:tc>
          <w:tcPr>
            <w:tcW w:w="1007" w:type="pct"/>
            <w:tcBorders>
              <w:tl2br w:val="nil"/>
              <w:tr2bl w:val="nil"/>
            </w:tcBorders>
            <w:vAlign w:val="center"/>
          </w:tcPr>
          <w:p w14:paraId="1357EDD5">
            <w:pPr>
              <w:pStyle w:val="R-"/>
              <w:bidi w:val="0"/>
              <w:rPr>
                <w:rFonts w:ascii="Times New Roman" w:eastAsia="宋体" w:hAnsi="Times New Roman" w:cs="Times New Roman" w:hint="default"/>
                <w:color w:val="auto"/>
                <w:lang w:val="en-US" w:eastAsia="zh-CN"/>
              </w:rPr>
            </w:pPr>
            <w:r>
              <w:rPr>
                <w:rFonts w:cs="Times New Roman" w:hint="eastAsia"/>
                <w:color w:val="auto"/>
                <w:lang w:val="en-US" w:eastAsia="zh-CN"/>
              </w:rPr>
              <w:t>距离厂界距离</w:t>
            </w:r>
          </w:p>
        </w:tc>
        <w:tc>
          <w:tcPr>
            <w:tcW w:w="1204" w:type="pct"/>
            <w:tcBorders>
              <w:tl2br w:val="nil"/>
              <w:tr2bl w:val="nil"/>
            </w:tcBorders>
            <w:vAlign w:val="center"/>
          </w:tcPr>
          <w:p w14:paraId="6E169652">
            <w:pPr>
              <w:pStyle w:val="R-"/>
              <w:bidi w:val="0"/>
              <w:rPr>
                <w:rFonts w:ascii="Times New Roman" w:eastAsia="宋体" w:hAnsi="Times New Roman" w:cs="Times New Roman" w:hint="default"/>
                <w:color w:val="auto"/>
                <w:lang w:val="en-US" w:eastAsia="zh-CN"/>
              </w:rPr>
            </w:pPr>
            <w:r>
              <w:rPr>
                <w:rFonts w:cs="Times New Roman" w:hint="eastAsia"/>
                <w:color w:val="auto"/>
                <w:lang w:val="en-US" w:eastAsia="zh-CN"/>
              </w:rPr>
              <w:t>50m</w:t>
            </w:r>
          </w:p>
        </w:tc>
        <w:tc>
          <w:tcPr>
            <w:tcW w:w="1410" w:type="pct"/>
            <w:tcBorders>
              <w:tl2br w:val="nil"/>
              <w:tr2bl w:val="nil"/>
            </w:tcBorders>
            <w:vAlign w:val="center"/>
          </w:tcPr>
          <w:p w14:paraId="659EB054">
            <w:pPr>
              <w:pStyle w:val="R-"/>
              <w:bidi w:val="0"/>
              <w:rPr>
                <w:rFonts w:ascii="Times New Roman" w:eastAsia="宋体" w:hAnsi="Times New Roman" w:cs="Times New Roman" w:hint="default"/>
                <w:color w:val="auto"/>
                <w:lang w:val="en-US"/>
              </w:rPr>
            </w:pPr>
            <w:r>
              <w:rPr>
                <w:rFonts w:cs="Times New Roman" w:hint="eastAsia"/>
                <w:color w:val="auto"/>
                <w:lang w:val="en-US" w:eastAsia="zh-CN"/>
              </w:rPr>
              <w:t>20</w:t>
            </w:r>
          </w:p>
        </w:tc>
        <w:tc>
          <w:tcPr>
            <w:tcW w:w="1378" w:type="pct"/>
            <w:tcBorders>
              <w:tl2br w:val="nil"/>
              <w:tr2bl w:val="nil"/>
            </w:tcBorders>
            <w:vAlign w:val="center"/>
          </w:tcPr>
          <w:p w14:paraId="685181AE">
            <w:pPr>
              <w:pStyle w:val="R-"/>
              <w:bidi w:val="0"/>
              <w:rPr>
                <w:rFonts w:ascii="Times New Roman" w:eastAsia="宋体" w:hAnsi="Times New Roman" w:cs="Times New Roman" w:hint="default"/>
                <w:color w:val="auto"/>
                <w:lang w:val="en-US" w:eastAsia="zh-CN"/>
              </w:rPr>
            </w:pPr>
            <w:r>
              <w:rPr>
                <w:rFonts w:cs="Times New Roman" w:hint="eastAsia"/>
                <w:color w:val="auto"/>
                <w:lang w:val="en-US" w:eastAsia="zh-CN"/>
              </w:rPr>
              <w:t>优于类比项目</w:t>
            </w:r>
          </w:p>
        </w:tc>
      </w:tr>
    </w:tbl>
    <w:p w14:paraId="3E7DDD8A">
      <w:pPr>
        <w:spacing w:before="38" w:line="359" w:lineRule="auto"/>
        <w:ind w:left="116" w:right="109" w:firstLine="513"/>
        <w:jc w:val="both"/>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12"/>
          <w:sz w:val="24"/>
          <w:szCs w:val="24"/>
        </w:rPr>
        <w:t>由表</w:t>
      </w:r>
      <w:r>
        <w:rPr>
          <w:rFonts w:cs="Times New Roman" w:hint="eastAsia"/>
          <w:color w:val="auto"/>
          <w:spacing w:val="12"/>
          <w:sz w:val="24"/>
          <w:szCs w:val="24"/>
          <w:lang w:val="en-US" w:eastAsia="zh-CN"/>
        </w:rPr>
        <w:t>5</w:t>
      </w:r>
      <w:r>
        <w:rPr>
          <w:rFonts w:ascii="Times New Roman" w:eastAsia="宋体" w:hAnsi="Times New Roman" w:cs="Times New Roman" w:hint="default"/>
          <w:color w:val="auto"/>
          <w:spacing w:val="12"/>
          <w:sz w:val="24"/>
          <w:szCs w:val="24"/>
        </w:rPr>
        <w:t>可见，本项目拟建升压站与泰安果都220kV变电站</w:t>
      </w:r>
      <w:r>
        <w:rPr>
          <w:rFonts w:ascii="Times New Roman" w:eastAsia="宋体" w:hAnsi="Times New Roman" w:cs="Times New Roman" w:hint="default"/>
          <w:color w:val="auto"/>
          <w:sz w:val="24"/>
          <w:szCs w:val="24"/>
        </w:rPr>
        <w:t>电压等级、布置方式</w:t>
      </w:r>
      <w:r>
        <w:rPr>
          <w:rFonts w:cs="Times New Roman" w:hint="eastAsia"/>
          <w:color w:val="auto"/>
          <w:sz w:val="24"/>
          <w:szCs w:val="24"/>
          <w:lang w:val="en-US" w:eastAsia="zh-CN"/>
        </w:rPr>
        <w:t>基本相同</w:t>
      </w:r>
      <w:r>
        <w:rPr>
          <w:rFonts w:ascii="Times New Roman" w:eastAsia="宋体" w:hAnsi="Times New Roman" w:cs="Times New Roman" w:hint="default"/>
          <w:color w:val="auto"/>
          <w:sz w:val="24"/>
          <w:szCs w:val="24"/>
        </w:rPr>
        <w:t>，本项目占地面</w:t>
      </w:r>
      <w:r>
        <w:rPr>
          <w:rFonts w:ascii="Times New Roman" w:eastAsia="宋体" w:hAnsi="Times New Roman" w:cs="Times New Roman" w:hint="default"/>
          <w:color w:val="auto"/>
          <w:spacing w:val="-2"/>
          <w:sz w:val="24"/>
          <w:szCs w:val="24"/>
        </w:rPr>
        <w:t>积</w:t>
      </w:r>
      <w:r>
        <w:rPr>
          <w:rFonts w:cs="Times New Roman" w:hint="eastAsia"/>
          <w:color w:val="auto"/>
          <w:spacing w:val="-2"/>
          <w:sz w:val="24"/>
          <w:szCs w:val="24"/>
          <w:lang w:eastAsia="zh-CN"/>
        </w:rPr>
        <w:t>、</w:t>
      </w:r>
      <w:r>
        <w:rPr>
          <w:rFonts w:cs="Times New Roman" w:hint="eastAsia"/>
          <w:color w:val="auto"/>
          <w:spacing w:val="-2"/>
          <w:sz w:val="24"/>
          <w:szCs w:val="24"/>
          <w:lang w:val="en-US" w:eastAsia="zh-CN"/>
        </w:rPr>
        <w:t>厂界距离优于</w:t>
      </w:r>
      <w:r>
        <w:rPr>
          <w:rFonts w:ascii="Times New Roman" w:eastAsia="宋体" w:hAnsi="Times New Roman" w:cs="Times New Roman" w:hint="default"/>
          <w:color w:val="auto"/>
          <w:spacing w:val="-2"/>
          <w:sz w:val="24"/>
          <w:szCs w:val="24"/>
        </w:rPr>
        <w:t>于</w:t>
      </w:r>
      <w:r>
        <w:rPr>
          <w:rFonts w:ascii="Times New Roman" w:eastAsia="宋体" w:hAnsi="Times New Roman" w:cs="Times New Roman" w:hint="default"/>
          <w:color w:val="auto"/>
          <w:spacing w:val="-2"/>
          <w:sz w:val="24"/>
          <w:szCs w:val="24"/>
          <w:lang w:val="en-US" w:eastAsia="zh-CN"/>
        </w:rPr>
        <w:t>类比</w:t>
      </w:r>
      <w:r>
        <w:rPr>
          <w:rFonts w:ascii="Times New Roman" w:eastAsia="宋体" w:hAnsi="Times New Roman" w:cs="Times New Roman" w:hint="default"/>
          <w:color w:val="auto"/>
          <w:spacing w:val="-2"/>
          <w:sz w:val="24"/>
          <w:szCs w:val="24"/>
        </w:rPr>
        <w:t>项目</w:t>
      </w:r>
      <w:r>
        <w:rPr>
          <w:rFonts w:cs="Times New Roman" w:hint="eastAsia"/>
          <w:color w:val="auto"/>
          <w:spacing w:val="-2"/>
          <w:sz w:val="24"/>
          <w:szCs w:val="24"/>
          <w:lang w:eastAsia="zh-CN"/>
        </w:rPr>
        <w:t>，</w:t>
      </w:r>
      <w:r>
        <w:rPr>
          <w:rFonts w:ascii="Times New Roman" w:eastAsia="宋体" w:hAnsi="Times New Roman" w:cs="Times New Roman" w:hint="default"/>
          <w:color w:val="auto"/>
          <w:sz w:val="24"/>
          <w:szCs w:val="24"/>
          <w:lang w:val="en-US" w:eastAsia="zh-CN"/>
        </w:rPr>
        <w:t>通过</w:t>
      </w:r>
      <w:r>
        <w:rPr>
          <w:rFonts w:ascii="Times New Roman" w:eastAsia="宋体" w:hAnsi="Times New Roman" w:cs="Times New Roman" w:hint="default"/>
          <w:color w:val="auto"/>
          <w:spacing w:val="-2"/>
          <w:sz w:val="24"/>
          <w:szCs w:val="24"/>
        </w:rPr>
        <w:t>对比分析可</w:t>
      </w:r>
      <w:r>
        <w:rPr>
          <w:rFonts w:ascii="Times New Roman" w:eastAsia="宋体" w:hAnsi="Times New Roman" w:cs="Times New Roman" w:hint="default"/>
          <w:color w:val="auto"/>
          <w:spacing w:val="-1"/>
          <w:sz w:val="24"/>
          <w:szCs w:val="24"/>
        </w:rPr>
        <w:t>知，各项参数基本一致，具有较好的可比性。因</w:t>
      </w:r>
      <w:r>
        <w:rPr>
          <w:rFonts w:ascii="Times New Roman" w:eastAsia="宋体" w:hAnsi="Times New Roman" w:cs="Times New Roman" w:hint="default"/>
          <w:color w:val="auto"/>
          <w:spacing w:val="-2"/>
          <w:sz w:val="24"/>
          <w:szCs w:val="24"/>
        </w:rPr>
        <w:t>此，将其作为本项目的类比对象是可行</w:t>
      </w:r>
      <w:r>
        <w:rPr>
          <w:rFonts w:ascii="Times New Roman" w:eastAsia="宋体" w:hAnsi="Times New Roman" w:cs="Times New Roman" w:hint="default"/>
          <w:color w:val="auto"/>
          <w:spacing w:val="-15"/>
          <w:sz w:val="24"/>
          <w:szCs w:val="24"/>
        </w:rPr>
        <w:t>的。</w:t>
      </w:r>
    </w:p>
    <w:p w14:paraId="0AE7D757">
      <w:pPr>
        <w:spacing w:before="177" w:line="359" w:lineRule="auto"/>
        <w:ind w:left="119" w:right="111" w:firstLine="480"/>
        <w:jc w:val="both"/>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4"/>
          <w:sz w:val="24"/>
          <w:szCs w:val="24"/>
        </w:rPr>
        <w:t>通过</w:t>
      </w:r>
      <w:r>
        <w:rPr>
          <w:rFonts w:ascii="宋体" w:eastAsia="宋体" w:hAnsi="宋体" w:cs="宋体"/>
          <w:color w:val="auto"/>
          <w:spacing w:val="-1"/>
          <w:sz w:val="24"/>
          <w:szCs w:val="24"/>
        </w:rPr>
        <w:t>监测单位山东鼎嘉环境检测有限公司</w:t>
      </w:r>
      <w:r>
        <w:rPr>
          <w:rFonts w:ascii="Times New Roman" w:eastAsia="宋体" w:hAnsi="Times New Roman" w:cs="Times New Roman" w:hint="default"/>
          <w:color w:val="auto"/>
          <w:spacing w:val="4"/>
          <w:sz w:val="24"/>
          <w:szCs w:val="24"/>
        </w:rPr>
        <w:t>对泰安果都220kV变电站围墙外工频电磁</w:t>
      </w:r>
      <w:r>
        <w:rPr>
          <w:rFonts w:ascii="Times New Roman" w:eastAsia="宋体" w:hAnsi="Times New Roman" w:cs="Times New Roman" w:hint="default"/>
          <w:color w:val="auto"/>
          <w:spacing w:val="1"/>
          <w:sz w:val="24"/>
          <w:szCs w:val="24"/>
        </w:rPr>
        <w:t>场的实际监测（类比监测报告见附件</w:t>
      </w:r>
      <w:r>
        <w:rPr>
          <w:rFonts w:ascii="Times New Roman" w:eastAsia="宋体" w:hAnsi="Times New Roman" w:cs="Times New Roman" w:hint="default"/>
          <w:color w:val="auto"/>
          <w:spacing w:val="12"/>
          <w:sz w:val="24"/>
          <w:szCs w:val="24"/>
        </w:rPr>
        <w:t>），</w:t>
      </w:r>
      <w:r>
        <w:rPr>
          <w:rFonts w:ascii="Times New Roman" w:eastAsia="宋体" w:hAnsi="Times New Roman" w:cs="Times New Roman" w:hint="default"/>
          <w:color w:val="auto"/>
          <w:spacing w:val="1"/>
          <w:sz w:val="24"/>
          <w:szCs w:val="24"/>
        </w:rPr>
        <w:t>分析预测本项目运行后产生的工频电磁场对</w:t>
      </w:r>
      <w:r>
        <w:rPr>
          <w:rFonts w:ascii="Times New Roman" w:eastAsia="宋体" w:hAnsi="Times New Roman" w:cs="Times New Roman" w:hint="default"/>
          <w:color w:val="auto"/>
          <w:spacing w:val="-1"/>
          <w:sz w:val="24"/>
          <w:szCs w:val="24"/>
        </w:rPr>
        <w:t>周围环境的影响范围和程度。</w:t>
      </w:r>
    </w:p>
    <w:p w14:paraId="586BD547">
      <w:pPr>
        <w:spacing w:before="182" w:line="468" w:lineRule="exact"/>
        <w:ind w:left="612"/>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2"/>
          <w:position w:val="17"/>
          <w:sz w:val="24"/>
          <w:szCs w:val="24"/>
        </w:rPr>
        <w:t>（2）类比对象电磁环境影响数据</w:t>
      </w:r>
    </w:p>
    <w:p w14:paraId="0A7AADA6">
      <w:pPr>
        <w:spacing w:line="219" w:lineRule="auto"/>
        <w:ind w:left="619"/>
        <w:rPr>
          <w:rFonts w:ascii="Times New Roman" w:eastAsia="宋体" w:hAnsi="Times New Roman" w:cs="Times New Roman" w:hint="default"/>
          <w:color w:val="auto"/>
          <w:spacing w:val="-5"/>
          <w:sz w:val="24"/>
          <w:szCs w:val="24"/>
        </w:rPr>
      </w:pPr>
      <w:r>
        <w:rPr>
          <w:rFonts w:ascii="Times New Roman" w:eastAsia="宋体" w:hAnsi="Times New Roman" w:cs="Times New Roman" w:hint="default"/>
          <w:color w:val="auto"/>
          <w:spacing w:val="-5"/>
          <w:sz w:val="24"/>
          <w:szCs w:val="24"/>
        </w:rPr>
        <w:t>1）监测条件：</w:t>
      </w:r>
    </w:p>
    <w:p w14:paraId="10E3B933">
      <w:pPr>
        <w:spacing w:before="174" w:line="224" w:lineRule="auto"/>
        <w:jc w:val="center"/>
        <w:rPr>
          <w:rFonts w:ascii="Times New Roman" w:eastAsia="宋体" w:hAnsi="Times New Roman" w:cs="Times New Roman" w:hint="default"/>
          <w:color w:val="auto"/>
          <w:spacing w:val="6"/>
          <w:sz w:val="24"/>
          <w:szCs w:val="24"/>
          <w14:textOutline w14:w="3795" w14:cap="sq">
            <w14:solidFill>
              <w14:srgbClr w14:val="000000"/>
            </w14:solidFill>
            <w14:bevel/>
          </w14:textOutline>
        </w:rPr>
      </w:pPr>
      <w:r>
        <w:rPr>
          <w:rFonts w:ascii="Times New Roman" w:eastAsia="宋体" w:hAnsi="Times New Roman" w:cs="Times New Roman" w:hint="default"/>
          <w:color w:val="auto"/>
          <w:spacing w:val="6"/>
          <w:sz w:val="24"/>
          <w:szCs w:val="24"/>
          <w14:textOutline w14:w="3795" w14:cap="sq">
            <w14:solidFill>
              <w14:srgbClr w14:val="000000"/>
            </w14:solidFill>
            <w14:bevel/>
          </w14:textOutline>
        </w:rPr>
        <w:t>表</w:t>
      </w:r>
      <w:r>
        <w:rPr>
          <w:rFonts w:ascii="Times New Roman" w:eastAsia="宋体" w:hAnsi="Times New Roman" w:cs="Times New Roman" w:hint="default"/>
          <w:color w:val="auto"/>
          <w:spacing w:val="6"/>
          <w:sz w:val="24"/>
          <w:szCs w:val="24"/>
          <w:lang w:val="en-US" w:eastAsia="zh-CN"/>
          <w14:textOutline w14:w="3795" w14:cap="sq">
            <w14:solidFill>
              <w14:srgbClr w14:val="000000"/>
            </w14:solidFill>
            <w14:bevel/>
          </w14:textOutline>
        </w:rPr>
        <w:t>6</w:t>
      </w:r>
      <w:r>
        <w:rPr>
          <w:rFonts w:ascii="Times New Roman" w:eastAsia="宋体" w:hAnsi="Times New Roman" w:cs="Times New Roman" w:hint="default"/>
          <w:color w:val="auto"/>
          <w:spacing w:val="6"/>
          <w:sz w:val="24"/>
          <w:szCs w:val="24"/>
          <w14:textOutline w14:w="3795" w14:cap="sq">
            <w14:solidFill>
              <w14:srgbClr w14:val="000000"/>
            </w14:solidFill>
            <w14:bevel/>
          </w14:textOutline>
        </w:rPr>
        <w:t xml:space="preserve">  监测条件</w:t>
      </w:r>
    </w:p>
    <w:tbl>
      <w:tblPr>
        <w:tblStyle w:val="TableNormal0"/>
        <w:tblW w:w="4999"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1664"/>
        <w:gridCol w:w="1660"/>
        <w:gridCol w:w="1662"/>
        <w:gridCol w:w="1662"/>
        <w:gridCol w:w="1668"/>
      </w:tblGrid>
      <w:tr w14:paraId="674352E9">
        <w:tblPrEx>
          <w:tblW w:w="4999"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404"/>
        </w:trPr>
        <w:tc>
          <w:tcPr>
            <w:tcW w:w="1000" w:type="pct"/>
            <w:tcBorders>
              <w:tl2br w:val="nil"/>
              <w:tr2bl w:val="nil"/>
            </w:tcBorders>
            <w:vAlign w:val="center"/>
          </w:tcPr>
          <w:p w14:paraId="3DC2ED3D">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日期</w:t>
            </w:r>
          </w:p>
        </w:tc>
        <w:tc>
          <w:tcPr>
            <w:tcW w:w="998" w:type="pct"/>
            <w:tcBorders>
              <w:tl2br w:val="nil"/>
              <w:tr2bl w:val="nil"/>
            </w:tcBorders>
            <w:vAlign w:val="center"/>
          </w:tcPr>
          <w:p w14:paraId="64EE27B6">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气象</w:t>
            </w:r>
          </w:p>
        </w:tc>
        <w:tc>
          <w:tcPr>
            <w:tcW w:w="999" w:type="pct"/>
            <w:tcBorders>
              <w:tl2br w:val="nil"/>
              <w:tr2bl w:val="nil"/>
            </w:tcBorders>
            <w:vAlign w:val="center"/>
          </w:tcPr>
          <w:p w14:paraId="1A52ED74">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温度</w:t>
            </w:r>
          </w:p>
        </w:tc>
        <w:tc>
          <w:tcPr>
            <w:tcW w:w="999" w:type="pct"/>
            <w:tcBorders>
              <w:tl2br w:val="nil"/>
              <w:tr2bl w:val="nil"/>
            </w:tcBorders>
            <w:vAlign w:val="center"/>
          </w:tcPr>
          <w:p w14:paraId="06D8CB3C">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风速</w:t>
            </w:r>
          </w:p>
        </w:tc>
        <w:tc>
          <w:tcPr>
            <w:tcW w:w="1002" w:type="pct"/>
            <w:tcBorders>
              <w:tl2br w:val="nil"/>
              <w:tr2bl w:val="nil"/>
            </w:tcBorders>
            <w:vAlign w:val="center"/>
          </w:tcPr>
          <w:p w14:paraId="545F17F1">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湿度</w:t>
            </w:r>
          </w:p>
        </w:tc>
      </w:tr>
      <w:tr w14:paraId="2B2CE53D">
        <w:tblPrEx>
          <w:tblW w:w="4999" w:type="pct"/>
          <w:tblInd w:w="0" w:type="dxa"/>
          <w:tblCellMar>
            <w:top w:w="0" w:type="dxa"/>
            <w:left w:w="0" w:type="dxa"/>
            <w:bottom w:w="0" w:type="dxa"/>
            <w:right w:w="0" w:type="dxa"/>
          </w:tblCellMar>
        </w:tblPrEx>
        <w:trPr>
          <w:trHeight w:val="404"/>
        </w:trPr>
        <w:tc>
          <w:tcPr>
            <w:tcW w:w="1000" w:type="pct"/>
            <w:tcBorders>
              <w:tl2br w:val="nil"/>
              <w:tr2bl w:val="nil"/>
            </w:tcBorders>
            <w:vAlign w:val="center"/>
          </w:tcPr>
          <w:p w14:paraId="390A3C32">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rPr>
              <w:t>20</w:t>
            </w:r>
            <w:r>
              <w:rPr>
                <w:rFonts w:cs="Times New Roman" w:hint="eastAsia"/>
                <w:color w:val="auto"/>
                <w:lang w:val="en-US" w:eastAsia="zh-CN"/>
              </w:rPr>
              <w:t>21</w:t>
            </w:r>
            <w:r>
              <w:rPr>
                <w:rFonts w:ascii="Times New Roman" w:eastAsia="宋体" w:hAnsi="Times New Roman" w:cs="Times New Roman" w:hint="default"/>
                <w:color w:val="auto"/>
              </w:rPr>
              <w:t>年</w:t>
            </w:r>
            <w:r>
              <w:rPr>
                <w:rFonts w:cs="Times New Roman" w:hint="eastAsia"/>
                <w:color w:val="auto"/>
                <w:lang w:val="en-US" w:eastAsia="zh-CN"/>
              </w:rPr>
              <w:t>9</w:t>
            </w:r>
            <w:r>
              <w:rPr>
                <w:rFonts w:ascii="Times New Roman" w:eastAsia="宋体" w:hAnsi="Times New Roman" w:cs="Times New Roman" w:hint="default"/>
                <w:color w:val="auto"/>
              </w:rPr>
              <w:t>月</w:t>
            </w:r>
            <w:r>
              <w:rPr>
                <w:rFonts w:cs="Times New Roman" w:hint="eastAsia"/>
                <w:color w:val="auto"/>
                <w:lang w:val="en-US" w:eastAsia="zh-CN"/>
              </w:rPr>
              <w:t>4</w:t>
            </w:r>
            <w:r>
              <w:rPr>
                <w:rFonts w:ascii="Times New Roman" w:eastAsia="宋体" w:hAnsi="Times New Roman" w:cs="Times New Roman" w:hint="default"/>
                <w:color w:val="auto"/>
                <w:lang w:val="en-US" w:eastAsia="zh-CN"/>
              </w:rPr>
              <w:t>日</w:t>
            </w:r>
          </w:p>
        </w:tc>
        <w:tc>
          <w:tcPr>
            <w:tcW w:w="998" w:type="pct"/>
            <w:tcBorders>
              <w:tl2br w:val="nil"/>
              <w:tr2bl w:val="nil"/>
            </w:tcBorders>
            <w:vAlign w:val="center"/>
          </w:tcPr>
          <w:p w14:paraId="6F71687C">
            <w:pPr>
              <w:pStyle w:val="R-"/>
              <w:bidi w:val="0"/>
              <w:rPr>
                <w:rFonts w:ascii="Times New Roman" w:eastAsia="宋体" w:hAnsi="Times New Roman" w:cs="Times New Roman" w:hint="default"/>
                <w:color w:val="auto"/>
              </w:rPr>
            </w:pPr>
            <w:r>
              <w:rPr>
                <w:rFonts w:ascii="宋体" w:eastAsia="宋体" w:hAnsi="宋体" w:cs="宋体"/>
                <w:color w:val="auto"/>
                <w:sz w:val="21"/>
                <w:szCs w:val="21"/>
              </w:rPr>
              <w:t>阴</w:t>
            </w:r>
          </w:p>
        </w:tc>
        <w:tc>
          <w:tcPr>
            <w:tcW w:w="999" w:type="pct"/>
            <w:tcBorders>
              <w:tl2br w:val="nil"/>
              <w:tr2bl w:val="nil"/>
            </w:tcBorders>
            <w:vAlign w:val="center"/>
          </w:tcPr>
          <w:p w14:paraId="32F410BD">
            <w:pPr>
              <w:pStyle w:val="R-"/>
              <w:bidi w:val="0"/>
              <w:rPr>
                <w:rFonts w:ascii="Times New Roman" w:eastAsia="宋体" w:hAnsi="Times New Roman" w:cs="Times New Roman" w:hint="default"/>
                <w:color w:val="auto"/>
              </w:rPr>
            </w:pPr>
            <w:r>
              <w:rPr>
                <w:rFonts w:cs="Times New Roman" w:hint="eastAsia"/>
                <w:color w:val="auto"/>
                <w:lang w:val="en-US" w:eastAsia="zh-CN"/>
              </w:rPr>
              <w:t>19.1-18.3</w:t>
            </w:r>
            <w:r>
              <w:rPr>
                <w:rFonts w:ascii="Times New Roman" w:eastAsia="宋体" w:hAnsi="Times New Roman" w:cs="Times New Roman" w:hint="default"/>
                <w:color w:val="auto"/>
              </w:rPr>
              <w:t>℃</w:t>
            </w:r>
          </w:p>
        </w:tc>
        <w:tc>
          <w:tcPr>
            <w:tcW w:w="999" w:type="pct"/>
            <w:tcBorders>
              <w:tl2br w:val="nil"/>
              <w:tr2bl w:val="nil"/>
            </w:tcBorders>
            <w:vAlign w:val="center"/>
          </w:tcPr>
          <w:p w14:paraId="7B1533FB">
            <w:pPr>
              <w:pStyle w:val="R-"/>
              <w:bidi w:val="0"/>
              <w:rPr>
                <w:rFonts w:ascii="Times New Roman" w:eastAsia="宋体" w:hAnsi="Times New Roman" w:cs="Times New Roman" w:hint="default"/>
                <w:color w:val="auto"/>
              </w:rPr>
            </w:pPr>
            <w:r>
              <w:rPr>
                <w:rFonts w:cs="Times New Roman" w:hint="eastAsia"/>
                <w:color w:val="auto"/>
                <w:lang w:val="en-US" w:eastAsia="zh-CN"/>
              </w:rPr>
              <w:t>1.4-1.8</w:t>
            </w:r>
            <w:r>
              <w:rPr>
                <w:rFonts w:ascii="Times New Roman" w:eastAsia="宋体" w:hAnsi="Times New Roman" w:cs="Times New Roman" w:hint="default"/>
                <w:color w:val="auto"/>
              </w:rPr>
              <w:t>m/s</w:t>
            </w:r>
          </w:p>
        </w:tc>
        <w:tc>
          <w:tcPr>
            <w:tcW w:w="1002" w:type="pct"/>
            <w:tcBorders>
              <w:tl2br w:val="nil"/>
              <w:tr2bl w:val="nil"/>
            </w:tcBorders>
            <w:vAlign w:val="center"/>
          </w:tcPr>
          <w:p w14:paraId="0DE86EF9">
            <w:pPr>
              <w:pStyle w:val="R-"/>
              <w:bidi w:val="0"/>
              <w:rPr>
                <w:rFonts w:ascii="Times New Roman" w:eastAsia="宋体" w:hAnsi="Times New Roman" w:cs="Times New Roman" w:hint="default"/>
                <w:color w:val="auto"/>
              </w:rPr>
            </w:pPr>
            <w:r>
              <w:rPr>
                <w:rFonts w:cs="Times New Roman" w:hint="eastAsia"/>
                <w:color w:val="auto"/>
                <w:lang w:val="en-US" w:eastAsia="zh-CN"/>
              </w:rPr>
              <w:t>71.2-72.3</w:t>
            </w:r>
            <w:r>
              <w:rPr>
                <w:rFonts w:ascii="Times New Roman" w:eastAsia="宋体" w:hAnsi="Times New Roman" w:cs="Times New Roman" w:hint="default"/>
                <w:color w:val="auto"/>
              </w:rPr>
              <w:t>%</w:t>
            </w:r>
          </w:p>
        </w:tc>
      </w:tr>
    </w:tbl>
    <w:p w14:paraId="6FCCA40E">
      <w:pPr>
        <w:spacing w:before="36" w:line="466" w:lineRule="exact"/>
        <w:ind w:left="598"/>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1"/>
          <w:position w:val="17"/>
          <w:sz w:val="24"/>
          <w:szCs w:val="24"/>
        </w:rPr>
        <w:t>2）监测因子：工频电场强度、工频磁感应强度。</w:t>
      </w:r>
    </w:p>
    <w:p w14:paraId="38267202">
      <w:pPr>
        <w:spacing w:line="218" w:lineRule="auto"/>
        <w:ind w:left="603"/>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1"/>
          <w:sz w:val="24"/>
          <w:szCs w:val="24"/>
        </w:rPr>
        <w:t>3）监测布点：</w:t>
      </w:r>
      <w:r>
        <w:rPr>
          <w:rFonts w:cs="Times New Roman" w:hint="eastAsia"/>
          <w:color w:val="auto"/>
          <w:spacing w:val="-1"/>
          <w:sz w:val="24"/>
          <w:szCs w:val="24"/>
          <w:lang w:val="en-US" w:eastAsia="zh-CN"/>
        </w:rPr>
        <w:t>变电</w:t>
      </w:r>
      <w:r>
        <w:rPr>
          <w:rFonts w:ascii="Times New Roman" w:eastAsia="宋体" w:hAnsi="Times New Roman" w:cs="Times New Roman" w:hint="default"/>
          <w:color w:val="auto"/>
          <w:spacing w:val="-1"/>
          <w:sz w:val="24"/>
          <w:szCs w:val="24"/>
        </w:rPr>
        <w:t>站四周厂界处，测点间距</w:t>
      </w:r>
      <w:r>
        <w:rPr>
          <w:rFonts w:ascii="Times New Roman" w:eastAsia="宋体" w:hAnsi="Times New Roman" w:cs="Times New Roman" w:hint="default"/>
          <w:color w:val="auto"/>
          <w:spacing w:val="-49"/>
          <w:sz w:val="24"/>
          <w:szCs w:val="24"/>
        </w:rPr>
        <w:t xml:space="preserve"> </w:t>
      </w:r>
      <w:r>
        <w:rPr>
          <w:rFonts w:ascii="Times New Roman" w:eastAsia="宋体" w:hAnsi="Times New Roman" w:cs="Times New Roman" w:hint="default"/>
          <w:color w:val="auto"/>
          <w:spacing w:val="-1"/>
          <w:sz w:val="24"/>
          <w:szCs w:val="24"/>
        </w:rPr>
        <w:t>5m。</w:t>
      </w:r>
    </w:p>
    <w:p w14:paraId="50D73DA1">
      <w:pPr>
        <w:spacing w:before="183" w:line="220" w:lineRule="auto"/>
        <w:ind w:left="597"/>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1"/>
          <w:sz w:val="24"/>
          <w:szCs w:val="24"/>
        </w:rPr>
        <w:t>4）监测工况：</w:t>
      </w:r>
    </w:p>
    <w:p w14:paraId="5FDCB2EE">
      <w:pPr>
        <w:spacing w:before="174" w:line="224" w:lineRule="auto"/>
        <w:jc w:val="center"/>
        <w:rPr>
          <w:rFonts w:ascii="Times New Roman" w:eastAsia="宋体" w:hAnsi="Times New Roman" w:cs="Times New Roman" w:hint="default"/>
          <w:color w:val="auto"/>
          <w:sz w:val="24"/>
          <w:szCs w:val="24"/>
          <w:lang w:eastAsia="zh-CN"/>
        </w:rPr>
      </w:pPr>
      <w:r>
        <w:rPr>
          <w:rFonts w:ascii="Times New Roman" w:eastAsia="宋体" w:hAnsi="Times New Roman" w:cs="Times New Roman" w:hint="default"/>
          <w:color w:val="auto"/>
          <w:spacing w:val="6"/>
          <w:sz w:val="24"/>
          <w:szCs w:val="24"/>
          <w14:textOutline w14:w="3795" w14:cap="sq">
            <w14:solidFill>
              <w14:srgbClr w14:val="000000"/>
            </w14:solidFill>
            <w14:bevel/>
          </w14:textOutline>
        </w:rPr>
        <w:t>表</w:t>
      </w:r>
      <w:r>
        <w:rPr>
          <w:rFonts w:ascii="Times New Roman" w:eastAsia="宋体" w:hAnsi="Times New Roman" w:cs="Times New Roman" w:hint="default"/>
          <w:b/>
          <w:bCs/>
          <w:color w:val="auto"/>
          <w:spacing w:val="6"/>
          <w:sz w:val="24"/>
          <w:szCs w:val="24"/>
          <w:lang w:val="en-US" w:eastAsia="zh-CN"/>
        </w:rPr>
        <w:t>7</w:t>
      </w:r>
      <w:r>
        <w:rPr>
          <w:rFonts w:ascii="Times New Roman" w:eastAsia="宋体" w:hAnsi="Times New Roman" w:cs="Times New Roman" w:hint="default"/>
          <w:b/>
          <w:bCs/>
          <w:color w:val="auto"/>
          <w:spacing w:val="4"/>
          <w:sz w:val="24"/>
          <w:szCs w:val="24"/>
        </w:rPr>
        <w:t xml:space="preserve">    </w:t>
      </w:r>
      <w:r>
        <w:rPr>
          <w:rFonts w:ascii="Times New Roman" w:eastAsia="宋体" w:hAnsi="Times New Roman" w:cs="Times New Roman" w:hint="default"/>
          <w:color w:val="auto"/>
          <w:spacing w:val="6"/>
          <w:sz w:val="24"/>
          <w:szCs w:val="24"/>
          <w14:textOutline w14:w="3795" w14:cap="sq">
            <w14:solidFill>
              <w14:srgbClr w14:val="000000"/>
            </w14:solidFill>
            <w14:bevel/>
          </w14:textOutline>
        </w:rPr>
        <w:t>监测</w:t>
      </w:r>
      <w:r>
        <w:rPr>
          <w:rFonts w:ascii="Times New Roman" w:eastAsia="宋体" w:hAnsi="Times New Roman" w:cs="Times New Roman" w:hint="default"/>
          <w:color w:val="auto"/>
          <w:spacing w:val="6"/>
          <w:sz w:val="24"/>
          <w:szCs w:val="24"/>
          <w:lang w:val="en-US" w:eastAsia="zh-CN"/>
          <w14:textOutline w14:w="3795" w14:cap="sq">
            <w14:solidFill>
              <w14:srgbClr w14:val="000000"/>
            </w14:solidFill>
            <w14:bevel/>
          </w14:textOutline>
        </w:rPr>
        <w:t>工况</w:t>
      </w:r>
    </w:p>
    <w:tbl>
      <w:tblPr>
        <w:tblStyle w:val="TableNormal0"/>
        <w:tblW w:w="5001"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2772"/>
        <w:gridCol w:w="2770"/>
        <w:gridCol w:w="2778"/>
      </w:tblGrid>
      <w:tr w14:paraId="5241F458">
        <w:tblPrEx>
          <w:tblW w:w="5001"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404"/>
        </w:trPr>
        <w:tc>
          <w:tcPr>
            <w:tcW w:w="1665" w:type="pct"/>
            <w:tcBorders>
              <w:tl2br w:val="nil"/>
              <w:tr2bl w:val="nil"/>
            </w:tcBorders>
            <w:vAlign w:val="center"/>
          </w:tcPr>
          <w:p w14:paraId="683DEB86">
            <w:pPr>
              <w:pStyle w:val="a4"/>
              <w:bidi w:val="0"/>
              <w:jc w:val="center"/>
              <w:rPr>
                <w:rFonts w:hint="default"/>
                <w:color w:val="auto"/>
              </w:rPr>
            </w:pPr>
            <w:r>
              <w:rPr>
                <w:rFonts w:hint="default"/>
                <w:color w:val="auto"/>
              </w:rPr>
              <w:t>主变压器</w:t>
            </w:r>
          </w:p>
        </w:tc>
        <w:tc>
          <w:tcPr>
            <w:tcW w:w="1664" w:type="pct"/>
            <w:tcBorders>
              <w:tl2br w:val="nil"/>
              <w:tr2bl w:val="nil"/>
            </w:tcBorders>
            <w:vAlign w:val="center"/>
          </w:tcPr>
          <w:p w14:paraId="1A605D92">
            <w:pPr>
              <w:pStyle w:val="a4"/>
              <w:bidi w:val="0"/>
              <w:jc w:val="center"/>
              <w:rPr>
                <w:rFonts w:hint="default"/>
                <w:color w:val="auto"/>
              </w:rPr>
            </w:pPr>
            <w:r>
              <w:rPr>
                <w:rFonts w:hint="default"/>
                <w:color w:val="auto"/>
              </w:rPr>
              <w:t>最大电流（A）</w:t>
            </w:r>
          </w:p>
        </w:tc>
        <w:tc>
          <w:tcPr>
            <w:tcW w:w="1669" w:type="pct"/>
            <w:tcBorders>
              <w:tl2br w:val="nil"/>
              <w:tr2bl w:val="nil"/>
            </w:tcBorders>
            <w:vAlign w:val="center"/>
          </w:tcPr>
          <w:p w14:paraId="4382FD47">
            <w:pPr>
              <w:pStyle w:val="a4"/>
              <w:bidi w:val="0"/>
              <w:jc w:val="center"/>
              <w:rPr>
                <w:rFonts w:hint="default"/>
                <w:color w:val="auto"/>
              </w:rPr>
            </w:pPr>
            <w:r>
              <w:rPr>
                <w:rFonts w:hint="default"/>
                <w:color w:val="auto"/>
              </w:rPr>
              <w:t>最</w:t>
            </w:r>
            <w:r>
              <w:rPr>
                <w:rFonts w:hint="default"/>
                <w:color w:val="auto"/>
                <w:lang w:eastAsia="zh-CN"/>
              </w:rPr>
              <w:t>大电</w:t>
            </w:r>
            <w:r>
              <w:rPr>
                <w:rFonts w:hint="default"/>
                <w:color w:val="auto"/>
              </w:rPr>
              <w:t>压（kV）</w:t>
            </w:r>
          </w:p>
        </w:tc>
      </w:tr>
      <w:tr w14:paraId="7F5A0005">
        <w:tblPrEx>
          <w:tblW w:w="5001" w:type="pct"/>
          <w:tblInd w:w="0" w:type="dxa"/>
          <w:tblCellMar>
            <w:top w:w="0" w:type="dxa"/>
            <w:left w:w="0" w:type="dxa"/>
            <w:bottom w:w="0" w:type="dxa"/>
            <w:right w:w="0" w:type="dxa"/>
          </w:tblCellMar>
        </w:tblPrEx>
        <w:trPr>
          <w:trHeight w:val="404"/>
        </w:trPr>
        <w:tc>
          <w:tcPr>
            <w:tcW w:w="1665" w:type="pct"/>
            <w:tcBorders>
              <w:tl2br w:val="nil"/>
              <w:tr2bl w:val="nil"/>
            </w:tcBorders>
            <w:vAlign w:val="center"/>
          </w:tcPr>
          <w:p w14:paraId="21AB2F35">
            <w:pPr>
              <w:pStyle w:val="a4"/>
              <w:bidi w:val="0"/>
              <w:jc w:val="center"/>
              <w:rPr>
                <w:rFonts w:hint="default"/>
                <w:color w:val="auto"/>
              </w:rPr>
            </w:pPr>
            <w:r>
              <w:rPr>
                <w:rFonts w:hint="default"/>
                <w:color w:val="auto"/>
              </w:rPr>
              <w:t>1号</w:t>
            </w:r>
          </w:p>
        </w:tc>
        <w:tc>
          <w:tcPr>
            <w:tcW w:w="1664" w:type="pct"/>
            <w:tcBorders>
              <w:tl2br w:val="nil"/>
              <w:tr2bl w:val="nil"/>
            </w:tcBorders>
            <w:vAlign w:val="center"/>
          </w:tcPr>
          <w:p w14:paraId="392AC827">
            <w:pPr>
              <w:pStyle w:val="a4"/>
              <w:bidi w:val="0"/>
              <w:jc w:val="center"/>
              <w:rPr>
                <w:rFonts w:hint="default"/>
                <w:color w:val="auto"/>
                <w:lang w:val="en-US" w:eastAsia="zh-CN"/>
              </w:rPr>
            </w:pPr>
            <w:r>
              <w:rPr>
                <w:rFonts w:hint="eastAsia"/>
                <w:color w:val="auto"/>
                <w:lang w:val="en-US" w:eastAsia="zh-CN"/>
              </w:rPr>
              <w:t>104.54-106.52</w:t>
            </w:r>
          </w:p>
        </w:tc>
        <w:tc>
          <w:tcPr>
            <w:tcW w:w="1669" w:type="pct"/>
            <w:tcBorders>
              <w:tl2br w:val="nil"/>
              <w:tr2bl w:val="nil"/>
            </w:tcBorders>
            <w:vAlign w:val="center"/>
          </w:tcPr>
          <w:p w14:paraId="240C3967">
            <w:pPr>
              <w:pStyle w:val="a4"/>
              <w:bidi w:val="0"/>
              <w:jc w:val="center"/>
              <w:rPr>
                <w:rFonts w:hint="default"/>
                <w:color w:val="auto"/>
                <w:lang w:val="en-US" w:eastAsia="zh-CN"/>
              </w:rPr>
            </w:pPr>
            <w:r>
              <w:rPr>
                <w:rFonts w:hint="eastAsia"/>
                <w:color w:val="auto"/>
                <w:lang w:val="en-US" w:eastAsia="zh-CN"/>
              </w:rPr>
              <w:t>225.51-230.32</w:t>
            </w:r>
          </w:p>
        </w:tc>
      </w:tr>
      <w:tr w14:paraId="39190000">
        <w:tblPrEx>
          <w:tblW w:w="5001" w:type="pct"/>
          <w:tblInd w:w="0" w:type="dxa"/>
          <w:tblCellMar>
            <w:top w:w="0" w:type="dxa"/>
            <w:left w:w="0" w:type="dxa"/>
            <w:bottom w:w="0" w:type="dxa"/>
            <w:right w:w="0" w:type="dxa"/>
          </w:tblCellMar>
        </w:tblPrEx>
        <w:trPr>
          <w:trHeight w:val="404"/>
        </w:trPr>
        <w:tc>
          <w:tcPr>
            <w:tcW w:w="1665" w:type="pct"/>
            <w:tcBorders>
              <w:tl2br w:val="nil"/>
              <w:tr2bl w:val="nil"/>
            </w:tcBorders>
            <w:vAlign w:val="center"/>
          </w:tcPr>
          <w:p w14:paraId="57C4CA05">
            <w:pPr>
              <w:pStyle w:val="a4"/>
              <w:bidi w:val="0"/>
              <w:jc w:val="center"/>
              <w:rPr>
                <w:rFonts w:hint="default"/>
                <w:color w:val="auto"/>
              </w:rPr>
            </w:pPr>
            <w:r>
              <w:rPr>
                <w:rFonts w:hint="default"/>
                <w:color w:val="auto"/>
                <w:lang w:val="en-US" w:eastAsia="zh-CN"/>
              </w:rPr>
              <w:t>2</w:t>
            </w:r>
            <w:r>
              <w:rPr>
                <w:rFonts w:hint="default"/>
                <w:color w:val="auto"/>
              </w:rPr>
              <w:t>号</w:t>
            </w:r>
          </w:p>
        </w:tc>
        <w:tc>
          <w:tcPr>
            <w:tcW w:w="1664" w:type="pct"/>
            <w:tcBorders>
              <w:tl2br w:val="nil"/>
              <w:tr2bl w:val="nil"/>
            </w:tcBorders>
            <w:vAlign w:val="center"/>
          </w:tcPr>
          <w:p w14:paraId="21C9684E">
            <w:pPr>
              <w:pStyle w:val="a4"/>
              <w:bidi w:val="0"/>
              <w:jc w:val="center"/>
              <w:rPr>
                <w:rFonts w:hint="default"/>
                <w:color w:val="auto"/>
                <w:lang w:val="en-US"/>
              </w:rPr>
            </w:pPr>
            <w:r>
              <w:rPr>
                <w:rFonts w:hint="eastAsia"/>
                <w:color w:val="auto"/>
                <w:lang w:val="en-US" w:eastAsia="zh-CN"/>
              </w:rPr>
              <w:t>92.96-93.21</w:t>
            </w:r>
          </w:p>
        </w:tc>
        <w:tc>
          <w:tcPr>
            <w:tcW w:w="1669" w:type="pct"/>
            <w:tcBorders>
              <w:tl2br w:val="nil"/>
              <w:tr2bl w:val="nil"/>
            </w:tcBorders>
            <w:vAlign w:val="center"/>
          </w:tcPr>
          <w:p w14:paraId="586CF487">
            <w:pPr>
              <w:pStyle w:val="a4"/>
              <w:bidi w:val="0"/>
              <w:jc w:val="center"/>
              <w:rPr>
                <w:rFonts w:hint="default"/>
                <w:color w:val="auto"/>
                <w:lang w:val="en-US" w:eastAsia="zh-CN"/>
              </w:rPr>
            </w:pPr>
            <w:r>
              <w:rPr>
                <w:rFonts w:hint="eastAsia"/>
                <w:color w:val="auto"/>
                <w:lang w:val="en-US" w:eastAsia="zh-CN"/>
              </w:rPr>
              <w:t>225.55-230.33</w:t>
            </w:r>
          </w:p>
        </w:tc>
      </w:tr>
    </w:tbl>
    <w:p w14:paraId="5665AC7F">
      <w:pPr>
        <w:pStyle w:val="00005"/>
        <w:bidi w:val="0"/>
        <w:rPr>
          <w:rFonts w:ascii="Times New Roman" w:eastAsia="宋体" w:hAnsi="Times New Roman" w:cs="Times New Roman" w:hint="default"/>
          <w:color w:val="auto"/>
          <w:spacing w:val="-2"/>
          <w:kern w:val="2"/>
          <w:sz w:val="24"/>
          <w:szCs w:val="24"/>
          <w:lang w:val="en-US" w:eastAsia="zh-CN" w:bidi="ar-SA"/>
        </w:rPr>
      </w:pPr>
    </w:p>
    <w:p w14:paraId="661D37A9">
      <w:pPr>
        <w:pStyle w:val="00005"/>
        <w:bidi w:val="0"/>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2"/>
          <w:kern w:val="2"/>
          <w:sz w:val="24"/>
          <w:szCs w:val="24"/>
          <w:lang w:val="en-US" w:eastAsia="zh-CN" w:bidi="ar-SA"/>
        </w:rPr>
        <w:t>5）监测结果：泰安果都220kV变电站周围电环境测量结果见表9。</w:t>
      </w:r>
    </w:p>
    <w:p w14:paraId="66CA21A1">
      <w:pPr>
        <w:spacing w:before="174" w:line="224" w:lineRule="auto"/>
        <w:jc w:val="center"/>
        <w:rPr>
          <w:rFonts w:ascii="Times New Roman" w:eastAsia="宋体" w:hAnsi="Times New Roman" w:cs="Times New Roman" w:hint="default"/>
          <w:color w:val="auto"/>
          <w:spacing w:val="6"/>
          <w:sz w:val="24"/>
          <w:szCs w:val="24"/>
          <w14:textOutline w14:w="3795" w14:cap="sq">
            <w14:solidFill>
              <w14:srgbClr w14:val="000000"/>
            </w14:solidFill>
            <w14:bevel/>
          </w14:textOutline>
        </w:rPr>
      </w:pPr>
      <w:r>
        <w:rPr>
          <w:rFonts w:ascii="Times New Roman" w:eastAsia="宋体" w:hAnsi="Times New Roman" w:cs="Times New Roman" w:hint="default"/>
          <w:color w:val="auto"/>
          <w:spacing w:val="6"/>
          <w:sz w:val="24"/>
          <w:szCs w:val="24"/>
          <w14:textOutline w14:w="3795" w14:cap="sq">
            <w14:solidFill>
              <w14:srgbClr w14:val="000000"/>
            </w14:solidFill>
            <w14:bevel/>
          </w14:textOutline>
        </w:rPr>
        <w:t>表</w:t>
      </w:r>
      <w:r>
        <w:rPr>
          <w:rFonts w:ascii="Times New Roman" w:eastAsia="宋体" w:hAnsi="Times New Roman" w:cs="Times New Roman" w:hint="default"/>
          <w:color w:val="auto"/>
          <w:spacing w:val="6"/>
          <w:sz w:val="24"/>
          <w:szCs w:val="24"/>
          <w:lang w:val="en-US" w:eastAsia="zh-CN"/>
          <w14:textOutline w14:w="3795" w14:cap="sq">
            <w14:solidFill>
              <w14:srgbClr w14:val="000000"/>
            </w14:solidFill>
            <w14:bevel/>
          </w14:textOutline>
        </w:rPr>
        <w:t>8</w:t>
      </w:r>
      <w:r>
        <w:rPr>
          <w:rFonts w:ascii="Times New Roman" w:eastAsia="宋体" w:hAnsi="Times New Roman" w:cs="Times New Roman" w:hint="default"/>
          <w:color w:val="auto"/>
          <w:spacing w:val="6"/>
          <w:sz w:val="24"/>
          <w:szCs w:val="24"/>
          <w14:textOutline w14:w="3795" w14:cap="sq">
            <w14:solidFill>
              <w14:srgbClr w14:val="000000"/>
            </w14:solidFill>
            <w14:bevel/>
          </w14:textOutline>
        </w:rPr>
        <w:t xml:space="preserve">   泰安果都220kV变电站周围电磁环境监测结果</w:t>
      </w:r>
    </w:p>
    <w:tbl>
      <w:tblPr>
        <w:tblStyle w:val="TableNormal0"/>
        <w:tblW w:w="4999"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1966"/>
        <w:gridCol w:w="1966"/>
        <w:gridCol w:w="2189"/>
        <w:gridCol w:w="2195"/>
      </w:tblGrid>
      <w:tr w14:paraId="79C9A4F7">
        <w:tblPrEx>
          <w:tblW w:w="4999"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405"/>
        </w:trPr>
        <w:tc>
          <w:tcPr>
            <w:tcW w:w="2364" w:type="pct"/>
            <w:gridSpan w:val="2"/>
            <w:tcBorders>
              <w:tl2br w:val="nil"/>
              <w:tr2bl w:val="nil"/>
            </w:tcBorders>
            <w:vAlign w:val="center"/>
          </w:tcPr>
          <w:p w14:paraId="25CDE786">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测点位置</w:t>
            </w:r>
          </w:p>
        </w:tc>
        <w:tc>
          <w:tcPr>
            <w:tcW w:w="1316" w:type="pct"/>
            <w:tcBorders>
              <w:tl2br w:val="nil"/>
              <w:tr2bl w:val="nil"/>
            </w:tcBorders>
            <w:vAlign w:val="center"/>
          </w:tcPr>
          <w:p w14:paraId="0866C619">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工频电场强度（V/m）</w:t>
            </w:r>
          </w:p>
        </w:tc>
        <w:tc>
          <w:tcPr>
            <w:tcW w:w="1319" w:type="pct"/>
            <w:tcBorders>
              <w:tl2br w:val="nil"/>
              <w:tr2bl w:val="nil"/>
            </w:tcBorders>
            <w:vAlign w:val="center"/>
          </w:tcPr>
          <w:p w14:paraId="7827901A">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工频磁感应强度</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rPr>
              <w:t>μT）</w:t>
            </w:r>
          </w:p>
        </w:tc>
      </w:tr>
      <w:tr w14:paraId="42E5FD66">
        <w:tblPrEx>
          <w:tblW w:w="4999" w:type="pct"/>
          <w:tblInd w:w="0" w:type="dxa"/>
          <w:tblCellMar>
            <w:top w:w="0" w:type="dxa"/>
            <w:left w:w="0" w:type="dxa"/>
            <w:bottom w:w="0" w:type="dxa"/>
            <w:right w:w="0" w:type="dxa"/>
          </w:tblCellMar>
        </w:tblPrEx>
        <w:trPr>
          <w:trHeight w:val="400"/>
        </w:trPr>
        <w:tc>
          <w:tcPr>
            <w:tcW w:w="1182" w:type="pct"/>
            <w:tcBorders>
              <w:tl2br w:val="nil"/>
              <w:tr2bl w:val="nil"/>
            </w:tcBorders>
            <w:vAlign w:val="center"/>
          </w:tcPr>
          <w:p w14:paraId="2DC04886">
            <w:pPr>
              <w:pStyle w:val="R-"/>
              <w:bidi w:val="0"/>
              <w:jc w:val="center"/>
              <w:rPr>
                <w:rFonts w:ascii="Times New Roman" w:eastAsia="宋体" w:hAnsi="Times New Roman" w:cs="Times New Roman" w:hint="default"/>
                <w:color w:val="auto"/>
              </w:rPr>
            </w:pPr>
            <w:r>
              <w:rPr>
                <w:rFonts w:cs="Times New Roman" w:hint="eastAsia"/>
                <w:color w:val="auto"/>
                <w:lang w:val="en-US" w:eastAsia="zh-CN"/>
              </w:rPr>
              <w:t>变电</w:t>
            </w:r>
            <w:r>
              <w:rPr>
                <w:rFonts w:ascii="Times New Roman" w:eastAsia="宋体" w:hAnsi="Times New Roman" w:cs="Times New Roman" w:hint="default"/>
                <w:color w:val="auto"/>
              </w:rPr>
              <w:t>站东侧</w:t>
            </w:r>
          </w:p>
        </w:tc>
        <w:tc>
          <w:tcPr>
            <w:tcW w:w="1181" w:type="pct"/>
            <w:tcBorders>
              <w:tl2br w:val="nil"/>
              <w:tr2bl w:val="nil"/>
            </w:tcBorders>
            <w:vAlign w:val="center"/>
          </w:tcPr>
          <w:p w14:paraId="5693D958">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lang w:val="en-US" w:eastAsia="zh-CN"/>
              </w:rPr>
              <w:t>东侧</w:t>
            </w:r>
            <w:r>
              <w:rPr>
                <w:rFonts w:ascii="Times New Roman" w:eastAsia="宋体" w:hAnsi="Times New Roman" w:cs="Times New Roman" w:hint="default"/>
                <w:color w:val="auto"/>
              </w:rPr>
              <w:t>围墙外5m处</w:t>
            </w:r>
          </w:p>
        </w:tc>
        <w:tc>
          <w:tcPr>
            <w:tcW w:w="1316" w:type="pct"/>
            <w:tcBorders>
              <w:tl2br w:val="nil"/>
              <w:tr2bl w:val="nil"/>
            </w:tcBorders>
            <w:vAlign w:val="center"/>
          </w:tcPr>
          <w:p w14:paraId="30E0FFF0">
            <w:pPr>
              <w:pStyle w:val="R-"/>
              <w:bidi w:val="0"/>
              <w:jc w:val="center"/>
              <w:rPr>
                <w:rFonts w:ascii="Times New Roman" w:eastAsia="宋体" w:hAnsi="Times New Roman" w:cs="Times New Roman" w:hint="default"/>
                <w:color w:val="auto"/>
                <w:lang w:val="en-US"/>
              </w:rPr>
            </w:pPr>
            <w:r>
              <w:rPr>
                <w:rFonts w:ascii="Times New Roman" w:eastAsia="宋体" w:hAnsi="Times New Roman" w:cs="Times New Roman" w:hint="eastAsia"/>
                <w:color w:val="auto"/>
                <w:lang w:val="en-US" w:eastAsia="zh-CN"/>
              </w:rPr>
              <w:t>20..4</w:t>
            </w:r>
          </w:p>
        </w:tc>
        <w:tc>
          <w:tcPr>
            <w:tcW w:w="1319" w:type="pct"/>
            <w:tcBorders>
              <w:tl2br w:val="nil"/>
              <w:tr2bl w:val="nil"/>
            </w:tcBorders>
            <w:vAlign w:val="center"/>
          </w:tcPr>
          <w:p w14:paraId="5B3FEA45">
            <w:pPr>
              <w:pStyle w:val="R-"/>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rPr>
              <w:t>0.1635</w:t>
            </w:r>
          </w:p>
        </w:tc>
      </w:tr>
      <w:tr w14:paraId="49F807D9">
        <w:tblPrEx>
          <w:tblW w:w="4999" w:type="pct"/>
          <w:tblInd w:w="0" w:type="dxa"/>
          <w:tblCellMar>
            <w:top w:w="0" w:type="dxa"/>
            <w:left w:w="0" w:type="dxa"/>
            <w:bottom w:w="0" w:type="dxa"/>
            <w:right w:w="0" w:type="dxa"/>
          </w:tblCellMar>
        </w:tblPrEx>
        <w:trPr>
          <w:trHeight w:val="400"/>
        </w:trPr>
        <w:tc>
          <w:tcPr>
            <w:tcW w:w="1182" w:type="pct"/>
            <w:tcBorders>
              <w:tl2br w:val="nil"/>
              <w:tr2bl w:val="nil"/>
            </w:tcBorders>
            <w:vAlign w:val="center"/>
          </w:tcPr>
          <w:p w14:paraId="0B9B64A0">
            <w:pPr>
              <w:pStyle w:val="R-"/>
              <w:bidi w:val="0"/>
              <w:jc w:val="center"/>
              <w:rPr>
                <w:rFonts w:ascii="Times New Roman" w:eastAsia="宋体" w:hAnsi="Times New Roman" w:cs="Times New Roman" w:hint="default"/>
                <w:color w:val="auto"/>
              </w:rPr>
            </w:pPr>
            <w:r>
              <w:rPr>
                <w:rFonts w:cs="Times New Roman" w:hint="eastAsia"/>
                <w:color w:val="auto"/>
                <w:lang w:val="en-US" w:eastAsia="zh-CN"/>
              </w:rPr>
              <w:t>变电</w:t>
            </w:r>
            <w:r>
              <w:rPr>
                <w:rFonts w:ascii="Times New Roman" w:eastAsia="宋体" w:hAnsi="Times New Roman" w:cs="Times New Roman" w:hint="default"/>
                <w:color w:val="auto"/>
              </w:rPr>
              <w:t>站南侧</w:t>
            </w:r>
          </w:p>
        </w:tc>
        <w:tc>
          <w:tcPr>
            <w:tcW w:w="1181" w:type="pct"/>
            <w:tcBorders>
              <w:tl2br w:val="nil"/>
              <w:tr2bl w:val="nil"/>
            </w:tcBorders>
            <w:vAlign w:val="center"/>
          </w:tcPr>
          <w:p w14:paraId="4F674551">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lang w:val="en-US" w:eastAsia="zh-CN"/>
              </w:rPr>
              <w:t>西侧</w:t>
            </w:r>
            <w:r>
              <w:rPr>
                <w:rFonts w:ascii="Times New Roman" w:eastAsia="宋体" w:hAnsi="Times New Roman" w:cs="Times New Roman" w:hint="default"/>
                <w:color w:val="auto"/>
              </w:rPr>
              <w:t>围墙外5m处</w:t>
            </w:r>
          </w:p>
        </w:tc>
        <w:tc>
          <w:tcPr>
            <w:tcW w:w="1316" w:type="pct"/>
            <w:tcBorders>
              <w:tl2br w:val="nil"/>
              <w:tr2bl w:val="nil"/>
            </w:tcBorders>
            <w:vAlign w:val="center"/>
          </w:tcPr>
          <w:p w14:paraId="727BC975">
            <w:pPr>
              <w:pStyle w:val="R-"/>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rPr>
              <w:t>113.48</w:t>
            </w:r>
          </w:p>
        </w:tc>
        <w:tc>
          <w:tcPr>
            <w:tcW w:w="1319" w:type="pct"/>
            <w:tcBorders>
              <w:tl2br w:val="nil"/>
              <w:tr2bl w:val="nil"/>
            </w:tcBorders>
            <w:vAlign w:val="center"/>
          </w:tcPr>
          <w:p w14:paraId="0F38A662">
            <w:pPr>
              <w:pStyle w:val="R-"/>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rPr>
              <w:t>0.0760</w:t>
            </w:r>
          </w:p>
        </w:tc>
      </w:tr>
      <w:tr w14:paraId="50EF8AD0">
        <w:tblPrEx>
          <w:tblW w:w="4999" w:type="pct"/>
          <w:tblInd w:w="0" w:type="dxa"/>
          <w:tblCellMar>
            <w:top w:w="0" w:type="dxa"/>
            <w:left w:w="0" w:type="dxa"/>
            <w:bottom w:w="0" w:type="dxa"/>
            <w:right w:w="0" w:type="dxa"/>
          </w:tblCellMar>
        </w:tblPrEx>
        <w:trPr>
          <w:trHeight w:val="474"/>
        </w:trPr>
        <w:tc>
          <w:tcPr>
            <w:tcW w:w="1182" w:type="pct"/>
            <w:tcBorders>
              <w:tl2br w:val="nil"/>
              <w:tr2bl w:val="nil"/>
            </w:tcBorders>
            <w:vAlign w:val="center"/>
          </w:tcPr>
          <w:p w14:paraId="45283618">
            <w:pPr>
              <w:pStyle w:val="R-"/>
              <w:bidi w:val="0"/>
              <w:jc w:val="center"/>
              <w:rPr>
                <w:rFonts w:ascii="Times New Roman" w:eastAsia="宋体" w:hAnsi="Times New Roman" w:cs="Times New Roman" w:hint="default"/>
                <w:color w:val="auto"/>
              </w:rPr>
            </w:pPr>
            <w:r>
              <w:rPr>
                <w:rFonts w:cs="Times New Roman" w:hint="eastAsia"/>
                <w:color w:val="auto"/>
                <w:lang w:val="en-US" w:eastAsia="zh-CN"/>
              </w:rPr>
              <w:t>变电</w:t>
            </w:r>
            <w:r>
              <w:rPr>
                <w:rFonts w:ascii="Times New Roman" w:eastAsia="宋体" w:hAnsi="Times New Roman" w:cs="Times New Roman" w:hint="default"/>
                <w:color w:val="auto"/>
              </w:rPr>
              <w:t>站西侧</w:t>
            </w:r>
          </w:p>
        </w:tc>
        <w:tc>
          <w:tcPr>
            <w:tcW w:w="1181" w:type="pct"/>
            <w:tcBorders>
              <w:tl2br w:val="nil"/>
              <w:tr2bl w:val="nil"/>
            </w:tcBorders>
            <w:vAlign w:val="center"/>
          </w:tcPr>
          <w:p w14:paraId="1C56C2DF">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lang w:val="en-US" w:eastAsia="zh-CN"/>
              </w:rPr>
              <w:t>南侧</w:t>
            </w:r>
            <w:r>
              <w:rPr>
                <w:rFonts w:ascii="Times New Roman" w:eastAsia="宋体" w:hAnsi="Times New Roman" w:cs="Times New Roman" w:hint="default"/>
                <w:color w:val="auto"/>
              </w:rPr>
              <w:t>围墙外5m处</w:t>
            </w:r>
          </w:p>
        </w:tc>
        <w:tc>
          <w:tcPr>
            <w:tcW w:w="2189" w:type="dxa"/>
            <w:tcBorders>
              <w:tl2br w:val="nil"/>
              <w:tr2bl w:val="nil"/>
            </w:tcBorders>
            <w:vAlign w:val="center"/>
          </w:tcPr>
          <w:p w14:paraId="29B829C7">
            <w:pPr>
              <w:pStyle w:val="R-"/>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rPr>
              <w:t>35.97</w:t>
            </w:r>
          </w:p>
        </w:tc>
        <w:tc>
          <w:tcPr>
            <w:tcW w:w="2195" w:type="dxa"/>
            <w:tcBorders>
              <w:tl2br w:val="nil"/>
              <w:tr2bl w:val="nil"/>
            </w:tcBorders>
            <w:vAlign w:val="center"/>
          </w:tcPr>
          <w:p w14:paraId="6E16997D">
            <w:pPr>
              <w:pStyle w:val="R-"/>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rPr>
              <w:t>0.1030</w:t>
            </w:r>
          </w:p>
        </w:tc>
      </w:tr>
      <w:tr w14:paraId="0651234D">
        <w:tblPrEx>
          <w:tblW w:w="4999" w:type="pct"/>
          <w:tblInd w:w="0" w:type="dxa"/>
          <w:tblCellMar>
            <w:top w:w="0" w:type="dxa"/>
            <w:left w:w="0" w:type="dxa"/>
            <w:bottom w:w="0" w:type="dxa"/>
            <w:right w:w="0" w:type="dxa"/>
          </w:tblCellMar>
        </w:tblPrEx>
        <w:trPr>
          <w:trHeight w:val="400"/>
        </w:trPr>
        <w:tc>
          <w:tcPr>
            <w:tcW w:w="1182" w:type="pct"/>
            <w:tcBorders>
              <w:tl2br w:val="nil"/>
              <w:tr2bl w:val="nil"/>
            </w:tcBorders>
            <w:vAlign w:val="center"/>
          </w:tcPr>
          <w:p w14:paraId="5705E701">
            <w:pPr>
              <w:pStyle w:val="R-"/>
              <w:bidi w:val="0"/>
              <w:jc w:val="center"/>
              <w:rPr>
                <w:rFonts w:ascii="Times New Roman" w:eastAsia="宋体" w:hAnsi="Times New Roman" w:cs="Times New Roman" w:hint="default"/>
                <w:color w:val="auto"/>
              </w:rPr>
            </w:pPr>
            <w:r>
              <w:rPr>
                <w:rFonts w:cs="Times New Roman" w:hint="eastAsia"/>
                <w:color w:val="auto"/>
                <w:lang w:val="en-US" w:eastAsia="zh-CN"/>
              </w:rPr>
              <w:t>变电</w:t>
            </w:r>
            <w:r>
              <w:rPr>
                <w:rFonts w:ascii="Times New Roman" w:eastAsia="宋体" w:hAnsi="Times New Roman" w:cs="Times New Roman" w:hint="default"/>
                <w:color w:val="auto"/>
              </w:rPr>
              <w:t>站</w:t>
            </w:r>
            <w:r>
              <w:rPr>
                <w:rFonts w:ascii="Times New Roman" w:eastAsia="宋体" w:hAnsi="Times New Roman" w:cs="Times New Roman" w:hint="default"/>
                <w:color w:val="auto"/>
                <w:lang w:val="en-US" w:eastAsia="zh-CN"/>
              </w:rPr>
              <w:t>北</w:t>
            </w:r>
            <w:r>
              <w:rPr>
                <w:rFonts w:ascii="Times New Roman" w:eastAsia="宋体" w:hAnsi="Times New Roman" w:cs="Times New Roman" w:hint="default"/>
                <w:color w:val="auto"/>
              </w:rPr>
              <w:t>侧</w:t>
            </w:r>
          </w:p>
        </w:tc>
        <w:tc>
          <w:tcPr>
            <w:tcW w:w="1181" w:type="pct"/>
            <w:tcBorders>
              <w:tl2br w:val="nil"/>
              <w:tr2bl w:val="nil"/>
            </w:tcBorders>
            <w:vAlign w:val="center"/>
          </w:tcPr>
          <w:p w14:paraId="5D9F8050">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lang w:val="en-US" w:eastAsia="zh-CN"/>
              </w:rPr>
              <w:t>北侧</w:t>
            </w:r>
            <w:r>
              <w:rPr>
                <w:rFonts w:ascii="Times New Roman" w:eastAsia="宋体" w:hAnsi="Times New Roman" w:cs="Times New Roman" w:hint="default"/>
                <w:color w:val="auto"/>
              </w:rPr>
              <w:t>围墙外5m处</w:t>
            </w:r>
          </w:p>
        </w:tc>
        <w:tc>
          <w:tcPr>
            <w:tcW w:w="2189" w:type="dxa"/>
            <w:tcBorders>
              <w:tl2br w:val="nil"/>
              <w:tr2bl w:val="nil"/>
            </w:tcBorders>
            <w:vAlign w:val="center"/>
          </w:tcPr>
          <w:p w14:paraId="3BB1C996">
            <w:pPr>
              <w:pStyle w:val="R-"/>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rPr>
              <w:t>154.45</w:t>
            </w:r>
          </w:p>
        </w:tc>
        <w:tc>
          <w:tcPr>
            <w:tcW w:w="2195" w:type="dxa"/>
            <w:tcBorders>
              <w:tl2br w:val="nil"/>
              <w:tr2bl w:val="nil"/>
            </w:tcBorders>
            <w:vAlign w:val="center"/>
          </w:tcPr>
          <w:p w14:paraId="126B4197">
            <w:pPr>
              <w:pStyle w:val="R-"/>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rPr>
              <w:t>0.1251</w:t>
            </w:r>
          </w:p>
        </w:tc>
      </w:tr>
      <w:tr w14:paraId="70EB46C5">
        <w:tblPrEx>
          <w:tblW w:w="4999" w:type="pct"/>
          <w:tblInd w:w="0" w:type="dxa"/>
          <w:tblCellMar>
            <w:top w:w="0" w:type="dxa"/>
            <w:left w:w="0" w:type="dxa"/>
            <w:bottom w:w="0" w:type="dxa"/>
            <w:right w:w="0" w:type="dxa"/>
          </w:tblCellMar>
        </w:tblPrEx>
        <w:trPr>
          <w:trHeight w:val="424"/>
        </w:trPr>
        <w:tc>
          <w:tcPr>
            <w:tcW w:w="2364" w:type="pct"/>
            <w:gridSpan w:val="2"/>
            <w:tcBorders>
              <w:tl2br w:val="nil"/>
              <w:tr2bl w:val="nil"/>
            </w:tcBorders>
            <w:vAlign w:val="center"/>
          </w:tcPr>
          <w:p w14:paraId="060A2C7F">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规范限值</w:t>
            </w:r>
          </w:p>
        </w:tc>
        <w:tc>
          <w:tcPr>
            <w:tcW w:w="1316" w:type="pct"/>
            <w:tcBorders>
              <w:tl2br w:val="nil"/>
              <w:tr2bl w:val="nil"/>
            </w:tcBorders>
            <w:vAlign w:val="center"/>
          </w:tcPr>
          <w:p w14:paraId="0D037C64">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4000</w:t>
            </w:r>
          </w:p>
        </w:tc>
        <w:tc>
          <w:tcPr>
            <w:tcW w:w="1319" w:type="pct"/>
            <w:tcBorders>
              <w:tl2br w:val="nil"/>
              <w:tr2bl w:val="nil"/>
            </w:tcBorders>
            <w:vAlign w:val="center"/>
          </w:tcPr>
          <w:p w14:paraId="02ABEBCE">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100</w:t>
            </w:r>
          </w:p>
        </w:tc>
      </w:tr>
    </w:tbl>
    <w:p w14:paraId="326FBB86">
      <w:pPr>
        <w:spacing w:before="157" w:line="359" w:lineRule="auto"/>
        <w:ind w:left="122" w:right="106" w:firstLine="509"/>
        <w:rPr>
          <w:rFonts w:ascii="Times New Roman" w:eastAsia="宋体" w:hAnsi="Times New Roman" w:cs="Times New Roman" w:hint="default"/>
          <w:color w:val="auto"/>
          <w:spacing w:val="-1"/>
          <w:sz w:val="24"/>
          <w:szCs w:val="24"/>
        </w:rPr>
      </w:pPr>
      <w:r>
        <w:rPr>
          <w:rFonts w:ascii="Times New Roman" w:eastAsia="宋体" w:hAnsi="Times New Roman" w:cs="Times New Roman" w:hint="default"/>
          <w:color w:val="auto"/>
          <w:sz w:val="24"/>
          <w:szCs w:val="24"/>
        </w:rPr>
        <w:t>由表</w:t>
      </w:r>
      <w:r>
        <w:rPr>
          <w:rFonts w:ascii="Times New Roman" w:eastAsia="宋体" w:hAnsi="Times New Roman" w:cs="Times New Roman" w:hint="default"/>
          <w:color w:val="auto"/>
          <w:sz w:val="24"/>
          <w:szCs w:val="24"/>
          <w:lang w:val="en-US" w:eastAsia="zh-CN"/>
        </w:rPr>
        <w:t>8</w:t>
      </w:r>
      <w:r>
        <w:rPr>
          <w:rFonts w:ascii="Times New Roman" w:eastAsia="宋体" w:hAnsi="Times New Roman" w:cs="Times New Roman" w:hint="default"/>
          <w:color w:val="auto"/>
          <w:sz w:val="24"/>
          <w:szCs w:val="24"/>
        </w:rPr>
        <w:t>可以看出</w:t>
      </w:r>
      <w:r>
        <w:rPr>
          <w:rFonts w:ascii="Times New Roman" w:eastAsia="宋体" w:hAnsi="Times New Roman" w:cs="Times New Roman" w:hint="default"/>
          <w:color w:val="auto"/>
          <w:spacing w:val="-2"/>
          <w:kern w:val="2"/>
          <w:sz w:val="24"/>
          <w:szCs w:val="24"/>
          <w:lang w:val="en-US" w:eastAsia="zh-CN" w:bidi="ar-SA"/>
        </w:rPr>
        <w:t>泰安果都220kV变电站</w:t>
      </w:r>
      <w:r>
        <w:rPr>
          <w:rFonts w:ascii="Times New Roman" w:eastAsia="宋体" w:hAnsi="Times New Roman" w:cs="Times New Roman" w:hint="default"/>
          <w:color w:val="auto"/>
          <w:sz w:val="24"/>
          <w:szCs w:val="24"/>
        </w:rPr>
        <w:t>周围的工</w:t>
      </w:r>
      <w:r>
        <w:rPr>
          <w:rFonts w:ascii="Times New Roman" w:eastAsia="宋体" w:hAnsi="Times New Roman" w:cs="Times New Roman" w:hint="default"/>
          <w:color w:val="auto"/>
          <w:spacing w:val="-2"/>
          <w:sz w:val="24"/>
          <w:szCs w:val="24"/>
        </w:rPr>
        <w:t>频电场强度在</w:t>
      </w:r>
      <w:r>
        <w:rPr>
          <w:rFonts w:cs="Times New Roman" w:hint="eastAsia"/>
          <w:color w:val="auto"/>
          <w:spacing w:val="-2"/>
          <w:sz w:val="24"/>
          <w:szCs w:val="24"/>
          <w:lang w:val="en-US" w:eastAsia="zh-CN"/>
        </w:rPr>
        <w:t>20.4</w:t>
      </w:r>
      <w:r>
        <w:rPr>
          <w:rFonts w:ascii="Times New Roman" w:eastAsia="宋体" w:hAnsi="Times New Roman" w:cs="Times New Roman" w:hint="default"/>
          <w:color w:val="auto"/>
          <w:spacing w:val="-2"/>
          <w:sz w:val="24"/>
          <w:szCs w:val="24"/>
        </w:rPr>
        <w:t>V/m-</w:t>
      </w:r>
      <w:r>
        <w:rPr>
          <w:rFonts w:cs="Times New Roman" w:hint="eastAsia"/>
          <w:color w:val="auto"/>
          <w:spacing w:val="-2"/>
          <w:sz w:val="24"/>
          <w:szCs w:val="24"/>
          <w:lang w:val="en-US" w:eastAsia="zh-CN"/>
        </w:rPr>
        <w:t>154.455</w:t>
      </w:r>
      <w:r>
        <w:rPr>
          <w:rFonts w:ascii="Times New Roman" w:eastAsia="宋体" w:hAnsi="Times New Roman" w:cs="Times New Roman" w:hint="default"/>
          <w:color w:val="auto"/>
          <w:spacing w:val="-2"/>
          <w:sz w:val="24"/>
          <w:szCs w:val="24"/>
        </w:rPr>
        <w:t>V/m之间，工频磁感应强度在0.0</w:t>
      </w:r>
      <w:r>
        <w:rPr>
          <w:rFonts w:cs="Times New Roman" w:hint="eastAsia"/>
          <w:color w:val="auto"/>
          <w:spacing w:val="-2"/>
          <w:sz w:val="24"/>
          <w:szCs w:val="24"/>
          <w:lang w:val="en-US" w:eastAsia="zh-CN"/>
        </w:rPr>
        <w:t>76</w:t>
      </w:r>
      <w:r>
        <w:rPr>
          <w:rFonts w:ascii="Times New Roman" w:eastAsia="宋体" w:hAnsi="Times New Roman" w:cs="Times New Roman" w:hint="default"/>
          <w:color w:val="auto"/>
          <w:spacing w:val="-2"/>
          <w:sz w:val="24"/>
          <w:szCs w:val="24"/>
        </w:rPr>
        <w:t>μT-0.</w:t>
      </w:r>
      <w:r>
        <w:rPr>
          <w:rFonts w:cs="Times New Roman" w:hint="eastAsia"/>
          <w:color w:val="auto"/>
          <w:spacing w:val="-2"/>
          <w:sz w:val="24"/>
          <w:szCs w:val="24"/>
          <w:lang w:val="en-US" w:eastAsia="zh-CN"/>
        </w:rPr>
        <w:t>1635</w:t>
      </w:r>
      <w:r>
        <w:rPr>
          <w:rFonts w:ascii="Times New Roman" w:eastAsia="宋体" w:hAnsi="Times New Roman" w:cs="Times New Roman" w:hint="default"/>
          <w:color w:val="auto"/>
          <w:spacing w:val="-2"/>
          <w:sz w:val="24"/>
          <w:szCs w:val="24"/>
        </w:rPr>
        <w:t>μT之间，满足《电磁</w:t>
      </w:r>
      <w:r>
        <w:rPr>
          <w:rFonts w:ascii="Times New Roman" w:eastAsia="宋体" w:hAnsi="Times New Roman" w:cs="Times New Roman" w:hint="default"/>
          <w:color w:val="auto"/>
          <w:spacing w:val="-4"/>
          <w:sz w:val="24"/>
          <w:szCs w:val="24"/>
        </w:rPr>
        <w:t>环境控制限值》（GB8702-2014）中规定的控制限</w:t>
      </w:r>
      <w:r>
        <w:rPr>
          <w:rFonts w:ascii="Times New Roman" w:eastAsia="宋体" w:hAnsi="Times New Roman" w:cs="Times New Roman" w:hint="default"/>
          <w:color w:val="auto"/>
          <w:spacing w:val="-5"/>
          <w:sz w:val="24"/>
          <w:szCs w:val="24"/>
        </w:rPr>
        <w:t>值（即工频电场强度4kV/m、工频磁感</w:t>
      </w:r>
      <w:r>
        <w:rPr>
          <w:rFonts w:ascii="Times New Roman" w:eastAsia="宋体" w:hAnsi="Times New Roman" w:cs="Times New Roman" w:hint="default"/>
          <w:color w:val="auto"/>
          <w:spacing w:val="-1"/>
          <w:sz w:val="24"/>
          <w:szCs w:val="24"/>
        </w:rPr>
        <w:t>应强度100μT）要求。</w:t>
      </w:r>
    </w:p>
    <w:p w14:paraId="6B7FDBB3">
      <w:pPr>
        <w:spacing w:before="157" w:line="359" w:lineRule="auto"/>
        <w:ind w:left="122" w:right="106" w:firstLine="509"/>
        <w:rPr>
          <w:rFonts w:ascii="Times New Roman" w:eastAsia="宋体" w:hAnsi="Times New Roman" w:cs="Times New Roman" w:hint="default"/>
          <w:color w:val="auto"/>
          <w:spacing w:val="-2"/>
          <w:sz w:val="24"/>
          <w:szCs w:val="24"/>
        </w:rPr>
      </w:pPr>
      <w:r>
        <w:rPr>
          <w:rFonts w:ascii="Times New Roman" w:eastAsia="宋体" w:hAnsi="Times New Roman" w:cs="Times New Roman" w:hint="default"/>
          <w:color w:val="auto"/>
          <w:spacing w:val="-2"/>
          <w:sz w:val="24"/>
          <w:szCs w:val="24"/>
        </w:rPr>
        <w:t>验收监测期间，工况负荷情况趋于稳定，未出现较大波动。本工程实际运行电 压达到额定电压等级，监测结果能代表正常运行时项目周边的工频电场强度水平。 但验收监测期间本项目实际运行电流、有功功率、无功功率未达到额定负荷。当站址主变电流满负荷运行时，站址周边的工频磁感应强度会略有增加。根据验收监测结果，本工程厂界工频磁感应强度最大为0.0760µT，仅占公众曝露标准限值100µT的0.0760%，工频磁感应强度值较小。因此，在站址主变电流满负荷运行期，其工频磁感应强度也将小于标准限值。</w:t>
      </w:r>
    </w:p>
    <w:p w14:paraId="06874708">
      <w:pPr>
        <w:spacing w:before="191" w:line="219" w:lineRule="auto"/>
        <w:ind w:left="614"/>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3"/>
          <w:sz w:val="24"/>
          <w:szCs w:val="24"/>
        </w:rPr>
        <w:t>（3）类比影响分析</w:t>
      </w:r>
    </w:p>
    <w:p w14:paraId="2A51BEB7">
      <w:pPr>
        <w:pStyle w:val="00005"/>
        <w:bidi w:val="0"/>
        <w:rPr>
          <w:rFonts w:ascii="Times New Roman" w:eastAsia="宋体" w:hAnsi="Times New Roman" w:cs="Times New Roman" w:hint="default"/>
          <w:color w:val="auto"/>
        </w:rPr>
      </w:pPr>
      <w:r>
        <w:rPr>
          <w:rFonts w:cs="Times New Roman" w:hint="eastAsia"/>
          <w:color w:val="auto"/>
          <w:lang w:val="en-US" w:eastAsia="zh-CN"/>
        </w:rPr>
        <w:t>通过类比分析，</w:t>
      </w:r>
      <w:r>
        <w:rPr>
          <w:rFonts w:ascii="Times New Roman" w:eastAsia="宋体" w:hAnsi="Times New Roman" w:cs="Times New Roman" w:hint="default"/>
          <w:color w:val="auto"/>
        </w:rPr>
        <w:t>本项目主变总容量为2×</w:t>
      </w:r>
      <w:r>
        <w:rPr>
          <w:rFonts w:cs="Times New Roman" w:hint="eastAsia"/>
          <w:color w:val="auto"/>
          <w:lang w:eastAsia="zh-CN"/>
        </w:rPr>
        <w:t>180MVA</w:t>
      </w:r>
      <w:r>
        <w:rPr>
          <w:rFonts w:ascii="Times New Roman" w:eastAsia="宋体" w:hAnsi="Times New Roman" w:cs="Times New Roman" w:hint="default"/>
          <w:color w:val="auto"/>
        </w:rPr>
        <w:t>，</w:t>
      </w:r>
      <w:r>
        <w:rPr>
          <w:rFonts w:cs="Times New Roman" w:hint="eastAsia"/>
          <w:color w:val="auto"/>
          <w:lang w:val="en-US" w:eastAsia="zh-CN"/>
        </w:rPr>
        <w:t>与</w:t>
      </w:r>
      <w:r>
        <w:rPr>
          <w:rFonts w:ascii="Times New Roman" w:eastAsia="宋体" w:hAnsi="Times New Roman" w:cs="Times New Roman" w:hint="default"/>
          <w:color w:val="auto"/>
          <w:spacing w:val="-2"/>
          <w:kern w:val="2"/>
          <w:sz w:val="24"/>
          <w:szCs w:val="24"/>
          <w:lang w:val="en-US" w:eastAsia="zh-CN" w:bidi="ar-SA"/>
        </w:rPr>
        <w:t>泰安果都220kV变电站</w:t>
      </w:r>
      <w:r>
        <w:rPr>
          <w:rFonts w:ascii="Times New Roman" w:eastAsia="宋体" w:hAnsi="Times New Roman" w:cs="Times New Roman" w:hint="default"/>
          <w:color w:val="auto"/>
        </w:rPr>
        <w:t>主变容量</w:t>
      </w:r>
      <w:r>
        <w:rPr>
          <w:rFonts w:cs="Times New Roman" w:hint="eastAsia"/>
          <w:color w:val="auto"/>
          <w:lang w:val="en-US" w:eastAsia="zh-CN"/>
        </w:rPr>
        <w:t>相同</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rPr>
        <w:t>本项目升压站面积</w:t>
      </w:r>
      <w:r>
        <w:rPr>
          <w:rFonts w:cs="Times New Roman" w:hint="eastAsia"/>
          <w:color w:val="auto"/>
          <w:lang w:eastAsia="zh-CN"/>
        </w:rPr>
        <w:t>、</w:t>
      </w:r>
      <w:r>
        <w:rPr>
          <w:rFonts w:cs="Times New Roman" w:hint="eastAsia"/>
          <w:color w:val="auto"/>
          <w:lang w:val="en-US" w:eastAsia="zh-CN"/>
        </w:rPr>
        <w:t>与厂界的距离均</w:t>
      </w:r>
      <w:r>
        <w:rPr>
          <w:rFonts w:ascii="Times New Roman" w:eastAsia="宋体" w:hAnsi="Times New Roman" w:cs="Times New Roman" w:hint="default"/>
          <w:color w:val="auto"/>
          <w:lang w:val="en-US" w:eastAsia="zh-CN"/>
        </w:rPr>
        <w:t>远大于</w:t>
      </w:r>
      <w:r>
        <w:rPr>
          <w:rFonts w:ascii="Times New Roman" w:eastAsia="宋体" w:hAnsi="Times New Roman" w:cs="Times New Roman" w:hint="default"/>
          <w:color w:val="auto"/>
          <w:spacing w:val="-2"/>
          <w:kern w:val="2"/>
          <w:sz w:val="24"/>
          <w:szCs w:val="24"/>
          <w:lang w:val="en-US" w:eastAsia="zh-CN" w:bidi="ar-SA"/>
        </w:rPr>
        <w:t>泰安果都220kV变电站</w:t>
      </w:r>
      <w:r>
        <w:rPr>
          <w:rFonts w:ascii="Times New Roman" w:eastAsia="宋体" w:hAnsi="Times New Roman" w:cs="Times New Roman" w:hint="default"/>
          <w:color w:val="auto"/>
          <w:lang w:val="en-US" w:eastAsia="zh-CN"/>
        </w:rPr>
        <w:t>，</w:t>
      </w:r>
      <w:r>
        <w:rPr>
          <w:rFonts w:ascii="Times New Roman" w:eastAsia="宋体" w:hAnsi="Times New Roman" w:cs="Times New Roman" w:hint="default"/>
          <w:color w:val="auto"/>
        </w:rPr>
        <w:t>围墙外工频电场强度、工频磁感应强度可以满足《电磁环</w:t>
      </w:r>
      <w:r>
        <w:rPr>
          <w:rFonts w:ascii="Times New Roman" w:eastAsia="宋体" w:hAnsi="Times New Roman" w:cs="Times New Roman" w:hint="default"/>
          <w:color w:val="auto"/>
          <w:lang w:eastAsia="zh-CN"/>
        </w:rPr>
        <w:t>境控</w:t>
      </w:r>
      <w:r>
        <w:rPr>
          <w:rFonts w:ascii="Times New Roman" w:eastAsia="宋体" w:hAnsi="Times New Roman" w:cs="Times New Roman" w:hint="default"/>
          <w:color w:val="auto"/>
        </w:rPr>
        <w:t>制限值》（GB8702-2014）中规定的控制限值，因此，亦可知本项目建成投入运行后，围墙外工频电场强度、工频磁感应强度可满足《电磁环境控制限值》（GB8702-2014）中规定的公众曝露控制限值（即工频电场强度4kV/m、工频磁感应强度100μT）要求。</w:t>
      </w:r>
    </w:p>
    <w:p w14:paraId="375F6819">
      <w:pPr>
        <w:spacing w:before="197" w:line="221" w:lineRule="auto"/>
        <w:ind w:left="7"/>
        <w:outlineLvl w:val="1"/>
        <w:rPr>
          <w:rFonts w:ascii="Times New Roman" w:eastAsia="宋体" w:hAnsi="Times New Roman" w:cs="Times New Roman" w:hint="default"/>
          <w:color w:val="auto"/>
          <w:sz w:val="28"/>
          <w:szCs w:val="28"/>
        </w:rPr>
      </w:pPr>
      <w:bookmarkStart w:id="14" w:name="bookmark19"/>
      <w:bookmarkEnd w:id="14"/>
      <w:r>
        <w:rPr>
          <w:rFonts w:ascii="Times New Roman" w:eastAsia="宋体" w:hAnsi="Times New Roman" w:cs="Times New Roman" w:hint="default"/>
          <w:b/>
          <w:bCs/>
          <w:color w:val="auto"/>
          <w:spacing w:val="-5"/>
          <w:sz w:val="28"/>
          <w:szCs w:val="28"/>
        </w:rPr>
        <w:t>4.</w:t>
      </w:r>
      <w:r>
        <w:rPr>
          <w:rFonts w:ascii="Times New Roman" w:eastAsia="宋体" w:hAnsi="Times New Roman" w:cs="Times New Roman" w:hint="default"/>
          <w:b/>
          <w:bCs/>
          <w:color w:val="auto"/>
          <w:spacing w:val="25"/>
          <w:sz w:val="28"/>
          <w:szCs w:val="28"/>
        </w:rPr>
        <w:t xml:space="preserve">  </w:t>
      </w:r>
      <w:r>
        <w:rPr>
          <w:rFonts w:ascii="Times New Roman" w:eastAsia="宋体" w:hAnsi="Times New Roman" w:cs="Times New Roman" w:hint="default"/>
          <w:color w:val="auto"/>
          <w:spacing w:val="-5"/>
          <w:sz w:val="28"/>
          <w:szCs w:val="28"/>
          <w14:textOutline w14:w="5103" w14:cap="sq">
            <w14:solidFill>
              <w14:srgbClr w14:val="000000"/>
            </w14:solidFill>
            <w14:bevel/>
          </w14:textOutline>
        </w:rPr>
        <w:t>电磁环境保护措施</w:t>
      </w:r>
    </w:p>
    <w:p w14:paraId="68AE4146">
      <w:pPr>
        <w:spacing w:before="204" w:line="220" w:lineRule="auto"/>
        <w:ind w:left="501"/>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2"/>
          <w:sz w:val="24"/>
          <w:szCs w:val="24"/>
        </w:rPr>
        <w:t>（1）设计期电磁环境保护措施</w:t>
      </w:r>
    </w:p>
    <w:p w14:paraId="7D93DFC0">
      <w:pPr>
        <w:spacing w:before="179" w:line="359" w:lineRule="auto"/>
        <w:ind w:left="12" w:right="21" w:firstLine="478"/>
        <w:jc w:val="both"/>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2"/>
          <w:sz w:val="24"/>
          <w:szCs w:val="24"/>
        </w:rPr>
        <w:t>本项目属输变电工程，项目的初步设计、施工图纸设计文件中包含环境</w:t>
      </w:r>
      <w:r>
        <w:rPr>
          <w:rFonts w:ascii="Times New Roman" w:eastAsia="宋体" w:hAnsi="Times New Roman" w:cs="Times New Roman" w:hint="default"/>
          <w:color w:val="auto"/>
          <w:spacing w:val="-3"/>
          <w:sz w:val="24"/>
          <w:szCs w:val="24"/>
        </w:rPr>
        <w:t>保护措施内</w:t>
      </w:r>
      <w:r>
        <w:rPr>
          <w:rFonts w:ascii="Times New Roman" w:eastAsia="宋体" w:hAnsi="Times New Roman" w:cs="Times New Roman" w:hint="default"/>
          <w:color w:val="auto"/>
          <w:spacing w:val="-6"/>
          <w:sz w:val="24"/>
          <w:szCs w:val="24"/>
        </w:rPr>
        <w:t>容，编制环境保护篇章，开展环境保护专项设计，落实防治环境污染和生态破坏的措施、</w:t>
      </w:r>
      <w:r>
        <w:rPr>
          <w:rFonts w:ascii="Times New Roman" w:eastAsia="宋体" w:hAnsi="Times New Roman" w:cs="Times New Roman" w:hint="default"/>
          <w:color w:val="auto"/>
          <w:spacing w:val="-2"/>
          <w:sz w:val="24"/>
          <w:szCs w:val="24"/>
        </w:rPr>
        <w:t>设施和相应资金。</w:t>
      </w:r>
    </w:p>
    <w:p w14:paraId="00D59625">
      <w:pPr>
        <w:spacing w:before="181" w:line="359" w:lineRule="auto"/>
        <w:ind w:left="8" w:right="101" w:firstLine="483"/>
        <w:jc w:val="both"/>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2"/>
          <w:sz w:val="24"/>
          <w:szCs w:val="24"/>
        </w:rPr>
        <w:t>工程设计对产生的工频电场和工频磁场等电磁环境影响程度进行了预测，采取了相</w:t>
      </w:r>
      <w:r>
        <w:rPr>
          <w:rFonts w:ascii="Times New Roman" w:eastAsia="宋体" w:hAnsi="Times New Roman" w:cs="Times New Roman" w:hint="default"/>
          <w:color w:val="auto"/>
          <w:sz w:val="24"/>
          <w:szCs w:val="24"/>
        </w:rPr>
        <w:t>对应的辐射防护措施，确保电磁环境满足《电磁环境控制限值》（GB8702-2014）中公</w:t>
      </w:r>
      <w:r>
        <w:rPr>
          <w:rFonts w:ascii="Times New Roman" w:eastAsia="宋体" w:hAnsi="Times New Roman" w:cs="Times New Roman" w:hint="default"/>
          <w:color w:val="auto"/>
          <w:spacing w:val="-2"/>
          <w:sz w:val="24"/>
          <w:szCs w:val="24"/>
        </w:rPr>
        <w:t>众</w:t>
      </w:r>
      <w:r>
        <w:rPr>
          <w:rFonts w:ascii="Times New Roman" w:eastAsia="宋体" w:hAnsi="Times New Roman" w:cs="Times New Roman" w:hint="default"/>
          <w:color w:val="auto"/>
          <w:spacing w:val="-2"/>
          <w:sz w:val="24"/>
          <w:szCs w:val="24"/>
          <w:lang w:eastAsia="zh-CN"/>
        </w:rPr>
        <w:t>暴露</w:t>
      </w:r>
      <w:r>
        <w:rPr>
          <w:rFonts w:ascii="Times New Roman" w:eastAsia="宋体" w:hAnsi="Times New Roman" w:cs="Times New Roman" w:hint="default"/>
          <w:color w:val="auto"/>
          <w:spacing w:val="-2"/>
          <w:sz w:val="24"/>
          <w:szCs w:val="24"/>
        </w:rPr>
        <w:t>控制限值要求。</w:t>
      </w:r>
    </w:p>
    <w:p w14:paraId="66AC96B0">
      <w:pPr>
        <w:spacing w:line="220" w:lineRule="auto"/>
        <w:ind w:left="501"/>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2"/>
          <w:sz w:val="24"/>
          <w:szCs w:val="24"/>
        </w:rPr>
        <w:t>（2）运营期电磁环境保护措施</w:t>
      </w:r>
    </w:p>
    <w:p w14:paraId="22E21E05">
      <w:pPr>
        <w:spacing w:before="182" w:line="359" w:lineRule="auto"/>
        <w:ind w:left="10" w:firstLine="479"/>
        <w:jc w:val="both"/>
        <w:rPr>
          <w:rFonts w:ascii="Times New Roman" w:eastAsia="宋体" w:hAnsi="Times New Roman" w:cs="Times New Roman" w:hint="default"/>
          <w:color w:val="auto"/>
          <w:spacing w:val="-2"/>
          <w:sz w:val="24"/>
          <w:szCs w:val="24"/>
        </w:rPr>
      </w:pPr>
      <w:r>
        <w:rPr>
          <w:rFonts w:ascii="Times New Roman" w:eastAsia="宋体" w:hAnsi="Times New Roman" w:cs="Times New Roman" w:hint="default"/>
          <w:color w:val="auto"/>
          <w:spacing w:val="-2"/>
          <w:sz w:val="24"/>
          <w:szCs w:val="24"/>
        </w:rPr>
        <w:t>运行期做好环境保护设施的维护和运行管理，加强巡查和检查，保障发挥环境保护</w:t>
      </w:r>
      <w:r>
        <w:rPr>
          <w:rFonts w:ascii="Times New Roman" w:eastAsia="宋体" w:hAnsi="Times New Roman" w:cs="Times New Roman" w:hint="default"/>
          <w:color w:val="auto"/>
          <w:spacing w:val="-8"/>
          <w:sz w:val="24"/>
          <w:szCs w:val="24"/>
        </w:rPr>
        <w:t>作用，定期开展环境监测，确保电磁辐射影响符合《电磁环境控制限值》（</w:t>
      </w:r>
      <w:r>
        <w:rPr>
          <w:rFonts w:ascii="Times New Roman" w:eastAsia="宋体" w:hAnsi="Times New Roman" w:cs="Times New Roman" w:hint="default"/>
          <w:color w:val="auto"/>
          <w:spacing w:val="-9"/>
          <w:sz w:val="24"/>
          <w:szCs w:val="24"/>
        </w:rPr>
        <w:t>GB8702-2014）</w:t>
      </w:r>
      <w:r>
        <w:rPr>
          <w:rFonts w:ascii="Times New Roman" w:eastAsia="宋体" w:hAnsi="Times New Roman" w:cs="Times New Roman" w:hint="default"/>
          <w:color w:val="auto"/>
          <w:spacing w:val="-1"/>
          <w:sz w:val="24"/>
          <w:szCs w:val="24"/>
        </w:rPr>
        <w:t>中公众</w:t>
      </w:r>
      <w:r>
        <w:rPr>
          <w:rFonts w:ascii="Times New Roman" w:eastAsia="宋体" w:hAnsi="Times New Roman" w:cs="Times New Roman" w:hint="default"/>
          <w:color w:val="auto"/>
          <w:spacing w:val="-1"/>
          <w:sz w:val="24"/>
          <w:szCs w:val="24"/>
          <w:lang w:eastAsia="zh-CN"/>
        </w:rPr>
        <w:t>暴露</w:t>
      </w:r>
      <w:r>
        <w:rPr>
          <w:rFonts w:ascii="Times New Roman" w:eastAsia="宋体" w:hAnsi="Times New Roman" w:cs="Times New Roman" w:hint="default"/>
          <w:color w:val="auto"/>
          <w:spacing w:val="-1"/>
          <w:sz w:val="24"/>
          <w:szCs w:val="24"/>
        </w:rPr>
        <w:t>控制限值要求，并及时解决公众合理的环境保</w:t>
      </w:r>
      <w:r>
        <w:rPr>
          <w:rFonts w:ascii="Times New Roman" w:eastAsia="宋体" w:hAnsi="Times New Roman" w:cs="Times New Roman" w:hint="default"/>
          <w:color w:val="auto"/>
          <w:spacing w:val="-2"/>
          <w:sz w:val="24"/>
          <w:szCs w:val="24"/>
        </w:rPr>
        <w:t>护诉求。</w:t>
      </w:r>
    </w:p>
    <w:p w14:paraId="41344577">
      <w:pPr>
        <w:spacing w:before="197" w:line="221" w:lineRule="auto"/>
        <w:ind w:left="7"/>
        <w:outlineLvl w:val="1"/>
        <w:rPr>
          <w:rFonts w:ascii="Times New Roman" w:eastAsia="宋体" w:hAnsi="Times New Roman" w:cs="Times New Roman" w:hint="default"/>
          <w:color w:val="auto"/>
          <w:spacing w:val="-5"/>
          <w:sz w:val="28"/>
          <w:szCs w:val="28"/>
          <w14:textOutline w14:w="5103" w14:cap="sq">
            <w14:solidFill>
              <w14:srgbClr w14:val="000000"/>
            </w14:solidFill>
            <w14:bevel/>
          </w14:textOutline>
        </w:rPr>
      </w:pPr>
      <w:r>
        <w:rPr>
          <w:rFonts w:ascii="Times New Roman" w:eastAsia="宋体" w:hAnsi="Times New Roman" w:cs="Times New Roman" w:hint="default"/>
          <w:color w:val="auto"/>
          <w:spacing w:val="-5"/>
          <w:sz w:val="28"/>
          <w:szCs w:val="28"/>
          <w:lang w:val="en-US" w:eastAsia="zh-CN"/>
          <w14:textOutline w14:w="5103" w14:cap="sq">
            <w14:solidFill>
              <w14:srgbClr w14:val="000000"/>
            </w14:solidFill>
            <w14:bevel/>
          </w14:textOutline>
        </w:rPr>
        <w:t>5.</w:t>
      </w:r>
      <w:r>
        <w:rPr>
          <w:rFonts w:ascii="Times New Roman" w:eastAsia="宋体" w:hAnsi="Times New Roman" w:cs="Times New Roman" w:hint="default"/>
          <w:color w:val="auto"/>
          <w:spacing w:val="-5"/>
          <w:sz w:val="28"/>
          <w:szCs w:val="28"/>
          <w14:textOutline w14:w="5103" w14:cap="sq">
            <w14:solidFill>
              <w14:srgbClr w14:val="000000"/>
            </w14:solidFill>
            <w14:bevel/>
          </w14:textOutline>
        </w:rPr>
        <w:t xml:space="preserve">  电磁环境管理与监测计划</w:t>
      </w:r>
    </w:p>
    <w:p w14:paraId="1267313E">
      <w:pPr>
        <w:spacing w:before="183" w:line="359" w:lineRule="auto"/>
        <w:ind w:left="10" w:right="101" w:firstLine="479"/>
        <w:rPr>
          <w:rFonts w:ascii="Times New Roman" w:eastAsia="宋体" w:hAnsi="Times New Roman" w:cs="Times New Roman" w:hint="default"/>
          <w:b/>
          <w:bCs/>
          <w:color w:val="auto"/>
          <w:spacing w:val="-2"/>
          <w:sz w:val="24"/>
          <w:szCs w:val="24"/>
        </w:rPr>
      </w:pPr>
      <w:r>
        <w:rPr>
          <w:rFonts w:ascii="Times New Roman" w:eastAsia="宋体" w:hAnsi="Times New Roman" w:cs="Times New Roman" w:hint="default"/>
          <w:b/>
          <w:bCs/>
          <w:color w:val="auto"/>
          <w:spacing w:val="-2"/>
          <w:sz w:val="24"/>
          <w:szCs w:val="24"/>
          <w:lang w:val="en-US" w:eastAsia="zh-CN"/>
        </w:rPr>
        <w:t>5</w:t>
      </w:r>
      <w:r>
        <w:rPr>
          <w:rFonts w:ascii="Times New Roman" w:eastAsia="宋体" w:hAnsi="Times New Roman" w:cs="Times New Roman" w:hint="default"/>
          <w:b/>
          <w:bCs/>
          <w:color w:val="auto"/>
          <w:spacing w:val="-2"/>
          <w:sz w:val="24"/>
          <w:szCs w:val="24"/>
        </w:rPr>
        <w:t>. 1  环境管理</w:t>
      </w:r>
    </w:p>
    <w:p w14:paraId="04FFE528">
      <w:pPr>
        <w:spacing w:before="183" w:line="359" w:lineRule="auto"/>
        <w:ind w:left="10" w:right="101" w:firstLine="479"/>
        <w:rPr>
          <w:rFonts w:ascii="Times New Roman" w:eastAsia="宋体" w:hAnsi="Times New Roman" w:cs="Times New Roman" w:hint="default"/>
          <w:color w:val="auto"/>
          <w:spacing w:val="-2"/>
          <w:sz w:val="24"/>
          <w:szCs w:val="24"/>
        </w:rPr>
      </w:pPr>
      <w:r>
        <w:rPr>
          <w:rFonts w:ascii="Times New Roman" w:eastAsia="宋体" w:hAnsi="Times New Roman" w:cs="Times New Roman" w:hint="default"/>
          <w:color w:val="auto"/>
          <w:spacing w:val="-2"/>
          <w:sz w:val="24"/>
          <w:szCs w:val="24"/>
        </w:rPr>
        <w:t>（1）环境管理部门职责</w:t>
      </w:r>
    </w:p>
    <w:p w14:paraId="6EF590CD">
      <w:pPr>
        <w:spacing w:before="183" w:line="359" w:lineRule="auto"/>
        <w:ind w:left="10" w:right="101" w:firstLine="479"/>
        <w:rPr>
          <w:rFonts w:ascii="Times New Roman" w:eastAsia="宋体" w:hAnsi="Times New Roman" w:cs="Times New Roman" w:hint="default"/>
          <w:color w:val="auto"/>
          <w:spacing w:val="-2"/>
          <w:sz w:val="24"/>
          <w:szCs w:val="24"/>
        </w:rPr>
      </w:pPr>
      <w:r>
        <w:rPr>
          <w:rFonts w:ascii="Times New Roman" w:eastAsia="宋体" w:hAnsi="Times New Roman" w:cs="Times New Roman" w:hint="default"/>
          <w:color w:val="auto"/>
          <w:spacing w:val="-2"/>
          <w:sz w:val="24"/>
          <w:szCs w:val="24"/>
        </w:rPr>
        <w:t>建设单位设置环境管理体制、管理机构和人员。加强施工期环境管理，及时组织竣工环境保护验收并加强运行期环境管理。开展环境保护培训。严格环境保护法规、政策的执行，编制环境管理计划并落实环境保护措施的实施。</w:t>
      </w:r>
    </w:p>
    <w:p w14:paraId="4220E6BD">
      <w:pPr>
        <w:spacing w:before="183" w:line="359" w:lineRule="auto"/>
        <w:ind w:left="10" w:right="101" w:firstLine="479"/>
        <w:rPr>
          <w:rFonts w:ascii="Times New Roman" w:eastAsia="宋体" w:hAnsi="Times New Roman" w:cs="Times New Roman" w:hint="default"/>
          <w:color w:val="auto"/>
          <w:spacing w:val="-2"/>
          <w:sz w:val="24"/>
          <w:szCs w:val="24"/>
        </w:rPr>
      </w:pPr>
      <w:r>
        <w:rPr>
          <w:rFonts w:ascii="Times New Roman" w:eastAsia="宋体" w:hAnsi="Times New Roman" w:cs="Times New Roman" w:hint="default"/>
          <w:color w:val="auto"/>
          <w:spacing w:val="-2"/>
          <w:sz w:val="24"/>
          <w:szCs w:val="24"/>
        </w:rPr>
        <w:t>施工期：</w:t>
      </w:r>
    </w:p>
    <w:p w14:paraId="36FEA46D">
      <w:pPr>
        <w:spacing w:before="183" w:line="359" w:lineRule="auto"/>
        <w:ind w:left="10" w:right="101" w:firstLine="479"/>
        <w:rPr>
          <w:rFonts w:ascii="Times New Roman" w:eastAsia="宋体" w:hAnsi="Times New Roman" w:cs="Times New Roman" w:hint="default"/>
          <w:color w:val="auto"/>
          <w:spacing w:val="-2"/>
          <w:sz w:val="24"/>
          <w:szCs w:val="24"/>
        </w:rPr>
      </w:pPr>
      <w:r>
        <w:rPr>
          <w:rFonts w:ascii="Times New Roman" w:eastAsia="宋体" w:hAnsi="Times New Roman" w:cs="Times New Roman" w:hint="default"/>
          <w:color w:val="auto"/>
          <w:spacing w:val="-2"/>
          <w:sz w:val="24"/>
          <w:szCs w:val="24"/>
        </w:rPr>
        <w:t>①项目施工应落实设计文件中提出的环境保护要求。</w:t>
      </w:r>
    </w:p>
    <w:p w14:paraId="5EBEE325">
      <w:pPr>
        <w:spacing w:before="183" w:line="359" w:lineRule="auto"/>
        <w:ind w:left="10" w:right="101" w:firstLine="479"/>
        <w:rPr>
          <w:rFonts w:ascii="Times New Roman" w:eastAsia="宋体" w:hAnsi="Times New Roman" w:cs="Times New Roman" w:hint="default"/>
          <w:color w:val="auto"/>
          <w:spacing w:val="-2"/>
          <w:sz w:val="24"/>
          <w:szCs w:val="24"/>
        </w:rPr>
      </w:pPr>
      <w:r>
        <w:rPr>
          <w:rFonts w:ascii="Times New Roman" w:eastAsia="宋体" w:hAnsi="Times New Roman" w:cs="Times New Roman" w:hint="default"/>
          <w:color w:val="auto"/>
          <w:spacing w:val="-2"/>
          <w:sz w:val="24"/>
          <w:szCs w:val="24"/>
        </w:rPr>
        <w:t>②施工单位加强施工过程的管理，开展环境保护培训，明确保护对象和保护要求，严格控制施工影响范围，确定适宜的施工季节和施工方式。</w:t>
      </w:r>
    </w:p>
    <w:p w14:paraId="4053DB36">
      <w:pPr>
        <w:spacing w:before="183" w:line="359" w:lineRule="auto"/>
        <w:ind w:left="10" w:right="101" w:firstLine="479"/>
        <w:rPr>
          <w:rFonts w:ascii="Times New Roman" w:eastAsia="宋体" w:hAnsi="Times New Roman" w:cs="Times New Roman" w:hint="default"/>
          <w:color w:val="auto"/>
          <w:spacing w:val="-2"/>
          <w:sz w:val="24"/>
          <w:szCs w:val="24"/>
        </w:rPr>
      </w:pPr>
      <w:r>
        <w:rPr>
          <w:rFonts w:ascii="Times New Roman" w:eastAsia="宋体" w:hAnsi="Times New Roman" w:cs="Times New Roman" w:hint="default"/>
          <w:color w:val="auto"/>
          <w:spacing w:val="-2"/>
          <w:sz w:val="24"/>
          <w:szCs w:val="24"/>
        </w:rPr>
        <w:t>③升压站工程施工过程中场界环境噪声排放应满足GB 12523 中的要求。</w:t>
      </w:r>
    </w:p>
    <w:p w14:paraId="5D54C72E">
      <w:pPr>
        <w:spacing w:before="183" w:line="359" w:lineRule="auto"/>
        <w:ind w:left="10" w:right="101" w:firstLine="479"/>
        <w:rPr>
          <w:rFonts w:ascii="Times New Roman" w:eastAsia="宋体" w:hAnsi="Times New Roman" w:cs="Times New Roman" w:hint="default"/>
          <w:color w:val="auto"/>
          <w:spacing w:val="-2"/>
          <w:sz w:val="24"/>
          <w:szCs w:val="24"/>
        </w:rPr>
      </w:pPr>
      <w:r>
        <w:rPr>
          <w:rFonts w:ascii="Times New Roman" w:eastAsia="宋体" w:hAnsi="Times New Roman" w:cs="Times New Roman" w:hint="default"/>
          <w:color w:val="auto"/>
          <w:spacing w:val="-2"/>
          <w:sz w:val="24"/>
          <w:szCs w:val="24"/>
        </w:rPr>
        <w:t>④施工现场使用带油料的机械器具，应采取措施防止油料跑、冒、滴、漏，防止 对土壤和水体造成污染。施工结束后，应及时清理施工现场，因地制宜进行土地功能恢复。变电工程施工现场临时厕所的化粪池应进行防渗处理。</w:t>
      </w:r>
    </w:p>
    <w:p w14:paraId="204E3C6C">
      <w:pPr>
        <w:spacing w:before="183" w:line="359" w:lineRule="auto"/>
        <w:ind w:left="10" w:right="101" w:firstLine="479"/>
        <w:rPr>
          <w:rFonts w:ascii="Times New Roman" w:eastAsia="宋体" w:hAnsi="Times New Roman" w:cs="Times New Roman" w:hint="default"/>
          <w:color w:val="auto"/>
          <w:spacing w:val="-2"/>
          <w:sz w:val="24"/>
          <w:szCs w:val="24"/>
        </w:rPr>
      </w:pPr>
      <w:r>
        <w:rPr>
          <w:rFonts w:ascii="Times New Roman" w:eastAsia="宋体" w:hAnsi="Times New Roman" w:cs="Times New Roman" w:hint="default"/>
          <w:color w:val="auto"/>
          <w:spacing w:val="-2"/>
          <w:sz w:val="24"/>
          <w:szCs w:val="24"/>
        </w:rPr>
        <w:t>⑤施工过程中，应当加强对施工现场和物料运输的管理，在施工</w:t>
      </w:r>
      <w:r>
        <w:rPr>
          <w:rFonts w:ascii="Times New Roman" w:eastAsia="宋体" w:hAnsi="Times New Roman" w:cs="Times New Roman" w:hint="default"/>
          <w:color w:val="auto"/>
          <w:spacing w:val="-2"/>
          <w:sz w:val="24"/>
          <w:szCs w:val="24"/>
          <w:lang w:eastAsia="zh-CN"/>
        </w:rPr>
        <w:t>场地</w:t>
      </w:r>
      <w:r>
        <w:rPr>
          <w:rFonts w:ascii="Times New Roman" w:eastAsia="宋体" w:hAnsi="Times New Roman" w:cs="Times New Roman" w:hint="default"/>
          <w:color w:val="auto"/>
          <w:spacing w:val="-2"/>
          <w:sz w:val="24"/>
          <w:szCs w:val="24"/>
        </w:rPr>
        <w:t>设置硬质围 挡，保持道路清洁，管控料堆和渣土堆放，防治扬尘污染。施工过程中，对易起尘的 临时堆土、运输过程中的土石方等应采用密闭式防尘布</w:t>
      </w:r>
      <w:r>
        <w:rPr>
          <w:rFonts w:ascii="Times New Roman" w:eastAsia="宋体" w:hAnsi="Times New Roman" w:cs="Times New Roman" w:hint="default"/>
          <w:color w:val="auto"/>
          <w:spacing w:val="-2"/>
          <w:sz w:val="24"/>
          <w:szCs w:val="24"/>
          <w:lang w:eastAsia="zh-CN"/>
        </w:rPr>
        <w:t>（</w:t>
      </w:r>
      <w:r>
        <w:rPr>
          <w:rFonts w:ascii="Times New Roman" w:eastAsia="宋体" w:hAnsi="Times New Roman" w:cs="Times New Roman" w:hint="default"/>
          <w:color w:val="auto"/>
          <w:spacing w:val="-2"/>
          <w:sz w:val="24"/>
          <w:szCs w:val="24"/>
        </w:rPr>
        <w:t>网)进行苫盖，施工面集中且有条件的地方宜采取洒水降尘等有效措施，减少易造成大气污染的施工过程中，建设单位应当对裸露地面进行覆盖；暂时不能开工的建设用地超过三个月的，应当进行绿化、铺装或者遮盖。</w:t>
      </w:r>
    </w:p>
    <w:p w14:paraId="5A5FE11D">
      <w:pPr>
        <w:spacing w:before="183" w:line="359" w:lineRule="auto"/>
        <w:ind w:left="10" w:right="101" w:firstLine="479"/>
        <w:rPr>
          <w:rFonts w:ascii="Times New Roman" w:eastAsia="宋体" w:hAnsi="Times New Roman" w:cs="Times New Roman" w:hint="default"/>
          <w:color w:val="auto"/>
          <w:spacing w:val="-2"/>
          <w:sz w:val="24"/>
          <w:szCs w:val="24"/>
        </w:rPr>
      </w:pPr>
      <w:r>
        <w:rPr>
          <w:rFonts w:ascii="Times New Roman" w:eastAsia="宋体" w:hAnsi="Times New Roman" w:cs="Times New Roman" w:hint="default"/>
          <w:color w:val="auto"/>
          <w:spacing w:val="-2"/>
          <w:sz w:val="24"/>
          <w:szCs w:val="24"/>
        </w:rPr>
        <w:t>⑥施工现场禁止将包装物、可燃垃圾等固体废弃物就地焚烧。施工过程中产生的 土石方、建筑垃圾、生活垃圾应分类集中收集，并按国家和地方有关规定并定期进行 清运处置，施工完成后及时做好迹地清理工作。在农田和经济作物区施工时，施工临时占地宜采取隔离保护措施，施工结束后应将混凝土余料和残渣及时清除，以免影响后期土地功能的恢复。施工期由建设单位、施工单位及监理单位共同进行管理。</w:t>
      </w:r>
    </w:p>
    <w:p w14:paraId="0FDE6728">
      <w:pPr>
        <w:spacing w:before="183" w:line="359" w:lineRule="auto"/>
        <w:ind w:left="10" w:right="101" w:firstLine="479"/>
        <w:rPr>
          <w:rFonts w:ascii="Times New Roman" w:eastAsia="宋体" w:hAnsi="Times New Roman" w:cs="Times New Roman" w:hint="default"/>
          <w:color w:val="auto"/>
          <w:spacing w:val="-2"/>
          <w:sz w:val="24"/>
          <w:szCs w:val="24"/>
        </w:rPr>
      </w:pPr>
      <w:r>
        <w:rPr>
          <w:rFonts w:ascii="Times New Roman" w:eastAsia="宋体" w:hAnsi="Times New Roman" w:cs="Times New Roman" w:hint="default"/>
          <w:color w:val="auto"/>
          <w:spacing w:val="-2"/>
          <w:sz w:val="24"/>
          <w:szCs w:val="24"/>
        </w:rPr>
        <w:t>运行期：</w:t>
      </w:r>
    </w:p>
    <w:p w14:paraId="5E0019FB">
      <w:pPr>
        <w:spacing w:before="183" w:line="359" w:lineRule="auto"/>
        <w:ind w:left="10" w:right="101" w:firstLine="479"/>
        <w:rPr>
          <w:rFonts w:ascii="Times New Roman" w:eastAsia="宋体" w:hAnsi="Times New Roman" w:cs="Times New Roman" w:hint="default"/>
          <w:color w:val="auto"/>
          <w:spacing w:val="-2"/>
          <w:sz w:val="24"/>
          <w:szCs w:val="24"/>
        </w:rPr>
      </w:pPr>
      <w:r>
        <w:rPr>
          <w:rFonts w:ascii="Times New Roman" w:eastAsia="宋体" w:hAnsi="Times New Roman" w:cs="Times New Roman" w:hint="default"/>
          <w:color w:val="auto"/>
          <w:spacing w:val="-2"/>
          <w:sz w:val="24"/>
          <w:szCs w:val="24"/>
        </w:rPr>
        <w:t>①运行期做好环境保护设施的维护和运行管理，加强巡查和检查，保障发挥环境保护作用。</w:t>
      </w:r>
    </w:p>
    <w:p w14:paraId="2D446794">
      <w:pPr>
        <w:spacing w:before="183" w:line="359" w:lineRule="auto"/>
        <w:ind w:left="10" w:right="101" w:firstLine="479"/>
        <w:rPr>
          <w:rFonts w:ascii="Times New Roman" w:eastAsia="宋体" w:hAnsi="Times New Roman" w:cs="Times New Roman" w:hint="default"/>
          <w:color w:val="auto"/>
          <w:spacing w:val="-2"/>
          <w:sz w:val="24"/>
          <w:szCs w:val="24"/>
        </w:rPr>
      </w:pPr>
      <w:r>
        <w:rPr>
          <w:rFonts w:ascii="Times New Roman" w:eastAsia="宋体" w:hAnsi="Times New Roman" w:cs="Times New Roman" w:hint="default"/>
          <w:color w:val="auto"/>
          <w:spacing w:val="-2"/>
          <w:sz w:val="24"/>
          <w:szCs w:val="24"/>
        </w:rPr>
        <w:t>②定期开展环保管理培训，</w:t>
      </w:r>
      <w:r>
        <w:rPr>
          <w:rFonts w:ascii="Times New Roman" w:eastAsia="宋体" w:hAnsi="Times New Roman" w:cs="Times New Roman" w:hint="default"/>
          <w:color w:val="auto"/>
          <w:spacing w:val="-2"/>
          <w:sz w:val="24"/>
          <w:szCs w:val="24"/>
          <w:lang w:eastAsia="zh-CN"/>
        </w:rPr>
        <w:t>增强</w:t>
      </w:r>
      <w:r>
        <w:rPr>
          <w:rFonts w:ascii="Times New Roman" w:eastAsia="宋体" w:hAnsi="Times New Roman" w:cs="Times New Roman" w:hint="default"/>
          <w:color w:val="auto"/>
          <w:spacing w:val="-2"/>
          <w:sz w:val="24"/>
          <w:szCs w:val="24"/>
        </w:rPr>
        <w:t>工作人员环保管理意识。建立完善的环保管理档案，对已开展的环保培训、环境监测等工作建立完善的存档资料。</w:t>
      </w:r>
    </w:p>
    <w:p w14:paraId="27491A5B">
      <w:pPr>
        <w:spacing w:before="183" w:line="359" w:lineRule="auto"/>
        <w:ind w:left="10" w:right="101" w:firstLine="479"/>
        <w:rPr>
          <w:rFonts w:ascii="Times New Roman" w:eastAsia="宋体" w:hAnsi="Times New Roman" w:cs="Times New Roman" w:hint="default"/>
          <w:color w:val="auto"/>
          <w:spacing w:val="-2"/>
          <w:sz w:val="24"/>
          <w:szCs w:val="24"/>
        </w:rPr>
      </w:pPr>
      <w:r>
        <w:rPr>
          <w:rFonts w:ascii="Times New Roman" w:eastAsia="宋体" w:hAnsi="Times New Roman" w:cs="Times New Roman" w:hint="default"/>
          <w:color w:val="auto"/>
          <w:spacing w:val="-2"/>
          <w:sz w:val="24"/>
          <w:szCs w:val="24"/>
        </w:rPr>
        <w:t>③运行期应对事故油池的完好情况进行检查，确保无渗漏、无溢流。</w:t>
      </w:r>
    </w:p>
    <w:p w14:paraId="11AC55F4">
      <w:pPr>
        <w:spacing w:before="183" w:line="359" w:lineRule="auto"/>
        <w:ind w:left="10" w:right="101" w:firstLine="479"/>
        <w:rPr>
          <w:rFonts w:ascii="Times New Roman" w:eastAsia="宋体" w:hAnsi="Times New Roman" w:cs="Times New Roman" w:hint="default"/>
          <w:color w:val="auto"/>
          <w:spacing w:val="-2"/>
          <w:sz w:val="24"/>
          <w:szCs w:val="24"/>
        </w:rPr>
      </w:pPr>
      <w:r>
        <w:rPr>
          <w:rFonts w:ascii="Times New Roman" w:eastAsia="宋体" w:hAnsi="Times New Roman" w:cs="Times New Roman" w:hint="default"/>
          <w:color w:val="auto"/>
          <w:spacing w:val="-2"/>
          <w:sz w:val="24"/>
          <w:szCs w:val="24"/>
        </w:rPr>
        <w:t>④升压站运行过程中产生的废变压器油等矿物油应进行回收处理。废矿物油和废旧铅酸蓄电池作为危险废物应交由有资质的单位回收处理，严禁随意丢弃。</w:t>
      </w:r>
    </w:p>
    <w:p w14:paraId="1C496AB8">
      <w:pPr>
        <w:spacing w:before="183" w:line="359" w:lineRule="auto"/>
        <w:ind w:left="10" w:right="101" w:firstLine="479"/>
        <w:rPr>
          <w:rFonts w:ascii="Times New Roman" w:eastAsia="宋体" w:hAnsi="Times New Roman" w:cs="Times New Roman" w:hint="default"/>
          <w:color w:val="auto"/>
          <w:spacing w:val="-2"/>
          <w:sz w:val="24"/>
          <w:szCs w:val="24"/>
        </w:rPr>
      </w:pPr>
      <w:r>
        <w:rPr>
          <w:rFonts w:ascii="Times New Roman" w:eastAsia="宋体" w:hAnsi="Times New Roman" w:cs="Times New Roman" w:hint="default"/>
          <w:color w:val="auto"/>
          <w:spacing w:val="-2"/>
          <w:sz w:val="24"/>
          <w:szCs w:val="24"/>
        </w:rPr>
        <w:t>⑤站内可能发生的突发环境事件，应按照HJ169等国家有关规定制定突发环境事件应急预案，并定期演练。</w:t>
      </w:r>
    </w:p>
    <w:p w14:paraId="086F58E8">
      <w:pPr>
        <w:spacing w:before="183" w:line="359" w:lineRule="auto"/>
        <w:ind w:left="10" w:right="101" w:firstLine="479"/>
        <w:rPr>
          <w:rFonts w:ascii="Times New Roman" w:eastAsia="宋体" w:hAnsi="Times New Roman" w:cs="Times New Roman" w:hint="default"/>
          <w:color w:val="auto"/>
          <w:spacing w:val="-2"/>
          <w:sz w:val="24"/>
          <w:szCs w:val="24"/>
        </w:rPr>
      </w:pPr>
      <w:r>
        <w:rPr>
          <w:rFonts w:ascii="Times New Roman" w:eastAsia="宋体" w:hAnsi="Times New Roman" w:cs="Times New Roman" w:hint="default"/>
          <w:color w:val="auto"/>
          <w:spacing w:val="-2"/>
          <w:sz w:val="24"/>
          <w:szCs w:val="24"/>
        </w:rPr>
        <w:t>（2）管理培训</w:t>
      </w:r>
    </w:p>
    <w:p w14:paraId="56E53CBD">
      <w:pPr>
        <w:spacing w:before="183" w:line="359" w:lineRule="auto"/>
        <w:ind w:left="10" w:right="101" w:firstLine="479"/>
        <w:rPr>
          <w:rFonts w:ascii="Times New Roman" w:eastAsia="宋体" w:hAnsi="Times New Roman" w:cs="Times New Roman" w:hint="default"/>
          <w:color w:val="auto"/>
          <w:spacing w:val="-2"/>
          <w:sz w:val="24"/>
          <w:szCs w:val="24"/>
        </w:rPr>
      </w:pPr>
      <w:r>
        <w:rPr>
          <w:rFonts w:ascii="Times New Roman" w:eastAsia="宋体" w:hAnsi="Times New Roman" w:cs="Times New Roman" w:hint="default"/>
          <w:color w:val="auto"/>
          <w:spacing w:val="-2"/>
          <w:sz w:val="24"/>
          <w:szCs w:val="24"/>
        </w:rPr>
        <w:t>本项目对与工程项目有关的主要人员，包括施工单位、运行单位，进行环境保护技术和政策方面的培训与宣传，从而进一步增强施工、运行单位的环保管理的能力，减少施工和运行产生的不利环境影响，并能更好地参与和监督项目的环保管理；</w:t>
      </w:r>
      <w:r>
        <w:rPr>
          <w:rFonts w:ascii="Times New Roman" w:eastAsia="宋体" w:hAnsi="Times New Roman" w:cs="Times New Roman" w:hint="default"/>
          <w:color w:val="auto"/>
          <w:spacing w:val="-2"/>
          <w:sz w:val="24"/>
          <w:szCs w:val="24"/>
          <w:lang w:eastAsia="zh-CN"/>
        </w:rPr>
        <w:t>增强</w:t>
      </w:r>
      <w:r>
        <w:rPr>
          <w:rFonts w:ascii="Times New Roman" w:eastAsia="宋体" w:hAnsi="Times New Roman" w:cs="Times New Roman" w:hint="default"/>
          <w:color w:val="auto"/>
          <w:spacing w:val="-2"/>
          <w:sz w:val="24"/>
          <w:szCs w:val="24"/>
        </w:rPr>
        <w:t>人们的环保意识，加强公众的环境保护和自我保护意识</w:t>
      </w:r>
    </w:p>
    <w:p w14:paraId="584B34BA">
      <w:pPr>
        <w:spacing w:before="183" w:line="359" w:lineRule="auto"/>
        <w:ind w:left="10" w:right="101" w:firstLine="479"/>
        <w:rPr>
          <w:rFonts w:ascii="Times New Roman" w:eastAsia="宋体" w:hAnsi="Times New Roman" w:cs="Times New Roman" w:hint="default"/>
          <w:b/>
          <w:bCs/>
          <w:color w:val="auto"/>
          <w:spacing w:val="-2"/>
          <w:sz w:val="24"/>
          <w:szCs w:val="24"/>
        </w:rPr>
      </w:pPr>
      <w:r>
        <w:rPr>
          <w:rFonts w:ascii="Times New Roman" w:eastAsia="宋体" w:hAnsi="Times New Roman" w:cs="Times New Roman" w:hint="default"/>
          <w:b/>
          <w:bCs/>
          <w:color w:val="auto"/>
          <w:spacing w:val="-2"/>
          <w:sz w:val="24"/>
          <w:szCs w:val="24"/>
          <w:lang w:val="en-US" w:eastAsia="zh-CN"/>
        </w:rPr>
        <w:t>5</w:t>
      </w:r>
      <w:r>
        <w:rPr>
          <w:rFonts w:ascii="Times New Roman" w:eastAsia="宋体" w:hAnsi="Times New Roman" w:cs="Times New Roman" w:hint="default"/>
          <w:b/>
          <w:bCs/>
          <w:color w:val="auto"/>
          <w:spacing w:val="-2"/>
          <w:sz w:val="24"/>
          <w:szCs w:val="24"/>
        </w:rPr>
        <w:t>.2  监测计划</w:t>
      </w:r>
    </w:p>
    <w:p w14:paraId="7F0D11EE">
      <w:pPr>
        <w:spacing w:before="183" w:line="359" w:lineRule="auto"/>
        <w:ind w:left="10" w:right="101" w:firstLine="479"/>
        <w:rPr>
          <w:rFonts w:ascii="Times New Roman" w:eastAsia="宋体" w:hAnsi="Times New Roman" w:cs="Times New Roman" w:hint="default"/>
          <w:color w:val="auto"/>
          <w:spacing w:val="-2"/>
          <w:sz w:val="24"/>
          <w:szCs w:val="24"/>
        </w:rPr>
      </w:pPr>
      <w:r>
        <w:rPr>
          <w:rFonts w:ascii="Times New Roman" w:eastAsia="宋体" w:hAnsi="Times New Roman" w:cs="Times New Roman" w:hint="default"/>
          <w:color w:val="auto"/>
          <w:spacing w:val="-2"/>
          <w:sz w:val="24"/>
          <w:szCs w:val="24"/>
        </w:rPr>
        <w:t>根据HJ1113-2020，升压站周围电磁环境需要定期监测，及时了解电磁设备对周围环境的影响，监测记录包括监测位置、监测时间、监测人员和监测结果，并保存监测记录。</w:t>
      </w:r>
    </w:p>
    <w:p w14:paraId="3E1BEE85">
      <w:pPr>
        <w:spacing w:before="183" w:line="359" w:lineRule="auto"/>
        <w:ind w:left="10" w:right="101" w:firstLine="479"/>
        <w:rPr>
          <w:rFonts w:ascii="Times New Roman" w:eastAsia="宋体" w:hAnsi="Times New Roman" w:cs="Times New Roman" w:hint="default"/>
          <w:color w:val="auto"/>
          <w:spacing w:val="-2"/>
          <w:sz w:val="24"/>
          <w:szCs w:val="24"/>
        </w:rPr>
      </w:pPr>
      <w:r>
        <w:rPr>
          <w:rFonts w:ascii="Times New Roman" w:eastAsia="宋体" w:hAnsi="Times New Roman" w:cs="Times New Roman" w:hint="default"/>
          <w:color w:val="auto"/>
          <w:spacing w:val="-2"/>
          <w:sz w:val="24"/>
          <w:szCs w:val="24"/>
        </w:rPr>
        <w:t>监测项目：工频电场强度、工频磁感应强度。</w:t>
      </w:r>
    </w:p>
    <w:p w14:paraId="0B8DD83B">
      <w:pPr>
        <w:spacing w:before="183" w:line="359" w:lineRule="auto"/>
        <w:ind w:left="10" w:right="101" w:firstLine="479"/>
        <w:rPr>
          <w:rFonts w:ascii="Times New Roman" w:eastAsia="宋体" w:hAnsi="Times New Roman" w:cs="Times New Roman" w:hint="default"/>
          <w:color w:val="auto"/>
          <w:spacing w:val="-2"/>
          <w:sz w:val="24"/>
          <w:szCs w:val="24"/>
        </w:rPr>
      </w:pPr>
      <w:r>
        <w:rPr>
          <w:rFonts w:ascii="Times New Roman" w:eastAsia="宋体" w:hAnsi="Times New Roman" w:cs="Times New Roman" w:hint="default"/>
          <w:color w:val="auto"/>
          <w:spacing w:val="-2"/>
          <w:sz w:val="24"/>
          <w:szCs w:val="24"/>
        </w:rPr>
        <w:t>监测点位：在</w:t>
      </w:r>
      <w:r>
        <w:rPr>
          <w:rFonts w:ascii="Times New Roman" w:eastAsia="宋体" w:hAnsi="Times New Roman" w:cs="Times New Roman" w:hint="default"/>
          <w:color w:val="auto"/>
          <w:spacing w:val="-2"/>
          <w:sz w:val="24"/>
          <w:szCs w:val="24"/>
          <w:lang w:val="en-US" w:eastAsia="zh-CN"/>
        </w:rPr>
        <w:t>项目</w:t>
      </w:r>
      <w:r>
        <w:rPr>
          <w:rFonts w:ascii="Times New Roman" w:eastAsia="宋体" w:hAnsi="Times New Roman" w:cs="Times New Roman" w:hint="default"/>
          <w:color w:val="auto"/>
          <w:spacing w:val="-2"/>
          <w:sz w:val="24"/>
          <w:szCs w:val="24"/>
        </w:rPr>
        <w:t>围墙外5m处布置监测点并设置电磁环境断面监测。</w:t>
      </w:r>
    </w:p>
    <w:p w14:paraId="5AF7C791">
      <w:pPr>
        <w:spacing w:before="183" w:line="359" w:lineRule="auto"/>
        <w:ind w:left="10" w:right="101" w:firstLine="479"/>
        <w:rPr>
          <w:rFonts w:ascii="Times New Roman" w:eastAsia="宋体" w:hAnsi="Times New Roman" w:cs="Times New Roman" w:hint="default"/>
          <w:color w:val="auto"/>
          <w:spacing w:val="-2"/>
          <w:sz w:val="24"/>
          <w:szCs w:val="24"/>
        </w:rPr>
      </w:pPr>
      <w:r>
        <w:rPr>
          <w:rFonts w:ascii="Times New Roman" w:eastAsia="宋体" w:hAnsi="Times New Roman" w:cs="Times New Roman" w:hint="default"/>
          <w:color w:val="auto"/>
          <w:spacing w:val="-2"/>
          <w:sz w:val="24"/>
          <w:szCs w:val="24"/>
        </w:rPr>
        <w:t>监测时间：环保验收监测一次，运行后按相关规范定期进行监测，在后期运行中如遇到应急、投诉等须立即进行监测。</w:t>
      </w:r>
    </w:p>
    <w:p w14:paraId="3666E505">
      <w:pPr>
        <w:spacing w:before="186" w:line="219" w:lineRule="auto"/>
        <w:ind w:left="10"/>
        <w:outlineLvl w:val="1"/>
        <w:rPr>
          <w:rFonts w:ascii="Times New Roman" w:eastAsia="宋体" w:hAnsi="Times New Roman" w:cs="Times New Roman" w:hint="default"/>
          <w:color w:val="auto"/>
          <w:sz w:val="28"/>
          <w:szCs w:val="28"/>
        </w:rPr>
      </w:pPr>
      <w:bookmarkStart w:id="15" w:name="bookmark20"/>
      <w:bookmarkEnd w:id="15"/>
      <w:r>
        <w:rPr>
          <w:rFonts w:ascii="Times New Roman" w:eastAsia="宋体" w:hAnsi="Times New Roman" w:cs="Times New Roman" w:hint="default"/>
          <w:b/>
          <w:bCs/>
          <w:color w:val="auto"/>
          <w:spacing w:val="-4"/>
          <w:sz w:val="28"/>
          <w:szCs w:val="28"/>
          <w:lang w:val="en-US" w:eastAsia="zh-CN"/>
        </w:rPr>
        <w:t>6</w:t>
      </w:r>
      <w:r>
        <w:rPr>
          <w:rFonts w:ascii="Times New Roman" w:eastAsia="宋体" w:hAnsi="Times New Roman" w:cs="Times New Roman" w:hint="default"/>
          <w:b/>
          <w:bCs/>
          <w:color w:val="auto"/>
          <w:spacing w:val="-4"/>
          <w:sz w:val="28"/>
          <w:szCs w:val="28"/>
        </w:rPr>
        <w:t>.</w:t>
      </w:r>
      <w:r>
        <w:rPr>
          <w:rFonts w:ascii="Times New Roman" w:eastAsia="宋体" w:hAnsi="Times New Roman" w:cs="Times New Roman" w:hint="default"/>
          <w:b/>
          <w:bCs/>
          <w:color w:val="auto"/>
          <w:spacing w:val="24"/>
          <w:sz w:val="28"/>
          <w:szCs w:val="28"/>
        </w:rPr>
        <w:t xml:space="preserve"> </w:t>
      </w:r>
      <w:r>
        <w:rPr>
          <w:rFonts w:ascii="Times New Roman" w:eastAsia="宋体" w:hAnsi="Times New Roman" w:cs="Times New Roman" w:hint="default"/>
          <w:color w:val="auto"/>
          <w:spacing w:val="-4"/>
          <w:sz w:val="28"/>
          <w:szCs w:val="28"/>
          <w14:textOutline w14:w="5103" w14:cap="sq">
            <w14:solidFill>
              <w14:srgbClr w14:val="000000"/>
            </w14:solidFill>
            <w14:bevel/>
          </w14:textOutline>
        </w:rPr>
        <w:t>电磁环境影响评价结论</w:t>
      </w:r>
    </w:p>
    <w:p w14:paraId="7BEC368C">
      <w:pPr>
        <w:spacing w:before="208" w:line="219" w:lineRule="auto"/>
        <w:ind w:left="501"/>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3"/>
          <w:sz w:val="24"/>
          <w:szCs w:val="24"/>
        </w:rPr>
        <w:t>（1）电磁环境现状</w:t>
      </w:r>
    </w:p>
    <w:p w14:paraId="1C32D10D">
      <w:pPr>
        <w:spacing w:before="183" w:line="359" w:lineRule="auto"/>
        <w:ind w:left="10" w:right="101" w:firstLine="479"/>
        <w:rPr>
          <w:rFonts w:ascii="Times New Roman" w:eastAsia="宋体" w:hAnsi="Times New Roman" w:cs="Times New Roman" w:hint="default"/>
          <w:color w:val="auto"/>
          <w:spacing w:val="-1"/>
          <w:sz w:val="24"/>
          <w:szCs w:val="24"/>
        </w:rPr>
      </w:pPr>
      <w:r>
        <w:rPr>
          <w:rFonts w:ascii="Times New Roman" w:eastAsia="宋体" w:hAnsi="Times New Roman" w:cs="Times New Roman" w:hint="default"/>
          <w:color w:val="auto"/>
          <w:spacing w:val="2"/>
          <w:sz w:val="24"/>
          <w:szCs w:val="24"/>
        </w:rPr>
        <w:t>根据现场踏勘可知，本</w:t>
      </w:r>
      <w:r>
        <w:rPr>
          <w:rFonts w:ascii="Times New Roman" w:eastAsia="宋体" w:hAnsi="Times New Roman" w:cs="Times New Roman" w:hint="default"/>
          <w:color w:val="auto"/>
          <w:spacing w:val="2"/>
          <w:sz w:val="24"/>
          <w:szCs w:val="24"/>
          <w:lang w:val="en-US" w:eastAsia="zh-CN"/>
        </w:rPr>
        <w:t>项目</w:t>
      </w:r>
      <w:r>
        <w:rPr>
          <w:rFonts w:ascii="Times New Roman" w:eastAsia="宋体" w:hAnsi="Times New Roman" w:cs="Times New Roman" w:hint="default"/>
          <w:color w:val="auto"/>
          <w:spacing w:val="2"/>
          <w:sz w:val="24"/>
          <w:szCs w:val="24"/>
        </w:rPr>
        <w:t>界</w:t>
      </w:r>
      <w:r>
        <w:rPr>
          <w:rFonts w:ascii="Times New Roman" w:eastAsia="宋体" w:hAnsi="Times New Roman" w:cs="Times New Roman" w:hint="default"/>
          <w:color w:val="auto"/>
          <w:spacing w:val="1"/>
          <w:sz w:val="24"/>
          <w:szCs w:val="24"/>
        </w:rPr>
        <w:t>外40m范围内无电磁环境敏感目</w:t>
      </w:r>
      <w:r>
        <w:rPr>
          <w:rFonts w:ascii="Times New Roman" w:eastAsia="宋体" w:hAnsi="Times New Roman" w:cs="Times New Roman" w:hint="default"/>
          <w:color w:val="auto"/>
          <w:spacing w:val="-2"/>
          <w:sz w:val="24"/>
          <w:szCs w:val="24"/>
        </w:rPr>
        <w:t>标。为了解本工程升压站周围电磁环境现状，委托河北冀辐源环保科技有限公司在本工程</w:t>
      </w:r>
      <w:r>
        <w:rPr>
          <w:rFonts w:ascii="Times New Roman" w:eastAsia="宋体" w:hAnsi="Times New Roman" w:cs="Times New Roman" w:hint="default"/>
          <w:color w:val="auto"/>
          <w:spacing w:val="-2"/>
          <w:sz w:val="24"/>
          <w:szCs w:val="24"/>
          <w:lang w:val="en-US" w:eastAsia="zh-CN"/>
        </w:rPr>
        <w:t>储能站四侧</w:t>
      </w:r>
      <w:r>
        <w:rPr>
          <w:rFonts w:ascii="Times New Roman" w:eastAsia="宋体" w:hAnsi="Times New Roman" w:cs="Times New Roman" w:hint="default"/>
          <w:color w:val="auto"/>
          <w:spacing w:val="-2"/>
          <w:sz w:val="24"/>
          <w:szCs w:val="24"/>
        </w:rPr>
        <w:t>处布置有代表性的监测点位，分别监测工频电场强度、工频磁感应强度。根据监测结果，本工程升压站处电磁环境现状监测值（工频电场强度、工频磁感应强度）均能</w:t>
      </w:r>
      <w:r>
        <w:rPr>
          <w:rFonts w:ascii="Times New Roman" w:eastAsia="宋体" w:hAnsi="Times New Roman" w:cs="Times New Roman" w:hint="default"/>
          <w:color w:val="auto"/>
          <w:sz w:val="24"/>
          <w:szCs w:val="24"/>
        </w:rPr>
        <w:t>满足GB8702-2014《电磁环境控制限值》中</w:t>
      </w:r>
      <w:r>
        <w:rPr>
          <w:rFonts w:ascii="Times New Roman" w:eastAsia="宋体" w:hAnsi="Times New Roman" w:cs="Times New Roman" w:hint="default"/>
          <w:color w:val="auto"/>
          <w:spacing w:val="-1"/>
          <w:sz w:val="24"/>
          <w:szCs w:val="24"/>
        </w:rPr>
        <w:t>公众</w:t>
      </w:r>
      <w:r>
        <w:rPr>
          <w:rFonts w:ascii="Times New Roman" w:eastAsia="宋体" w:hAnsi="Times New Roman" w:cs="Times New Roman" w:hint="default"/>
          <w:color w:val="auto"/>
          <w:spacing w:val="-1"/>
          <w:sz w:val="24"/>
          <w:szCs w:val="24"/>
          <w:lang w:eastAsia="zh-CN"/>
        </w:rPr>
        <w:t>暴露</w:t>
      </w:r>
      <w:r>
        <w:rPr>
          <w:rFonts w:ascii="Times New Roman" w:eastAsia="宋体" w:hAnsi="Times New Roman" w:cs="Times New Roman" w:hint="default"/>
          <w:color w:val="auto"/>
          <w:spacing w:val="-1"/>
          <w:sz w:val="24"/>
          <w:szCs w:val="24"/>
        </w:rPr>
        <w:t>控制限值要求。</w:t>
      </w:r>
    </w:p>
    <w:p w14:paraId="077460E7">
      <w:pPr>
        <w:spacing w:before="183" w:line="359" w:lineRule="auto"/>
        <w:ind w:left="10" w:right="101" w:firstLine="479"/>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1"/>
          <w:sz w:val="24"/>
          <w:szCs w:val="24"/>
        </w:rPr>
        <w:t>（2）运行期间电磁环境</w:t>
      </w:r>
      <w:r>
        <w:rPr>
          <w:rFonts w:ascii="Times New Roman" w:eastAsia="宋体" w:hAnsi="Times New Roman" w:cs="Times New Roman" w:hint="default"/>
          <w:color w:val="auto"/>
          <w:spacing w:val="-2"/>
          <w:sz w:val="24"/>
          <w:szCs w:val="24"/>
        </w:rPr>
        <w:t>影响</w:t>
      </w:r>
    </w:p>
    <w:p w14:paraId="05E19E73">
      <w:pPr>
        <w:spacing w:before="182" w:line="359" w:lineRule="auto"/>
        <w:ind w:left="31" w:right="103" w:firstLine="459"/>
        <w:rPr>
          <w:rFonts w:ascii="Times New Roman" w:eastAsia="宋体" w:hAnsi="Times New Roman" w:cs="Times New Roman" w:hint="default"/>
          <w:color w:val="auto"/>
          <w:spacing w:val="-1"/>
          <w:sz w:val="24"/>
          <w:szCs w:val="24"/>
          <w:lang w:eastAsia="zh-CN"/>
        </w:rPr>
      </w:pPr>
      <w:r>
        <w:rPr>
          <w:rFonts w:ascii="Times New Roman" w:eastAsia="宋体" w:hAnsi="Times New Roman" w:cs="Times New Roman" w:hint="default"/>
          <w:color w:val="auto"/>
          <w:sz w:val="24"/>
          <w:szCs w:val="24"/>
        </w:rPr>
        <w:t>本评价采用类比的方式，对本项目运行期间的电磁辐射影响进行了类比分析，经类比分析可知：</w:t>
      </w:r>
      <w:r>
        <w:rPr>
          <w:rFonts w:ascii="Times New Roman" w:eastAsia="宋体" w:hAnsi="Times New Roman" w:cs="Times New Roman" w:hint="default"/>
          <w:color w:val="auto"/>
          <w:sz w:val="24"/>
          <w:szCs w:val="24"/>
          <w:lang w:val="en-US" w:eastAsia="zh-CN"/>
        </w:rPr>
        <w:t>本项目</w:t>
      </w:r>
      <w:r>
        <w:rPr>
          <w:rFonts w:ascii="Times New Roman" w:eastAsia="宋体" w:hAnsi="Times New Roman" w:cs="Times New Roman" w:hint="default"/>
          <w:color w:val="auto"/>
          <w:sz w:val="24"/>
          <w:szCs w:val="24"/>
        </w:rPr>
        <w:t>营运</w:t>
      </w:r>
      <w:r>
        <w:rPr>
          <w:rFonts w:ascii="Times New Roman" w:eastAsia="宋体" w:hAnsi="Times New Roman" w:cs="Times New Roman" w:hint="default"/>
          <w:color w:val="auto"/>
          <w:spacing w:val="-1"/>
          <w:sz w:val="24"/>
          <w:szCs w:val="24"/>
        </w:rPr>
        <w:t>期电磁辐射环境影响能够满足《电磁</w:t>
      </w:r>
      <w:r>
        <w:rPr>
          <w:rFonts w:ascii="Times New Roman" w:eastAsia="宋体" w:hAnsi="Times New Roman" w:cs="Times New Roman" w:hint="default"/>
          <w:color w:val="auto"/>
          <w:sz w:val="24"/>
          <w:szCs w:val="24"/>
        </w:rPr>
        <w:t>环境控制限值》（GB8702-2014）中</w:t>
      </w:r>
      <w:r>
        <w:rPr>
          <w:rFonts w:ascii="Times New Roman" w:eastAsia="宋体" w:hAnsi="Times New Roman" w:cs="Times New Roman" w:hint="default"/>
          <w:color w:val="auto"/>
          <w:spacing w:val="-1"/>
          <w:sz w:val="24"/>
          <w:szCs w:val="24"/>
        </w:rPr>
        <w:t>公众</w:t>
      </w:r>
      <w:r>
        <w:rPr>
          <w:rFonts w:ascii="Times New Roman" w:eastAsia="宋体" w:hAnsi="Times New Roman" w:cs="Times New Roman" w:hint="default"/>
          <w:color w:val="auto"/>
          <w:spacing w:val="-1"/>
          <w:sz w:val="24"/>
          <w:szCs w:val="24"/>
          <w:lang w:eastAsia="zh-CN"/>
        </w:rPr>
        <w:t>暴露</w:t>
      </w:r>
      <w:r>
        <w:rPr>
          <w:rFonts w:ascii="Times New Roman" w:eastAsia="宋体" w:hAnsi="Times New Roman" w:cs="Times New Roman" w:hint="default"/>
          <w:color w:val="auto"/>
          <w:spacing w:val="-1"/>
          <w:sz w:val="24"/>
          <w:szCs w:val="24"/>
        </w:rPr>
        <w:t>控制限值要求</w:t>
      </w:r>
      <w:r>
        <w:rPr>
          <w:rFonts w:ascii="Times New Roman" w:eastAsia="宋体" w:hAnsi="Times New Roman" w:cs="Times New Roman" w:hint="default"/>
          <w:color w:val="auto"/>
          <w:spacing w:val="-1"/>
          <w:sz w:val="24"/>
          <w:szCs w:val="24"/>
          <w:lang w:eastAsia="zh-CN"/>
        </w:rPr>
        <w:t>。</w:t>
      </w:r>
    </w:p>
    <w:p w14:paraId="02900E66">
      <w:pPr>
        <w:spacing w:before="204" w:line="226" w:lineRule="auto"/>
        <w:jc w:val="center"/>
        <w:rPr>
          <w:rFonts w:ascii="Times New Roman" w:eastAsia="宋体" w:hAnsi="Times New Roman" w:cs="Times New Roman" w:hint="default"/>
          <w:color w:val="auto"/>
          <w:spacing w:val="7"/>
          <w:sz w:val="48"/>
          <w:szCs w:val="48"/>
        </w:rPr>
        <w:sectPr>
          <w:footerReference w:type="even" r:id="rId20"/>
          <w:footerReference w:type="default" r:id="rId21"/>
          <w:pgSz w:w="11906" w:h="16839"/>
          <w:pgMar w:top="1440" w:right="1797" w:bottom="1440" w:left="1797" w:header="0" w:footer="994" w:gutter="0"/>
          <w:pgBorders>
            <w:top w:val="none" w:sz="0" w:space="0" w:color="auto"/>
            <w:left w:val="none" w:sz="0" w:space="0" w:color="auto"/>
            <w:bottom w:val="none" w:sz="0" w:space="0" w:color="auto"/>
            <w:right w:val="none" w:sz="0" w:space="0" w:color="auto"/>
          </w:pgBorders>
          <w:pgNumType w:fmt="decimal"/>
          <w:cols w:num="1" w:space="720"/>
        </w:sectPr>
      </w:pPr>
    </w:p>
    <w:p w14:paraId="209DB29B">
      <w:pPr>
        <w:spacing w:before="204" w:line="226" w:lineRule="auto"/>
        <w:jc w:val="center"/>
        <w:rPr>
          <w:rFonts w:ascii="Times New Roman" w:eastAsia="宋体" w:hAnsi="Times New Roman" w:cs="Times New Roman" w:hint="default"/>
          <w:color w:val="auto"/>
          <w:spacing w:val="7"/>
          <w:sz w:val="48"/>
          <w:szCs w:val="48"/>
        </w:rPr>
      </w:pPr>
    </w:p>
    <w:p w14:paraId="384D7911">
      <w:pPr>
        <w:spacing w:before="204" w:line="226" w:lineRule="auto"/>
        <w:jc w:val="center"/>
        <w:rPr>
          <w:rFonts w:ascii="Times New Roman" w:eastAsia="宋体" w:hAnsi="Times New Roman" w:cs="Times New Roman" w:hint="default"/>
          <w:b/>
          <w:bCs/>
          <w:color w:val="auto"/>
          <w:spacing w:val="7"/>
          <w:sz w:val="48"/>
          <w:szCs w:val="48"/>
        </w:rPr>
      </w:pPr>
      <w:r>
        <w:rPr>
          <w:rFonts w:ascii="Times New Roman" w:eastAsia="宋体" w:hAnsi="Times New Roman" w:cs="Times New Roman" w:hint="default"/>
          <w:b/>
          <w:bCs/>
          <w:color w:val="auto"/>
          <w:spacing w:val="7"/>
          <w:sz w:val="48"/>
          <w:szCs w:val="48"/>
        </w:rPr>
        <w:t>天启鸿源围场共享储能电站项目</w:t>
      </w:r>
    </w:p>
    <w:p w14:paraId="72023F71">
      <w:pPr>
        <w:spacing w:before="204" w:line="226" w:lineRule="auto"/>
        <w:jc w:val="center"/>
        <w:rPr>
          <w:rFonts w:ascii="Times New Roman" w:eastAsia="宋体" w:hAnsi="Times New Roman" w:cs="Times New Roman" w:hint="default"/>
          <w:b/>
          <w:bCs/>
          <w:color w:val="auto"/>
          <w:sz w:val="48"/>
          <w:szCs w:val="48"/>
        </w:rPr>
      </w:pPr>
      <w:r>
        <w:rPr>
          <w:rFonts w:ascii="Times New Roman" w:eastAsia="宋体" w:hAnsi="Times New Roman" w:cs="Times New Roman" w:hint="default"/>
          <w:b/>
          <w:bCs/>
          <w:color w:val="auto"/>
          <w:spacing w:val="7"/>
          <w:sz w:val="48"/>
          <w:szCs w:val="48"/>
        </w:rPr>
        <w:t>环境风险专项评价</w:t>
      </w:r>
    </w:p>
    <w:p w14:paraId="20F4131D">
      <w:pPr>
        <w:pStyle w:val="BodyText"/>
        <w:spacing w:line="244" w:lineRule="auto"/>
        <w:rPr>
          <w:rFonts w:ascii="Times New Roman" w:eastAsia="宋体" w:hAnsi="Times New Roman" w:cs="Times New Roman" w:hint="default"/>
          <w:b/>
          <w:bCs/>
          <w:color w:val="auto"/>
        </w:rPr>
      </w:pPr>
    </w:p>
    <w:p w14:paraId="243ADC7B">
      <w:pPr>
        <w:pStyle w:val="BodyText"/>
        <w:spacing w:line="244" w:lineRule="auto"/>
        <w:rPr>
          <w:rFonts w:ascii="Times New Roman" w:eastAsia="宋体" w:hAnsi="Times New Roman" w:cs="Times New Roman" w:hint="default"/>
          <w:b/>
          <w:bCs/>
          <w:color w:val="auto"/>
        </w:rPr>
      </w:pPr>
    </w:p>
    <w:p w14:paraId="09D761B9">
      <w:pPr>
        <w:pStyle w:val="BodyText"/>
        <w:spacing w:line="244" w:lineRule="auto"/>
        <w:rPr>
          <w:rFonts w:ascii="Times New Roman" w:eastAsia="宋体" w:hAnsi="Times New Roman" w:cs="Times New Roman" w:hint="default"/>
          <w:b/>
          <w:bCs/>
          <w:color w:val="auto"/>
        </w:rPr>
      </w:pPr>
    </w:p>
    <w:p w14:paraId="28B445DA">
      <w:pPr>
        <w:pStyle w:val="BodyText"/>
        <w:spacing w:line="244" w:lineRule="auto"/>
        <w:rPr>
          <w:rFonts w:ascii="Times New Roman" w:eastAsia="宋体" w:hAnsi="Times New Roman" w:cs="Times New Roman" w:hint="default"/>
          <w:b/>
          <w:bCs/>
          <w:color w:val="auto"/>
        </w:rPr>
      </w:pPr>
    </w:p>
    <w:p w14:paraId="77111AEC">
      <w:pPr>
        <w:pStyle w:val="BodyText"/>
        <w:spacing w:line="244" w:lineRule="auto"/>
        <w:rPr>
          <w:rFonts w:ascii="Times New Roman" w:eastAsia="宋体" w:hAnsi="Times New Roman" w:cs="Times New Roman" w:hint="default"/>
          <w:b/>
          <w:bCs/>
          <w:color w:val="auto"/>
        </w:rPr>
      </w:pPr>
    </w:p>
    <w:p w14:paraId="7C21ED74">
      <w:pPr>
        <w:pStyle w:val="BodyText"/>
        <w:spacing w:line="244" w:lineRule="auto"/>
        <w:rPr>
          <w:rFonts w:ascii="Times New Roman" w:eastAsia="宋体" w:hAnsi="Times New Roman" w:cs="Times New Roman" w:hint="default"/>
          <w:b/>
          <w:bCs/>
          <w:color w:val="auto"/>
        </w:rPr>
      </w:pPr>
    </w:p>
    <w:p w14:paraId="1D2CFDB6">
      <w:pPr>
        <w:pStyle w:val="BodyText"/>
        <w:spacing w:line="244" w:lineRule="auto"/>
        <w:rPr>
          <w:rFonts w:ascii="Times New Roman" w:eastAsia="宋体" w:hAnsi="Times New Roman" w:cs="Times New Roman" w:hint="default"/>
          <w:b/>
          <w:bCs/>
          <w:color w:val="auto"/>
        </w:rPr>
      </w:pPr>
    </w:p>
    <w:p w14:paraId="40E1D673">
      <w:pPr>
        <w:pStyle w:val="BodyText"/>
        <w:spacing w:line="244" w:lineRule="auto"/>
        <w:rPr>
          <w:rFonts w:ascii="Times New Roman" w:eastAsia="宋体" w:hAnsi="Times New Roman" w:cs="Times New Roman" w:hint="default"/>
          <w:b/>
          <w:bCs/>
          <w:color w:val="auto"/>
        </w:rPr>
      </w:pPr>
    </w:p>
    <w:p w14:paraId="2D3A5044">
      <w:pPr>
        <w:pStyle w:val="BodyText"/>
        <w:spacing w:line="244" w:lineRule="auto"/>
        <w:rPr>
          <w:rFonts w:ascii="Times New Roman" w:eastAsia="宋体" w:hAnsi="Times New Roman" w:cs="Times New Roman" w:hint="default"/>
          <w:b/>
          <w:bCs/>
          <w:color w:val="auto"/>
        </w:rPr>
      </w:pPr>
    </w:p>
    <w:p w14:paraId="2824C65D">
      <w:pPr>
        <w:pStyle w:val="BodyText"/>
        <w:spacing w:line="244" w:lineRule="auto"/>
        <w:rPr>
          <w:rFonts w:ascii="Times New Roman" w:eastAsia="宋体" w:hAnsi="Times New Roman" w:cs="Times New Roman" w:hint="default"/>
          <w:b/>
          <w:bCs/>
          <w:color w:val="auto"/>
        </w:rPr>
      </w:pPr>
    </w:p>
    <w:p w14:paraId="6C85E580">
      <w:pPr>
        <w:pStyle w:val="BodyText"/>
        <w:spacing w:line="244" w:lineRule="auto"/>
        <w:rPr>
          <w:rFonts w:ascii="Times New Roman" w:eastAsia="宋体" w:hAnsi="Times New Roman" w:cs="Times New Roman" w:hint="default"/>
          <w:b/>
          <w:bCs/>
          <w:color w:val="auto"/>
        </w:rPr>
      </w:pPr>
    </w:p>
    <w:p w14:paraId="3745F0FB">
      <w:pPr>
        <w:pStyle w:val="BodyText"/>
        <w:spacing w:line="244" w:lineRule="auto"/>
        <w:rPr>
          <w:rFonts w:ascii="Times New Roman" w:eastAsia="宋体" w:hAnsi="Times New Roman" w:cs="Times New Roman" w:hint="default"/>
          <w:b/>
          <w:bCs/>
          <w:color w:val="auto"/>
        </w:rPr>
      </w:pPr>
    </w:p>
    <w:p w14:paraId="350E54DC">
      <w:pPr>
        <w:pStyle w:val="BodyText"/>
        <w:spacing w:line="244" w:lineRule="auto"/>
        <w:rPr>
          <w:rFonts w:ascii="Times New Roman" w:eastAsia="宋体" w:hAnsi="Times New Roman" w:cs="Times New Roman" w:hint="default"/>
          <w:b/>
          <w:bCs/>
          <w:color w:val="auto"/>
        </w:rPr>
      </w:pPr>
    </w:p>
    <w:p w14:paraId="29BC22DB">
      <w:pPr>
        <w:pStyle w:val="BodyText"/>
        <w:spacing w:line="244" w:lineRule="auto"/>
        <w:rPr>
          <w:rFonts w:ascii="Times New Roman" w:eastAsia="宋体" w:hAnsi="Times New Roman" w:cs="Times New Roman" w:hint="default"/>
          <w:b/>
          <w:bCs/>
          <w:color w:val="auto"/>
        </w:rPr>
      </w:pPr>
    </w:p>
    <w:p w14:paraId="09DCCE59">
      <w:pPr>
        <w:pStyle w:val="BodyText"/>
        <w:spacing w:line="245" w:lineRule="auto"/>
        <w:rPr>
          <w:rFonts w:ascii="Times New Roman" w:eastAsia="宋体" w:hAnsi="Times New Roman" w:cs="Times New Roman" w:hint="default"/>
          <w:b/>
          <w:bCs/>
          <w:color w:val="auto"/>
        </w:rPr>
      </w:pPr>
    </w:p>
    <w:p w14:paraId="464D70A6">
      <w:pPr>
        <w:pStyle w:val="BodyText"/>
        <w:spacing w:line="245" w:lineRule="auto"/>
        <w:rPr>
          <w:rFonts w:ascii="Times New Roman" w:eastAsia="宋体" w:hAnsi="Times New Roman" w:cs="Times New Roman" w:hint="default"/>
          <w:b/>
          <w:bCs/>
          <w:color w:val="auto"/>
        </w:rPr>
      </w:pPr>
    </w:p>
    <w:p w14:paraId="21696827">
      <w:pPr>
        <w:pStyle w:val="BodyText"/>
        <w:spacing w:line="245" w:lineRule="auto"/>
        <w:rPr>
          <w:rFonts w:ascii="Times New Roman" w:eastAsia="宋体" w:hAnsi="Times New Roman" w:cs="Times New Roman" w:hint="default"/>
          <w:b/>
          <w:bCs/>
          <w:color w:val="auto"/>
        </w:rPr>
      </w:pPr>
    </w:p>
    <w:p w14:paraId="5A1622BF">
      <w:pPr>
        <w:pStyle w:val="BodyText"/>
        <w:spacing w:line="245" w:lineRule="auto"/>
        <w:rPr>
          <w:rFonts w:ascii="Times New Roman" w:eastAsia="宋体" w:hAnsi="Times New Roman" w:cs="Times New Roman" w:hint="default"/>
          <w:b/>
          <w:bCs/>
          <w:color w:val="auto"/>
        </w:rPr>
      </w:pPr>
    </w:p>
    <w:p w14:paraId="2D842849">
      <w:pPr>
        <w:spacing w:before="100" w:line="370" w:lineRule="auto"/>
        <w:ind w:left="566"/>
        <w:jc w:val="center"/>
        <w:rPr>
          <w:rFonts w:ascii="Times New Roman" w:eastAsia="宋体" w:hAnsi="Times New Roman" w:cs="Times New Roman" w:hint="default"/>
          <w:b/>
          <w:bCs/>
          <w:color w:val="auto"/>
          <w:spacing w:val="15"/>
          <w:sz w:val="31"/>
          <w:szCs w:val="31"/>
          <w:u w:val="single" w:color="auto"/>
        </w:rPr>
      </w:pPr>
      <w:r>
        <w:rPr>
          <w:rFonts w:ascii="Times New Roman" w:eastAsia="宋体" w:hAnsi="Times New Roman" w:cs="Times New Roman" w:hint="default"/>
          <w:b/>
          <w:bCs/>
          <w:color w:val="auto"/>
          <w:spacing w:val="8"/>
          <w:sz w:val="31"/>
          <w:szCs w:val="31"/>
        </w:rPr>
        <w:t>建设单位（盖章</w:t>
      </w:r>
      <w:r>
        <w:rPr>
          <w:rFonts w:ascii="Times New Roman" w:eastAsia="宋体" w:hAnsi="Times New Roman" w:cs="Times New Roman" w:hint="default"/>
          <w:b/>
          <w:bCs/>
          <w:color w:val="auto"/>
          <w:spacing w:val="-84"/>
          <w:sz w:val="31"/>
          <w:szCs w:val="31"/>
        </w:rPr>
        <w:t>）：</w:t>
      </w:r>
      <w:r>
        <w:rPr>
          <w:rFonts w:ascii="Times New Roman" w:eastAsia="宋体" w:hAnsi="Times New Roman" w:cs="Times New Roman" w:hint="default"/>
          <w:b/>
          <w:bCs/>
          <w:color w:val="auto"/>
          <w:spacing w:val="-112"/>
          <w:sz w:val="31"/>
          <w:szCs w:val="31"/>
        </w:rPr>
        <w:t xml:space="preserve"> </w:t>
      </w:r>
      <w:r>
        <w:rPr>
          <w:rFonts w:ascii="Times New Roman" w:eastAsia="宋体" w:hAnsi="Times New Roman" w:cs="Times New Roman" w:hint="default"/>
          <w:b/>
          <w:bCs/>
          <w:color w:val="auto"/>
          <w:spacing w:val="15"/>
          <w:sz w:val="31"/>
          <w:szCs w:val="31"/>
          <w:u w:val="single" w:color="auto"/>
        </w:rPr>
        <w:t>启鸿围场满族蒙古族自治县新能源科技有限公司</w:t>
      </w:r>
    </w:p>
    <w:p w14:paraId="047A4427">
      <w:pPr>
        <w:spacing w:before="1" w:line="218" w:lineRule="auto"/>
        <w:ind w:left="3616"/>
        <w:rPr>
          <w:rFonts w:ascii="Times New Roman" w:eastAsia="宋体" w:hAnsi="Times New Roman" w:cs="Times New Roman" w:hint="default"/>
          <w:color w:val="auto"/>
          <w:sz w:val="31"/>
          <w:szCs w:val="31"/>
        </w:rPr>
      </w:pPr>
      <w:r>
        <w:rPr>
          <w:rFonts w:ascii="Times New Roman" w:eastAsia="宋体" w:hAnsi="Times New Roman" w:cs="Times New Roman" w:hint="default"/>
          <w:b/>
          <w:bCs/>
          <w:color w:val="auto"/>
          <w:sz w:val="31"/>
          <w:szCs w:val="31"/>
        </w:rPr>
        <w:t>202</w:t>
      </w:r>
      <w:r>
        <w:rPr>
          <w:rFonts w:ascii="Times New Roman" w:eastAsia="宋体" w:hAnsi="Times New Roman" w:cs="Times New Roman" w:hint="default"/>
          <w:b/>
          <w:bCs/>
          <w:color w:val="auto"/>
          <w:sz w:val="31"/>
          <w:szCs w:val="31"/>
          <w:lang w:val="en-US" w:eastAsia="zh-CN"/>
        </w:rPr>
        <w:t>4</w:t>
      </w:r>
      <w:r>
        <w:rPr>
          <w:rFonts w:ascii="Times New Roman" w:eastAsia="宋体" w:hAnsi="Times New Roman" w:cs="Times New Roman" w:hint="default"/>
          <w:color w:val="auto"/>
          <w:sz w:val="31"/>
          <w:szCs w:val="31"/>
          <w14:textOutline w14:w="5793" w14:cap="sq">
            <w14:solidFill>
              <w14:srgbClr w14:val="000000"/>
            </w14:solidFill>
            <w14:bevel/>
          </w14:textOutline>
        </w:rPr>
        <w:t>年</w:t>
      </w:r>
      <w:r>
        <w:rPr>
          <w:rFonts w:cs="Times New Roman" w:hint="eastAsia"/>
          <w:b/>
          <w:bCs/>
          <w:color w:val="auto"/>
          <w:sz w:val="31"/>
          <w:szCs w:val="31"/>
          <w:lang w:val="en-US" w:eastAsia="zh-CN"/>
        </w:rPr>
        <w:t>7</w:t>
      </w:r>
      <w:r>
        <w:rPr>
          <w:rFonts w:ascii="Times New Roman" w:eastAsia="宋体" w:hAnsi="Times New Roman" w:cs="Times New Roman" w:hint="default"/>
          <w:color w:val="auto"/>
          <w:sz w:val="31"/>
          <w:szCs w:val="31"/>
          <w14:textOutline w14:w="5793" w14:cap="sq">
            <w14:solidFill>
              <w14:srgbClr w14:val="000000"/>
            </w14:solidFill>
            <w14:bevel/>
          </w14:textOutline>
        </w:rPr>
        <w:t>月</w:t>
      </w:r>
    </w:p>
    <w:p w14:paraId="35EF01A2">
      <w:pPr>
        <w:spacing w:before="140" w:line="223" w:lineRule="auto"/>
        <w:ind w:left="2419"/>
        <w:rPr>
          <w:rFonts w:ascii="Times New Roman" w:eastAsia="宋体" w:hAnsi="Times New Roman" w:cs="Times New Roman" w:hint="default"/>
          <w:color w:val="auto"/>
          <w:spacing w:val="9"/>
          <w:sz w:val="43"/>
          <w:szCs w:val="43"/>
          <w14:textOutline w14:w="7972" w14:cap="sq">
            <w14:solidFill>
              <w14:srgbClr w14:val="000000"/>
            </w14:solidFill>
            <w14:bevel/>
          </w14:textOutline>
        </w:rPr>
        <w:sectPr>
          <w:footerReference w:type="default" r:id="rId22"/>
          <w:pgSz w:w="11906" w:h="16839"/>
          <w:pgMar w:top="1440" w:right="1797" w:bottom="1440" w:left="1797" w:header="0" w:footer="994" w:gutter="0"/>
          <w:pgBorders>
            <w:top w:val="none" w:sz="0" w:space="0" w:color="auto"/>
            <w:left w:val="none" w:sz="0" w:space="0" w:color="auto"/>
            <w:bottom w:val="none" w:sz="0" w:space="0" w:color="auto"/>
            <w:right w:val="none" w:sz="0" w:space="0" w:color="auto"/>
          </w:pgBorders>
          <w:pgNumType w:fmt="decimal"/>
          <w:cols w:num="1" w:space="720"/>
        </w:sectPr>
      </w:pPr>
    </w:p>
    <w:p w14:paraId="0615825E">
      <w:pPr>
        <w:spacing w:before="140" w:line="223" w:lineRule="auto"/>
        <w:ind w:left="2419"/>
        <w:rPr>
          <w:rFonts w:ascii="Times New Roman" w:eastAsia="宋体" w:hAnsi="Times New Roman" w:cs="Times New Roman" w:hint="default"/>
          <w:color w:val="auto"/>
          <w:spacing w:val="9"/>
          <w:sz w:val="43"/>
          <w:szCs w:val="43"/>
          <w14:textOutline w14:w="7972" w14:cap="sq">
            <w14:solidFill>
              <w14:srgbClr w14:val="000000"/>
            </w14:solidFill>
            <w14:bevel/>
          </w14:textOutline>
        </w:rPr>
      </w:pPr>
    </w:p>
    <w:p w14:paraId="38F69FAE">
      <w:pPr>
        <w:spacing w:before="78" w:line="385" w:lineRule="auto"/>
        <w:ind w:left="22" w:right="101" w:firstLine="480"/>
        <w:jc w:val="both"/>
        <w:rPr>
          <w:rFonts w:ascii="Times New Roman" w:eastAsia="宋体" w:hAnsi="Times New Roman" w:cs="Times New Roman" w:hint="default"/>
          <w:color w:val="auto"/>
          <w:spacing w:val="-3"/>
          <w:sz w:val="24"/>
          <w:szCs w:val="24"/>
        </w:rPr>
      </w:pPr>
      <w:r>
        <w:rPr>
          <w:rFonts w:ascii="Times New Roman" w:eastAsia="宋体" w:hAnsi="Times New Roman" w:cs="Times New Roman" w:hint="default"/>
          <w:color w:val="auto"/>
          <w:spacing w:val="-3"/>
          <w:sz w:val="24"/>
          <w:szCs w:val="24"/>
        </w:rPr>
        <w:t>根据《关于进一步加强环境影响评价管理防范环境风险的</w:t>
      </w:r>
      <w:r>
        <w:rPr>
          <w:rFonts w:ascii="Times New Roman" w:eastAsia="宋体" w:hAnsi="Times New Roman" w:cs="Times New Roman" w:hint="default"/>
          <w:color w:val="auto"/>
          <w:spacing w:val="-4"/>
          <w:sz w:val="24"/>
          <w:szCs w:val="24"/>
        </w:rPr>
        <w:t>通知》（环境保护</w:t>
      </w:r>
      <w:r>
        <w:rPr>
          <w:rFonts w:ascii="Times New Roman" w:eastAsia="宋体" w:hAnsi="Times New Roman" w:cs="Times New Roman" w:hint="default"/>
          <w:color w:val="auto"/>
          <w:sz w:val="24"/>
          <w:szCs w:val="24"/>
        </w:rPr>
        <w:t xml:space="preserve"> </w:t>
      </w:r>
      <w:r>
        <w:rPr>
          <w:rFonts w:ascii="Times New Roman" w:eastAsia="宋体" w:hAnsi="Times New Roman" w:cs="Times New Roman" w:hint="default"/>
          <w:color w:val="auto"/>
          <w:spacing w:val="-5"/>
          <w:sz w:val="24"/>
          <w:szCs w:val="24"/>
        </w:rPr>
        <w:t>部文件环发〔2012〕77号）、《关于切实加强风险防范严格环境影响评价管理的通知》（环境保护部文件环发〔2012〕98号）</w:t>
      </w:r>
      <w:r>
        <w:rPr>
          <w:rFonts w:ascii="Times New Roman" w:eastAsia="宋体" w:hAnsi="Times New Roman" w:cs="Times New Roman" w:hint="default"/>
          <w:color w:val="auto"/>
          <w:spacing w:val="-2"/>
          <w:sz w:val="24"/>
          <w:szCs w:val="24"/>
        </w:rPr>
        <w:t>等文件的有关规定，本</w:t>
      </w:r>
      <w:r>
        <w:rPr>
          <w:rFonts w:ascii="Times New Roman" w:eastAsia="宋体" w:hAnsi="Times New Roman" w:cs="Times New Roman" w:hint="default"/>
          <w:color w:val="auto"/>
          <w:spacing w:val="-1"/>
          <w:sz w:val="24"/>
          <w:szCs w:val="24"/>
        </w:rPr>
        <w:t>项目为</w:t>
      </w:r>
      <w:r>
        <w:rPr>
          <w:rFonts w:ascii="Times New Roman" w:eastAsia="宋体" w:hAnsi="Times New Roman" w:cs="Times New Roman" w:hint="default"/>
          <w:color w:val="auto"/>
          <w:spacing w:val="-1"/>
          <w:sz w:val="24"/>
          <w:szCs w:val="24"/>
          <w:lang w:val="en-US" w:eastAsia="zh-CN"/>
        </w:rPr>
        <w:t>储能站</w:t>
      </w:r>
      <w:r>
        <w:rPr>
          <w:rFonts w:ascii="Times New Roman" w:eastAsia="宋体" w:hAnsi="Times New Roman" w:cs="Times New Roman" w:hint="default"/>
          <w:color w:val="auto"/>
          <w:spacing w:val="-3"/>
          <w:sz w:val="24"/>
          <w:szCs w:val="24"/>
        </w:rPr>
        <w:t>项目，其营运期存在一定的环境风险。</w:t>
      </w:r>
    </w:p>
    <w:p w14:paraId="7483EA9A">
      <w:pPr>
        <w:spacing w:before="78" w:line="385" w:lineRule="auto"/>
        <w:ind w:left="22" w:right="101" w:firstLine="480"/>
        <w:jc w:val="both"/>
        <w:rPr>
          <w:rFonts w:ascii="Times New Roman" w:eastAsia="宋体" w:hAnsi="Times New Roman" w:cs="Times New Roman" w:hint="default"/>
          <w:color w:val="auto"/>
          <w:spacing w:val="-3"/>
          <w:sz w:val="24"/>
          <w:szCs w:val="24"/>
        </w:rPr>
      </w:pPr>
      <w:r>
        <w:rPr>
          <w:rFonts w:ascii="Times New Roman" w:eastAsia="宋体" w:hAnsi="Times New Roman" w:cs="Times New Roman" w:hint="default"/>
          <w:color w:val="auto"/>
          <w:spacing w:val="-3"/>
          <w:sz w:val="24"/>
          <w:szCs w:val="24"/>
        </w:rPr>
        <w:t>通过对环境敏感性的分析，除正常情况可能产生的不良环境影响外，本项目</w:t>
      </w:r>
    </w:p>
    <w:p w14:paraId="144B9852">
      <w:pPr>
        <w:spacing w:before="78" w:line="385" w:lineRule="auto"/>
        <w:ind w:left="22" w:right="101" w:firstLine="480"/>
        <w:jc w:val="both"/>
        <w:rPr>
          <w:rFonts w:ascii="Times New Roman" w:eastAsia="宋体" w:hAnsi="Times New Roman" w:cs="Times New Roman" w:hint="default"/>
          <w:color w:val="auto"/>
          <w:spacing w:val="-3"/>
          <w:sz w:val="24"/>
          <w:szCs w:val="24"/>
        </w:rPr>
      </w:pPr>
      <w:r>
        <w:rPr>
          <w:rFonts w:ascii="Times New Roman" w:eastAsia="宋体" w:hAnsi="Times New Roman" w:cs="Times New Roman" w:hint="default"/>
          <w:color w:val="auto"/>
          <w:spacing w:val="-3"/>
          <w:sz w:val="24"/>
          <w:szCs w:val="24"/>
        </w:rPr>
        <w:t>运营中尚存在一些潜在的风险，对各种可能形成的环境事故及其后果进行识别和评估后，确定本工程的主要环境风险为全钒</w:t>
      </w:r>
      <w:r>
        <w:rPr>
          <w:rFonts w:ascii="Times New Roman" w:eastAsia="宋体" w:hAnsi="Times New Roman" w:cs="Times New Roman" w:hint="eastAsia"/>
          <w:color w:val="auto"/>
          <w:spacing w:val="-3"/>
          <w:sz w:val="24"/>
          <w:szCs w:val="24"/>
          <w:lang w:val="en-US" w:eastAsia="zh-CN"/>
        </w:rPr>
        <w:t>也液流</w:t>
      </w:r>
      <w:r>
        <w:rPr>
          <w:rFonts w:ascii="Times New Roman" w:eastAsia="宋体" w:hAnsi="Times New Roman" w:cs="Times New Roman" w:hint="default"/>
          <w:color w:val="auto"/>
          <w:spacing w:val="-3"/>
          <w:sz w:val="24"/>
          <w:szCs w:val="24"/>
        </w:rPr>
        <w:t>电解液</w:t>
      </w:r>
      <w:r>
        <w:rPr>
          <w:rFonts w:ascii="Times New Roman" w:eastAsia="宋体" w:hAnsi="Times New Roman" w:cs="Times New Roman" w:hint="eastAsia"/>
          <w:color w:val="auto"/>
          <w:spacing w:val="-3"/>
          <w:sz w:val="24"/>
          <w:szCs w:val="24"/>
          <w:lang w:eastAsia="zh-CN"/>
        </w:rPr>
        <w:t>、</w:t>
      </w:r>
      <w:r>
        <w:rPr>
          <w:rFonts w:ascii="Times New Roman" w:eastAsia="宋体" w:hAnsi="Times New Roman" w:cs="Times New Roman" w:hint="eastAsia"/>
          <w:color w:val="auto"/>
          <w:spacing w:val="-3"/>
          <w:sz w:val="24"/>
          <w:szCs w:val="24"/>
          <w:lang w:val="en-US" w:eastAsia="zh-CN"/>
        </w:rPr>
        <w:t>变压器油</w:t>
      </w:r>
      <w:r>
        <w:rPr>
          <w:rFonts w:ascii="Times New Roman" w:eastAsia="宋体" w:hAnsi="Times New Roman" w:cs="Times New Roman" w:hint="default"/>
          <w:color w:val="auto"/>
          <w:spacing w:val="-3"/>
          <w:sz w:val="24"/>
          <w:szCs w:val="24"/>
        </w:rPr>
        <w:t>泄漏对周围环境的影响及可能发生的泄漏事故导致污染物排放对周围环境影响。</w:t>
      </w:r>
    </w:p>
    <w:p w14:paraId="5E7B7130">
      <w:pPr>
        <w:spacing w:before="78" w:line="385" w:lineRule="auto"/>
        <w:ind w:left="22" w:right="101" w:firstLine="480"/>
        <w:jc w:val="both"/>
        <w:rPr>
          <w:rFonts w:ascii="Times New Roman" w:eastAsia="宋体" w:hAnsi="Times New Roman" w:cs="Times New Roman" w:hint="default"/>
          <w:b/>
          <w:bCs/>
          <w:color w:val="auto"/>
          <w:spacing w:val="-3"/>
          <w:sz w:val="24"/>
          <w:szCs w:val="24"/>
        </w:rPr>
      </w:pPr>
      <w:r>
        <w:rPr>
          <w:rFonts w:ascii="Times New Roman" w:eastAsia="宋体" w:hAnsi="Times New Roman" w:cs="Times New Roman" w:hint="default"/>
          <w:b/>
          <w:bCs/>
          <w:color w:val="auto"/>
          <w:spacing w:val="-3"/>
          <w:sz w:val="24"/>
          <w:szCs w:val="24"/>
        </w:rPr>
        <w:t>环境风险分析工作及评价思路</w:t>
      </w:r>
    </w:p>
    <w:p w14:paraId="12441783">
      <w:pPr>
        <w:spacing w:before="203" w:line="385" w:lineRule="auto"/>
        <w:ind w:left="23" w:right="101" w:firstLine="480"/>
        <w:jc w:val="both"/>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4"/>
          <w:sz w:val="24"/>
          <w:szCs w:val="24"/>
        </w:rPr>
        <w:t>环境风险评价是在分析项目事故发生概率和预测事故状态下的影响程度的</w:t>
      </w:r>
      <w:r>
        <w:rPr>
          <w:rFonts w:ascii="Times New Roman" w:eastAsia="宋体" w:hAnsi="Times New Roman" w:cs="Times New Roman" w:hint="default"/>
          <w:color w:val="auto"/>
          <w:spacing w:val="-3"/>
          <w:sz w:val="24"/>
          <w:szCs w:val="24"/>
        </w:rPr>
        <w:t>基础上，对项目建设和运行过程中可能存在的事故隐患提出事故防范措施和事故应急措施，使建设项目的环境风险影响尽可能降到最低，项目风险度达到可接受</w:t>
      </w:r>
      <w:r>
        <w:rPr>
          <w:rFonts w:ascii="Times New Roman" w:eastAsia="宋体" w:hAnsi="Times New Roman" w:cs="Times New Roman" w:hint="default"/>
          <w:color w:val="auto"/>
          <w:spacing w:val="-5"/>
          <w:sz w:val="24"/>
          <w:szCs w:val="24"/>
        </w:rPr>
        <w:t>水平。</w:t>
      </w:r>
    </w:p>
    <w:p w14:paraId="73BE4A44">
      <w:pPr>
        <w:spacing w:before="211" w:line="219" w:lineRule="auto"/>
        <w:ind w:left="29"/>
        <w:outlineLvl w:val="2"/>
        <w:rPr>
          <w:rFonts w:ascii="Times New Roman" w:eastAsia="宋体" w:hAnsi="Times New Roman" w:cs="Times New Roman" w:hint="default"/>
          <w:color w:val="auto"/>
          <w:sz w:val="24"/>
          <w:szCs w:val="24"/>
        </w:rPr>
      </w:pPr>
      <w:r>
        <w:rPr>
          <w:rFonts w:ascii="Times New Roman" w:eastAsia="宋体" w:hAnsi="Times New Roman" w:cs="Times New Roman" w:hint="default"/>
          <w:b/>
          <w:bCs/>
          <w:color w:val="auto"/>
          <w:spacing w:val="-2"/>
          <w:sz w:val="24"/>
          <w:szCs w:val="24"/>
        </w:rPr>
        <w:t xml:space="preserve">1.1  </w:t>
      </w:r>
      <w:r>
        <w:rPr>
          <w:rFonts w:ascii="Times New Roman" w:eastAsia="宋体" w:hAnsi="Times New Roman" w:cs="Times New Roman" w:hint="default"/>
          <w:color w:val="auto"/>
          <w:spacing w:val="-2"/>
          <w:sz w:val="24"/>
          <w:szCs w:val="24"/>
          <w14:textOutline w14:w="4358" w14:cap="sq">
            <w14:solidFill>
              <w14:srgbClr w14:val="000000"/>
            </w14:solidFill>
            <w14:bevel/>
          </w14:textOutline>
        </w:rPr>
        <w:t>评价工作程序</w:t>
      </w:r>
    </w:p>
    <w:p w14:paraId="754BD10E">
      <w:pPr>
        <w:spacing w:before="203" w:line="385" w:lineRule="auto"/>
        <w:ind w:left="23" w:right="101" w:firstLine="480"/>
        <w:jc w:val="both"/>
        <w:rPr>
          <w:rFonts w:ascii="Times New Roman" w:eastAsia="宋体" w:hAnsi="Times New Roman" w:cs="Times New Roman" w:hint="default"/>
          <w:color w:val="auto"/>
          <w:sz w:val="21"/>
        </w:rPr>
      </w:pPr>
      <w:r>
        <w:rPr>
          <w:rFonts w:ascii="Times New Roman" w:eastAsia="宋体" w:hAnsi="Times New Roman" w:cs="Times New Roman" w:hint="default"/>
          <w:color w:val="auto"/>
          <w:spacing w:val="-3"/>
          <w:sz w:val="24"/>
          <w:szCs w:val="24"/>
        </w:rPr>
        <w:t>本项目涉及</w:t>
      </w:r>
      <w:r>
        <w:rPr>
          <w:rFonts w:ascii="Times New Roman" w:eastAsia="宋体" w:hAnsi="Times New Roman" w:cs="Times New Roman" w:hint="default"/>
          <w:color w:val="auto"/>
          <w:spacing w:val="-3"/>
          <w:sz w:val="24"/>
          <w:szCs w:val="24"/>
          <w:lang w:val="en-US" w:eastAsia="zh-CN"/>
        </w:rPr>
        <w:t>危险</w:t>
      </w:r>
      <w:r>
        <w:rPr>
          <w:rFonts w:ascii="Times New Roman" w:eastAsia="宋体" w:hAnsi="Times New Roman" w:cs="Times New Roman" w:hint="default"/>
          <w:color w:val="auto"/>
          <w:spacing w:val="-3"/>
          <w:sz w:val="24"/>
          <w:szCs w:val="24"/>
        </w:rPr>
        <w:t>物质主要</w:t>
      </w:r>
      <w:r>
        <w:rPr>
          <w:rFonts w:cs="Times New Roman" w:hint="eastAsia"/>
          <w:color w:val="auto"/>
          <w:spacing w:val="-3"/>
          <w:sz w:val="24"/>
          <w:szCs w:val="24"/>
          <w:lang w:val="en-US" w:eastAsia="zh-CN"/>
        </w:rPr>
        <w:t>全钒液流电池电解液（含</w:t>
      </w:r>
      <w:r>
        <w:rPr>
          <w:rFonts w:ascii="Times New Roman" w:eastAsia="宋体" w:hAnsi="Times New Roman" w:cs="Times New Roman" w:hint="default"/>
          <w:color w:val="auto"/>
          <w:spacing w:val="-3"/>
          <w:sz w:val="24"/>
          <w:szCs w:val="24"/>
        </w:rPr>
        <w:t>钒</w:t>
      </w:r>
      <w:r>
        <w:rPr>
          <w:rFonts w:ascii="Times New Roman" w:eastAsia="宋体" w:hAnsi="Times New Roman" w:cs="Times New Roman" w:hint="default"/>
          <w:color w:val="auto"/>
          <w:spacing w:val="-3"/>
          <w:sz w:val="24"/>
          <w:szCs w:val="24"/>
          <w:lang w:val="en-US" w:eastAsia="zh-CN"/>
        </w:rPr>
        <w:t>及其化合物</w:t>
      </w:r>
      <w:r>
        <w:rPr>
          <w:rFonts w:ascii="Times New Roman" w:eastAsia="宋体" w:hAnsi="Times New Roman" w:cs="Times New Roman" w:hint="default"/>
          <w:color w:val="auto"/>
          <w:spacing w:val="-3"/>
          <w:sz w:val="24"/>
          <w:szCs w:val="24"/>
        </w:rPr>
        <w:t>、硫酸成分</w:t>
      </w:r>
      <w:r>
        <w:rPr>
          <w:rFonts w:ascii="Times New Roman" w:eastAsia="宋体" w:hAnsi="Times New Roman" w:cs="Times New Roman" w:hint="default"/>
          <w:color w:val="auto"/>
          <w:spacing w:val="-3"/>
          <w:sz w:val="24"/>
          <w:szCs w:val="24"/>
          <w:lang w:eastAsia="zh-CN"/>
        </w:rPr>
        <w:t>）</w:t>
      </w:r>
      <w:r>
        <w:rPr>
          <w:rFonts w:ascii="Times New Roman" w:eastAsia="宋体" w:hAnsi="Times New Roman" w:cs="Times New Roman" w:hint="default"/>
          <w:color w:val="auto"/>
          <w:spacing w:val="-3"/>
          <w:sz w:val="24"/>
          <w:szCs w:val="24"/>
          <w:lang w:val="en-US" w:eastAsia="zh-CN"/>
        </w:rPr>
        <w:t>以及变压器中变压器油。变压器油和</w:t>
      </w:r>
      <w:r>
        <w:rPr>
          <w:rFonts w:ascii="Times New Roman" w:eastAsia="宋体" w:hAnsi="Times New Roman" w:cs="Times New Roman" w:hint="default"/>
          <w:color w:val="auto"/>
          <w:spacing w:val="-3"/>
          <w:sz w:val="24"/>
          <w:szCs w:val="24"/>
        </w:rPr>
        <w:t>电解液在储存过程中存在一定风险。根据国家环保部环发[2012]77号《关于进一步加强环境影响评价管理防范环境风险的通知》、环发[2012]98号《关于切实加强风险防范严格环境影响评价管理的通知》的要求，以及依据中华人民共和国环境保护行业标准《建设项目环境风险评价技术导则》（HJ169-2018）的相关要求，对本次工程进行环境风险评价。通过对建设项目的环境风险进行分析、预测和评估，提出环境风险预防、控制、减缓措施，明确环境风险监控及应急建议要求，为建设项目环境风险防控提供科学依据。评价工作程序见图1。</w:t>
      </w:r>
    </w:p>
    <w:p w14:paraId="3ABD285A">
      <w:pPr>
        <w:pStyle w:val="BodyText"/>
        <w:spacing w:line="259" w:lineRule="auto"/>
        <w:rPr>
          <w:rFonts w:ascii="Times New Roman" w:eastAsia="宋体" w:hAnsi="Times New Roman" w:cs="Times New Roman" w:hint="default"/>
          <w:color w:val="auto"/>
          <w:sz w:val="21"/>
        </w:rPr>
      </w:pPr>
    </w:p>
    <w:p w14:paraId="60B235D2">
      <w:pPr>
        <w:pStyle w:val="BodyText"/>
        <w:spacing w:line="7010" w:lineRule="exact"/>
        <w:ind w:firstLine="267"/>
        <w:rPr>
          <w:rFonts w:ascii="Times New Roman" w:eastAsia="宋体" w:hAnsi="Times New Roman" w:cs="Times New Roman" w:hint="default"/>
          <w:color w:val="auto"/>
        </w:rPr>
      </w:pPr>
      <w:r>
        <w:rPr>
          <w:rFonts w:ascii="Times New Roman" w:eastAsia="宋体" w:hAnsi="Times New Roman" w:cs="Times New Roman" w:hint="default"/>
          <w:color w:val="auto"/>
          <w:position w:val="-140"/>
        </w:rPr>
        <mc:AlternateContent>
          <mc:Choice Requires="wpg">
            <w:drawing>
              <wp:inline distT="0" distB="0" distL="114300" distR="114300">
                <wp:extent cx="4738370" cy="4451350"/>
                <wp:effectExtent l="12700" t="0" r="19050" b="16510"/>
                <wp:docPr id="7" name="组合 7"/>
                <wp:cNvGraphicFramePr/>
                <a:graphic xmlns:a="http://schemas.openxmlformats.org/drawingml/2006/main">
                  <a:graphicData uri="http://schemas.microsoft.com/office/word/2010/wordprocessingGroup">
                    <wpg:wgp xmlns:wpg="http://schemas.microsoft.com/office/word/2010/wordprocessingGroup">
                      <wpg:cNvGrpSpPr/>
                      <wpg:grpSpPr>
                        <a:xfrm>
                          <a:off x="0" y="0"/>
                          <a:ext cx="4738370" cy="4451350"/>
                          <a:chOff x="0" y="0"/>
                          <a:chExt cx="7462" cy="7010"/>
                        </a:xfrm>
                      </wpg:grpSpPr>
                      <pic:pic xmlns:pic="http://schemas.openxmlformats.org/drawingml/2006/picture">
                        <pic:nvPicPr>
                          <pic:cNvPr id="5" name="图片 3"/>
                          <pic:cNvPicPr>
                            <a:picLocks noChangeAspect="1"/>
                          </pic:cNvPicPr>
                        </pic:nvPicPr>
                        <pic:blipFill>
                          <a:blip xmlns:r="http://schemas.openxmlformats.org/officeDocument/2006/relationships" r:embed="rId23"/>
                          <a:stretch>
                            <a:fillRect/>
                          </a:stretch>
                        </pic:blipFill>
                        <pic:spPr>
                          <a:xfrm>
                            <a:off x="25" y="25"/>
                            <a:ext cx="7412" cy="6960"/>
                          </a:xfrm>
                          <a:prstGeom prst="rect">
                            <a:avLst/>
                          </a:prstGeom>
                          <a:noFill/>
                          <a:ln>
                            <a:noFill/>
                          </a:ln>
                        </pic:spPr>
                      </pic:pic>
                      <wps:wsp xmlns:wps="http://schemas.microsoft.com/office/word/2010/wordprocessingShape">
                        <wps:cNvPr id="6" name="文本框 6"/>
                        <wps:cNvSpPr txBox="1"/>
                        <wps:spPr>
                          <a:xfrm>
                            <a:off x="-20" y="-20"/>
                            <a:ext cx="7502" cy="7050"/>
                          </a:xfrm>
                          <a:prstGeom prst="rect">
                            <a:avLst/>
                          </a:prstGeom>
                          <a:noFill/>
                          <a:ln>
                            <a:noFill/>
                          </a:ln>
                        </wps:spPr>
                        <wps:txbx>
                          <w:txbxContent>
                            <w:p>
                              <w:pPr>
                                <w:spacing w:line="20" w:lineRule="exact"/>
                              </w:pPr>
                            </w:p>
                            <w:tbl>
                              <w:tblPr>
                                <w:tblStyle w:val="TableNormal0"/>
                                <w:tblW w:w="7451" w:type="dxa"/>
                                <w:tblInd w:w="25" w:type="dxa"/>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Layout w:type="fixed"/>
                                <w:tblCellMar>
                                  <w:top w:w="0" w:type="dxa"/>
                                  <w:left w:w="0" w:type="dxa"/>
                                  <w:bottom w:w="0" w:type="dxa"/>
                                  <w:right w:w="0" w:type="dxa"/>
                                </w:tblCellMar>
                              </w:tblPr>
                              <w:tblGrid>
                                <w:gridCol w:w="7451"/>
                              </w:tblGrid>
                              <w:tr w14:paraId="58F3C70A">
                                <w:tblPrEx>
                                  <w:tblW w:w="7451" w:type="dxa"/>
                                  <w:tblInd w:w="25" w:type="dxa"/>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Layout w:type="fixed"/>
                                  <w:tblCellMar>
                                    <w:top w:w="0" w:type="dxa"/>
                                    <w:left w:w="0" w:type="dxa"/>
                                    <w:bottom w:w="0" w:type="dxa"/>
                                    <w:right w:w="0" w:type="dxa"/>
                                  </w:tblCellMar>
                                </w:tblPrEx>
                                <w:trPr>
                                  <w:trHeight w:val="6989"/>
                                </w:trPr>
                                <w:tc>
                                  <w:tcPr>
                                    <w:tcW w:w="7451" w:type="dxa"/>
                                    <w:vAlign w:val="top"/>
                                  </w:tcPr>
                                  <w:p>
                                    <w:pPr>
                                      <w:rPr>
                                        <w:rFonts w:ascii="Arial"/>
                                        <w:sz w:val="21"/>
                                      </w:rPr>
                                    </w:pPr>
                                  </w:p>
                                </w:tc>
                              </w:tr>
                            </w:tbl>
                            <w:p>
                              <w:pPr>
                                <w:rPr>
                                  <w:rFonts w:ascii="Arial"/>
                                  <w:sz w:val="21"/>
                                </w:rPr>
                              </w:pPr>
                            </w:p>
                          </w:txbxContent>
                        </wps:txbx>
                        <wps:bodyPr lIns="0" tIns="0" rIns="0" bIns="0" upright="1"/>
                      </wps:wsp>
                    </wpg:wgp>
                  </a:graphicData>
                </a:graphic>
              </wp:inline>
            </w:drawing>
          </mc:Choice>
          <mc:Fallback>
            <w:pict>
              <v:group id="_x0000_s1026" o:spid="_x0000_i1029" style="width:373.1pt;height:350.5pt" coordsize="7462,7010">
                <o:lock v:ext="edit" aspectratio="f"/>
                <v:shape id="图片 3" o:spid="_x0000_s1030" type="#_x0000_t75" style="width:7412;height:6960;left:25;position:absolute;top:25" coordsize="21600,21600" o:preferrelative="t" filled="f" stroked="f">
                  <v:imagedata r:id="rId23" o:title=""/>
                  <o:lock v:ext="edit" aspectratio="t"/>
                </v:shape>
                <v:shape id="_x0000_s1026" o:spid="_x0000_s1031" type="#_x0000_t202" style="width:7502;height:7050;left:-20;position:absolute;top:-20" coordsize="21600,21600" filled="f" stroked="f">
                  <o:lock v:ext="edit" aspectratio="f"/>
                  <v:textbox inset="0,0,0,0">
                    <w:txbxContent>
                      <w:p w14:paraId="71D828FA">
                        <w:pPr>
                          <w:spacing w:line="20" w:lineRule="exact"/>
                        </w:pPr>
                      </w:p>
                      <w:tbl>
                        <w:tblPr>
                          <w:tblStyle w:val="TableNormal0"/>
                          <w:tblW w:w="7451" w:type="dxa"/>
                          <w:tblInd w:w="25" w:type="dxa"/>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Layout w:type="fixed"/>
                          <w:tblCellMar>
                            <w:top w:w="0" w:type="dxa"/>
                            <w:left w:w="0" w:type="dxa"/>
                            <w:bottom w:w="0" w:type="dxa"/>
                            <w:right w:w="0" w:type="dxa"/>
                          </w:tblCellMar>
                        </w:tblPr>
                        <w:tblGrid>
                          <w:gridCol w:w="7451"/>
                        </w:tblGrid>
                        <w:tr w14:paraId="58F3C70A">
                          <w:tblPrEx>
                            <w:tblW w:w="7451" w:type="dxa"/>
                            <w:tblInd w:w="25" w:type="dxa"/>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Layout w:type="fixed"/>
                            <w:tblCellMar>
                              <w:top w:w="0" w:type="dxa"/>
                              <w:left w:w="0" w:type="dxa"/>
                              <w:bottom w:w="0" w:type="dxa"/>
                              <w:right w:w="0" w:type="dxa"/>
                            </w:tblCellMar>
                          </w:tblPrEx>
                          <w:trPr>
                            <w:trHeight w:val="6989"/>
                          </w:trPr>
                          <w:tc>
                            <w:tcPr>
                              <w:tcW w:w="7451" w:type="dxa"/>
                              <w:vAlign w:val="top"/>
                            </w:tcPr>
                            <w:p w14:paraId="596F0D50">
                              <w:pPr>
                                <w:rPr>
                                  <w:rFonts w:ascii="Arial"/>
                                  <w:sz w:val="21"/>
                                </w:rPr>
                              </w:pPr>
                            </w:p>
                          </w:tc>
                        </w:tr>
                      </w:tbl>
                      <w:p w14:paraId="2969DBD7">
                        <w:pPr>
                          <w:rPr>
                            <w:rFonts w:ascii="Arial"/>
                            <w:sz w:val="21"/>
                          </w:rPr>
                        </w:pPr>
                      </w:p>
                    </w:txbxContent>
                  </v:textbox>
                </v:shape>
                <w10:anchorlock/>
              </v:group>
            </w:pict>
          </mc:Fallback>
        </mc:AlternateContent>
      </w:r>
    </w:p>
    <w:p w14:paraId="166818D6">
      <w:pPr>
        <w:spacing w:before="173" w:line="227" w:lineRule="auto"/>
        <w:ind w:left="2908"/>
        <w:rPr>
          <w:rFonts w:ascii="Times New Roman" w:eastAsia="宋体" w:hAnsi="Times New Roman" w:cs="Times New Roman" w:hint="default"/>
          <w:color w:val="auto"/>
          <w:sz w:val="20"/>
          <w:szCs w:val="20"/>
        </w:rPr>
      </w:pPr>
      <w:r>
        <w:rPr>
          <w:rFonts w:ascii="Times New Roman" w:eastAsia="宋体" w:hAnsi="Times New Roman" w:cs="Times New Roman" w:hint="default"/>
          <w:color w:val="auto"/>
          <w:spacing w:val="3"/>
          <w:sz w:val="20"/>
          <w:szCs w:val="20"/>
          <w14:textOutline w14:w="3795" w14:cap="sq">
            <w14:solidFill>
              <w14:srgbClr w14:val="000000"/>
            </w14:solidFill>
            <w14:bevel/>
          </w14:textOutline>
        </w:rPr>
        <w:t>图</w:t>
      </w:r>
      <w:r>
        <w:rPr>
          <w:rFonts w:ascii="Times New Roman" w:eastAsia="宋体" w:hAnsi="Times New Roman" w:cs="Times New Roman" w:hint="default"/>
          <w:color w:val="auto"/>
          <w:spacing w:val="-30"/>
          <w:sz w:val="20"/>
          <w:szCs w:val="20"/>
        </w:rPr>
        <w:t xml:space="preserve"> </w:t>
      </w:r>
      <w:r>
        <w:rPr>
          <w:rFonts w:ascii="Times New Roman" w:eastAsia="宋体" w:hAnsi="Times New Roman" w:cs="Times New Roman" w:hint="default"/>
          <w:b/>
          <w:bCs/>
          <w:color w:val="auto"/>
          <w:spacing w:val="3"/>
          <w:sz w:val="20"/>
          <w:szCs w:val="20"/>
        </w:rPr>
        <w:t xml:space="preserve">1     </w:t>
      </w:r>
      <w:r>
        <w:rPr>
          <w:rFonts w:ascii="Times New Roman" w:eastAsia="宋体" w:hAnsi="Times New Roman" w:cs="Times New Roman" w:hint="default"/>
          <w:color w:val="auto"/>
          <w:spacing w:val="3"/>
          <w:sz w:val="20"/>
          <w:szCs w:val="20"/>
          <w14:textOutline w14:w="3795" w14:cap="sq">
            <w14:solidFill>
              <w14:srgbClr w14:val="000000"/>
            </w14:solidFill>
            <w14:bevel/>
          </w14:textOutline>
        </w:rPr>
        <w:t>评价工作程序</w:t>
      </w:r>
    </w:p>
    <w:p w14:paraId="627CD023">
      <w:pPr>
        <w:spacing w:before="78" w:line="219" w:lineRule="auto"/>
        <w:ind w:left="29"/>
        <w:outlineLvl w:val="2"/>
        <w:rPr>
          <w:rFonts w:ascii="Times New Roman" w:eastAsia="宋体" w:hAnsi="Times New Roman" w:cs="Times New Roman" w:hint="default"/>
          <w:color w:val="auto"/>
          <w:sz w:val="24"/>
          <w:szCs w:val="24"/>
        </w:rPr>
      </w:pPr>
      <w:r>
        <w:rPr>
          <w:rFonts w:ascii="Times New Roman" w:eastAsia="宋体" w:hAnsi="Times New Roman" w:cs="Times New Roman" w:hint="default"/>
          <w:b/>
          <w:bCs/>
          <w:color w:val="auto"/>
          <w:spacing w:val="-2"/>
          <w:sz w:val="24"/>
          <w:szCs w:val="24"/>
        </w:rPr>
        <w:t xml:space="preserve">1.2  </w:t>
      </w:r>
      <w:r>
        <w:rPr>
          <w:rFonts w:ascii="Times New Roman" w:eastAsia="宋体" w:hAnsi="Times New Roman" w:cs="Times New Roman" w:hint="default"/>
          <w:color w:val="auto"/>
          <w:spacing w:val="-2"/>
          <w:sz w:val="24"/>
          <w:szCs w:val="24"/>
          <w14:textOutline w14:w="4358" w14:cap="sq">
            <w14:solidFill>
              <w14:srgbClr w14:val="000000"/>
            </w14:solidFill>
            <w14:bevel/>
          </w14:textOutline>
        </w:rPr>
        <w:t>评价思路</w:t>
      </w:r>
    </w:p>
    <w:p w14:paraId="7FF2D2F1">
      <w:pPr>
        <w:pStyle w:val="00005"/>
        <w:bidi w:val="0"/>
        <w:jc w:val="both"/>
        <w:rPr>
          <w:rFonts w:ascii="Times New Roman" w:eastAsia="宋体" w:hAnsi="Times New Roman" w:cs="Times New Roman" w:hint="default"/>
          <w:color w:val="auto"/>
          <w:lang w:val="en-US" w:eastAsia="zh-CN"/>
        </w:rPr>
      </w:pPr>
    </w:p>
    <w:p w14:paraId="2181FF74">
      <w:pPr>
        <w:pStyle w:val="00005"/>
        <w:bidi w:val="0"/>
        <w:jc w:val="both"/>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本项目储能站项目，根据项目工程特点，环境风险分析思路如下所示：</w:t>
      </w:r>
    </w:p>
    <w:p w14:paraId="7738ACCB">
      <w:pPr>
        <w:pStyle w:val="00005"/>
        <w:bidi w:val="0"/>
        <w:jc w:val="both"/>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（1）从物质危险性，储存设施危险性等方面来进行此次工程环境风险识别，从而确定危险物质向环境转移的可能途径和影响方式。</w:t>
      </w:r>
    </w:p>
    <w:p w14:paraId="3F7835F7">
      <w:pPr>
        <w:pStyle w:val="00005"/>
        <w:bidi w:val="0"/>
        <w:jc w:val="both"/>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（2）根据风险识别、环境敏感程度分析结果，确定评价等级和最大可信事故及其概率，确定环境危害程度和范围；基于最大可信事故，合理确定源强，并对其产生的风险进行预测和评价。</w:t>
      </w:r>
    </w:p>
    <w:p w14:paraId="6F52B460">
      <w:pPr>
        <w:pStyle w:val="00005"/>
        <w:bidi w:val="0"/>
        <w:jc w:val="both"/>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（3）结合风险预测结论，提出切实可行的环境风险管理目标、环境风险防范和应急措施。</w:t>
      </w:r>
    </w:p>
    <w:p w14:paraId="37E810F5">
      <w:pPr>
        <w:pStyle w:val="00005"/>
        <w:bidi w:val="0"/>
        <w:jc w:val="both"/>
        <w:rPr>
          <w:rFonts w:ascii="Times New Roman" w:eastAsia="宋体" w:hAnsi="Times New Roman" w:cs="Times New Roman" w:hint="default"/>
          <w:color w:val="auto"/>
          <w:lang w:val="en-US" w:eastAsia="zh-CN"/>
        </w:rPr>
        <w:sectPr>
          <w:footerReference w:type="default" r:id="rId24"/>
          <w:pgSz w:w="11906" w:h="16839"/>
          <w:pgMar w:top="1440" w:right="1797" w:bottom="1440" w:left="1797" w:header="0" w:footer="994" w:gutter="0"/>
          <w:pgBorders>
            <w:top w:val="none" w:sz="0" w:space="0" w:color="auto"/>
            <w:left w:val="none" w:sz="0" w:space="0" w:color="auto"/>
            <w:bottom w:val="none" w:sz="0" w:space="0" w:color="auto"/>
            <w:right w:val="none" w:sz="0" w:space="0" w:color="auto"/>
          </w:pgBorders>
          <w:pgNumType w:fmt="decimal" w:start="1"/>
          <w:cols w:num="1" w:space="720"/>
        </w:sectPr>
      </w:pPr>
    </w:p>
    <w:p w14:paraId="700EB1E3">
      <w:pPr>
        <w:spacing w:before="91" w:line="219" w:lineRule="auto"/>
        <w:ind w:left="129"/>
        <w:outlineLvl w:val="1"/>
        <w:rPr>
          <w:rFonts w:ascii="Times New Roman" w:eastAsia="宋体" w:hAnsi="Times New Roman" w:cs="Times New Roman" w:hint="default"/>
          <w:color w:val="auto"/>
          <w:sz w:val="28"/>
          <w:szCs w:val="28"/>
          <w:u w:val="none" w:color="auto"/>
        </w:rPr>
      </w:pPr>
      <w:r>
        <w:rPr>
          <w:rFonts w:ascii="Times New Roman" w:eastAsia="宋体" w:hAnsi="Times New Roman" w:cs="Times New Roman" w:hint="default"/>
          <w:b/>
          <w:bCs/>
          <w:color w:val="auto"/>
          <w:sz w:val="28"/>
          <w:szCs w:val="28"/>
          <w:u w:val="none" w:color="auto"/>
        </w:rPr>
        <w:t xml:space="preserve">2    </w:t>
      </w:r>
      <w:r>
        <w:rPr>
          <w:rFonts w:ascii="Times New Roman" w:eastAsia="宋体" w:hAnsi="Times New Roman" w:cs="Times New Roman" w:hint="default"/>
          <w:color w:val="auto"/>
          <w:sz w:val="28"/>
          <w:szCs w:val="28"/>
          <w:u w:val="none" w:color="auto"/>
          <w14:textOutline w14:w="5103" w14:cap="sq">
            <w14:solidFill>
              <w14:srgbClr w14:val="000000"/>
            </w14:solidFill>
            <w14:bevel/>
          </w14:textOutline>
        </w:rPr>
        <w:t>风险调查、风险潜势初判及评价等级确定</w:t>
      </w:r>
    </w:p>
    <w:p w14:paraId="153BAC38">
      <w:pPr>
        <w:spacing w:before="201" w:line="221" w:lineRule="auto"/>
        <w:ind w:left="128"/>
        <w:outlineLvl w:val="2"/>
        <w:rPr>
          <w:rFonts w:ascii="Times New Roman" w:eastAsia="宋体" w:hAnsi="Times New Roman" w:cs="Times New Roman" w:hint="default"/>
          <w:color w:val="auto"/>
          <w:sz w:val="24"/>
          <w:szCs w:val="24"/>
          <w:u w:val="none" w:color="auto"/>
        </w:rPr>
      </w:pPr>
      <w:r>
        <w:rPr>
          <w:rFonts w:ascii="Times New Roman" w:eastAsia="宋体" w:hAnsi="Times New Roman" w:cs="Times New Roman" w:hint="default"/>
          <w:b/>
          <w:bCs/>
          <w:color w:val="auto"/>
          <w:spacing w:val="-1"/>
          <w:sz w:val="24"/>
          <w:szCs w:val="24"/>
          <w:u w:val="none" w:color="auto"/>
        </w:rPr>
        <w:t xml:space="preserve">2.1 </w:t>
      </w:r>
      <w:r>
        <w:rPr>
          <w:rFonts w:ascii="Times New Roman" w:eastAsia="宋体" w:hAnsi="Times New Roman" w:cs="Times New Roman" w:hint="default"/>
          <w:color w:val="auto"/>
          <w:spacing w:val="-1"/>
          <w:sz w:val="24"/>
          <w:szCs w:val="24"/>
          <w:u w:val="none" w:color="auto"/>
          <w14:textOutline w14:w="4358" w14:cap="sq">
            <w14:solidFill>
              <w14:srgbClr w14:val="000000"/>
            </w14:solidFill>
            <w14:bevel/>
          </w14:textOutline>
        </w:rPr>
        <w:t>环境风险调查</w:t>
      </w:r>
    </w:p>
    <w:p w14:paraId="431B1D50">
      <w:pPr>
        <w:spacing w:before="211" w:line="221" w:lineRule="auto"/>
        <w:ind w:left="128"/>
        <w:rPr>
          <w:rFonts w:ascii="Times New Roman" w:eastAsia="宋体" w:hAnsi="Times New Roman" w:cs="Times New Roman" w:hint="default"/>
          <w:color w:val="auto"/>
          <w:sz w:val="24"/>
          <w:szCs w:val="24"/>
          <w:u w:val="none" w:color="auto"/>
        </w:rPr>
      </w:pPr>
      <w:r>
        <w:rPr>
          <w:rFonts w:ascii="Times New Roman" w:eastAsia="宋体" w:hAnsi="Times New Roman" w:cs="Times New Roman" w:hint="default"/>
          <w:b/>
          <w:bCs/>
          <w:color w:val="auto"/>
          <w:spacing w:val="-1"/>
          <w:sz w:val="24"/>
          <w:szCs w:val="24"/>
          <w:u w:val="none" w:color="auto"/>
        </w:rPr>
        <w:t xml:space="preserve">2.1.1  </w:t>
      </w:r>
      <w:r>
        <w:rPr>
          <w:rFonts w:ascii="Times New Roman" w:eastAsia="宋体" w:hAnsi="Times New Roman" w:cs="Times New Roman" w:hint="default"/>
          <w:color w:val="auto"/>
          <w:spacing w:val="-1"/>
          <w:sz w:val="24"/>
          <w:szCs w:val="24"/>
          <w:u w:val="none" w:color="auto"/>
          <w14:textOutline w14:w="4358" w14:cap="sq">
            <w14:solidFill>
              <w14:srgbClr w14:val="000000"/>
            </w14:solidFill>
            <w14:bevel/>
          </w14:textOutline>
        </w:rPr>
        <w:t>危险物质确定</w:t>
      </w:r>
    </w:p>
    <w:p w14:paraId="08B2B8AD">
      <w:pPr>
        <w:pStyle w:val="00005"/>
        <w:bidi w:val="0"/>
        <w:jc w:val="both"/>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rPr>
        <w:t>本项目</w:t>
      </w:r>
      <w:r>
        <w:rPr>
          <w:rFonts w:ascii="Times New Roman" w:eastAsia="宋体" w:hAnsi="Times New Roman" w:cs="Times New Roman" w:hint="default"/>
          <w:color w:val="auto"/>
          <w:lang w:eastAsia="zh-CN"/>
        </w:rPr>
        <w:t>涉及的</w:t>
      </w:r>
      <w:r>
        <w:rPr>
          <w:rFonts w:ascii="Times New Roman" w:eastAsia="宋体" w:hAnsi="Times New Roman" w:cs="Times New Roman" w:hint="default"/>
          <w:color w:val="auto"/>
          <w:lang w:val="en-US" w:eastAsia="zh-CN"/>
        </w:rPr>
        <w:t>危险物质包括变压器中变压器油、</w:t>
      </w:r>
      <w:r>
        <w:rPr>
          <w:rFonts w:ascii="Times New Roman" w:eastAsia="宋体" w:hAnsi="Times New Roman" w:cs="Times New Roman" w:hint="default"/>
          <w:color w:val="auto"/>
        </w:rPr>
        <w:t>全钒</w:t>
      </w:r>
      <w:r>
        <w:rPr>
          <w:rFonts w:cs="Times New Roman" w:hint="eastAsia"/>
          <w:color w:val="auto"/>
          <w:lang w:val="en-US" w:eastAsia="zh-CN"/>
        </w:rPr>
        <w:t>液流电池</w:t>
      </w:r>
      <w:r>
        <w:rPr>
          <w:rFonts w:ascii="Times New Roman" w:eastAsia="宋体" w:hAnsi="Times New Roman" w:cs="Times New Roman" w:hint="default"/>
          <w:color w:val="auto"/>
        </w:rPr>
        <w:t>电解液</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lang w:val="en-US" w:eastAsia="zh-CN"/>
        </w:rPr>
        <w:t>电解液</w:t>
      </w:r>
      <w:r>
        <w:rPr>
          <w:rFonts w:ascii="Times New Roman" w:eastAsia="宋体" w:hAnsi="Times New Roman" w:cs="Times New Roman" w:hint="default"/>
          <w:color w:val="auto"/>
        </w:rPr>
        <w:t>主要成分为钒离子（浓度1.6mol/L）、硫酸（浓度3mol/L）。本项目全钒液流电池设置</w:t>
      </w:r>
      <w:r>
        <w:rPr>
          <w:rFonts w:cs="Times New Roman" w:hint="eastAsia"/>
          <w:color w:val="auto"/>
          <w:lang w:val="en-US" w:eastAsia="zh-CN"/>
        </w:rPr>
        <w:t>400</w:t>
      </w:r>
      <w:r>
        <w:rPr>
          <w:rFonts w:ascii="Times New Roman" w:eastAsia="宋体" w:hAnsi="Times New Roman" w:cs="Times New Roman" w:hint="default"/>
          <w:color w:val="auto"/>
        </w:rPr>
        <w:t>个储液罐</w:t>
      </w:r>
      <w:r>
        <w:rPr>
          <w:rFonts w:cs="Times New Roman" w:hint="eastAsia"/>
          <w:color w:val="auto"/>
          <w:lang w:eastAsia="zh-CN"/>
        </w:rPr>
        <w:t>，</w:t>
      </w:r>
      <w:r>
        <w:rPr>
          <w:rFonts w:cs="Times New Roman" w:hint="eastAsia"/>
          <w:color w:val="auto"/>
          <w:lang w:val="en-US" w:eastAsia="zh-CN"/>
        </w:rPr>
        <w:t>单个</w:t>
      </w:r>
      <w:r>
        <w:rPr>
          <w:rFonts w:ascii="Times New Roman" w:eastAsia="宋体" w:hAnsi="Times New Roman" w:cs="Times New Roman" w:hint="default"/>
          <w:color w:val="auto"/>
        </w:rPr>
        <w:t>电解液储罐31.25</w:t>
      </w:r>
      <w:r>
        <w:rPr>
          <w:rFonts w:cs="Times New Roman" w:hint="eastAsia"/>
          <w:color w:val="auto"/>
          <w:lang w:val="en-US" w:eastAsia="zh-CN"/>
        </w:rPr>
        <w:t>m³折合43.75t</w:t>
      </w:r>
      <w:r>
        <w:rPr>
          <w:rFonts w:ascii="Times New Roman" w:eastAsia="宋体" w:hAnsi="Times New Roman" w:cs="Times New Roman" w:hint="default"/>
          <w:color w:val="auto"/>
          <w:lang w:eastAsia="zh-CN"/>
        </w:rPr>
        <w:t>，全钒液流电池储能</w:t>
      </w:r>
      <w:r>
        <w:rPr>
          <w:rFonts w:ascii="Times New Roman" w:eastAsia="宋体" w:hAnsi="Times New Roman" w:cs="Times New Roman" w:hint="default"/>
          <w:color w:val="auto"/>
        </w:rPr>
        <w:t>最大存储量约为</w:t>
      </w:r>
      <w:r>
        <w:rPr>
          <w:rFonts w:cs="Times New Roman" w:hint="eastAsia"/>
          <w:color w:val="auto"/>
          <w:lang w:val="en-US" w:eastAsia="zh-CN"/>
        </w:rPr>
        <w:t>17500</w:t>
      </w:r>
      <w:r>
        <w:rPr>
          <w:rFonts w:ascii="Times New Roman" w:eastAsia="宋体" w:hAnsi="Times New Roman" w:cs="Times New Roman" w:hint="default"/>
          <w:color w:val="auto"/>
        </w:rPr>
        <w:t>t；其</w:t>
      </w:r>
      <w:r>
        <w:rPr>
          <w:rFonts w:ascii="Times New Roman" w:eastAsia="宋体" w:hAnsi="Times New Roman" w:cs="Times New Roman" w:hint="default"/>
          <w:color w:val="auto"/>
          <w:lang w:val="en-US" w:eastAsia="zh-CN"/>
        </w:rPr>
        <w:t>两台变压器中的变压器油量合计约为108t</w:t>
      </w:r>
    </w:p>
    <w:p w14:paraId="00F3F6AD">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本项目</w:t>
      </w:r>
      <w:r>
        <w:rPr>
          <w:rFonts w:ascii="Times New Roman" w:eastAsia="宋体" w:hAnsi="Times New Roman" w:cs="Times New Roman" w:hint="default"/>
          <w:color w:val="auto"/>
          <w:lang w:eastAsia="zh-CN"/>
        </w:rPr>
        <w:t>涉及的</w:t>
      </w:r>
      <w:r>
        <w:rPr>
          <w:rFonts w:cs="Times New Roman" w:hint="eastAsia"/>
          <w:color w:val="auto"/>
          <w:lang w:val="en-US" w:eastAsia="zh-CN"/>
        </w:rPr>
        <w:t>危险物质</w:t>
      </w:r>
      <w:r>
        <w:rPr>
          <w:rFonts w:ascii="Times New Roman" w:eastAsia="宋体" w:hAnsi="Times New Roman" w:cs="Times New Roman" w:hint="default"/>
          <w:color w:val="auto"/>
        </w:rPr>
        <w:t>相关物质理化性质见表1</w:t>
      </w:r>
      <w:r>
        <w:rPr>
          <w:rFonts w:ascii="Times New Roman" w:eastAsia="宋体" w:hAnsi="Times New Roman" w:cs="Times New Roman" w:hint="default"/>
          <w:color w:val="auto"/>
          <w:lang w:val="en-US" w:eastAsia="zh-CN"/>
        </w:rPr>
        <w:t>-3</w:t>
      </w:r>
      <w:r>
        <w:rPr>
          <w:rFonts w:ascii="Times New Roman" w:eastAsia="宋体" w:hAnsi="Times New Roman" w:cs="Times New Roman" w:hint="default"/>
          <w:color w:val="auto"/>
        </w:rPr>
        <w:t>。其数量及分布情况见表</w:t>
      </w:r>
      <w:r>
        <w:rPr>
          <w:rFonts w:ascii="Times New Roman" w:eastAsia="宋体" w:hAnsi="Times New Roman" w:cs="Times New Roman" w:hint="default"/>
          <w:color w:val="auto"/>
          <w:spacing w:val="-3"/>
          <w:szCs w:val="24"/>
          <w:lang w:val="en-US" w:eastAsia="zh-CN"/>
        </w:rPr>
        <w:t>4</w:t>
      </w:r>
      <w:r>
        <w:rPr>
          <w:rFonts w:ascii="Times New Roman" w:eastAsia="宋体" w:hAnsi="Times New Roman" w:cs="Times New Roman" w:hint="default"/>
          <w:color w:val="auto"/>
          <w:spacing w:val="-3"/>
          <w:szCs w:val="24"/>
        </w:rPr>
        <w:t>。</w:t>
      </w:r>
    </w:p>
    <w:p w14:paraId="454FF63A">
      <w:pPr>
        <w:spacing w:before="240" w:line="228" w:lineRule="auto"/>
        <w:ind w:left="2061"/>
        <w:rPr>
          <w:rFonts w:ascii="Times New Roman" w:eastAsia="宋体" w:hAnsi="Times New Roman" w:cs="Times New Roman" w:hint="default"/>
          <w:color w:val="auto"/>
          <w:sz w:val="22"/>
          <w:szCs w:val="22"/>
          <w:u w:val="none" w:color="auto"/>
        </w:rPr>
      </w:pPr>
      <w:r>
        <w:rPr>
          <w:rFonts w:ascii="Times New Roman" w:eastAsia="宋体" w:hAnsi="Times New Roman" w:cs="Times New Roman" w:hint="default"/>
          <w:color w:val="auto"/>
          <w:spacing w:val="18"/>
          <w:sz w:val="22"/>
          <w:szCs w:val="22"/>
          <w:u w:val="none" w:color="auto"/>
          <w14:textOutline w14:w="3795" w14:cap="sq">
            <w14:solidFill>
              <w14:srgbClr w14:val="000000"/>
            </w14:solidFill>
            <w14:bevel/>
          </w14:textOutline>
        </w:rPr>
        <w:t>表</w:t>
      </w:r>
      <w:r>
        <w:rPr>
          <w:rFonts w:ascii="Times New Roman" w:eastAsia="宋体" w:hAnsi="Times New Roman" w:cs="Times New Roman" w:hint="default"/>
          <w:color w:val="auto"/>
          <w:spacing w:val="-31"/>
          <w:sz w:val="22"/>
          <w:szCs w:val="22"/>
          <w:u w:val="none" w:color="auto"/>
        </w:rPr>
        <w:t xml:space="preserve"> </w:t>
      </w:r>
      <w:r>
        <w:rPr>
          <w:rFonts w:ascii="Times New Roman" w:eastAsia="宋体" w:hAnsi="Times New Roman" w:cs="Times New Roman" w:hint="default"/>
          <w:b/>
          <w:bCs/>
          <w:color w:val="auto"/>
          <w:spacing w:val="18"/>
          <w:sz w:val="22"/>
          <w:szCs w:val="22"/>
          <w:u w:val="none" w:color="auto"/>
        </w:rPr>
        <w:t xml:space="preserve">1   </w:t>
      </w:r>
      <w:r>
        <w:rPr>
          <w:rFonts w:ascii="Times New Roman" w:eastAsia="宋体" w:hAnsi="Times New Roman" w:cs="Times New Roman" w:hint="default"/>
          <w:color w:val="auto"/>
          <w:spacing w:val="18"/>
          <w:sz w:val="22"/>
          <w:szCs w:val="22"/>
          <w:u w:val="none" w:color="auto"/>
          <w14:textOutline w14:w="3795" w14:cap="sq">
            <w14:solidFill>
              <w14:srgbClr w14:val="000000"/>
            </w14:solidFill>
            <w14:bevel/>
          </w14:textOutline>
        </w:rPr>
        <w:t>钒及其化合物的理化性质及危险</w:t>
      </w:r>
      <w:r>
        <w:rPr>
          <w:rFonts w:ascii="Times New Roman" w:eastAsia="宋体" w:hAnsi="Times New Roman" w:cs="Times New Roman" w:hint="default"/>
          <w:color w:val="auto"/>
          <w:spacing w:val="17"/>
          <w:sz w:val="22"/>
          <w:szCs w:val="22"/>
          <w:u w:val="none" w:color="auto"/>
          <w14:textOutline w14:w="3795" w14:cap="sq">
            <w14:solidFill>
              <w14:srgbClr w14:val="000000"/>
            </w14:solidFill>
            <w14:bevel/>
          </w14:textOutline>
        </w:rPr>
        <w:t>特性</w:t>
      </w:r>
    </w:p>
    <w:tbl>
      <w:tblPr>
        <w:tblStyle w:val="TableNormal0"/>
        <w:tblpPr w:leftFromText="180" w:rightFromText="180" w:vertAnchor="text" w:horzAnchor="page" w:tblpX="1692" w:tblpY="16"/>
        <w:tblOverlap w:val="never"/>
        <w:tblW w:w="495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2" w:space="0" w:color="000000"/>
        </w:tblBorders>
        <w:tblLayout w:type="fixed"/>
        <w:tblCellMar>
          <w:top w:w="0" w:type="dxa"/>
          <w:left w:w="0" w:type="dxa"/>
          <w:bottom w:w="0" w:type="dxa"/>
          <w:right w:w="0" w:type="dxa"/>
        </w:tblCellMar>
      </w:tblPr>
      <w:tblGrid>
        <w:gridCol w:w="459"/>
        <w:gridCol w:w="770"/>
        <w:gridCol w:w="1625"/>
        <w:gridCol w:w="960"/>
        <w:gridCol w:w="1511"/>
        <w:gridCol w:w="823"/>
        <w:gridCol w:w="2101"/>
      </w:tblGrid>
      <w:tr w14:paraId="57440BDE">
        <w:tblPrEx>
          <w:tblW w:w="495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2" w:space="0" w:color="000000"/>
          </w:tblBorders>
          <w:tblLayout w:type="fixed"/>
          <w:tblCellMar>
            <w:top w:w="0" w:type="dxa"/>
            <w:left w:w="0" w:type="dxa"/>
            <w:bottom w:w="0" w:type="dxa"/>
            <w:right w:w="0" w:type="dxa"/>
          </w:tblCellMar>
        </w:tblPrEx>
        <w:trPr>
          <w:trHeight w:val="320"/>
        </w:trPr>
        <w:tc>
          <w:tcPr>
            <w:tcW w:w="473" w:type="dxa"/>
            <w:vMerge w:val="restart"/>
            <w:tcBorders>
              <w:tl2br w:val="nil"/>
              <w:tr2bl w:val="nil"/>
            </w:tcBorders>
            <w:textDirection w:val="tbRlV"/>
            <w:vAlign w:val="center"/>
          </w:tcPr>
          <w:p w14:paraId="1FEF65A8">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标识</w:t>
            </w:r>
            <w:r>
              <w:rPr>
                <w:rFonts w:ascii="Times New Roman" w:eastAsia="宋体" w:hAnsi="Times New Roman" w:cs="Times New Roman" w:hint="default"/>
                <w:color w:val="auto"/>
              </w:rPr>
              <w:drawing>
                <wp:inline distT="0" distB="0" distL="0" distR="0">
                  <wp:extent cx="132080" cy="0"/>
                  <wp:effectExtent l="0" t="0" r="0" b="0"/>
                  <wp:docPr id="396" name="IM 396"/>
                  <wp:cNvGraphicFramePr/>
                  <a:graphic xmlns:a="http://schemas.openxmlformats.org/drawingml/2006/main">
                    <a:graphicData uri="http://schemas.openxmlformats.org/drawingml/2006/picture">
                      <pic:pic xmlns:pic="http://schemas.openxmlformats.org/drawingml/2006/picture">
                        <pic:nvPicPr>
                          <pic:cNvPr id="911478539" name="IM 396"/>
                          <pic:cNvPicPr/>
                        </pic:nvPicPr>
                        <pic:blipFill>
                          <a:blip xmlns:r="http://schemas.openxmlformats.org/officeDocument/2006/relationships" r:embed="rId25"/>
                          <a:stretch>
                            <a:fillRect/>
                          </a:stretch>
                        </pic:blipFill>
                        <pic:spPr>
                          <a:xfrm>
                            <a:off x="0" y="0"/>
                            <a:ext cx="132080" cy="0"/>
                          </a:xfrm>
                          <a:prstGeom prst="rect">
                            <a:avLst/>
                          </a:prstGeom>
                        </pic:spPr>
                      </pic:pic>
                    </a:graphicData>
                  </a:graphic>
                </wp:inline>
              </w:drawing>
            </w:r>
          </w:p>
        </w:tc>
        <w:tc>
          <w:tcPr>
            <w:tcW w:w="5018" w:type="dxa"/>
            <w:gridSpan w:val="4"/>
            <w:tcBorders>
              <w:tl2br w:val="nil"/>
              <w:tr2bl w:val="nil"/>
            </w:tcBorders>
            <w:vAlign w:val="center"/>
          </w:tcPr>
          <w:p w14:paraId="78BD96DE">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中文名：钒</w:t>
            </w:r>
          </w:p>
        </w:tc>
        <w:tc>
          <w:tcPr>
            <w:tcW w:w="3015" w:type="dxa"/>
            <w:gridSpan w:val="2"/>
            <w:tcBorders>
              <w:tl2br w:val="nil"/>
              <w:tr2bl w:val="nil"/>
            </w:tcBorders>
            <w:vAlign w:val="center"/>
          </w:tcPr>
          <w:p w14:paraId="09FFB901">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英文名：Vanadium</w:t>
            </w:r>
          </w:p>
        </w:tc>
      </w:tr>
      <w:tr w14:paraId="638A51C4">
        <w:tblPrEx>
          <w:tblW w:w="4950" w:type="pct"/>
          <w:tblInd w:w="0" w:type="dxa"/>
          <w:tblLayout w:type="fixed"/>
          <w:tblCellMar>
            <w:top w:w="0" w:type="dxa"/>
            <w:left w:w="0" w:type="dxa"/>
            <w:bottom w:w="0" w:type="dxa"/>
            <w:right w:w="0" w:type="dxa"/>
          </w:tblCellMar>
        </w:tblPrEx>
        <w:trPr>
          <w:trHeight w:val="316"/>
        </w:trPr>
        <w:tc>
          <w:tcPr>
            <w:tcW w:w="473" w:type="dxa"/>
            <w:vMerge/>
            <w:tcBorders>
              <w:tl2br w:val="nil"/>
              <w:tr2bl w:val="nil"/>
            </w:tcBorders>
            <w:textDirection w:val="tbRlV"/>
            <w:vAlign w:val="center"/>
          </w:tcPr>
          <w:p w14:paraId="100E4588">
            <w:pPr>
              <w:pStyle w:val="R-"/>
              <w:bidi w:val="0"/>
              <w:jc w:val="center"/>
              <w:rPr>
                <w:rFonts w:ascii="Times New Roman" w:eastAsia="宋体" w:hAnsi="Times New Roman" w:cs="Times New Roman" w:hint="default"/>
                <w:color w:val="auto"/>
              </w:rPr>
            </w:pPr>
          </w:p>
        </w:tc>
        <w:tc>
          <w:tcPr>
            <w:tcW w:w="794" w:type="dxa"/>
            <w:tcBorders>
              <w:tl2br w:val="nil"/>
              <w:tr2bl w:val="nil"/>
            </w:tcBorders>
            <w:vAlign w:val="center"/>
          </w:tcPr>
          <w:p w14:paraId="0AFDC49C">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分子式：V</w:t>
            </w:r>
          </w:p>
        </w:tc>
        <w:tc>
          <w:tcPr>
            <w:tcW w:w="4224" w:type="dxa"/>
            <w:gridSpan w:val="3"/>
            <w:tcBorders>
              <w:tl2br w:val="nil"/>
              <w:tr2bl w:val="nil"/>
            </w:tcBorders>
            <w:vAlign w:val="center"/>
          </w:tcPr>
          <w:p w14:paraId="51A6D83A">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分子量：50.94</w:t>
            </w:r>
          </w:p>
        </w:tc>
        <w:tc>
          <w:tcPr>
            <w:tcW w:w="3015" w:type="dxa"/>
            <w:gridSpan w:val="2"/>
            <w:tcBorders>
              <w:tl2br w:val="nil"/>
              <w:tr2bl w:val="nil"/>
            </w:tcBorders>
            <w:vAlign w:val="center"/>
          </w:tcPr>
          <w:p w14:paraId="36FFA6DD">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CAS 号：/</w:t>
            </w:r>
          </w:p>
        </w:tc>
      </w:tr>
      <w:tr w14:paraId="7C65DC28">
        <w:tblPrEx>
          <w:tblW w:w="4950" w:type="pct"/>
          <w:tblInd w:w="0" w:type="dxa"/>
          <w:tblLayout w:type="fixed"/>
          <w:tblCellMar>
            <w:top w:w="0" w:type="dxa"/>
            <w:left w:w="0" w:type="dxa"/>
            <w:bottom w:w="0" w:type="dxa"/>
            <w:right w:w="0" w:type="dxa"/>
          </w:tblCellMar>
        </w:tblPrEx>
        <w:trPr>
          <w:trHeight w:val="316"/>
        </w:trPr>
        <w:tc>
          <w:tcPr>
            <w:tcW w:w="473" w:type="dxa"/>
            <w:vMerge w:val="restart"/>
            <w:tcBorders>
              <w:tl2br w:val="nil"/>
              <w:tr2bl w:val="nil"/>
            </w:tcBorders>
            <w:textDirection w:val="tbRlV"/>
            <w:vAlign w:val="center"/>
          </w:tcPr>
          <w:p w14:paraId="247571E5">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理化性质</w:t>
            </w:r>
            <w:r>
              <w:rPr>
                <w:rFonts w:ascii="Times New Roman" w:eastAsia="宋体" w:hAnsi="Times New Roman" w:cs="Times New Roman" w:hint="default"/>
                <w:color w:val="auto"/>
              </w:rPr>
              <w:drawing>
                <wp:inline distT="0" distB="0" distL="0" distR="0">
                  <wp:extent cx="132080" cy="0"/>
                  <wp:effectExtent l="0" t="0" r="0" b="0"/>
                  <wp:docPr id="398" name="IM 398"/>
                  <wp:cNvGraphicFramePr/>
                  <a:graphic xmlns:a="http://schemas.openxmlformats.org/drawingml/2006/main">
                    <a:graphicData uri="http://schemas.openxmlformats.org/drawingml/2006/picture">
                      <pic:pic xmlns:pic="http://schemas.openxmlformats.org/drawingml/2006/picture">
                        <pic:nvPicPr>
                          <pic:cNvPr id="1607589157" name="IM 398"/>
                          <pic:cNvPicPr/>
                        </pic:nvPicPr>
                        <pic:blipFill>
                          <a:blip xmlns:r="http://schemas.openxmlformats.org/officeDocument/2006/relationships" r:embed="rId26"/>
                          <a:stretch>
                            <a:fillRect/>
                          </a:stretch>
                        </pic:blipFill>
                        <pic:spPr>
                          <a:xfrm>
                            <a:off x="0" y="0"/>
                            <a:ext cx="132080" cy="0"/>
                          </a:xfrm>
                          <a:prstGeom prst="rect">
                            <a:avLst/>
                          </a:prstGeom>
                        </pic:spPr>
                      </pic:pic>
                    </a:graphicData>
                  </a:graphic>
                </wp:inline>
              </w:drawing>
            </w:r>
            <w:r>
              <w:rPr>
                <w:rFonts w:ascii="Times New Roman" w:eastAsia="宋体" w:hAnsi="Times New Roman" w:cs="Times New Roman" w:hint="default"/>
                <w:color w:val="auto"/>
              </w:rPr>
              <w:drawing>
                <wp:inline distT="0" distB="0" distL="0" distR="0">
                  <wp:extent cx="132080" cy="0"/>
                  <wp:effectExtent l="0" t="0" r="0" b="0"/>
                  <wp:docPr id="400" name="IM 400"/>
                  <wp:cNvGraphicFramePr/>
                  <a:graphic xmlns:a="http://schemas.openxmlformats.org/drawingml/2006/main">
                    <a:graphicData uri="http://schemas.openxmlformats.org/drawingml/2006/picture">
                      <pic:pic xmlns:pic="http://schemas.openxmlformats.org/drawingml/2006/picture">
                        <pic:nvPicPr>
                          <pic:cNvPr id="1911235" name="IM 400"/>
                          <pic:cNvPicPr/>
                        </pic:nvPicPr>
                        <pic:blipFill>
                          <a:blip xmlns:r="http://schemas.openxmlformats.org/officeDocument/2006/relationships" r:embed="rId27"/>
                          <a:stretch>
                            <a:fillRect/>
                          </a:stretch>
                        </pic:blipFill>
                        <pic:spPr>
                          <a:xfrm>
                            <a:off x="0" y="0"/>
                            <a:ext cx="132080" cy="0"/>
                          </a:xfrm>
                          <a:prstGeom prst="rect">
                            <a:avLst/>
                          </a:prstGeom>
                        </pic:spPr>
                      </pic:pic>
                    </a:graphicData>
                  </a:graphic>
                </wp:inline>
              </w:drawing>
            </w:r>
            <w:r>
              <w:rPr>
                <w:rFonts w:ascii="Times New Roman" w:eastAsia="宋体" w:hAnsi="Times New Roman" w:cs="Times New Roman" w:hint="default"/>
                <w:color w:val="auto"/>
              </w:rPr>
              <w:drawing>
                <wp:inline distT="0" distB="0" distL="0" distR="0">
                  <wp:extent cx="132080" cy="0"/>
                  <wp:effectExtent l="0" t="0" r="0" b="0"/>
                  <wp:docPr id="402" name="IM 402"/>
                  <wp:cNvGraphicFramePr/>
                  <a:graphic xmlns:a="http://schemas.openxmlformats.org/drawingml/2006/main">
                    <a:graphicData uri="http://schemas.openxmlformats.org/drawingml/2006/picture">
                      <pic:pic xmlns:pic="http://schemas.openxmlformats.org/drawingml/2006/picture">
                        <pic:nvPicPr>
                          <pic:cNvPr id="1075665690" name="IM 402"/>
                          <pic:cNvPicPr/>
                        </pic:nvPicPr>
                        <pic:blipFill>
                          <a:blip xmlns:r="http://schemas.openxmlformats.org/officeDocument/2006/relationships" r:embed="rId28"/>
                          <a:stretch>
                            <a:fillRect/>
                          </a:stretch>
                        </pic:blipFill>
                        <pic:spPr>
                          <a:xfrm>
                            <a:off x="0" y="0"/>
                            <a:ext cx="132080" cy="0"/>
                          </a:xfrm>
                          <a:prstGeom prst="rect">
                            <a:avLst/>
                          </a:prstGeom>
                        </pic:spPr>
                      </pic:pic>
                    </a:graphicData>
                  </a:graphic>
                </wp:inline>
              </w:drawing>
            </w:r>
          </w:p>
        </w:tc>
        <w:tc>
          <w:tcPr>
            <w:tcW w:w="794" w:type="dxa"/>
            <w:tcBorders>
              <w:tl2br w:val="nil"/>
              <w:tr2bl w:val="nil"/>
            </w:tcBorders>
            <w:vAlign w:val="center"/>
          </w:tcPr>
          <w:p w14:paraId="65096D0D">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外观与性状</w:t>
            </w:r>
          </w:p>
        </w:tc>
        <w:tc>
          <w:tcPr>
            <w:tcW w:w="7239" w:type="dxa"/>
            <w:gridSpan w:val="5"/>
            <w:tcBorders>
              <w:tl2br w:val="nil"/>
              <w:tr2bl w:val="nil"/>
            </w:tcBorders>
            <w:vAlign w:val="center"/>
          </w:tcPr>
          <w:p w14:paraId="69223D57">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银白色金属</w:t>
            </w:r>
          </w:p>
        </w:tc>
      </w:tr>
      <w:tr w14:paraId="40250B78">
        <w:tblPrEx>
          <w:tblW w:w="4950" w:type="pct"/>
          <w:tblInd w:w="0" w:type="dxa"/>
          <w:tblLayout w:type="fixed"/>
          <w:tblCellMar>
            <w:top w:w="0" w:type="dxa"/>
            <w:left w:w="0" w:type="dxa"/>
            <w:bottom w:w="0" w:type="dxa"/>
            <w:right w:w="0" w:type="dxa"/>
          </w:tblCellMar>
        </w:tblPrEx>
        <w:trPr>
          <w:trHeight w:val="627"/>
        </w:trPr>
        <w:tc>
          <w:tcPr>
            <w:tcW w:w="473" w:type="dxa"/>
            <w:vMerge/>
            <w:tcBorders>
              <w:tl2br w:val="nil"/>
              <w:tr2bl w:val="nil"/>
            </w:tcBorders>
            <w:textDirection w:val="tbRlV"/>
            <w:vAlign w:val="center"/>
          </w:tcPr>
          <w:p w14:paraId="2780FD19">
            <w:pPr>
              <w:pStyle w:val="R-"/>
              <w:bidi w:val="0"/>
              <w:jc w:val="center"/>
              <w:rPr>
                <w:rFonts w:ascii="Times New Roman" w:eastAsia="宋体" w:hAnsi="Times New Roman" w:cs="Times New Roman" w:hint="default"/>
                <w:color w:val="auto"/>
              </w:rPr>
            </w:pPr>
          </w:p>
        </w:tc>
        <w:tc>
          <w:tcPr>
            <w:tcW w:w="794" w:type="dxa"/>
            <w:tcBorders>
              <w:tl2br w:val="nil"/>
              <w:tr2bl w:val="nil"/>
            </w:tcBorders>
            <w:vAlign w:val="center"/>
          </w:tcPr>
          <w:p w14:paraId="36386958">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熔点</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rPr>
              <w:t>℃)</w:t>
            </w:r>
          </w:p>
        </w:tc>
        <w:tc>
          <w:tcPr>
            <w:tcW w:w="1676" w:type="dxa"/>
            <w:tcBorders>
              <w:tl2br w:val="nil"/>
              <w:tr2bl w:val="nil"/>
            </w:tcBorders>
            <w:vAlign w:val="center"/>
          </w:tcPr>
          <w:p w14:paraId="7CD0D4C3">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1820±10</w:t>
            </w:r>
          </w:p>
          <w:p w14:paraId="3D51ECCE">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w:t>
            </w:r>
          </w:p>
        </w:tc>
        <w:tc>
          <w:tcPr>
            <w:tcW w:w="990" w:type="dxa"/>
            <w:tcBorders>
              <w:tl2br w:val="nil"/>
              <w:tr2bl w:val="nil"/>
            </w:tcBorders>
            <w:vAlign w:val="center"/>
          </w:tcPr>
          <w:p w14:paraId="5FB525B9">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密度</w:t>
            </w:r>
          </w:p>
        </w:tc>
        <w:tc>
          <w:tcPr>
            <w:tcW w:w="1558" w:type="dxa"/>
            <w:tcBorders>
              <w:tl2br w:val="nil"/>
              <w:tr2bl w:val="nil"/>
            </w:tcBorders>
            <w:vAlign w:val="center"/>
          </w:tcPr>
          <w:p w14:paraId="1A5BCC37">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相 对 密 度 (水= 1)5.87</w:t>
            </w:r>
          </w:p>
        </w:tc>
        <w:tc>
          <w:tcPr>
            <w:tcW w:w="848" w:type="dxa"/>
            <w:tcBorders>
              <w:tl2br w:val="nil"/>
              <w:tr2bl w:val="nil"/>
            </w:tcBorders>
            <w:vAlign w:val="center"/>
          </w:tcPr>
          <w:p w14:paraId="7844874B">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溶解性</w:t>
            </w:r>
          </w:p>
        </w:tc>
        <w:tc>
          <w:tcPr>
            <w:tcW w:w="2167" w:type="dxa"/>
            <w:tcBorders>
              <w:tl2br w:val="nil"/>
              <w:tr2bl w:val="nil"/>
            </w:tcBorders>
            <w:vAlign w:val="center"/>
          </w:tcPr>
          <w:p w14:paraId="75B78842">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溶于硝酸、王水及浓 硫酸等</w:t>
            </w:r>
          </w:p>
        </w:tc>
      </w:tr>
      <w:tr w14:paraId="49A4F2A2">
        <w:tblPrEx>
          <w:tblW w:w="4950" w:type="pct"/>
          <w:tblInd w:w="0" w:type="dxa"/>
          <w:tblLayout w:type="fixed"/>
          <w:tblCellMar>
            <w:top w:w="0" w:type="dxa"/>
            <w:left w:w="0" w:type="dxa"/>
            <w:bottom w:w="0" w:type="dxa"/>
            <w:right w:w="0" w:type="dxa"/>
          </w:tblCellMar>
        </w:tblPrEx>
        <w:trPr>
          <w:trHeight w:val="627"/>
        </w:trPr>
        <w:tc>
          <w:tcPr>
            <w:tcW w:w="473" w:type="dxa"/>
            <w:vMerge/>
            <w:tcBorders>
              <w:tl2br w:val="nil"/>
              <w:tr2bl w:val="nil"/>
            </w:tcBorders>
            <w:textDirection w:val="tbRlV"/>
            <w:vAlign w:val="center"/>
          </w:tcPr>
          <w:p w14:paraId="567639AC">
            <w:pPr>
              <w:pStyle w:val="R-"/>
              <w:bidi w:val="0"/>
              <w:jc w:val="center"/>
              <w:rPr>
                <w:rFonts w:ascii="Times New Roman" w:eastAsia="宋体" w:hAnsi="Times New Roman" w:cs="Times New Roman" w:hint="default"/>
                <w:color w:val="auto"/>
              </w:rPr>
            </w:pPr>
          </w:p>
        </w:tc>
        <w:tc>
          <w:tcPr>
            <w:tcW w:w="794" w:type="dxa"/>
            <w:tcBorders>
              <w:tl2br w:val="nil"/>
              <w:tr2bl w:val="nil"/>
            </w:tcBorders>
            <w:vAlign w:val="center"/>
          </w:tcPr>
          <w:p w14:paraId="2E2DB737">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沸点</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rPr>
              <w:t>℃)</w:t>
            </w:r>
          </w:p>
        </w:tc>
        <w:tc>
          <w:tcPr>
            <w:tcW w:w="1676" w:type="dxa"/>
            <w:tcBorders>
              <w:tl2br w:val="nil"/>
              <w:tr2bl w:val="nil"/>
            </w:tcBorders>
            <w:vAlign w:val="center"/>
          </w:tcPr>
          <w:p w14:paraId="0BAA6764">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3000℃</w:t>
            </w:r>
          </w:p>
        </w:tc>
        <w:tc>
          <w:tcPr>
            <w:tcW w:w="990" w:type="dxa"/>
            <w:tcBorders>
              <w:tl2br w:val="nil"/>
              <w:tr2bl w:val="nil"/>
            </w:tcBorders>
            <w:vAlign w:val="center"/>
          </w:tcPr>
          <w:p w14:paraId="6352EA0C">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稳定性</w:t>
            </w:r>
          </w:p>
        </w:tc>
        <w:tc>
          <w:tcPr>
            <w:tcW w:w="1558" w:type="dxa"/>
            <w:tcBorders>
              <w:tl2br w:val="nil"/>
              <w:tr2bl w:val="nil"/>
            </w:tcBorders>
            <w:vAlign w:val="center"/>
          </w:tcPr>
          <w:p w14:paraId="0BA7D5B1">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稳定</w:t>
            </w:r>
          </w:p>
        </w:tc>
        <w:tc>
          <w:tcPr>
            <w:tcW w:w="848" w:type="dxa"/>
            <w:tcBorders>
              <w:tl2br w:val="nil"/>
              <w:tr2bl w:val="nil"/>
            </w:tcBorders>
            <w:vAlign w:val="center"/>
          </w:tcPr>
          <w:p w14:paraId="43F866FD">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用途</w:t>
            </w:r>
          </w:p>
        </w:tc>
        <w:tc>
          <w:tcPr>
            <w:tcW w:w="2167" w:type="dxa"/>
            <w:tcBorders>
              <w:tl2br w:val="nil"/>
              <w:tr2bl w:val="nil"/>
            </w:tcBorders>
            <w:vAlign w:val="center"/>
          </w:tcPr>
          <w:p w14:paraId="13C6E146">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主要用于制合金钢和 催化剂</w:t>
            </w:r>
          </w:p>
        </w:tc>
      </w:tr>
      <w:tr w14:paraId="7D101CB5">
        <w:tblPrEx>
          <w:tblW w:w="4950" w:type="pct"/>
          <w:tblInd w:w="0" w:type="dxa"/>
          <w:tblLayout w:type="fixed"/>
          <w:tblCellMar>
            <w:top w:w="0" w:type="dxa"/>
            <w:left w:w="0" w:type="dxa"/>
            <w:bottom w:w="0" w:type="dxa"/>
            <w:right w:w="0" w:type="dxa"/>
          </w:tblCellMar>
        </w:tblPrEx>
        <w:trPr>
          <w:trHeight w:val="4255"/>
        </w:trPr>
        <w:tc>
          <w:tcPr>
            <w:tcW w:w="1267" w:type="dxa"/>
            <w:gridSpan w:val="2"/>
            <w:tcBorders>
              <w:tl2br w:val="nil"/>
              <w:tr2bl w:val="nil"/>
            </w:tcBorders>
            <w:vAlign w:val="center"/>
          </w:tcPr>
          <w:p w14:paraId="293BA3B1">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毒性</w:t>
            </w:r>
          </w:p>
        </w:tc>
        <w:tc>
          <w:tcPr>
            <w:tcW w:w="7239" w:type="dxa"/>
            <w:gridSpan w:val="5"/>
            <w:tcBorders>
              <w:tl2br w:val="nil"/>
              <w:tr2bl w:val="nil"/>
            </w:tcBorders>
            <w:vAlign w:val="center"/>
          </w:tcPr>
          <w:p w14:paraId="07315D0E">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毒性：钒无毒，形成化合物才有毒。钒的化合物属中等至高毒性物质。急性毒性：钒化合物属中等至高毒性物质。在环境中钒以+2 、+3 、+4 、+5价态存在。其中以五价状态为最稳定，大多数以五氧化二钒和偏钒酸形式存在。其次是四价状态，二、三价盐的水溶液不稳定，易氧化。钒是两性物质，低氧化态的化合物主要呈碱性，高氧化态的化合物主要呈酸性。</w:t>
            </w:r>
          </w:p>
          <w:p w14:paraId="02D02514">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迁移转化：钒在天然水中的浓度很低，一般河水中为0.01～20ppb，平均为1ppb。海水含钒量为0.9～2.5ppb 。尽管水体中可溶性的钒含量很低，但是水中悬浮物含钒量是很高的。悬浮物的沉积导致水中钒向底质迁移，并使水体得到净化。土壤中的钒主要以VO3- 阴离子状态存在。土壤的氧化性越高、碱性越大，钡越易形成VO3-离子。当土壤的酸度增大时，VO3-离子易转变成多钒酸根复合阴离子。它们都容易被</w:t>
            </w:r>
            <w:r>
              <w:rPr>
                <w:rFonts w:ascii="Times New Roman" w:eastAsia="宋体" w:hAnsi="Times New Roman" w:cs="Times New Roman" w:hint="default"/>
                <w:color w:val="auto"/>
                <w:lang w:eastAsia="zh-CN"/>
              </w:rPr>
              <w:t>黏土</w:t>
            </w:r>
            <w:r>
              <w:rPr>
                <w:rFonts w:ascii="Times New Roman" w:eastAsia="宋体" w:hAnsi="Times New Roman" w:cs="Times New Roman" w:hint="default"/>
                <w:color w:val="auto"/>
              </w:rPr>
              <w:t>和土壤胶体 及腐殖质固定而失去活性，钒在土壤中的迁移性较弱。水中浓度0.8mg/L时水有异味，浓度10mg/L时，废水的硝化受到抑制。危险特性：其粉体遇高温、明火能燃烧。燃烧</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rPr>
              <w:t>分解)产物：氧化钒。</w:t>
            </w:r>
          </w:p>
        </w:tc>
      </w:tr>
      <w:tr w14:paraId="232BFEEB">
        <w:tblPrEx>
          <w:tblW w:w="4950" w:type="pct"/>
          <w:tblInd w:w="0" w:type="dxa"/>
          <w:tblLayout w:type="fixed"/>
          <w:tblCellMar>
            <w:top w:w="0" w:type="dxa"/>
            <w:left w:w="0" w:type="dxa"/>
            <w:bottom w:w="0" w:type="dxa"/>
            <w:right w:w="0" w:type="dxa"/>
          </w:tblCellMar>
        </w:tblPrEx>
        <w:trPr>
          <w:trHeight w:val="649"/>
        </w:trPr>
        <w:tc>
          <w:tcPr>
            <w:tcW w:w="1267" w:type="dxa"/>
            <w:gridSpan w:val="2"/>
            <w:tcBorders>
              <w:tl2br w:val="nil"/>
              <w:tr2bl w:val="nil"/>
            </w:tcBorders>
            <w:vAlign w:val="center"/>
          </w:tcPr>
          <w:p w14:paraId="2E45E2BA">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健康危害</w:t>
            </w:r>
          </w:p>
        </w:tc>
        <w:tc>
          <w:tcPr>
            <w:tcW w:w="7239" w:type="dxa"/>
            <w:gridSpan w:val="5"/>
            <w:tcBorders>
              <w:tl2br w:val="nil"/>
              <w:tr2bl w:val="nil"/>
            </w:tcBorders>
            <w:vAlign w:val="center"/>
          </w:tcPr>
          <w:p w14:paraId="5E9AEBFF">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侵入途径：吸入、食入。</w:t>
            </w:r>
          </w:p>
          <w:p w14:paraId="7029062A">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健康危害：本品可引起呼吸系统、神经系统病变，对皮肤也有损害。金属钒的毒性很低。钒化合物</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rPr>
              <w:t>钒盐)对人和动物具有毒性，其毒性随化合 物的原子价增加和溶解度的增大而增加，如五氧化二钒为高毒，可引起呼吸系统、神经系统、胃肠和皮肤的改变。</w:t>
            </w:r>
          </w:p>
        </w:tc>
      </w:tr>
    </w:tbl>
    <w:p w14:paraId="3590A9CE">
      <w:pPr>
        <w:spacing w:line="32" w:lineRule="exact"/>
        <w:rPr>
          <w:rFonts w:ascii="Times New Roman" w:eastAsia="宋体" w:hAnsi="Times New Roman" w:cs="Times New Roman" w:hint="default"/>
          <w:color w:val="auto"/>
        </w:rPr>
      </w:pPr>
    </w:p>
    <w:p w14:paraId="4A8101A7">
      <w:pPr>
        <w:widowControl w:val="0"/>
        <w:adjustRightInd w:val="0"/>
        <w:snapToGrid w:val="0"/>
        <w:jc w:val="center"/>
        <w:rPr>
          <w:rFonts w:ascii="Times New Roman" w:eastAsia="宋体" w:hAnsi="Times New Roman" w:cs="Times New Roman" w:hint="default"/>
          <w:b/>
          <w:bCs w:val="0"/>
          <w:snapToGrid w:val="0"/>
          <w:color w:val="auto"/>
          <w:kern w:val="0"/>
          <w:sz w:val="24"/>
          <w:szCs w:val="24"/>
          <w:highlight w:val="none"/>
          <w:lang w:val="en-US" w:eastAsia="zh-CN" w:bidi="ar-SA"/>
        </w:rPr>
        <w:sectPr>
          <w:footerReference w:type="default" r:id="rId29"/>
          <w:pgSz w:w="11906" w:h="16839"/>
          <w:pgMar w:top="1440" w:right="1797" w:bottom="1440" w:left="1797" w:header="0" w:footer="994" w:gutter="0"/>
          <w:pgBorders>
            <w:top w:val="none" w:sz="0" w:space="0" w:color="auto"/>
            <w:left w:val="none" w:sz="0" w:space="0" w:color="auto"/>
            <w:bottom w:val="none" w:sz="0" w:space="0" w:color="auto"/>
            <w:right w:val="none" w:sz="0" w:space="0" w:color="auto"/>
          </w:pgBorders>
          <w:pgNumType w:fmt="decimal"/>
          <w:cols w:num="1" w:space="720"/>
        </w:sectPr>
      </w:pPr>
    </w:p>
    <w:p w14:paraId="348F7FD6">
      <w:pPr>
        <w:widowControl w:val="0"/>
        <w:adjustRightInd w:val="0"/>
        <w:snapToGrid w:val="0"/>
        <w:jc w:val="center"/>
        <w:rPr>
          <w:rFonts w:ascii="Times New Roman" w:eastAsia="宋体" w:hAnsi="Times New Roman" w:cs="Times New Roman" w:hint="default"/>
          <w:b/>
          <w:bCs w:val="0"/>
          <w:snapToGrid w:val="0"/>
          <w:color w:val="auto"/>
          <w:kern w:val="0"/>
          <w:sz w:val="24"/>
          <w:szCs w:val="24"/>
          <w:highlight w:val="none"/>
          <w:lang w:val="en-US" w:eastAsia="zh-CN" w:bidi="ar-SA"/>
        </w:rPr>
      </w:pPr>
      <w:r>
        <w:rPr>
          <w:rFonts w:ascii="Times New Roman" w:eastAsia="宋体" w:hAnsi="Times New Roman" w:cs="Times New Roman" w:hint="default"/>
          <w:b/>
          <w:bCs w:val="0"/>
          <w:snapToGrid w:val="0"/>
          <w:color w:val="auto"/>
          <w:kern w:val="0"/>
          <w:sz w:val="24"/>
          <w:szCs w:val="24"/>
          <w:highlight w:val="none"/>
          <w:lang w:val="en-US" w:eastAsia="zh-CN" w:bidi="ar-SA"/>
        </w:rPr>
        <w:t>表2 硫酸理化性质</w:t>
      </w:r>
    </w:p>
    <w:tbl>
      <w:tblPr>
        <w:tblStyle w:val="TableNormal"/>
        <w:tblW w:w="4950" w:type="pct"/>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0" w:type="dxa"/>
          <w:left w:w="108" w:type="dxa"/>
          <w:bottom w:w="0" w:type="dxa"/>
          <w:right w:w="108" w:type="dxa"/>
        </w:tblCellMar>
      </w:tblPr>
      <w:tblGrid>
        <w:gridCol w:w="1334"/>
        <w:gridCol w:w="2481"/>
        <w:gridCol w:w="1385"/>
        <w:gridCol w:w="1287"/>
        <w:gridCol w:w="1956"/>
      </w:tblGrid>
      <w:tr w14:paraId="37A982E5">
        <w:tblPrEx>
          <w:tblW w:w="4950" w:type="pct"/>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0" w:type="dxa"/>
            <w:left w:w="108" w:type="dxa"/>
            <w:bottom w:w="0" w:type="dxa"/>
            <w:right w:w="108" w:type="dxa"/>
          </w:tblCellMar>
        </w:tblPrEx>
        <w:trPr>
          <w:trHeight w:val="340"/>
        </w:trPr>
        <w:tc>
          <w:tcPr>
            <w:tcW w:w="790" w:type="pct"/>
            <w:noWrap w:val="0"/>
            <w:vAlign w:val="center"/>
          </w:tcPr>
          <w:p w14:paraId="2EF63079">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国际编号</w:t>
            </w:r>
          </w:p>
        </w:tc>
        <w:tc>
          <w:tcPr>
            <w:tcW w:w="2289" w:type="pct"/>
            <w:gridSpan w:val="2"/>
            <w:noWrap w:val="0"/>
            <w:vAlign w:val="center"/>
          </w:tcPr>
          <w:p w14:paraId="18FBA902">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81007</w:t>
            </w:r>
          </w:p>
        </w:tc>
        <w:tc>
          <w:tcPr>
            <w:tcW w:w="762" w:type="pct"/>
            <w:noWrap w:val="0"/>
            <w:vAlign w:val="center"/>
          </w:tcPr>
          <w:p w14:paraId="0932CF92">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CAS号</w:t>
            </w:r>
          </w:p>
        </w:tc>
        <w:tc>
          <w:tcPr>
            <w:tcW w:w="1157" w:type="pct"/>
            <w:noWrap w:val="0"/>
            <w:vAlign w:val="center"/>
          </w:tcPr>
          <w:p w14:paraId="2C844235">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7664-93-9</w:t>
            </w:r>
          </w:p>
        </w:tc>
      </w:tr>
      <w:tr w14:paraId="5476C7CC">
        <w:tblPrEx>
          <w:tblW w:w="4950" w:type="pct"/>
          <w:tblInd w:w="0" w:type="dxa"/>
          <w:tblLayout w:type="fixed"/>
          <w:tblCellMar>
            <w:top w:w="0" w:type="dxa"/>
            <w:left w:w="108" w:type="dxa"/>
            <w:bottom w:w="0" w:type="dxa"/>
            <w:right w:w="108" w:type="dxa"/>
          </w:tblCellMar>
        </w:tblPrEx>
        <w:trPr>
          <w:trHeight w:val="340"/>
        </w:trPr>
        <w:tc>
          <w:tcPr>
            <w:tcW w:w="790" w:type="pct"/>
            <w:noWrap w:val="0"/>
            <w:vAlign w:val="center"/>
          </w:tcPr>
          <w:p w14:paraId="2CB8F3D6">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分子式</w:t>
            </w:r>
          </w:p>
        </w:tc>
        <w:tc>
          <w:tcPr>
            <w:tcW w:w="1469" w:type="pct"/>
            <w:noWrap w:val="0"/>
            <w:vAlign w:val="center"/>
          </w:tcPr>
          <w:p w14:paraId="1F92F37D">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H</w:t>
            </w:r>
            <w:r>
              <w:rPr>
                <w:rFonts w:ascii="Times New Roman" w:eastAsia="宋体" w:hAnsi="Times New Roman" w:cs="Times New Roman" w:hint="default"/>
                <w:color w:val="auto"/>
                <w:vertAlign w:val="subscript"/>
              </w:rPr>
              <w:t>2</w:t>
            </w:r>
            <w:r>
              <w:rPr>
                <w:rFonts w:ascii="Times New Roman" w:eastAsia="宋体" w:hAnsi="Times New Roman" w:cs="Times New Roman" w:hint="default"/>
                <w:color w:val="auto"/>
              </w:rPr>
              <w:t>SO</w:t>
            </w:r>
            <w:r>
              <w:rPr>
                <w:rFonts w:ascii="Times New Roman" w:eastAsia="宋体" w:hAnsi="Times New Roman" w:cs="Times New Roman" w:hint="default"/>
                <w:color w:val="auto"/>
                <w:vertAlign w:val="subscript"/>
              </w:rPr>
              <w:t>4</w:t>
            </w:r>
          </w:p>
        </w:tc>
        <w:tc>
          <w:tcPr>
            <w:tcW w:w="819" w:type="pct"/>
            <w:noWrap w:val="0"/>
            <w:vAlign w:val="center"/>
          </w:tcPr>
          <w:p w14:paraId="6D71F93D">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外观与性状</w:t>
            </w:r>
          </w:p>
        </w:tc>
        <w:tc>
          <w:tcPr>
            <w:tcW w:w="1919" w:type="pct"/>
            <w:gridSpan w:val="2"/>
            <w:noWrap w:val="0"/>
            <w:vAlign w:val="center"/>
          </w:tcPr>
          <w:p w14:paraId="4405E8DE">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纯品为无色透明油状液体，无臭</w:t>
            </w:r>
          </w:p>
        </w:tc>
      </w:tr>
      <w:tr w14:paraId="0BDED784">
        <w:tblPrEx>
          <w:tblW w:w="4950" w:type="pct"/>
          <w:tblInd w:w="0" w:type="dxa"/>
          <w:tblLayout w:type="fixed"/>
          <w:tblCellMar>
            <w:top w:w="0" w:type="dxa"/>
            <w:left w:w="108" w:type="dxa"/>
            <w:bottom w:w="0" w:type="dxa"/>
            <w:right w:w="108" w:type="dxa"/>
          </w:tblCellMar>
        </w:tblPrEx>
        <w:trPr>
          <w:trHeight w:val="340"/>
        </w:trPr>
        <w:tc>
          <w:tcPr>
            <w:tcW w:w="790" w:type="pct"/>
            <w:noWrap w:val="0"/>
            <w:vAlign w:val="center"/>
          </w:tcPr>
          <w:p w14:paraId="5B345F29">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分子量</w:t>
            </w:r>
          </w:p>
        </w:tc>
        <w:tc>
          <w:tcPr>
            <w:tcW w:w="1469" w:type="pct"/>
            <w:noWrap w:val="0"/>
            <w:vAlign w:val="center"/>
          </w:tcPr>
          <w:p w14:paraId="5653DDB3">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98.08</w:t>
            </w:r>
          </w:p>
        </w:tc>
        <w:tc>
          <w:tcPr>
            <w:tcW w:w="819" w:type="pct"/>
            <w:noWrap w:val="0"/>
            <w:vAlign w:val="center"/>
          </w:tcPr>
          <w:p w14:paraId="28E68099">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蒸汽压</w:t>
            </w:r>
          </w:p>
        </w:tc>
        <w:tc>
          <w:tcPr>
            <w:tcW w:w="1919" w:type="pct"/>
            <w:gridSpan w:val="2"/>
            <w:noWrap w:val="0"/>
            <w:vAlign w:val="center"/>
          </w:tcPr>
          <w:p w14:paraId="20108DDE">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0.13kPa(145.8℃)</w:t>
            </w:r>
          </w:p>
        </w:tc>
      </w:tr>
      <w:tr w14:paraId="6B7943F5">
        <w:tblPrEx>
          <w:tblW w:w="4950" w:type="pct"/>
          <w:tblInd w:w="0" w:type="dxa"/>
          <w:tblLayout w:type="fixed"/>
          <w:tblCellMar>
            <w:top w:w="0" w:type="dxa"/>
            <w:left w:w="108" w:type="dxa"/>
            <w:bottom w:w="0" w:type="dxa"/>
            <w:right w:w="108" w:type="dxa"/>
          </w:tblCellMar>
        </w:tblPrEx>
        <w:trPr>
          <w:trHeight w:val="340"/>
        </w:trPr>
        <w:tc>
          <w:tcPr>
            <w:tcW w:w="790" w:type="pct"/>
            <w:noWrap w:val="0"/>
            <w:vAlign w:val="center"/>
          </w:tcPr>
          <w:p w14:paraId="72DD06DE">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熔点</w:t>
            </w:r>
          </w:p>
        </w:tc>
        <w:tc>
          <w:tcPr>
            <w:tcW w:w="1469" w:type="pct"/>
            <w:noWrap w:val="0"/>
            <w:vAlign w:val="center"/>
          </w:tcPr>
          <w:p w14:paraId="6BE8BA02">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10.5℃</w:t>
            </w:r>
          </w:p>
        </w:tc>
        <w:tc>
          <w:tcPr>
            <w:tcW w:w="819" w:type="pct"/>
            <w:noWrap w:val="0"/>
            <w:vAlign w:val="center"/>
          </w:tcPr>
          <w:p w14:paraId="7C11EEA6">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沸点</w:t>
            </w:r>
          </w:p>
        </w:tc>
        <w:tc>
          <w:tcPr>
            <w:tcW w:w="1919" w:type="pct"/>
            <w:gridSpan w:val="2"/>
            <w:noWrap w:val="0"/>
            <w:vAlign w:val="center"/>
          </w:tcPr>
          <w:p w14:paraId="2D343324">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330.0℃</w:t>
            </w:r>
          </w:p>
        </w:tc>
      </w:tr>
      <w:tr w14:paraId="0BDE9BED">
        <w:tblPrEx>
          <w:tblW w:w="4950" w:type="pct"/>
          <w:tblInd w:w="0" w:type="dxa"/>
          <w:tblLayout w:type="fixed"/>
          <w:tblCellMar>
            <w:top w:w="0" w:type="dxa"/>
            <w:left w:w="108" w:type="dxa"/>
            <w:bottom w:w="0" w:type="dxa"/>
            <w:right w:w="108" w:type="dxa"/>
          </w:tblCellMar>
        </w:tblPrEx>
        <w:trPr>
          <w:trHeight w:val="340"/>
        </w:trPr>
        <w:tc>
          <w:tcPr>
            <w:tcW w:w="790" w:type="pct"/>
            <w:noWrap w:val="0"/>
            <w:vAlign w:val="center"/>
          </w:tcPr>
          <w:p w14:paraId="1EBA59F6">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密度</w:t>
            </w:r>
          </w:p>
        </w:tc>
        <w:tc>
          <w:tcPr>
            <w:tcW w:w="1469" w:type="pct"/>
            <w:noWrap w:val="0"/>
            <w:vAlign w:val="center"/>
          </w:tcPr>
          <w:p w14:paraId="7A5AED3C">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相对密度(水=1)1.83；相对密度(空气=1)3.4</w:t>
            </w:r>
          </w:p>
        </w:tc>
        <w:tc>
          <w:tcPr>
            <w:tcW w:w="819" w:type="pct"/>
            <w:noWrap w:val="0"/>
            <w:vAlign w:val="center"/>
          </w:tcPr>
          <w:p w14:paraId="3BBD444E">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稳定性</w:t>
            </w:r>
          </w:p>
        </w:tc>
        <w:tc>
          <w:tcPr>
            <w:tcW w:w="1919" w:type="pct"/>
            <w:gridSpan w:val="2"/>
            <w:noWrap w:val="0"/>
            <w:vAlign w:val="center"/>
          </w:tcPr>
          <w:p w14:paraId="34A58926">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稳定</w:t>
            </w:r>
          </w:p>
        </w:tc>
      </w:tr>
      <w:tr w14:paraId="45678C93">
        <w:tblPrEx>
          <w:tblW w:w="4950" w:type="pct"/>
          <w:tblInd w:w="0" w:type="dxa"/>
          <w:tblLayout w:type="fixed"/>
          <w:tblCellMar>
            <w:top w:w="0" w:type="dxa"/>
            <w:left w:w="108" w:type="dxa"/>
            <w:bottom w:w="0" w:type="dxa"/>
            <w:right w:w="108" w:type="dxa"/>
          </w:tblCellMar>
        </w:tblPrEx>
        <w:trPr>
          <w:trHeight w:val="340"/>
        </w:trPr>
        <w:tc>
          <w:tcPr>
            <w:tcW w:w="790" w:type="pct"/>
            <w:noWrap w:val="0"/>
            <w:vAlign w:val="center"/>
          </w:tcPr>
          <w:p w14:paraId="3876D95F">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危险标记</w:t>
            </w:r>
          </w:p>
        </w:tc>
        <w:tc>
          <w:tcPr>
            <w:tcW w:w="1469" w:type="pct"/>
            <w:noWrap w:val="0"/>
            <w:vAlign w:val="center"/>
          </w:tcPr>
          <w:p w14:paraId="6473B2E7">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20</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rPr>
              <w:t>酸性腐蚀品)</w:t>
            </w:r>
          </w:p>
        </w:tc>
        <w:tc>
          <w:tcPr>
            <w:tcW w:w="819" w:type="pct"/>
            <w:noWrap w:val="0"/>
            <w:vAlign w:val="center"/>
          </w:tcPr>
          <w:p w14:paraId="7BEADA7A">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主要用途</w:t>
            </w:r>
          </w:p>
        </w:tc>
        <w:tc>
          <w:tcPr>
            <w:tcW w:w="1919" w:type="pct"/>
            <w:gridSpan w:val="2"/>
            <w:noWrap w:val="0"/>
            <w:vAlign w:val="center"/>
          </w:tcPr>
          <w:p w14:paraId="1D03876D">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用于生产化学肥料，在化工、医药、塑料、染料、石油提炼等工业也有广泛的应用</w:t>
            </w:r>
          </w:p>
        </w:tc>
      </w:tr>
      <w:tr w14:paraId="4C73C178">
        <w:tblPrEx>
          <w:tblW w:w="4950" w:type="pct"/>
          <w:tblInd w:w="0" w:type="dxa"/>
          <w:tblLayout w:type="fixed"/>
          <w:tblCellMar>
            <w:top w:w="0" w:type="dxa"/>
            <w:left w:w="108" w:type="dxa"/>
            <w:bottom w:w="0" w:type="dxa"/>
            <w:right w:w="108" w:type="dxa"/>
          </w:tblCellMar>
        </w:tblPrEx>
        <w:trPr>
          <w:trHeight w:val="340"/>
        </w:trPr>
        <w:tc>
          <w:tcPr>
            <w:tcW w:w="790" w:type="pct"/>
            <w:noWrap w:val="0"/>
            <w:vAlign w:val="center"/>
          </w:tcPr>
          <w:p w14:paraId="44220CC0">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健康危害、环境危害</w:t>
            </w:r>
          </w:p>
        </w:tc>
        <w:tc>
          <w:tcPr>
            <w:tcW w:w="4209" w:type="pct"/>
            <w:gridSpan w:val="4"/>
            <w:noWrap w:val="0"/>
            <w:vAlign w:val="center"/>
          </w:tcPr>
          <w:p w14:paraId="2B3D9B41">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侵入途径：吸入。</w:t>
            </w:r>
          </w:p>
          <w:p w14:paraId="700F33A8">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对皮肤、</w:t>
            </w:r>
            <w:r>
              <w:rPr>
                <w:rFonts w:ascii="Times New Roman" w:eastAsia="宋体" w:hAnsi="Times New Roman" w:cs="Times New Roman" w:hint="default"/>
                <w:color w:val="auto"/>
                <w:lang w:eastAsia="zh-CN"/>
              </w:rPr>
              <w:t>黏膜</w:t>
            </w:r>
            <w:r>
              <w:rPr>
                <w:rFonts w:ascii="Times New Roman" w:eastAsia="宋体" w:hAnsi="Times New Roman" w:cs="Times New Roman" w:hint="default"/>
                <w:color w:val="auto"/>
              </w:rPr>
              <w:t>等组织有强烈的刺激和腐蚀作用。对眼睛可引起结膜炎、水肿、角膜混浊，以致失明；引起呼吸道</w:t>
            </w:r>
            <w:r>
              <w:rPr>
                <w:rFonts w:ascii="Times New Roman" w:eastAsia="宋体" w:hAnsi="Times New Roman" w:cs="Times New Roman" w:hint="default"/>
                <w:color w:val="auto"/>
                <w:lang w:eastAsia="zh-CN"/>
              </w:rPr>
              <w:t>刺激征</w:t>
            </w:r>
            <w:r>
              <w:rPr>
                <w:rFonts w:ascii="Times New Roman" w:eastAsia="宋体" w:hAnsi="Times New Roman" w:cs="Times New Roman" w:hint="default"/>
                <w:color w:val="auto"/>
              </w:rPr>
              <w:t>状，重者发生呼吸困难和肺水肿；高浓度引起喉痉挛或声门水肿而死亡。口服后引起消化道的烧伤以至溃疡形成。严重者可能有胃穿孔、腹膜炎、喉痉挛和声门水肿、肾损害、休克等。慢性影响有牙齿酸蚀症、慢性支气管炎、肺气肿和肺硬化。</w:t>
            </w:r>
          </w:p>
        </w:tc>
      </w:tr>
      <w:tr w14:paraId="67466E7B">
        <w:tblPrEx>
          <w:tblW w:w="4950" w:type="pct"/>
          <w:tblInd w:w="0" w:type="dxa"/>
          <w:tblLayout w:type="fixed"/>
          <w:tblCellMar>
            <w:top w:w="0" w:type="dxa"/>
            <w:left w:w="108" w:type="dxa"/>
            <w:bottom w:w="0" w:type="dxa"/>
            <w:right w:w="108" w:type="dxa"/>
          </w:tblCellMar>
        </w:tblPrEx>
        <w:trPr>
          <w:trHeight w:val="340"/>
        </w:trPr>
        <w:tc>
          <w:tcPr>
            <w:tcW w:w="790" w:type="pct"/>
            <w:noWrap w:val="0"/>
            <w:vAlign w:val="center"/>
          </w:tcPr>
          <w:p w14:paraId="30F04A49">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毒理学资料及环境行为</w:t>
            </w:r>
          </w:p>
        </w:tc>
        <w:tc>
          <w:tcPr>
            <w:tcW w:w="4209" w:type="pct"/>
            <w:gridSpan w:val="4"/>
            <w:noWrap w:val="0"/>
            <w:vAlign w:val="center"/>
          </w:tcPr>
          <w:p w14:paraId="4D61A0B6">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毒性：属中等毒性。</w:t>
            </w:r>
          </w:p>
          <w:p w14:paraId="4A44ECFF">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急性毒性：LD50 2140mg/kg</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rPr>
              <w:t>大鼠经口)；LC50510mg/m3，2小时</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rPr>
              <w:t>大鼠吸入)；320mg/m3，2小时</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rPr>
              <w:t>小鼠吸入)。</w:t>
            </w:r>
          </w:p>
          <w:p w14:paraId="039FDA23">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危险特性：与易燃物</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rPr>
              <w:t>如苯)和有机物</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rPr>
              <w:t>如糖、纤维素等)接触会发生剧烈反应，甚至引起燃烧。能与一些活性金属粉末发生反应，放出氢气。遇水大量放热，可发生沸溅。具有强腐蚀性。</w:t>
            </w:r>
          </w:p>
          <w:p w14:paraId="5718D0CC">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燃烧</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rPr>
              <w:t>分解)产物：氧化硫。无爆炸</w:t>
            </w:r>
          </w:p>
        </w:tc>
      </w:tr>
      <w:tr w14:paraId="238583C4">
        <w:tblPrEx>
          <w:tblW w:w="4950" w:type="pct"/>
          <w:tblInd w:w="0" w:type="dxa"/>
          <w:tblLayout w:type="fixed"/>
          <w:tblCellMar>
            <w:top w:w="0" w:type="dxa"/>
            <w:left w:w="108" w:type="dxa"/>
            <w:bottom w:w="0" w:type="dxa"/>
            <w:right w:w="108" w:type="dxa"/>
          </w:tblCellMar>
        </w:tblPrEx>
        <w:trPr>
          <w:trHeight w:val="340"/>
        </w:trPr>
        <w:tc>
          <w:tcPr>
            <w:tcW w:w="790" w:type="pct"/>
            <w:noWrap w:val="0"/>
            <w:vAlign w:val="center"/>
          </w:tcPr>
          <w:p w14:paraId="13344DBA">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泄漏应急处理</w:t>
            </w:r>
          </w:p>
        </w:tc>
        <w:tc>
          <w:tcPr>
            <w:tcW w:w="4209" w:type="pct"/>
            <w:gridSpan w:val="4"/>
            <w:noWrap w:val="0"/>
            <w:vAlign w:val="center"/>
          </w:tcPr>
          <w:p w14:paraId="5760EADC">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疏散泄漏污染区人员至安全区，禁止无关人员进入污染区，建议应急处理人员戴好面罩，穿化学防护服。合理通风，不要直接接触泄漏物，勿使泄漏物与可燃物质</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rPr>
              <w:t>木材、纸、油等)接触，在确保安全情况下堵漏。喷水雾减慢挥发</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rPr>
              <w:t>或扩散)，但不要对泄漏物或泄漏点直接喷水。用沙土、干燥石灰或苏打灰混合，然后收集运至废物处理场所处置。也可以用大量水冲洗，经稀释的洗水放入废水系统。如大量泄漏，利用围堤收容，然后收集、转移、回收或无害处理后废弃。</w:t>
            </w:r>
          </w:p>
        </w:tc>
      </w:tr>
      <w:tr w14:paraId="7A35D908">
        <w:tblPrEx>
          <w:tblW w:w="4950" w:type="pct"/>
          <w:tblInd w:w="0" w:type="dxa"/>
          <w:tblLayout w:type="fixed"/>
          <w:tblCellMar>
            <w:top w:w="0" w:type="dxa"/>
            <w:left w:w="108" w:type="dxa"/>
            <w:bottom w:w="0" w:type="dxa"/>
            <w:right w:w="108" w:type="dxa"/>
          </w:tblCellMar>
        </w:tblPrEx>
        <w:trPr>
          <w:trHeight w:val="340"/>
        </w:trPr>
        <w:tc>
          <w:tcPr>
            <w:tcW w:w="790" w:type="pct"/>
            <w:noWrap w:val="0"/>
            <w:vAlign w:val="center"/>
          </w:tcPr>
          <w:p w14:paraId="33A7EA59">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防护措施</w:t>
            </w:r>
          </w:p>
        </w:tc>
        <w:tc>
          <w:tcPr>
            <w:tcW w:w="4209" w:type="pct"/>
            <w:gridSpan w:val="4"/>
            <w:noWrap w:val="0"/>
            <w:vAlign w:val="center"/>
          </w:tcPr>
          <w:p w14:paraId="0331DC8C">
            <w:pPr>
              <w:pStyle w:val="R-"/>
              <w:bidi w:val="0"/>
              <w:rPr>
                <w:rFonts w:ascii="Times New Roman" w:eastAsia="宋体" w:hAnsi="Times New Roman" w:cs="Times New Roman" w:hint="default"/>
                <w:color w:val="auto"/>
                <w:lang w:eastAsia="zh-CN"/>
              </w:rPr>
            </w:pPr>
            <w:r>
              <w:rPr>
                <w:rFonts w:ascii="Times New Roman" w:eastAsia="宋体" w:hAnsi="Times New Roman" w:cs="Times New Roman" w:hint="default"/>
                <w:color w:val="auto"/>
              </w:rPr>
              <w:t>呼吸系统防护：可能接触其蒸气或烟雾时，必须佩戴防毒面具或供气式头盔。紧急事态抢救或逃生时，建议</w:t>
            </w:r>
            <w:r>
              <w:rPr>
                <w:rFonts w:ascii="Times New Roman" w:eastAsia="宋体" w:hAnsi="Times New Roman" w:cs="Times New Roman" w:hint="default"/>
                <w:color w:val="auto"/>
                <w:lang w:eastAsia="zh-CN"/>
              </w:rPr>
              <w:t>佩戴</w:t>
            </w:r>
            <w:r>
              <w:rPr>
                <w:rFonts w:ascii="Times New Roman" w:eastAsia="宋体" w:hAnsi="Times New Roman" w:cs="Times New Roman" w:hint="default"/>
                <w:color w:val="auto"/>
              </w:rPr>
              <w:t>自给式呼吸器。</w:t>
            </w:r>
          </w:p>
          <w:p w14:paraId="5DCCB6F9">
            <w:pPr>
              <w:pStyle w:val="R-"/>
              <w:bidi w:val="0"/>
              <w:rPr>
                <w:rFonts w:ascii="Times New Roman" w:eastAsia="宋体" w:hAnsi="Times New Roman" w:cs="Times New Roman" w:hint="default"/>
                <w:color w:val="auto"/>
                <w:lang w:eastAsia="zh-CN"/>
              </w:rPr>
            </w:pPr>
            <w:r>
              <w:rPr>
                <w:rFonts w:ascii="Times New Roman" w:eastAsia="宋体" w:hAnsi="Times New Roman" w:cs="Times New Roman" w:hint="default"/>
                <w:color w:val="auto"/>
              </w:rPr>
              <w:t>眼睛防护：戴化学安全防护眼镜。</w:t>
            </w:r>
          </w:p>
          <w:p w14:paraId="03086717">
            <w:pPr>
              <w:pStyle w:val="R-"/>
              <w:bidi w:val="0"/>
              <w:rPr>
                <w:rFonts w:ascii="Times New Roman" w:eastAsia="宋体" w:hAnsi="Times New Roman" w:cs="Times New Roman" w:hint="default"/>
                <w:color w:val="auto"/>
                <w:lang w:eastAsia="zh-CN"/>
              </w:rPr>
            </w:pPr>
            <w:r>
              <w:rPr>
                <w:rFonts w:ascii="Times New Roman" w:eastAsia="宋体" w:hAnsi="Times New Roman" w:cs="Times New Roman" w:hint="default"/>
                <w:color w:val="auto"/>
              </w:rPr>
              <w:t>防护服：穿工作服</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rPr>
              <w:t>防腐材料制作)。</w:t>
            </w:r>
          </w:p>
          <w:p w14:paraId="0D6FE723">
            <w:pPr>
              <w:pStyle w:val="R-"/>
              <w:bidi w:val="0"/>
              <w:rPr>
                <w:rFonts w:ascii="Times New Roman" w:eastAsia="宋体" w:hAnsi="Times New Roman" w:cs="Times New Roman" w:hint="default"/>
                <w:color w:val="auto"/>
                <w:lang w:eastAsia="zh-CN"/>
              </w:rPr>
            </w:pPr>
            <w:r>
              <w:rPr>
                <w:rFonts w:ascii="Times New Roman" w:eastAsia="宋体" w:hAnsi="Times New Roman" w:cs="Times New Roman" w:hint="default"/>
                <w:color w:val="auto"/>
              </w:rPr>
              <w:t>手防护：戴橡皮手套。</w:t>
            </w:r>
          </w:p>
          <w:p w14:paraId="7E410795">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其它：工作后，淋浴更衣。单独存放被毒物污染的衣服，洗后再用。</w:t>
            </w:r>
          </w:p>
        </w:tc>
      </w:tr>
      <w:tr w14:paraId="7FEC10AE">
        <w:tblPrEx>
          <w:tblW w:w="4950" w:type="pct"/>
          <w:tblInd w:w="0" w:type="dxa"/>
          <w:tblLayout w:type="fixed"/>
          <w:tblCellMar>
            <w:top w:w="0" w:type="dxa"/>
            <w:left w:w="108" w:type="dxa"/>
            <w:bottom w:w="0" w:type="dxa"/>
            <w:right w:w="108" w:type="dxa"/>
          </w:tblCellMar>
        </w:tblPrEx>
        <w:trPr>
          <w:trHeight w:val="340"/>
        </w:trPr>
        <w:tc>
          <w:tcPr>
            <w:tcW w:w="790" w:type="pct"/>
            <w:noWrap w:val="0"/>
            <w:vAlign w:val="center"/>
          </w:tcPr>
          <w:p w14:paraId="2F8B6BB1">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急救措施</w:t>
            </w:r>
          </w:p>
        </w:tc>
        <w:tc>
          <w:tcPr>
            <w:tcW w:w="4209" w:type="pct"/>
            <w:gridSpan w:val="4"/>
            <w:noWrap w:val="0"/>
            <w:vAlign w:val="center"/>
          </w:tcPr>
          <w:p w14:paraId="616A7819">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皮肤接触：脱去污染的衣着，立即用水冲洗至少15分钟。或用2%碳酸氢钠溶液冲洗。就医。</w:t>
            </w:r>
          </w:p>
          <w:p w14:paraId="3A7F0077">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眼睛接触：立即提起眼睑，用流动清水或生理盐水冲洗至少15分钟。就医。吸入：迅速脱离现场至空气新鲜处。呼吸困难时给输氧。给予2-4%碳酸氢钠溶液雾化吸入。就医。</w:t>
            </w:r>
          </w:p>
          <w:p w14:paraId="00218882">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食入：误服者给牛奶、蛋清、植物油等口服，不可催吐。立即就医。</w:t>
            </w:r>
          </w:p>
          <w:p w14:paraId="6ECE5E07">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灭火方法：砂土。禁止用水。</w:t>
            </w:r>
          </w:p>
        </w:tc>
      </w:tr>
      <w:tr w14:paraId="179E0CE5">
        <w:tblPrEx>
          <w:tblW w:w="4950" w:type="pct"/>
          <w:tblInd w:w="0" w:type="dxa"/>
          <w:tblLayout w:type="fixed"/>
          <w:tblCellMar>
            <w:top w:w="0" w:type="dxa"/>
            <w:left w:w="108" w:type="dxa"/>
            <w:bottom w:w="0" w:type="dxa"/>
            <w:right w:w="108" w:type="dxa"/>
          </w:tblCellMar>
        </w:tblPrEx>
        <w:trPr>
          <w:trHeight w:val="340"/>
        </w:trPr>
        <w:tc>
          <w:tcPr>
            <w:tcW w:w="790" w:type="pct"/>
            <w:noWrap w:val="0"/>
            <w:vAlign w:val="center"/>
          </w:tcPr>
          <w:p w14:paraId="72499587">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储存注意事项</w:t>
            </w:r>
          </w:p>
        </w:tc>
        <w:tc>
          <w:tcPr>
            <w:tcW w:w="4209" w:type="pct"/>
            <w:gridSpan w:val="4"/>
            <w:noWrap w:val="0"/>
            <w:vAlign w:val="center"/>
          </w:tcPr>
          <w:p w14:paraId="6DDE5751">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储存于阴凉、通风的库房。库温不超过35℃，相对湿度不超过85%。保持容器密封。远离火种、热源，工作场所严禁吸烟。远离易燃、</w:t>
            </w:r>
            <w:hyperlink r:id="rId30" w:tgtFrame="_blank" w:history="1">
              <w:r>
                <w:rPr>
                  <w:rFonts w:ascii="Times New Roman" w:eastAsia="宋体" w:hAnsi="Times New Roman" w:cs="Times New Roman" w:hint="default"/>
                  <w:color w:val="auto"/>
                </w:rPr>
                <w:t>可燃物</w:t>
              </w:r>
            </w:hyperlink>
            <w:r>
              <w:rPr>
                <w:rFonts w:ascii="Times New Roman" w:eastAsia="宋体" w:hAnsi="Times New Roman" w:cs="Times New Roman" w:hint="default"/>
                <w:color w:val="auto"/>
              </w:rPr>
              <w:t>。防止蒸气泄漏到工作场所空气中。避免与</w:t>
            </w:r>
            <w:hyperlink r:id="rId31" w:tgtFrame="_blank" w:history="1">
              <w:r>
                <w:rPr>
                  <w:rFonts w:ascii="Times New Roman" w:eastAsia="宋体" w:hAnsi="Times New Roman" w:cs="Times New Roman" w:hint="default"/>
                  <w:color w:val="auto"/>
                </w:rPr>
                <w:t>还原剂</w:t>
              </w:r>
            </w:hyperlink>
            <w:r>
              <w:rPr>
                <w:rFonts w:ascii="Times New Roman" w:eastAsia="宋体" w:hAnsi="Times New Roman" w:cs="Times New Roman" w:hint="default"/>
                <w:color w:val="auto"/>
              </w:rPr>
              <w:t>、碱类、</w:t>
            </w:r>
            <w:hyperlink r:id="rId32" w:tgtFrame="_blank" w:history="1">
              <w:r>
                <w:rPr>
                  <w:rFonts w:ascii="Times New Roman" w:eastAsia="宋体" w:hAnsi="Times New Roman" w:cs="Times New Roman" w:hint="default"/>
                  <w:color w:val="auto"/>
                </w:rPr>
                <w:t>碱金属</w:t>
              </w:r>
            </w:hyperlink>
            <w:r>
              <w:rPr>
                <w:rFonts w:ascii="Times New Roman" w:eastAsia="宋体" w:hAnsi="Times New Roman" w:cs="Times New Roman" w:hint="default"/>
                <w:color w:val="auto"/>
              </w:rPr>
              <w:t>接触。搬运时要轻装轻卸，防止包装及容器损坏。配备相应品种和数量的</w:t>
            </w:r>
            <w:hyperlink r:id="rId33" w:tgtFrame="_blank" w:history="1">
              <w:r>
                <w:rPr>
                  <w:rFonts w:ascii="Times New Roman" w:eastAsia="宋体" w:hAnsi="Times New Roman" w:cs="Times New Roman" w:hint="default"/>
                  <w:color w:val="auto"/>
                </w:rPr>
                <w:t>消防器材</w:t>
              </w:r>
            </w:hyperlink>
            <w:r>
              <w:rPr>
                <w:rFonts w:ascii="Times New Roman" w:eastAsia="宋体" w:hAnsi="Times New Roman" w:cs="Times New Roman" w:hint="default"/>
                <w:color w:val="auto"/>
              </w:rPr>
              <w:t>及</w:t>
            </w:r>
            <w:hyperlink r:id="rId34" w:tgtFrame="_blank" w:history="1">
              <w:r>
                <w:rPr>
                  <w:rFonts w:ascii="Times New Roman" w:eastAsia="宋体" w:hAnsi="Times New Roman" w:cs="Times New Roman" w:hint="default"/>
                  <w:color w:val="auto"/>
                </w:rPr>
                <w:t>泄漏应急处理</w:t>
              </w:r>
            </w:hyperlink>
            <w:r>
              <w:rPr>
                <w:rFonts w:ascii="Times New Roman" w:eastAsia="宋体" w:hAnsi="Times New Roman" w:cs="Times New Roman" w:hint="default"/>
                <w:color w:val="auto"/>
              </w:rPr>
              <w:t>设备。倒空的容器可能残留有害物。稀释或制备溶液时，应把水加入酸中，避免沸腾和飞溅伤及人员。</w:t>
            </w:r>
          </w:p>
        </w:tc>
      </w:tr>
    </w:tbl>
    <w:p w14:paraId="0F280D5A">
      <w:pPr>
        <w:widowControl w:val="0"/>
        <w:adjustRightInd w:val="0"/>
        <w:snapToGrid w:val="0"/>
        <w:jc w:val="center"/>
        <w:rPr>
          <w:rFonts w:ascii="Times New Roman" w:eastAsia="宋体" w:hAnsi="Times New Roman" w:cs="Times New Roman" w:hint="default"/>
          <w:color w:val="auto"/>
          <w:sz w:val="21"/>
        </w:rPr>
      </w:pPr>
      <w:r>
        <w:rPr>
          <w:rFonts w:ascii="Times New Roman" w:eastAsia="宋体" w:hAnsi="Times New Roman" w:cs="Times New Roman" w:hint="default"/>
          <w:b/>
          <w:bCs w:val="0"/>
          <w:snapToGrid w:val="0"/>
          <w:color w:val="auto"/>
          <w:kern w:val="0"/>
          <w:sz w:val="24"/>
          <w:szCs w:val="24"/>
          <w:highlight w:val="none"/>
          <w:lang w:val="en-US" w:eastAsia="zh-CN" w:bidi="ar-SA"/>
        </w:rPr>
        <w:t>表3变压器油理化性质</w:t>
      </w:r>
    </w:p>
    <w:tbl>
      <w:tblPr>
        <w:tblStyle w:val="TableGrid"/>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562"/>
        <w:gridCol w:w="6881"/>
      </w:tblGrid>
      <w:tr w14:paraId="5394BDEA">
        <w:tblPrEx>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jc w:val="center"/>
        </w:trPr>
        <w:tc>
          <w:tcPr>
            <w:tcW w:w="5000" w:type="pct"/>
            <w:gridSpan w:val="2"/>
            <w:noWrap w:val="0"/>
            <w:vAlign w:val="center"/>
          </w:tcPr>
          <w:p w14:paraId="47AC1F9D">
            <w:pPr>
              <w:pStyle w:val="R-"/>
              <w:bidi w:val="0"/>
              <w:rPr>
                <w:rFonts w:ascii="Times New Roman" w:eastAsia="宋体" w:hAnsi="Times New Roman" w:cs="Times New Roman" w:hint="default"/>
                <w:color w:val="auto"/>
                <w:lang w:val="zh-CN"/>
              </w:rPr>
            </w:pPr>
            <w:r>
              <w:rPr>
                <w:rFonts w:ascii="Times New Roman" w:eastAsia="宋体" w:hAnsi="Times New Roman" w:cs="Times New Roman" w:hint="default"/>
                <w:color w:val="auto"/>
                <w:lang w:val="en-US" w:eastAsia="zh-CN"/>
              </w:rPr>
              <w:t>一、化学品标识</w:t>
            </w:r>
          </w:p>
        </w:tc>
      </w:tr>
      <w:tr w14:paraId="4D094F92">
        <w:tblPrEx>
          <w:tblW w:w="4950" w:type="pct"/>
          <w:jc w:val="center"/>
          <w:tblCellMar>
            <w:top w:w="0" w:type="dxa"/>
            <w:left w:w="108" w:type="dxa"/>
            <w:bottom w:w="0" w:type="dxa"/>
            <w:right w:w="108" w:type="dxa"/>
          </w:tblCellMar>
        </w:tblPrEx>
        <w:trPr>
          <w:jc w:val="center"/>
        </w:trPr>
        <w:tc>
          <w:tcPr>
            <w:tcW w:w="925" w:type="pct"/>
            <w:noWrap w:val="0"/>
            <w:vAlign w:val="center"/>
          </w:tcPr>
          <w:p w14:paraId="226D300D">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化学品中文名称</w:t>
            </w:r>
          </w:p>
        </w:tc>
        <w:tc>
          <w:tcPr>
            <w:tcW w:w="4074" w:type="pct"/>
            <w:noWrap w:val="0"/>
            <w:vAlign w:val="center"/>
          </w:tcPr>
          <w:p w14:paraId="68F29D84">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变压器油/绝缘油</w:t>
            </w:r>
          </w:p>
        </w:tc>
      </w:tr>
      <w:tr w14:paraId="3F043B60">
        <w:tblPrEx>
          <w:tblW w:w="4950" w:type="pct"/>
          <w:jc w:val="center"/>
          <w:tblCellMar>
            <w:top w:w="0" w:type="dxa"/>
            <w:left w:w="108" w:type="dxa"/>
            <w:bottom w:w="0" w:type="dxa"/>
            <w:right w:w="108" w:type="dxa"/>
          </w:tblCellMar>
        </w:tblPrEx>
        <w:trPr>
          <w:jc w:val="center"/>
        </w:trPr>
        <w:tc>
          <w:tcPr>
            <w:tcW w:w="5000" w:type="pct"/>
            <w:gridSpan w:val="2"/>
            <w:noWrap w:val="0"/>
            <w:vAlign w:val="center"/>
          </w:tcPr>
          <w:p w14:paraId="113A00B8">
            <w:pPr>
              <w:pStyle w:val="R-"/>
              <w:bidi w:val="0"/>
              <w:rPr>
                <w:rFonts w:ascii="Times New Roman" w:eastAsia="宋体" w:hAnsi="Times New Roman" w:cs="Times New Roman" w:hint="default"/>
                <w:color w:val="auto"/>
                <w:lang w:val="zh-CN"/>
              </w:rPr>
            </w:pPr>
            <w:r>
              <w:rPr>
                <w:rFonts w:ascii="Times New Roman" w:eastAsia="宋体" w:hAnsi="Times New Roman" w:cs="Times New Roman" w:hint="default"/>
                <w:color w:val="auto"/>
                <w:lang w:val="en-US" w:eastAsia="zh-CN"/>
              </w:rPr>
              <w:t>二、主要组成与性状</w:t>
            </w:r>
          </w:p>
        </w:tc>
      </w:tr>
      <w:tr w14:paraId="0846CB96">
        <w:tblPrEx>
          <w:tblW w:w="4950" w:type="pct"/>
          <w:jc w:val="center"/>
          <w:tblCellMar>
            <w:top w:w="0" w:type="dxa"/>
            <w:left w:w="108" w:type="dxa"/>
            <w:bottom w:w="0" w:type="dxa"/>
            <w:right w:w="108" w:type="dxa"/>
          </w:tblCellMar>
        </w:tblPrEx>
        <w:trPr>
          <w:jc w:val="center"/>
        </w:trPr>
        <w:tc>
          <w:tcPr>
            <w:tcW w:w="925" w:type="pct"/>
            <w:noWrap w:val="0"/>
            <w:vAlign w:val="center"/>
          </w:tcPr>
          <w:p w14:paraId="2E74533A">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主要成分</w:t>
            </w:r>
          </w:p>
        </w:tc>
        <w:tc>
          <w:tcPr>
            <w:tcW w:w="4074" w:type="pct"/>
            <w:noWrap w:val="0"/>
            <w:vAlign w:val="center"/>
          </w:tcPr>
          <w:p w14:paraId="75D4C151">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主要为烷烃的C17以上的成分</w:t>
            </w:r>
          </w:p>
        </w:tc>
      </w:tr>
      <w:tr w14:paraId="61777F26">
        <w:tblPrEx>
          <w:tblW w:w="4950" w:type="pct"/>
          <w:jc w:val="center"/>
          <w:tblCellMar>
            <w:top w:w="0" w:type="dxa"/>
            <w:left w:w="108" w:type="dxa"/>
            <w:bottom w:w="0" w:type="dxa"/>
            <w:right w:w="108" w:type="dxa"/>
          </w:tblCellMar>
        </w:tblPrEx>
        <w:trPr>
          <w:jc w:val="center"/>
        </w:trPr>
        <w:tc>
          <w:tcPr>
            <w:tcW w:w="5000" w:type="pct"/>
            <w:gridSpan w:val="2"/>
            <w:noWrap w:val="0"/>
            <w:vAlign w:val="center"/>
          </w:tcPr>
          <w:p w14:paraId="0408C32A">
            <w:pPr>
              <w:pStyle w:val="R-"/>
              <w:bidi w:val="0"/>
              <w:rPr>
                <w:rFonts w:ascii="Times New Roman" w:eastAsia="宋体" w:hAnsi="Times New Roman" w:cs="Times New Roman" w:hint="default"/>
                <w:color w:val="auto"/>
                <w:lang w:val="zh-CN"/>
              </w:rPr>
            </w:pPr>
            <w:r>
              <w:rPr>
                <w:rFonts w:ascii="Times New Roman" w:eastAsia="宋体" w:hAnsi="Times New Roman" w:cs="Times New Roman" w:hint="default"/>
                <w:color w:val="auto"/>
                <w:lang w:val="en-US" w:eastAsia="zh-CN"/>
              </w:rPr>
              <w:t>三、危险性概述</w:t>
            </w:r>
          </w:p>
        </w:tc>
      </w:tr>
      <w:tr w14:paraId="499AD410">
        <w:tblPrEx>
          <w:tblW w:w="4950" w:type="pct"/>
          <w:jc w:val="center"/>
          <w:tblCellMar>
            <w:top w:w="0" w:type="dxa"/>
            <w:left w:w="108" w:type="dxa"/>
            <w:bottom w:w="0" w:type="dxa"/>
            <w:right w:w="108" w:type="dxa"/>
          </w:tblCellMar>
        </w:tblPrEx>
        <w:trPr>
          <w:jc w:val="center"/>
        </w:trPr>
        <w:tc>
          <w:tcPr>
            <w:tcW w:w="925" w:type="pct"/>
            <w:noWrap w:val="0"/>
            <w:vAlign w:val="center"/>
          </w:tcPr>
          <w:p w14:paraId="4909D3CC">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危险性类别</w:t>
            </w:r>
          </w:p>
        </w:tc>
        <w:tc>
          <w:tcPr>
            <w:tcW w:w="4074" w:type="pct"/>
            <w:noWrap w:val="0"/>
            <w:vAlign w:val="center"/>
          </w:tcPr>
          <w:p w14:paraId="0A6D3677">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可燃液体</w:t>
            </w:r>
          </w:p>
        </w:tc>
      </w:tr>
      <w:tr w14:paraId="2315BEBD">
        <w:tblPrEx>
          <w:tblW w:w="4950" w:type="pct"/>
          <w:jc w:val="center"/>
          <w:tblCellMar>
            <w:top w:w="0" w:type="dxa"/>
            <w:left w:w="108" w:type="dxa"/>
            <w:bottom w:w="0" w:type="dxa"/>
            <w:right w:w="108" w:type="dxa"/>
          </w:tblCellMar>
        </w:tblPrEx>
        <w:trPr>
          <w:jc w:val="center"/>
        </w:trPr>
        <w:tc>
          <w:tcPr>
            <w:tcW w:w="925" w:type="pct"/>
            <w:noWrap w:val="0"/>
            <w:vAlign w:val="center"/>
          </w:tcPr>
          <w:p w14:paraId="65AA6EB1">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侵入途径</w:t>
            </w:r>
          </w:p>
        </w:tc>
        <w:tc>
          <w:tcPr>
            <w:tcW w:w="4074" w:type="pct"/>
            <w:noWrap w:val="0"/>
            <w:vAlign w:val="center"/>
          </w:tcPr>
          <w:p w14:paraId="02B3400C">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吸入、食入、经皮吸收。</w:t>
            </w:r>
          </w:p>
        </w:tc>
      </w:tr>
      <w:tr w14:paraId="644B34AC">
        <w:tblPrEx>
          <w:tblW w:w="4950" w:type="pct"/>
          <w:jc w:val="center"/>
          <w:tblCellMar>
            <w:top w:w="0" w:type="dxa"/>
            <w:left w:w="108" w:type="dxa"/>
            <w:bottom w:w="0" w:type="dxa"/>
            <w:right w:w="108" w:type="dxa"/>
          </w:tblCellMar>
        </w:tblPrEx>
        <w:trPr>
          <w:jc w:val="center"/>
        </w:trPr>
        <w:tc>
          <w:tcPr>
            <w:tcW w:w="925" w:type="pct"/>
            <w:noWrap w:val="0"/>
            <w:vAlign w:val="center"/>
          </w:tcPr>
          <w:p w14:paraId="2846965B">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健康危害</w:t>
            </w:r>
          </w:p>
        </w:tc>
        <w:tc>
          <w:tcPr>
            <w:tcW w:w="4074" w:type="pct"/>
            <w:noWrap w:val="0"/>
            <w:vAlign w:val="center"/>
          </w:tcPr>
          <w:p w14:paraId="6330220A">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空气中石油油雾限制值为5mg/m</w:t>
            </w:r>
            <w:r>
              <w:rPr>
                <w:rFonts w:ascii="Times New Roman" w:eastAsia="宋体" w:hAnsi="Times New Roman" w:cs="Times New Roman" w:hint="default"/>
                <w:color w:val="auto"/>
                <w:vertAlign w:val="superscript"/>
                <w:lang w:val="en-US" w:eastAsia="zh-CN"/>
              </w:rPr>
              <w:t>3</w:t>
            </w:r>
            <w:r>
              <w:rPr>
                <w:rFonts w:ascii="Times New Roman" w:eastAsia="宋体" w:hAnsi="Times New Roman" w:cs="Times New Roman" w:hint="default"/>
                <w:color w:val="auto"/>
                <w:lang w:val="en-US" w:eastAsia="zh-CN"/>
              </w:rPr>
              <w:t>，长期暴露和重复接触皮肤可引起皮肤刺激征状，可引起眼及上呼吸道刺激征状；有口服毒性；大量油蒸汽吸入肺中时，会引起肺损伤，如浓度过高，几分钟即可引起呼吸困难等缺氧症状。</w:t>
            </w:r>
          </w:p>
        </w:tc>
      </w:tr>
      <w:tr w14:paraId="7AC11B3B">
        <w:tblPrEx>
          <w:tblW w:w="4950" w:type="pct"/>
          <w:jc w:val="center"/>
          <w:tblCellMar>
            <w:top w:w="0" w:type="dxa"/>
            <w:left w:w="108" w:type="dxa"/>
            <w:bottom w:w="0" w:type="dxa"/>
            <w:right w:w="108" w:type="dxa"/>
          </w:tblCellMar>
        </w:tblPrEx>
        <w:trPr>
          <w:jc w:val="center"/>
        </w:trPr>
        <w:tc>
          <w:tcPr>
            <w:tcW w:w="5000" w:type="pct"/>
            <w:gridSpan w:val="2"/>
            <w:noWrap w:val="0"/>
            <w:vAlign w:val="center"/>
          </w:tcPr>
          <w:p w14:paraId="5FF9AD4D">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四、燃爆特性与消防</w:t>
            </w:r>
          </w:p>
        </w:tc>
      </w:tr>
      <w:tr w14:paraId="3E26D30A">
        <w:tblPrEx>
          <w:tblW w:w="4950" w:type="pct"/>
          <w:jc w:val="center"/>
          <w:tblCellMar>
            <w:top w:w="0" w:type="dxa"/>
            <w:left w:w="108" w:type="dxa"/>
            <w:bottom w:w="0" w:type="dxa"/>
            <w:right w:w="108" w:type="dxa"/>
          </w:tblCellMar>
        </w:tblPrEx>
        <w:trPr>
          <w:jc w:val="center"/>
        </w:trPr>
        <w:tc>
          <w:tcPr>
            <w:tcW w:w="925" w:type="pct"/>
            <w:noWrap w:val="0"/>
            <w:vAlign w:val="center"/>
          </w:tcPr>
          <w:p w14:paraId="20278FB9">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危险特性</w:t>
            </w:r>
          </w:p>
        </w:tc>
        <w:tc>
          <w:tcPr>
            <w:tcW w:w="4074" w:type="pct"/>
            <w:noWrap w:val="0"/>
            <w:vAlign w:val="center"/>
          </w:tcPr>
          <w:p w14:paraId="381E2B7D">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可燃，其蒸汽与空气可形成爆炸混合物。遇明火、高热极易燃烧爆炸。与氧化剂能发生反应或引起燃烧。在火场中，受热的容器有爆炸危险。其蒸汽比空气重，能在较低处扩散到相当远的地方，遇明火会引起回燃。</w:t>
            </w:r>
          </w:p>
        </w:tc>
      </w:tr>
      <w:tr w14:paraId="39539E42">
        <w:tblPrEx>
          <w:tblW w:w="4950" w:type="pct"/>
          <w:jc w:val="center"/>
          <w:tblCellMar>
            <w:top w:w="0" w:type="dxa"/>
            <w:left w:w="108" w:type="dxa"/>
            <w:bottom w:w="0" w:type="dxa"/>
            <w:right w:w="108" w:type="dxa"/>
          </w:tblCellMar>
        </w:tblPrEx>
        <w:trPr>
          <w:jc w:val="center"/>
        </w:trPr>
        <w:tc>
          <w:tcPr>
            <w:tcW w:w="925" w:type="pct"/>
            <w:noWrap w:val="0"/>
            <w:vAlign w:val="center"/>
          </w:tcPr>
          <w:p w14:paraId="2FB1C21E">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有害燃烧产物</w:t>
            </w:r>
          </w:p>
        </w:tc>
        <w:tc>
          <w:tcPr>
            <w:tcW w:w="4074" w:type="pct"/>
            <w:noWrap w:val="0"/>
            <w:vAlign w:val="center"/>
          </w:tcPr>
          <w:p w14:paraId="5FBC77ED">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一氧化碳、二氧化碳</w:t>
            </w:r>
          </w:p>
        </w:tc>
      </w:tr>
      <w:tr w14:paraId="450F80EE">
        <w:tblPrEx>
          <w:tblW w:w="4950" w:type="pct"/>
          <w:jc w:val="center"/>
          <w:tblCellMar>
            <w:top w:w="0" w:type="dxa"/>
            <w:left w:w="108" w:type="dxa"/>
            <w:bottom w:w="0" w:type="dxa"/>
            <w:right w:w="108" w:type="dxa"/>
          </w:tblCellMar>
        </w:tblPrEx>
        <w:trPr>
          <w:jc w:val="center"/>
        </w:trPr>
        <w:tc>
          <w:tcPr>
            <w:tcW w:w="925" w:type="pct"/>
            <w:noWrap w:val="0"/>
            <w:vAlign w:val="center"/>
          </w:tcPr>
          <w:p w14:paraId="179F118C">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灭火方法</w:t>
            </w:r>
          </w:p>
        </w:tc>
        <w:tc>
          <w:tcPr>
            <w:tcW w:w="4074" w:type="pct"/>
            <w:noWrap w:val="0"/>
            <w:vAlign w:val="center"/>
          </w:tcPr>
          <w:p w14:paraId="3CF32261">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尽可能将容器从火场移至空旷处。喷水保持火场容器冷却，直至灭火结束。</w:t>
            </w:r>
          </w:p>
        </w:tc>
      </w:tr>
      <w:tr w14:paraId="55867B36">
        <w:tblPrEx>
          <w:tblW w:w="4950" w:type="pct"/>
          <w:jc w:val="center"/>
          <w:tblCellMar>
            <w:top w:w="0" w:type="dxa"/>
            <w:left w:w="108" w:type="dxa"/>
            <w:bottom w:w="0" w:type="dxa"/>
            <w:right w:w="108" w:type="dxa"/>
          </w:tblCellMar>
        </w:tblPrEx>
        <w:trPr>
          <w:jc w:val="center"/>
        </w:trPr>
        <w:tc>
          <w:tcPr>
            <w:tcW w:w="925" w:type="pct"/>
            <w:noWrap w:val="0"/>
            <w:vAlign w:val="center"/>
          </w:tcPr>
          <w:p w14:paraId="714F7DD7">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灭火剂</w:t>
            </w:r>
          </w:p>
        </w:tc>
        <w:tc>
          <w:tcPr>
            <w:tcW w:w="4074" w:type="pct"/>
            <w:noWrap w:val="0"/>
            <w:vAlign w:val="center"/>
          </w:tcPr>
          <w:p w14:paraId="00B1A0D0">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抗溶性泡沫、干粉、二氧化碳、砂土。</w:t>
            </w:r>
          </w:p>
        </w:tc>
      </w:tr>
      <w:tr w14:paraId="434389EB">
        <w:tblPrEx>
          <w:tblW w:w="4950" w:type="pct"/>
          <w:jc w:val="center"/>
          <w:tblCellMar>
            <w:top w:w="0" w:type="dxa"/>
            <w:left w:w="108" w:type="dxa"/>
            <w:bottom w:w="0" w:type="dxa"/>
            <w:right w:w="108" w:type="dxa"/>
          </w:tblCellMar>
        </w:tblPrEx>
        <w:trPr>
          <w:jc w:val="center"/>
        </w:trPr>
        <w:tc>
          <w:tcPr>
            <w:tcW w:w="5000" w:type="pct"/>
            <w:gridSpan w:val="2"/>
            <w:noWrap w:val="0"/>
            <w:vAlign w:val="center"/>
          </w:tcPr>
          <w:p w14:paraId="1455D68F">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五、泄漏应急处理</w:t>
            </w:r>
          </w:p>
        </w:tc>
      </w:tr>
      <w:tr w14:paraId="4E72CF1B">
        <w:tblPrEx>
          <w:tblW w:w="4950" w:type="pct"/>
          <w:jc w:val="center"/>
          <w:tblCellMar>
            <w:top w:w="0" w:type="dxa"/>
            <w:left w:w="108" w:type="dxa"/>
            <w:bottom w:w="0" w:type="dxa"/>
            <w:right w:w="108" w:type="dxa"/>
          </w:tblCellMar>
        </w:tblPrEx>
        <w:trPr>
          <w:jc w:val="center"/>
        </w:trPr>
        <w:tc>
          <w:tcPr>
            <w:tcW w:w="925" w:type="pct"/>
            <w:noWrap w:val="0"/>
            <w:vAlign w:val="center"/>
          </w:tcPr>
          <w:p w14:paraId="53FB19B1">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应急处理</w:t>
            </w:r>
          </w:p>
        </w:tc>
        <w:tc>
          <w:tcPr>
            <w:tcW w:w="4074" w:type="pct"/>
            <w:noWrap w:val="0"/>
            <w:vAlign w:val="center"/>
          </w:tcPr>
          <w:p w14:paraId="3A31E22D">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rPr>
              <w:t>迅速撤离泄漏污染区人员至安全区，并进行隔离，严格限制出入。切断火源。建议应急处理人员戴自给正压式呼吸器。穿消防防护服。尽可能切断泄漏源。防止进入下水道、排洪沟等限制性空间。小量泄漏：用砂土</w:t>
            </w:r>
            <w:r>
              <w:rPr>
                <w:rFonts w:ascii="Times New Roman" w:eastAsia="宋体" w:hAnsi="Times New Roman" w:cs="Times New Roman" w:hint="default"/>
                <w:color w:val="auto"/>
                <w:lang w:eastAsia="zh-CN"/>
              </w:rPr>
              <w:t>或其他</w:t>
            </w:r>
            <w:r>
              <w:rPr>
                <w:rFonts w:ascii="Times New Roman" w:eastAsia="宋体" w:hAnsi="Times New Roman" w:cs="Times New Roman" w:hint="default"/>
                <w:color w:val="auto"/>
              </w:rPr>
              <w:t>不燃材料吸附或吸收。也可以用大量水冲洗，洗水稀释后放入废水系统。大量泄漏：构筑围堤或挖坑收容；用泡沫覆盖，降低蒸汽灾害。用防爆泵转移至槽车或专用收集器内，回收或运至废物处理场所处置。</w:t>
            </w:r>
          </w:p>
        </w:tc>
      </w:tr>
      <w:tr w14:paraId="0E422DF7">
        <w:tblPrEx>
          <w:tblW w:w="4950" w:type="pct"/>
          <w:jc w:val="center"/>
          <w:tblCellMar>
            <w:top w:w="0" w:type="dxa"/>
            <w:left w:w="108" w:type="dxa"/>
            <w:bottom w:w="0" w:type="dxa"/>
            <w:right w:w="108" w:type="dxa"/>
          </w:tblCellMar>
        </w:tblPrEx>
        <w:trPr>
          <w:jc w:val="center"/>
        </w:trPr>
        <w:tc>
          <w:tcPr>
            <w:tcW w:w="5000" w:type="pct"/>
            <w:gridSpan w:val="2"/>
            <w:noWrap w:val="0"/>
            <w:vAlign w:val="center"/>
          </w:tcPr>
          <w:p w14:paraId="6DEBF1A1">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六、理化性质</w:t>
            </w:r>
          </w:p>
        </w:tc>
      </w:tr>
      <w:tr w14:paraId="50F3700A">
        <w:tblPrEx>
          <w:tblW w:w="4950" w:type="pct"/>
          <w:jc w:val="center"/>
          <w:tblCellMar>
            <w:top w:w="0" w:type="dxa"/>
            <w:left w:w="108" w:type="dxa"/>
            <w:bottom w:w="0" w:type="dxa"/>
            <w:right w:w="108" w:type="dxa"/>
          </w:tblCellMar>
        </w:tblPrEx>
        <w:trPr>
          <w:jc w:val="center"/>
        </w:trPr>
        <w:tc>
          <w:tcPr>
            <w:tcW w:w="925" w:type="pct"/>
            <w:noWrap w:val="0"/>
            <w:vAlign w:val="center"/>
          </w:tcPr>
          <w:p w14:paraId="69A1257A">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外观与性状</w:t>
            </w:r>
          </w:p>
        </w:tc>
        <w:tc>
          <w:tcPr>
            <w:tcW w:w="4074" w:type="pct"/>
            <w:noWrap w:val="0"/>
            <w:vAlign w:val="center"/>
          </w:tcPr>
          <w:p w14:paraId="05A21949">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无色或浅黄色液体</w:t>
            </w:r>
          </w:p>
        </w:tc>
      </w:tr>
      <w:tr w14:paraId="1AD6EED0">
        <w:tblPrEx>
          <w:tblW w:w="4950" w:type="pct"/>
          <w:jc w:val="center"/>
          <w:tblCellMar>
            <w:top w:w="0" w:type="dxa"/>
            <w:left w:w="108" w:type="dxa"/>
            <w:bottom w:w="0" w:type="dxa"/>
            <w:right w:w="108" w:type="dxa"/>
          </w:tblCellMar>
        </w:tblPrEx>
        <w:trPr>
          <w:jc w:val="center"/>
        </w:trPr>
        <w:tc>
          <w:tcPr>
            <w:tcW w:w="925" w:type="pct"/>
            <w:noWrap w:val="0"/>
            <w:vAlign w:val="center"/>
          </w:tcPr>
          <w:p w14:paraId="7DC17C2C">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闪点</w:t>
            </w:r>
          </w:p>
        </w:tc>
        <w:tc>
          <w:tcPr>
            <w:tcW w:w="4074" w:type="pct"/>
            <w:noWrap w:val="0"/>
            <w:vAlign w:val="center"/>
          </w:tcPr>
          <w:p w14:paraId="06936703">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135℃；酸值＜1mgKOH/g；水溶性酸＞4.2pH；</w:t>
            </w:r>
          </w:p>
        </w:tc>
      </w:tr>
      <w:tr w14:paraId="138A154B">
        <w:tblPrEx>
          <w:tblW w:w="4950" w:type="pct"/>
          <w:jc w:val="center"/>
          <w:tblCellMar>
            <w:top w:w="0" w:type="dxa"/>
            <w:left w:w="108" w:type="dxa"/>
            <w:bottom w:w="0" w:type="dxa"/>
            <w:right w:w="108" w:type="dxa"/>
          </w:tblCellMar>
        </w:tblPrEx>
        <w:trPr>
          <w:jc w:val="center"/>
        </w:trPr>
        <w:tc>
          <w:tcPr>
            <w:tcW w:w="925" w:type="pct"/>
            <w:noWrap w:val="0"/>
            <w:vAlign w:val="center"/>
          </w:tcPr>
          <w:p w14:paraId="29D51B14">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溶解性</w:t>
            </w:r>
          </w:p>
        </w:tc>
        <w:tc>
          <w:tcPr>
            <w:tcW w:w="4074" w:type="pct"/>
            <w:noWrap w:val="0"/>
            <w:vAlign w:val="center"/>
          </w:tcPr>
          <w:p w14:paraId="5565116B">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不与水混溶，可溶于醚、氯仿、甘油等多数有机溶剂。</w:t>
            </w:r>
          </w:p>
        </w:tc>
      </w:tr>
      <w:tr w14:paraId="3EBAE425">
        <w:tblPrEx>
          <w:tblW w:w="4950" w:type="pct"/>
          <w:jc w:val="center"/>
          <w:tblCellMar>
            <w:top w:w="0" w:type="dxa"/>
            <w:left w:w="108" w:type="dxa"/>
            <w:bottom w:w="0" w:type="dxa"/>
            <w:right w:w="108" w:type="dxa"/>
          </w:tblCellMar>
        </w:tblPrEx>
        <w:trPr>
          <w:jc w:val="center"/>
        </w:trPr>
        <w:tc>
          <w:tcPr>
            <w:tcW w:w="925" w:type="pct"/>
            <w:noWrap w:val="0"/>
            <w:vAlign w:val="center"/>
          </w:tcPr>
          <w:p w14:paraId="2BFD94F0">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稳定性</w:t>
            </w:r>
          </w:p>
        </w:tc>
        <w:tc>
          <w:tcPr>
            <w:tcW w:w="4074" w:type="pct"/>
            <w:noWrap w:val="0"/>
            <w:vAlign w:val="center"/>
          </w:tcPr>
          <w:p w14:paraId="6851F8E4">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稳定；不发生聚合危害。</w:t>
            </w:r>
          </w:p>
        </w:tc>
      </w:tr>
      <w:tr w14:paraId="582B370C">
        <w:tblPrEx>
          <w:tblW w:w="4950" w:type="pct"/>
          <w:jc w:val="center"/>
          <w:tblCellMar>
            <w:top w:w="0" w:type="dxa"/>
            <w:left w:w="108" w:type="dxa"/>
            <w:bottom w:w="0" w:type="dxa"/>
            <w:right w:w="108" w:type="dxa"/>
          </w:tblCellMar>
        </w:tblPrEx>
        <w:trPr>
          <w:jc w:val="center"/>
        </w:trPr>
        <w:tc>
          <w:tcPr>
            <w:tcW w:w="925" w:type="pct"/>
            <w:noWrap w:val="0"/>
            <w:vAlign w:val="center"/>
          </w:tcPr>
          <w:p w14:paraId="3D097CA9">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主要用途</w:t>
            </w:r>
          </w:p>
        </w:tc>
        <w:tc>
          <w:tcPr>
            <w:tcW w:w="4074" w:type="pct"/>
            <w:noWrap w:val="0"/>
            <w:vAlign w:val="center"/>
          </w:tcPr>
          <w:p w14:paraId="5C0DE1A0">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主要用作变压器绝缘和冷却。</w:t>
            </w:r>
          </w:p>
        </w:tc>
      </w:tr>
      <w:tr w14:paraId="56BE2660">
        <w:tblPrEx>
          <w:tblW w:w="4950" w:type="pct"/>
          <w:jc w:val="center"/>
          <w:tblCellMar>
            <w:top w:w="0" w:type="dxa"/>
            <w:left w:w="108" w:type="dxa"/>
            <w:bottom w:w="0" w:type="dxa"/>
            <w:right w:w="108" w:type="dxa"/>
          </w:tblCellMar>
        </w:tblPrEx>
        <w:trPr>
          <w:jc w:val="center"/>
        </w:trPr>
        <w:tc>
          <w:tcPr>
            <w:tcW w:w="5000" w:type="pct"/>
            <w:gridSpan w:val="2"/>
            <w:noWrap w:val="0"/>
            <w:vAlign w:val="center"/>
          </w:tcPr>
          <w:p w14:paraId="77236584">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七、防护措施</w:t>
            </w:r>
          </w:p>
        </w:tc>
      </w:tr>
      <w:tr w14:paraId="6991ECB3">
        <w:tblPrEx>
          <w:tblW w:w="4950" w:type="pct"/>
          <w:jc w:val="center"/>
          <w:tblCellMar>
            <w:top w:w="0" w:type="dxa"/>
            <w:left w:w="108" w:type="dxa"/>
            <w:bottom w:w="0" w:type="dxa"/>
            <w:right w:w="108" w:type="dxa"/>
          </w:tblCellMar>
        </w:tblPrEx>
        <w:trPr>
          <w:jc w:val="center"/>
        </w:trPr>
        <w:tc>
          <w:tcPr>
            <w:tcW w:w="925" w:type="pct"/>
            <w:noWrap w:val="0"/>
            <w:vAlign w:val="center"/>
          </w:tcPr>
          <w:p w14:paraId="55829B17">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呼吸系统防护、眼睛防护</w:t>
            </w:r>
          </w:p>
        </w:tc>
        <w:tc>
          <w:tcPr>
            <w:tcW w:w="4074" w:type="pct"/>
            <w:noWrap w:val="0"/>
            <w:vAlign w:val="center"/>
          </w:tcPr>
          <w:p w14:paraId="67B1763C">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一般不需要特殊保护</w:t>
            </w:r>
          </w:p>
        </w:tc>
      </w:tr>
      <w:tr w14:paraId="69289644">
        <w:tblPrEx>
          <w:tblW w:w="4950" w:type="pct"/>
          <w:jc w:val="center"/>
          <w:tblCellMar>
            <w:top w:w="0" w:type="dxa"/>
            <w:left w:w="108" w:type="dxa"/>
            <w:bottom w:w="0" w:type="dxa"/>
            <w:right w:w="108" w:type="dxa"/>
          </w:tblCellMar>
        </w:tblPrEx>
        <w:trPr>
          <w:jc w:val="center"/>
        </w:trPr>
        <w:tc>
          <w:tcPr>
            <w:tcW w:w="925" w:type="pct"/>
            <w:noWrap w:val="0"/>
            <w:vAlign w:val="center"/>
          </w:tcPr>
          <w:p w14:paraId="1CB1AD7F">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身体防护</w:t>
            </w:r>
          </w:p>
        </w:tc>
        <w:tc>
          <w:tcPr>
            <w:tcW w:w="4074" w:type="pct"/>
            <w:noWrap w:val="0"/>
            <w:vAlign w:val="center"/>
          </w:tcPr>
          <w:p w14:paraId="3A670557">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穿防静电工作服</w:t>
            </w:r>
          </w:p>
        </w:tc>
      </w:tr>
      <w:tr w14:paraId="5FD9F964">
        <w:tblPrEx>
          <w:tblW w:w="4950" w:type="pct"/>
          <w:jc w:val="center"/>
          <w:tblCellMar>
            <w:top w:w="0" w:type="dxa"/>
            <w:left w:w="108" w:type="dxa"/>
            <w:bottom w:w="0" w:type="dxa"/>
            <w:right w:w="108" w:type="dxa"/>
          </w:tblCellMar>
        </w:tblPrEx>
        <w:trPr>
          <w:jc w:val="center"/>
        </w:trPr>
        <w:tc>
          <w:tcPr>
            <w:tcW w:w="925" w:type="pct"/>
            <w:noWrap w:val="0"/>
            <w:vAlign w:val="center"/>
          </w:tcPr>
          <w:p w14:paraId="6A61A40A">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手保护</w:t>
            </w:r>
          </w:p>
        </w:tc>
        <w:tc>
          <w:tcPr>
            <w:tcW w:w="4074" w:type="pct"/>
            <w:noWrap w:val="0"/>
            <w:vAlign w:val="center"/>
          </w:tcPr>
          <w:p w14:paraId="7803A6FA">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戴橡胶耐油手套</w:t>
            </w:r>
          </w:p>
        </w:tc>
      </w:tr>
    </w:tbl>
    <w:p w14:paraId="0B331918">
      <w:pPr>
        <w:rPr>
          <w:rFonts w:ascii="Times New Roman" w:eastAsia="宋体" w:hAnsi="Times New Roman" w:cs="Times New Roman" w:hint="default"/>
          <w:color w:val="auto"/>
          <w:sz w:val="21"/>
          <w:szCs w:val="21"/>
        </w:rPr>
        <w:sectPr>
          <w:pgSz w:w="11906" w:h="16839"/>
          <w:pgMar w:top="1440" w:right="1797" w:bottom="1440" w:left="1797" w:header="0" w:footer="994" w:gutter="0"/>
          <w:pgBorders>
            <w:top w:val="none" w:sz="0" w:space="0" w:color="auto"/>
            <w:left w:val="none" w:sz="0" w:space="0" w:color="auto"/>
            <w:bottom w:val="none" w:sz="0" w:space="0" w:color="auto"/>
            <w:right w:val="none" w:sz="0" w:space="0" w:color="auto"/>
          </w:pgBorders>
          <w:pgNumType w:fmt="decimal"/>
          <w:cols w:num="1" w:space="720"/>
        </w:sectPr>
      </w:pPr>
    </w:p>
    <w:p w14:paraId="27C35BB5">
      <w:pPr>
        <w:spacing w:before="169" w:line="228" w:lineRule="auto"/>
        <w:jc w:val="center"/>
        <w:rPr>
          <w:rFonts w:ascii="Times New Roman" w:eastAsia="宋体" w:hAnsi="Times New Roman" w:cs="Times New Roman" w:hint="default"/>
          <w:color w:val="auto"/>
          <w:sz w:val="24"/>
          <w:szCs w:val="24"/>
          <w:u w:val="none" w:color="auto"/>
        </w:rPr>
      </w:pPr>
      <w:r>
        <w:rPr>
          <w:rFonts w:ascii="Times New Roman" w:eastAsia="宋体" w:hAnsi="Times New Roman" w:cs="Times New Roman" w:hint="default"/>
          <w:color w:val="auto"/>
          <w:spacing w:val="8"/>
          <w:sz w:val="24"/>
          <w:szCs w:val="24"/>
          <w:u w:val="none" w:color="auto"/>
          <w14:textOutline w14:w="3795" w14:cap="sq">
            <w14:solidFill>
              <w14:srgbClr w14:val="000000"/>
            </w14:solidFill>
            <w14:bevel/>
          </w14:textOutline>
        </w:rPr>
        <w:t>表</w:t>
      </w:r>
      <w:r>
        <w:rPr>
          <w:rFonts w:ascii="Times New Roman" w:eastAsia="宋体" w:hAnsi="Times New Roman" w:cs="Times New Roman" w:hint="default"/>
          <w:color w:val="auto"/>
          <w:spacing w:val="-31"/>
          <w:sz w:val="24"/>
          <w:szCs w:val="24"/>
          <w:u w:val="none" w:color="auto"/>
        </w:rPr>
        <w:t xml:space="preserve"> </w:t>
      </w:r>
      <w:r>
        <w:rPr>
          <w:rFonts w:ascii="Times New Roman" w:eastAsia="宋体" w:hAnsi="Times New Roman" w:cs="Times New Roman" w:hint="default"/>
          <w:color w:val="auto"/>
          <w:spacing w:val="-31"/>
          <w:sz w:val="24"/>
          <w:szCs w:val="24"/>
          <w:u w:val="none" w:color="auto"/>
          <w:lang w:val="en-US" w:eastAsia="zh-CN"/>
        </w:rPr>
        <w:t>4</w:t>
      </w:r>
      <w:r>
        <w:rPr>
          <w:rFonts w:ascii="Times New Roman" w:eastAsia="宋体" w:hAnsi="Times New Roman" w:cs="Times New Roman" w:hint="default"/>
          <w:b/>
          <w:bCs/>
          <w:color w:val="auto"/>
          <w:spacing w:val="8"/>
          <w:sz w:val="24"/>
          <w:szCs w:val="24"/>
          <w:u w:val="none" w:color="auto"/>
        </w:rPr>
        <w:t xml:space="preserve"> </w:t>
      </w:r>
      <w:r>
        <w:rPr>
          <w:rFonts w:ascii="Times New Roman" w:eastAsia="宋体" w:hAnsi="Times New Roman" w:cs="Times New Roman" w:hint="default"/>
          <w:color w:val="auto"/>
          <w:spacing w:val="8"/>
          <w:sz w:val="24"/>
          <w:szCs w:val="24"/>
          <w:u w:val="none" w:color="auto"/>
          <w14:textOutline w14:w="3795" w14:cap="sq">
            <w14:solidFill>
              <w14:srgbClr w14:val="000000"/>
            </w14:solidFill>
            <w14:bevel/>
          </w14:textOutline>
        </w:rPr>
        <w:t>本项目主要危险物质数量及分布情况</w:t>
      </w:r>
    </w:p>
    <w:p w14:paraId="452B19E3">
      <w:pPr>
        <w:spacing w:line="137" w:lineRule="exact"/>
        <w:rPr>
          <w:rFonts w:ascii="Times New Roman" w:eastAsia="宋体" w:hAnsi="Times New Roman" w:cs="Times New Roman" w:hint="default"/>
          <w:color w:val="auto"/>
          <w:sz w:val="24"/>
          <w:szCs w:val="24"/>
          <w:u w:val="single" w:color="auto"/>
        </w:rPr>
      </w:pPr>
    </w:p>
    <w:tbl>
      <w:tblPr>
        <w:tblStyle w:val="TableNormal0"/>
        <w:tblW w:w="501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Grid>
        <w:gridCol w:w="864"/>
        <w:gridCol w:w="960"/>
        <w:gridCol w:w="1026"/>
        <w:gridCol w:w="2297"/>
        <w:gridCol w:w="3202"/>
      </w:tblGrid>
      <w:tr w14:paraId="0DC62A23">
        <w:tblPrEx>
          <w:tblW w:w="501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Ex>
        <w:trPr>
          <w:trHeight w:val="425"/>
        </w:trPr>
        <w:tc>
          <w:tcPr>
            <w:tcW w:w="1092" w:type="pct"/>
            <w:gridSpan w:val="2"/>
            <w:tcBorders>
              <w:top w:val="single" w:sz="8" w:space="0" w:color="000000"/>
              <w:left w:val="single" w:sz="8" w:space="0" w:color="000000"/>
              <w:bottom w:val="single" w:sz="8" w:space="0" w:color="000000"/>
              <w:right w:val="single" w:sz="8" w:space="0" w:color="000000"/>
            </w:tcBorders>
            <w:vAlign w:val="center"/>
          </w:tcPr>
          <w:p w14:paraId="6A58A798">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名称</w:t>
            </w:r>
          </w:p>
        </w:tc>
        <w:tc>
          <w:tcPr>
            <w:tcW w:w="614" w:type="pct"/>
            <w:tcBorders>
              <w:top w:val="single" w:sz="8" w:space="0" w:color="000000"/>
              <w:left w:val="single" w:sz="8" w:space="0" w:color="000000"/>
              <w:bottom w:val="single" w:sz="8" w:space="0" w:color="000000"/>
              <w:right w:val="single" w:sz="8" w:space="0" w:color="000000"/>
            </w:tcBorders>
            <w:vAlign w:val="center"/>
          </w:tcPr>
          <w:p w14:paraId="37FAB14A">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状态</w:t>
            </w:r>
          </w:p>
        </w:tc>
        <w:tc>
          <w:tcPr>
            <w:tcW w:w="1375" w:type="pct"/>
            <w:tcBorders>
              <w:top w:val="single" w:sz="8" w:space="0" w:color="000000"/>
              <w:left w:val="single" w:sz="8" w:space="0" w:color="000000"/>
              <w:bottom w:val="single" w:sz="8" w:space="0" w:color="000000"/>
              <w:right w:val="single" w:sz="8" w:space="0" w:color="000000"/>
            </w:tcBorders>
            <w:vAlign w:val="center"/>
          </w:tcPr>
          <w:p w14:paraId="4E6D2DA4">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分布地点</w:t>
            </w:r>
          </w:p>
        </w:tc>
        <w:tc>
          <w:tcPr>
            <w:tcW w:w="1917" w:type="pct"/>
            <w:tcBorders>
              <w:top w:val="single" w:sz="8" w:space="0" w:color="000000"/>
              <w:left w:val="single" w:sz="8" w:space="0" w:color="000000"/>
              <w:bottom w:val="single" w:sz="8" w:space="0" w:color="000000"/>
              <w:right w:val="single" w:sz="8" w:space="0" w:color="000000"/>
            </w:tcBorders>
            <w:vAlign w:val="center"/>
          </w:tcPr>
          <w:p w14:paraId="6EA95983">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危险物质最大存在量t</w:t>
            </w:r>
          </w:p>
        </w:tc>
      </w:tr>
      <w:tr w14:paraId="1D62D3B3">
        <w:tblPrEx>
          <w:tblW w:w="5010" w:type="pct"/>
          <w:tblInd w:w="0" w:type="dxa"/>
          <w:tblCellMar>
            <w:top w:w="0" w:type="dxa"/>
            <w:left w:w="0" w:type="dxa"/>
            <w:bottom w:w="0" w:type="dxa"/>
            <w:right w:w="0" w:type="dxa"/>
          </w:tblCellMar>
        </w:tblPrEx>
        <w:trPr>
          <w:trHeight w:val="745"/>
        </w:trPr>
        <w:tc>
          <w:tcPr>
            <w:tcW w:w="517" w:type="pct"/>
            <w:tcBorders>
              <w:top w:val="single" w:sz="8" w:space="0" w:color="000000"/>
              <w:left w:val="single" w:sz="8" w:space="0" w:color="000000"/>
              <w:bottom w:val="single" w:sz="8" w:space="0" w:color="000000"/>
              <w:right w:val="single" w:sz="8" w:space="0" w:color="000000"/>
            </w:tcBorders>
            <w:vAlign w:val="center"/>
          </w:tcPr>
          <w:p w14:paraId="4003BEC2">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电解液</w:t>
            </w:r>
          </w:p>
        </w:tc>
        <w:tc>
          <w:tcPr>
            <w:tcW w:w="575" w:type="pct"/>
            <w:tcBorders>
              <w:top w:val="single" w:sz="8" w:space="0" w:color="000000"/>
              <w:left w:val="single" w:sz="8" w:space="0" w:color="000000"/>
              <w:bottom w:val="single" w:sz="8" w:space="0" w:color="000000"/>
              <w:right w:val="single" w:sz="8" w:space="0" w:color="000000"/>
            </w:tcBorders>
            <w:vAlign w:val="center"/>
          </w:tcPr>
          <w:p w14:paraId="1CC5C566">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钒及其化合物</w:t>
            </w:r>
            <w:r>
              <w:rPr>
                <w:rFonts w:cs="Times New Roman" w:hint="eastAsia"/>
                <w:color w:val="auto"/>
                <w:lang w:val="en-US" w:eastAsia="zh-CN"/>
              </w:rPr>
              <w:t>、硫酸</w:t>
            </w:r>
          </w:p>
        </w:tc>
        <w:tc>
          <w:tcPr>
            <w:tcW w:w="614" w:type="pct"/>
            <w:tcBorders>
              <w:top w:val="single" w:sz="8" w:space="0" w:color="000000"/>
              <w:left w:val="single" w:sz="8" w:space="0" w:color="000000"/>
              <w:bottom w:val="single" w:sz="8" w:space="0" w:color="000000"/>
              <w:right w:val="single" w:sz="8" w:space="0" w:color="000000"/>
            </w:tcBorders>
            <w:vAlign w:val="center"/>
          </w:tcPr>
          <w:p w14:paraId="306BEC8D">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液态</w:t>
            </w:r>
          </w:p>
        </w:tc>
        <w:tc>
          <w:tcPr>
            <w:tcW w:w="1375" w:type="pct"/>
            <w:tcBorders>
              <w:top w:val="single" w:sz="8" w:space="0" w:color="000000"/>
              <w:left w:val="single" w:sz="8" w:space="0" w:color="000000"/>
              <w:right w:val="single" w:sz="8" w:space="0" w:color="000000"/>
            </w:tcBorders>
            <w:vAlign w:val="center"/>
          </w:tcPr>
          <w:p w14:paraId="58EB2A34">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全钒液流电池储能</w:t>
            </w:r>
            <w:r>
              <w:rPr>
                <w:rFonts w:cs="Times New Roman" w:hint="eastAsia"/>
                <w:color w:val="auto"/>
                <w:lang w:val="en-US" w:eastAsia="zh-CN"/>
              </w:rPr>
              <w:t>厂房、事故池</w:t>
            </w:r>
          </w:p>
        </w:tc>
        <w:tc>
          <w:tcPr>
            <w:tcW w:w="1917" w:type="pct"/>
            <w:tcBorders>
              <w:top w:val="single" w:sz="8" w:space="0" w:color="000000"/>
              <w:left w:val="single" w:sz="8" w:space="0" w:color="000000"/>
              <w:bottom w:val="single" w:sz="8" w:space="0" w:color="000000"/>
              <w:right w:val="single" w:sz="8" w:space="0" w:color="000000"/>
            </w:tcBorders>
            <w:vAlign w:val="center"/>
          </w:tcPr>
          <w:p w14:paraId="25C57A25">
            <w:pPr>
              <w:pStyle w:val="R-"/>
              <w:bidi w:val="0"/>
              <w:rPr>
                <w:rFonts w:ascii="Times New Roman" w:eastAsia="宋体" w:hAnsi="Times New Roman" w:cs="Times New Roman" w:hint="default"/>
                <w:color w:val="auto"/>
                <w:lang w:val="en-US"/>
              </w:rPr>
            </w:pPr>
            <w:r>
              <w:rPr>
                <w:rFonts w:cs="Times New Roman" w:hint="eastAsia"/>
                <w:color w:val="auto"/>
                <w:lang w:val="en-US" w:eastAsia="zh-CN"/>
              </w:rPr>
              <w:t>17500</w:t>
            </w:r>
          </w:p>
        </w:tc>
      </w:tr>
      <w:tr w14:paraId="2147599B">
        <w:tblPrEx>
          <w:tblW w:w="5010" w:type="pct"/>
          <w:tblInd w:w="0" w:type="dxa"/>
          <w:tblCellMar>
            <w:top w:w="0" w:type="dxa"/>
            <w:left w:w="0" w:type="dxa"/>
            <w:bottom w:w="0" w:type="dxa"/>
            <w:right w:w="0" w:type="dxa"/>
          </w:tblCellMar>
        </w:tblPrEx>
        <w:trPr>
          <w:trHeight w:val="440"/>
        </w:trPr>
        <w:tc>
          <w:tcPr>
            <w:tcW w:w="517" w:type="pct"/>
            <w:tcBorders>
              <w:top w:val="single" w:sz="8" w:space="0" w:color="000000"/>
              <w:left w:val="single" w:sz="8" w:space="0" w:color="000000"/>
              <w:bottom w:val="single" w:sz="8" w:space="0" w:color="000000"/>
              <w:right w:val="single" w:sz="8" w:space="0" w:color="000000"/>
            </w:tcBorders>
            <w:vAlign w:val="center"/>
          </w:tcPr>
          <w:p w14:paraId="2B088F2D">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变压器油</w:t>
            </w:r>
          </w:p>
        </w:tc>
        <w:tc>
          <w:tcPr>
            <w:tcW w:w="575" w:type="pct"/>
            <w:tcBorders>
              <w:top w:val="single" w:sz="8" w:space="0" w:color="000000"/>
              <w:left w:val="single" w:sz="8" w:space="0" w:color="000000"/>
              <w:bottom w:val="single" w:sz="8" w:space="0" w:color="000000"/>
              <w:right w:val="single" w:sz="8" w:space="0" w:color="000000"/>
            </w:tcBorders>
            <w:vAlign w:val="center"/>
          </w:tcPr>
          <w:p w14:paraId="7807423C">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矿物油</w:t>
            </w:r>
          </w:p>
        </w:tc>
        <w:tc>
          <w:tcPr>
            <w:tcW w:w="614" w:type="pct"/>
            <w:tcBorders>
              <w:top w:val="single" w:sz="8" w:space="0" w:color="000000"/>
              <w:left w:val="single" w:sz="8" w:space="0" w:color="000000"/>
              <w:bottom w:val="single" w:sz="8" w:space="0" w:color="000000"/>
              <w:right w:val="single" w:sz="8" w:space="0" w:color="000000"/>
            </w:tcBorders>
            <w:vAlign w:val="center"/>
          </w:tcPr>
          <w:p w14:paraId="52EA4E0E">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液态</w:t>
            </w:r>
          </w:p>
        </w:tc>
        <w:tc>
          <w:tcPr>
            <w:tcW w:w="1375" w:type="pct"/>
            <w:tcBorders>
              <w:top w:val="single" w:sz="8" w:space="0" w:color="000000"/>
              <w:left w:val="single" w:sz="8" w:space="0" w:color="000000"/>
              <w:bottom w:val="single" w:sz="8" w:space="0" w:color="000000"/>
              <w:right w:val="single" w:sz="8" w:space="0" w:color="000000"/>
            </w:tcBorders>
            <w:vAlign w:val="center"/>
          </w:tcPr>
          <w:p w14:paraId="0D9C4E4A">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变压器内</w:t>
            </w:r>
            <w:r>
              <w:rPr>
                <w:rFonts w:cs="Times New Roman" w:hint="eastAsia"/>
                <w:color w:val="auto"/>
                <w:lang w:val="en-US" w:eastAsia="zh-CN"/>
              </w:rPr>
              <w:t>、事故油池</w:t>
            </w:r>
          </w:p>
        </w:tc>
        <w:tc>
          <w:tcPr>
            <w:tcW w:w="1917" w:type="pct"/>
            <w:tcBorders>
              <w:top w:val="single" w:sz="8" w:space="0" w:color="000000"/>
              <w:left w:val="single" w:sz="8" w:space="0" w:color="000000"/>
              <w:bottom w:val="single" w:sz="8" w:space="0" w:color="000000"/>
              <w:right w:val="single" w:sz="8" w:space="0" w:color="000000"/>
            </w:tcBorders>
            <w:vAlign w:val="center"/>
          </w:tcPr>
          <w:p w14:paraId="19C8AC02">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108</w:t>
            </w:r>
          </w:p>
        </w:tc>
      </w:tr>
    </w:tbl>
    <w:p w14:paraId="275462A6">
      <w:pPr>
        <w:spacing w:before="78" w:line="221" w:lineRule="auto"/>
        <w:ind w:left="198"/>
        <w:outlineLvl w:val="2"/>
        <w:rPr>
          <w:rFonts w:ascii="Times New Roman" w:eastAsia="宋体" w:hAnsi="Times New Roman" w:cs="Times New Roman" w:hint="default"/>
          <w:color w:val="auto"/>
          <w:sz w:val="24"/>
          <w:szCs w:val="24"/>
          <w:u w:val="none" w:color="auto"/>
        </w:rPr>
      </w:pPr>
      <w:r>
        <w:rPr>
          <w:rFonts w:ascii="Times New Roman" w:eastAsia="宋体" w:hAnsi="Times New Roman" w:cs="Times New Roman" w:hint="default"/>
          <w:b/>
          <w:bCs/>
          <w:color w:val="auto"/>
          <w:sz w:val="24"/>
          <w:szCs w:val="24"/>
          <w:u w:val="none" w:color="auto"/>
        </w:rPr>
        <w:t xml:space="preserve">2.2  </w:t>
      </w:r>
      <w:r>
        <w:rPr>
          <w:rFonts w:ascii="Times New Roman" w:eastAsia="宋体" w:hAnsi="Times New Roman" w:cs="Times New Roman" w:hint="default"/>
          <w:color w:val="auto"/>
          <w:sz w:val="24"/>
          <w:szCs w:val="24"/>
          <w:u w:val="none" w:color="auto"/>
          <w14:textOutline w14:w="4358" w14:cap="sq">
            <w14:solidFill>
              <w14:srgbClr w14:val="000000"/>
            </w14:solidFill>
            <w14:bevel/>
          </w14:textOutline>
        </w:rPr>
        <w:t>危险物质及工艺系统危害性（</w:t>
      </w:r>
      <w:r>
        <w:rPr>
          <w:rFonts w:ascii="Times New Roman" w:eastAsia="宋体" w:hAnsi="Times New Roman" w:cs="Times New Roman" w:hint="default"/>
          <w:b/>
          <w:bCs/>
          <w:color w:val="auto"/>
          <w:sz w:val="24"/>
          <w:szCs w:val="24"/>
          <w:u w:val="none" w:color="auto"/>
        </w:rPr>
        <w:t>P</w:t>
      </w:r>
      <w:r>
        <w:rPr>
          <w:rFonts w:ascii="Times New Roman" w:eastAsia="宋体" w:hAnsi="Times New Roman" w:cs="Times New Roman" w:hint="default"/>
          <w:color w:val="auto"/>
          <w:sz w:val="24"/>
          <w:szCs w:val="24"/>
          <w:u w:val="none" w:color="auto"/>
          <w14:textOutline w14:w="4358" w14:cap="sq">
            <w14:solidFill>
              <w14:srgbClr w14:val="000000"/>
            </w14:solidFill>
            <w14:bevel/>
          </w14:textOutline>
        </w:rPr>
        <w:t>）的确定</w:t>
      </w:r>
    </w:p>
    <w:p w14:paraId="699D881E">
      <w:pPr>
        <w:spacing w:before="211" w:line="385" w:lineRule="auto"/>
        <w:ind w:left="207" w:right="90" w:firstLine="474"/>
        <w:rPr>
          <w:rFonts w:ascii="Times New Roman" w:eastAsia="宋体" w:hAnsi="Times New Roman" w:cs="Times New Roman" w:hint="default"/>
          <w:color w:val="auto"/>
          <w:sz w:val="24"/>
          <w:szCs w:val="24"/>
          <w:u w:val="none" w:color="auto"/>
        </w:rPr>
      </w:pPr>
      <w:r>
        <w:rPr>
          <w:rFonts w:ascii="Times New Roman" w:eastAsia="宋体" w:hAnsi="Times New Roman" w:cs="Times New Roman" w:hint="default"/>
          <w:color w:val="auto"/>
          <w:spacing w:val="-5"/>
          <w:sz w:val="24"/>
          <w:szCs w:val="24"/>
          <w:u w:val="none" w:color="auto"/>
        </w:rPr>
        <w:t>根据《建设项目环境风险评价技术导则》（HJ169-20</w:t>
      </w:r>
      <w:r>
        <w:rPr>
          <w:rFonts w:ascii="Times New Roman" w:eastAsia="宋体" w:hAnsi="Times New Roman" w:cs="Times New Roman" w:hint="default"/>
          <w:color w:val="auto"/>
          <w:spacing w:val="-6"/>
          <w:sz w:val="24"/>
          <w:szCs w:val="24"/>
          <w:u w:val="none" w:color="auto"/>
        </w:rPr>
        <w:t>18</w:t>
      </w:r>
      <w:r>
        <w:rPr>
          <w:rFonts w:ascii="Times New Roman" w:eastAsia="宋体" w:hAnsi="Times New Roman" w:cs="Times New Roman" w:hint="default"/>
          <w:color w:val="auto"/>
          <w:spacing w:val="-61"/>
          <w:w w:val="97"/>
          <w:sz w:val="24"/>
          <w:szCs w:val="24"/>
          <w:u w:val="none" w:color="auto"/>
        </w:rPr>
        <w:t>），</w:t>
      </w:r>
      <w:r>
        <w:rPr>
          <w:rFonts w:ascii="Times New Roman" w:eastAsia="宋体" w:hAnsi="Times New Roman" w:cs="Times New Roman" w:hint="default"/>
          <w:color w:val="auto"/>
          <w:spacing w:val="-6"/>
          <w:sz w:val="24"/>
          <w:szCs w:val="24"/>
          <w:u w:val="none" w:color="auto"/>
        </w:rPr>
        <w:t>危险物质及工艺系</w:t>
      </w:r>
      <w:r>
        <w:rPr>
          <w:rFonts w:ascii="Times New Roman" w:eastAsia="宋体" w:hAnsi="Times New Roman" w:cs="Times New Roman" w:hint="default"/>
          <w:color w:val="auto"/>
          <w:sz w:val="24"/>
          <w:szCs w:val="24"/>
          <w:u w:val="none" w:color="auto"/>
        </w:rPr>
        <w:t xml:space="preserve">  </w:t>
      </w:r>
      <w:r>
        <w:rPr>
          <w:rFonts w:ascii="Times New Roman" w:eastAsia="宋体" w:hAnsi="Times New Roman" w:cs="Times New Roman" w:hint="default"/>
          <w:color w:val="auto"/>
          <w:spacing w:val="-8"/>
          <w:sz w:val="24"/>
          <w:szCs w:val="24"/>
          <w:u w:val="none" w:color="auto"/>
        </w:rPr>
        <w:t>统危害性（P）应根据危险物质数量与临界量的比值（Q）和行业及生产工艺（M）</w:t>
      </w:r>
    </w:p>
    <w:p w14:paraId="4C5F17CD">
      <w:pPr>
        <w:spacing w:before="1" w:line="220" w:lineRule="auto"/>
        <w:ind w:left="201"/>
        <w:rPr>
          <w:rFonts w:ascii="Times New Roman" w:eastAsia="宋体" w:hAnsi="Times New Roman" w:cs="Times New Roman" w:hint="default"/>
          <w:color w:val="auto"/>
          <w:sz w:val="24"/>
          <w:szCs w:val="24"/>
          <w:u w:val="none" w:color="auto"/>
        </w:rPr>
      </w:pPr>
      <w:r>
        <w:rPr>
          <w:rFonts w:ascii="Times New Roman" w:eastAsia="宋体" w:hAnsi="Times New Roman" w:cs="Times New Roman" w:hint="default"/>
          <w:color w:val="auto"/>
          <w:spacing w:val="7"/>
          <w:sz w:val="24"/>
          <w:szCs w:val="24"/>
          <w:u w:val="none" w:color="auto"/>
        </w:rPr>
        <w:t>确定。</w:t>
      </w:r>
    </w:p>
    <w:p w14:paraId="1E08A21B">
      <w:pPr>
        <w:tabs>
          <w:tab w:val="left" w:pos="808"/>
        </w:tabs>
        <w:spacing w:before="212" w:line="212" w:lineRule="auto"/>
        <w:ind w:left="672"/>
        <w:rPr>
          <w:rFonts w:ascii="Times New Roman" w:eastAsia="宋体" w:hAnsi="Times New Roman" w:cs="Times New Roman" w:hint="default"/>
          <w:color w:val="auto"/>
          <w:sz w:val="24"/>
          <w:szCs w:val="24"/>
          <w:u w:val="none" w:color="auto"/>
        </w:rPr>
      </w:pPr>
      <w:r>
        <w:rPr>
          <w:rFonts w:ascii="Times New Roman" w:eastAsia="宋体" w:hAnsi="Times New Roman" w:cs="Times New Roman" w:hint="default"/>
          <w:color w:val="auto"/>
          <w:sz w:val="24"/>
          <w:szCs w:val="24"/>
          <w:u w:val="none" w:color="auto"/>
        </w:rPr>
        <w:tab/>
      </w:r>
      <w:r>
        <w:rPr>
          <w:rFonts w:ascii="Times New Roman" w:eastAsia="宋体" w:hAnsi="Times New Roman" w:cs="Times New Roman" w:hint="default"/>
          <w:color w:val="auto"/>
          <w:spacing w:val="-21"/>
          <w:sz w:val="24"/>
          <w:szCs w:val="24"/>
          <w:u w:val="none" w:color="auto"/>
        </w:rPr>
        <w:t>（1）Q值确定</w:t>
      </w:r>
    </w:p>
    <w:p w14:paraId="3F7E0C1A">
      <w:pPr>
        <w:spacing w:before="223" w:line="386" w:lineRule="auto"/>
        <w:ind w:left="681"/>
        <w:rPr>
          <w:rFonts w:ascii="Times New Roman" w:eastAsia="宋体" w:hAnsi="Times New Roman" w:cs="Times New Roman" w:hint="default"/>
          <w:color w:val="auto"/>
          <w:sz w:val="24"/>
          <w:szCs w:val="24"/>
          <w:u w:val="none" w:color="auto"/>
        </w:rPr>
      </w:pPr>
      <w:r>
        <w:rPr>
          <w:rFonts w:ascii="Times New Roman" w:eastAsia="宋体" w:hAnsi="Times New Roman" w:cs="Times New Roman" w:hint="default"/>
          <w:color w:val="auto"/>
          <w:spacing w:val="-3"/>
          <w:sz w:val="24"/>
          <w:szCs w:val="24"/>
          <w:u w:val="none" w:color="auto"/>
        </w:rPr>
        <w:t>根据《建设项目环境风险评价技术导则》（HJ169-2018）附录</w:t>
      </w:r>
      <w:r>
        <w:rPr>
          <w:rFonts w:ascii="Times New Roman" w:eastAsia="宋体" w:hAnsi="Times New Roman" w:cs="Times New Roman" w:hint="default"/>
          <w:color w:val="auto"/>
          <w:spacing w:val="-51"/>
          <w:sz w:val="24"/>
          <w:szCs w:val="24"/>
          <w:u w:val="none" w:color="auto"/>
        </w:rPr>
        <w:t xml:space="preserve"> </w:t>
      </w:r>
      <w:r>
        <w:rPr>
          <w:rFonts w:ascii="Times New Roman" w:eastAsia="宋体" w:hAnsi="Times New Roman" w:cs="Times New Roman" w:hint="default"/>
          <w:color w:val="auto"/>
          <w:spacing w:val="-3"/>
          <w:sz w:val="24"/>
          <w:szCs w:val="24"/>
          <w:u w:val="none" w:color="auto"/>
        </w:rPr>
        <w:t>C，Q按</w:t>
      </w:r>
      <w:r>
        <w:rPr>
          <w:rFonts w:ascii="Times New Roman" w:eastAsia="宋体" w:hAnsi="Times New Roman" w:cs="Times New Roman" w:hint="default"/>
          <w:color w:val="auto"/>
          <w:spacing w:val="-4"/>
          <w:sz w:val="24"/>
          <w:szCs w:val="24"/>
          <w:u w:val="none" w:color="auto"/>
        </w:rPr>
        <w:t>下式</w:t>
      </w:r>
    </w:p>
    <w:p w14:paraId="4C9C7B8C">
      <w:pPr>
        <w:spacing w:line="220" w:lineRule="auto"/>
        <w:ind w:left="199"/>
        <w:rPr>
          <w:rFonts w:ascii="Times New Roman" w:eastAsia="宋体" w:hAnsi="Times New Roman" w:cs="Times New Roman" w:hint="default"/>
          <w:color w:val="auto"/>
          <w:sz w:val="24"/>
          <w:szCs w:val="24"/>
          <w:u w:val="none" w:color="auto"/>
        </w:rPr>
      </w:pPr>
      <w:r>
        <w:rPr>
          <w:rFonts w:ascii="Times New Roman" w:eastAsia="宋体" w:hAnsi="Times New Roman" w:cs="Times New Roman" w:hint="default"/>
          <w:color w:val="auto"/>
          <w:spacing w:val="-2"/>
          <w:sz w:val="24"/>
          <w:szCs w:val="24"/>
          <w:u w:val="none" w:color="auto"/>
        </w:rPr>
        <w:t>进行计算：</w:t>
      </w:r>
    </w:p>
    <w:p w14:paraId="76C0CD7B">
      <w:pPr>
        <w:spacing w:before="137" w:line="1601" w:lineRule="exact"/>
        <w:ind w:firstLine="206"/>
        <w:rPr>
          <w:rFonts w:ascii="Times New Roman" w:eastAsia="宋体" w:hAnsi="Times New Roman" w:cs="Times New Roman" w:hint="default"/>
          <w:color w:val="auto"/>
        </w:rPr>
      </w:pPr>
      <w:r>
        <w:rPr>
          <w:rFonts w:ascii="Times New Roman" w:eastAsia="宋体" w:hAnsi="Times New Roman" w:cs="Times New Roman" w:hint="default"/>
          <w:color w:val="auto"/>
          <w:position w:val="-32"/>
        </w:rPr>
        <w:drawing>
          <wp:inline distT="0" distB="0" distL="0" distR="0">
            <wp:extent cx="5358130" cy="1016000"/>
            <wp:effectExtent l="0" t="0" r="6350" b="5080"/>
            <wp:docPr id="412" name="IM 412"/>
            <wp:cNvGraphicFramePr/>
            <a:graphic xmlns:a="http://schemas.openxmlformats.org/drawingml/2006/main">
              <a:graphicData uri="http://schemas.openxmlformats.org/drawingml/2006/picture">
                <pic:pic xmlns:pic="http://schemas.openxmlformats.org/drawingml/2006/picture">
                  <pic:nvPicPr>
                    <pic:cNvPr id="397756269" name="IM 412"/>
                    <pic:cNvPicPr/>
                  </pic:nvPicPr>
                  <pic:blipFill>
                    <a:blip xmlns:r="http://schemas.openxmlformats.org/officeDocument/2006/relationships" r:embed="rId35"/>
                    <a:stretch>
                      <a:fillRect/>
                    </a:stretch>
                  </pic:blipFill>
                  <pic:spPr>
                    <a:xfrm>
                      <a:off x="0" y="0"/>
                      <a:ext cx="5358383" cy="1016507"/>
                    </a:xfrm>
                    <a:prstGeom prst="rect">
                      <a:avLst/>
                    </a:prstGeom>
                  </pic:spPr>
                </pic:pic>
              </a:graphicData>
            </a:graphic>
          </wp:inline>
        </w:drawing>
      </w:r>
    </w:p>
    <w:p w14:paraId="234E9D80">
      <w:pPr>
        <w:pStyle w:val="BodyText"/>
        <w:spacing w:line="357" w:lineRule="auto"/>
        <w:rPr>
          <w:rFonts w:ascii="Times New Roman" w:eastAsia="宋体" w:hAnsi="Times New Roman" w:cs="Times New Roman" w:hint="default"/>
          <w:color w:val="auto"/>
          <w:sz w:val="21"/>
        </w:rPr>
      </w:pPr>
    </w:p>
    <w:p w14:paraId="26283C0A">
      <w:pPr>
        <w:widowControl/>
        <w:spacing w:line="360" w:lineRule="auto"/>
        <w:ind w:firstLine="480" w:firstLineChars="200"/>
        <w:jc w:val="left"/>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当Q＜1时，该项目环境风险潜势为I。</w:t>
      </w:r>
    </w:p>
    <w:p w14:paraId="025875DE">
      <w:pPr>
        <w:widowControl/>
        <w:spacing w:line="360" w:lineRule="auto"/>
        <w:ind w:firstLine="480" w:firstLineChars="200"/>
        <w:jc w:val="left"/>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当Q≥1时，将Q值划分为：（1）1≤Q＜10；（2）10≤Q＜100；（3）Q≥</w:t>
      </w:r>
    </w:p>
    <w:p w14:paraId="1FC1D03B">
      <w:pPr>
        <w:widowControl/>
        <w:spacing w:line="360" w:lineRule="auto"/>
        <w:ind w:firstLine="480" w:firstLineChars="200"/>
        <w:jc w:val="left"/>
        <w:rPr>
          <w:rFonts w:ascii="Times New Roman" w:eastAsia="宋体" w:hAnsi="Times New Roman" w:cs="Times New Roman" w:hint="default"/>
          <w:color w:val="auto"/>
          <w:sz w:val="24"/>
          <w:szCs w:val="24"/>
          <w:highlight w:val="none"/>
        </w:rPr>
      </w:pPr>
      <w:r>
        <w:rPr>
          <w:rFonts w:ascii="Times New Roman" w:eastAsia="宋体" w:hAnsi="Times New Roman" w:cs="Times New Roman" w:hint="default"/>
          <w:color w:val="auto"/>
          <w:sz w:val="24"/>
          <w:szCs w:val="24"/>
          <w:highlight w:val="none"/>
        </w:rPr>
        <w:t>100。本项目Q值确定表见</w:t>
      </w:r>
      <w:r>
        <w:rPr>
          <w:rFonts w:ascii="Times New Roman" w:eastAsia="宋体" w:hAnsi="Times New Roman" w:cs="Times New Roman" w:hint="default"/>
          <w:color w:val="auto"/>
          <w:sz w:val="24"/>
          <w:szCs w:val="24"/>
          <w:highlight w:val="none"/>
          <w:lang w:val="en-US" w:eastAsia="zh-CN"/>
        </w:rPr>
        <w:t>下</w:t>
      </w:r>
      <w:r>
        <w:rPr>
          <w:rFonts w:ascii="Times New Roman" w:eastAsia="宋体" w:hAnsi="Times New Roman" w:cs="Times New Roman" w:hint="default"/>
          <w:color w:val="auto"/>
          <w:sz w:val="24"/>
          <w:szCs w:val="24"/>
          <w:highlight w:val="none"/>
        </w:rPr>
        <w:t>表。</w:t>
      </w:r>
    </w:p>
    <w:p w14:paraId="24D5800C">
      <w:pPr>
        <w:pStyle w:val="a9"/>
        <w:bidi w:val="0"/>
        <w:rPr>
          <w:rFonts w:ascii="Times New Roman" w:eastAsia="宋体" w:hAnsi="Times New Roman" w:cs="Times New Roman" w:hint="default"/>
          <w:color w:val="auto"/>
        </w:rPr>
      </w:pPr>
      <w:r>
        <w:rPr>
          <w:rFonts w:ascii="Times New Roman" w:eastAsia="宋体" w:hAnsi="Times New Roman" w:cs="Times New Roman" w:hint="default"/>
          <w:color w:val="auto"/>
        </w:rPr>
        <w:t>表</w:t>
      </w:r>
      <w:r>
        <w:rPr>
          <w:rFonts w:ascii="Times New Roman" w:eastAsia="宋体" w:hAnsi="Times New Roman" w:cs="Times New Roman" w:hint="default"/>
          <w:color w:val="auto"/>
          <w:lang w:val="en-US" w:eastAsia="zh-CN"/>
        </w:rPr>
        <w:t>5</w:t>
      </w:r>
      <w:r>
        <w:rPr>
          <w:rFonts w:ascii="Times New Roman" w:eastAsia="宋体" w:hAnsi="Times New Roman" w:cs="Times New Roman" w:hint="default"/>
          <w:color w:val="auto"/>
        </w:rPr>
        <w:t xml:space="preserve">     本项目Q值确定表</w:t>
      </w:r>
    </w:p>
    <w:p w14:paraId="690A3BA7">
      <w:pPr>
        <w:spacing w:line="145" w:lineRule="exact"/>
        <w:rPr>
          <w:rFonts w:ascii="Times New Roman" w:eastAsia="宋体" w:hAnsi="Times New Roman" w:cs="Times New Roman" w:hint="default"/>
          <w:color w:val="auto"/>
        </w:rPr>
      </w:pPr>
    </w:p>
    <w:tbl>
      <w:tblPr>
        <w:tblStyle w:val="TableNormal0"/>
        <w:tblW w:w="8665" w:type="dxa"/>
        <w:tblInd w:w="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Pr>
      <w:tblGrid>
        <w:gridCol w:w="708"/>
        <w:gridCol w:w="1600"/>
        <w:gridCol w:w="898"/>
        <w:gridCol w:w="1980"/>
        <w:gridCol w:w="2130"/>
        <w:gridCol w:w="1349"/>
      </w:tblGrid>
      <w:tr w14:paraId="1FDD2A42">
        <w:tblPrEx>
          <w:tblW w:w="8665" w:type="dxa"/>
          <w:tblInd w:w="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PrEx>
        <w:trPr>
          <w:trHeight w:val="698"/>
        </w:trPr>
        <w:tc>
          <w:tcPr>
            <w:tcW w:w="708" w:type="dxa"/>
            <w:tcBorders>
              <w:tl2br w:val="nil"/>
              <w:tr2bl w:val="nil"/>
            </w:tcBorders>
            <w:vAlign w:val="center"/>
          </w:tcPr>
          <w:p w14:paraId="7307DEB0">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序号</w:t>
            </w:r>
          </w:p>
        </w:tc>
        <w:tc>
          <w:tcPr>
            <w:tcW w:w="1600" w:type="dxa"/>
            <w:tcBorders>
              <w:tl2br w:val="nil"/>
              <w:tr2bl w:val="nil"/>
            </w:tcBorders>
            <w:vAlign w:val="center"/>
          </w:tcPr>
          <w:p w14:paraId="7470E970">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危险物质名称</w:t>
            </w:r>
          </w:p>
        </w:tc>
        <w:tc>
          <w:tcPr>
            <w:tcW w:w="898" w:type="dxa"/>
            <w:tcBorders>
              <w:tl2br w:val="nil"/>
              <w:tr2bl w:val="nil"/>
            </w:tcBorders>
            <w:vAlign w:val="center"/>
          </w:tcPr>
          <w:p w14:paraId="1462FAC1">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CAS号</w:t>
            </w:r>
          </w:p>
        </w:tc>
        <w:tc>
          <w:tcPr>
            <w:tcW w:w="1980" w:type="dxa"/>
            <w:tcBorders>
              <w:tl2br w:val="nil"/>
              <w:tr2bl w:val="nil"/>
            </w:tcBorders>
            <w:vAlign w:val="center"/>
          </w:tcPr>
          <w:p w14:paraId="7179C561">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最大存在总量 qn/t</w:t>
            </w:r>
          </w:p>
        </w:tc>
        <w:tc>
          <w:tcPr>
            <w:tcW w:w="2130" w:type="dxa"/>
            <w:tcBorders>
              <w:tl2br w:val="nil"/>
              <w:tr2bl w:val="nil"/>
            </w:tcBorders>
            <w:vAlign w:val="center"/>
          </w:tcPr>
          <w:p w14:paraId="7A260319">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临界量 Qn/t</w:t>
            </w:r>
          </w:p>
        </w:tc>
        <w:tc>
          <w:tcPr>
            <w:tcW w:w="1349" w:type="dxa"/>
            <w:tcBorders>
              <w:tl2br w:val="nil"/>
              <w:tr2bl w:val="nil"/>
            </w:tcBorders>
            <w:vAlign w:val="center"/>
          </w:tcPr>
          <w:p w14:paraId="4ADA5550">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该种危险物质Q值</w:t>
            </w:r>
          </w:p>
        </w:tc>
      </w:tr>
      <w:tr w14:paraId="3B2C3D3A">
        <w:tblPrEx>
          <w:tblW w:w="8665" w:type="dxa"/>
          <w:tblInd w:w="12" w:type="dxa"/>
          <w:tblLayout w:type="fixed"/>
          <w:tblCellMar>
            <w:top w:w="0" w:type="dxa"/>
            <w:left w:w="0" w:type="dxa"/>
            <w:bottom w:w="0" w:type="dxa"/>
            <w:right w:w="0" w:type="dxa"/>
          </w:tblCellMar>
        </w:tblPrEx>
        <w:trPr>
          <w:trHeight w:val="303"/>
        </w:trPr>
        <w:tc>
          <w:tcPr>
            <w:tcW w:w="708" w:type="dxa"/>
            <w:tcBorders>
              <w:tl2br w:val="nil"/>
              <w:tr2bl w:val="nil"/>
            </w:tcBorders>
            <w:vAlign w:val="center"/>
          </w:tcPr>
          <w:p w14:paraId="71D2D46B">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1</w:t>
            </w:r>
          </w:p>
        </w:tc>
        <w:tc>
          <w:tcPr>
            <w:tcW w:w="1600" w:type="dxa"/>
            <w:tcBorders>
              <w:tl2br w:val="nil"/>
              <w:tr2bl w:val="nil"/>
            </w:tcBorders>
            <w:vAlign w:val="center"/>
          </w:tcPr>
          <w:p w14:paraId="790DC055">
            <w:pPr>
              <w:pStyle w:val="R-"/>
              <w:bidi w:val="0"/>
              <w:rPr>
                <w:rFonts w:ascii="Times New Roman" w:eastAsia="宋体" w:hAnsi="Times New Roman" w:cs="Times New Roman" w:hint="default"/>
                <w:color w:val="auto"/>
                <w:lang w:val="en-US" w:eastAsia="zh-CN"/>
              </w:rPr>
            </w:pPr>
            <w:r>
              <w:rPr>
                <w:rFonts w:cs="Times New Roman" w:hint="eastAsia"/>
                <w:color w:val="auto"/>
                <w:lang w:val="en-US" w:eastAsia="zh-CN"/>
              </w:rPr>
              <w:t>电解液</w:t>
            </w:r>
          </w:p>
        </w:tc>
        <w:tc>
          <w:tcPr>
            <w:tcW w:w="898" w:type="dxa"/>
            <w:tcBorders>
              <w:tl2br w:val="nil"/>
              <w:tr2bl w:val="nil"/>
            </w:tcBorders>
            <w:vAlign w:val="center"/>
          </w:tcPr>
          <w:p w14:paraId="0546F067">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w:t>
            </w:r>
          </w:p>
        </w:tc>
        <w:tc>
          <w:tcPr>
            <w:tcW w:w="1980" w:type="dxa"/>
            <w:tcBorders>
              <w:tl2br w:val="nil"/>
              <w:tr2bl w:val="nil"/>
            </w:tcBorders>
            <w:vAlign w:val="center"/>
          </w:tcPr>
          <w:p w14:paraId="1528E2D7">
            <w:pPr>
              <w:pStyle w:val="R-"/>
              <w:bidi w:val="0"/>
              <w:rPr>
                <w:rFonts w:ascii="Times New Roman" w:eastAsia="宋体" w:hAnsi="Times New Roman" w:cs="Times New Roman" w:hint="default"/>
                <w:color w:val="auto"/>
                <w:lang w:val="en-US" w:eastAsia="zh-CN"/>
              </w:rPr>
            </w:pPr>
            <w:r>
              <w:rPr>
                <w:rFonts w:cs="Times New Roman" w:hint="eastAsia"/>
                <w:color w:val="auto"/>
                <w:lang w:val="en-US" w:eastAsia="zh-CN"/>
              </w:rPr>
              <w:t>17500</w:t>
            </w:r>
          </w:p>
        </w:tc>
        <w:tc>
          <w:tcPr>
            <w:tcW w:w="2130" w:type="dxa"/>
            <w:tcBorders>
              <w:tl2br w:val="nil"/>
              <w:tr2bl w:val="nil"/>
            </w:tcBorders>
            <w:vAlign w:val="center"/>
          </w:tcPr>
          <w:p w14:paraId="46E3DAB1">
            <w:pPr>
              <w:pStyle w:val="R-"/>
              <w:bidi w:val="0"/>
              <w:rPr>
                <w:rFonts w:ascii="Times New Roman" w:eastAsia="宋体" w:hAnsi="Times New Roman" w:cs="Times New Roman" w:hint="default"/>
                <w:color w:val="auto"/>
                <w:lang w:val="en-US" w:eastAsia="zh-CN"/>
              </w:rPr>
            </w:pPr>
            <w:r>
              <w:rPr>
                <w:rFonts w:cs="Times New Roman" w:hint="eastAsia"/>
                <w:color w:val="auto"/>
                <w:lang w:val="en-US" w:eastAsia="zh-CN"/>
              </w:rPr>
              <w:t>危害水环境物质100</w:t>
            </w:r>
          </w:p>
        </w:tc>
        <w:tc>
          <w:tcPr>
            <w:tcW w:w="1349" w:type="dxa"/>
            <w:tcBorders>
              <w:tl2br w:val="nil"/>
              <w:tr2bl w:val="nil"/>
            </w:tcBorders>
            <w:vAlign w:val="center"/>
          </w:tcPr>
          <w:p w14:paraId="609CD488">
            <w:pPr>
              <w:pStyle w:val="R-"/>
              <w:bidi w:val="0"/>
              <w:rPr>
                <w:rFonts w:ascii="Times New Roman" w:eastAsia="宋体" w:hAnsi="Times New Roman" w:cs="Times New Roman" w:hint="default"/>
                <w:color w:val="auto"/>
                <w:lang w:val="en-US" w:eastAsia="zh-CN"/>
              </w:rPr>
            </w:pPr>
            <w:r>
              <w:rPr>
                <w:rFonts w:cs="Times New Roman" w:hint="eastAsia"/>
                <w:color w:val="auto"/>
                <w:lang w:val="en-US" w:eastAsia="zh-CN"/>
              </w:rPr>
              <w:t>175</w:t>
            </w:r>
          </w:p>
        </w:tc>
      </w:tr>
      <w:tr w14:paraId="0D17809F">
        <w:tblPrEx>
          <w:tblW w:w="8665" w:type="dxa"/>
          <w:tblInd w:w="12" w:type="dxa"/>
          <w:tblLayout w:type="fixed"/>
          <w:tblCellMar>
            <w:top w:w="0" w:type="dxa"/>
            <w:left w:w="0" w:type="dxa"/>
            <w:bottom w:w="0" w:type="dxa"/>
            <w:right w:w="0" w:type="dxa"/>
          </w:tblCellMar>
        </w:tblPrEx>
        <w:trPr>
          <w:trHeight w:val="302"/>
        </w:trPr>
        <w:tc>
          <w:tcPr>
            <w:tcW w:w="708" w:type="dxa"/>
            <w:tcBorders>
              <w:tl2br w:val="nil"/>
              <w:tr2bl w:val="nil"/>
            </w:tcBorders>
            <w:vAlign w:val="center"/>
          </w:tcPr>
          <w:p w14:paraId="61DB4518">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3</w:t>
            </w:r>
          </w:p>
        </w:tc>
        <w:tc>
          <w:tcPr>
            <w:tcW w:w="1600" w:type="dxa"/>
            <w:tcBorders>
              <w:tl2br w:val="nil"/>
              <w:tr2bl w:val="nil"/>
            </w:tcBorders>
            <w:vAlign w:val="center"/>
          </w:tcPr>
          <w:p w14:paraId="1ACD7C7A">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变压器油</w:t>
            </w:r>
          </w:p>
        </w:tc>
        <w:tc>
          <w:tcPr>
            <w:tcW w:w="898" w:type="dxa"/>
            <w:tcBorders>
              <w:tl2br w:val="nil"/>
              <w:tr2bl w:val="nil"/>
            </w:tcBorders>
            <w:vAlign w:val="center"/>
          </w:tcPr>
          <w:p w14:paraId="3E0E9DFD">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w:t>
            </w:r>
          </w:p>
        </w:tc>
        <w:tc>
          <w:tcPr>
            <w:tcW w:w="1980" w:type="dxa"/>
            <w:tcBorders>
              <w:tl2br w:val="nil"/>
              <w:tr2bl w:val="nil"/>
            </w:tcBorders>
            <w:vAlign w:val="center"/>
          </w:tcPr>
          <w:p w14:paraId="4207677E">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110</w:t>
            </w:r>
          </w:p>
        </w:tc>
        <w:tc>
          <w:tcPr>
            <w:tcW w:w="2130" w:type="dxa"/>
            <w:tcBorders>
              <w:tl2br w:val="nil"/>
              <w:tr2bl w:val="nil"/>
            </w:tcBorders>
            <w:vAlign w:val="center"/>
          </w:tcPr>
          <w:p w14:paraId="79014750">
            <w:pPr>
              <w:pStyle w:val="R-"/>
              <w:bidi w:val="0"/>
              <w:rPr>
                <w:rFonts w:ascii="Times New Roman" w:eastAsia="宋体" w:hAnsi="Times New Roman" w:cs="Times New Roman" w:hint="default"/>
                <w:color w:val="auto"/>
                <w:lang w:val="en-US" w:eastAsia="zh-CN"/>
              </w:rPr>
            </w:pPr>
            <w:r>
              <w:rPr>
                <w:rFonts w:cs="Times New Roman" w:hint="eastAsia"/>
                <w:color w:val="auto"/>
                <w:lang w:val="en-US" w:eastAsia="zh-CN"/>
              </w:rPr>
              <w:t>油类位置</w:t>
            </w:r>
            <w:r>
              <w:rPr>
                <w:rFonts w:ascii="Times New Roman" w:eastAsia="宋体" w:hAnsi="Times New Roman" w:cs="Times New Roman" w:hint="default"/>
                <w:color w:val="auto"/>
                <w:lang w:val="en-US" w:eastAsia="zh-CN"/>
              </w:rPr>
              <w:t>2500</w:t>
            </w:r>
          </w:p>
        </w:tc>
        <w:tc>
          <w:tcPr>
            <w:tcW w:w="1349" w:type="dxa"/>
            <w:tcBorders>
              <w:tl2br w:val="nil"/>
              <w:tr2bl w:val="nil"/>
            </w:tcBorders>
            <w:vAlign w:val="center"/>
          </w:tcPr>
          <w:p w14:paraId="63FBC97A">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0.0432</w:t>
            </w:r>
          </w:p>
        </w:tc>
      </w:tr>
      <w:tr w14:paraId="67F8602C">
        <w:tblPrEx>
          <w:tblW w:w="8665" w:type="dxa"/>
          <w:tblInd w:w="12" w:type="dxa"/>
          <w:tblLayout w:type="fixed"/>
          <w:tblCellMar>
            <w:top w:w="0" w:type="dxa"/>
            <w:left w:w="0" w:type="dxa"/>
            <w:bottom w:w="0" w:type="dxa"/>
            <w:right w:w="0" w:type="dxa"/>
          </w:tblCellMar>
        </w:tblPrEx>
        <w:trPr>
          <w:trHeight w:val="358"/>
        </w:trPr>
        <w:tc>
          <w:tcPr>
            <w:tcW w:w="7316" w:type="dxa"/>
            <w:gridSpan w:val="5"/>
            <w:tcBorders>
              <w:tl2br w:val="nil"/>
              <w:tr2bl w:val="nil"/>
            </w:tcBorders>
            <w:vAlign w:val="center"/>
          </w:tcPr>
          <w:p w14:paraId="2EF729A5">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项目Q值∑</w:t>
            </w:r>
          </w:p>
        </w:tc>
        <w:tc>
          <w:tcPr>
            <w:tcW w:w="1349" w:type="dxa"/>
            <w:tcBorders>
              <w:tl2br w:val="nil"/>
              <w:tr2bl w:val="nil"/>
            </w:tcBorders>
            <w:vAlign w:val="center"/>
          </w:tcPr>
          <w:p w14:paraId="5659375D">
            <w:pPr>
              <w:pStyle w:val="R-"/>
              <w:bidi w:val="0"/>
              <w:rPr>
                <w:rFonts w:ascii="Times New Roman" w:eastAsia="宋体" w:hAnsi="Times New Roman" w:cs="Times New Roman" w:hint="default"/>
                <w:color w:val="auto"/>
                <w:lang w:val="en-US" w:eastAsia="zh-CN"/>
              </w:rPr>
            </w:pPr>
            <w:r>
              <w:rPr>
                <w:rFonts w:cs="Times New Roman" w:hint="eastAsia"/>
                <w:color w:val="auto"/>
                <w:lang w:val="en-US" w:eastAsia="zh-CN"/>
              </w:rPr>
              <w:t>175.0432</w:t>
            </w:r>
          </w:p>
        </w:tc>
      </w:tr>
    </w:tbl>
    <w:p w14:paraId="3DE55137">
      <w:pPr>
        <w:spacing w:before="142" w:line="260" w:lineRule="auto"/>
        <w:ind w:left="682"/>
        <w:rPr>
          <w:rFonts w:ascii="Times New Roman" w:eastAsia="宋体" w:hAnsi="Times New Roman" w:cs="Times New Roman" w:hint="default"/>
          <w:color w:val="auto"/>
          <w:sz w:val="24"/>
          <w:szCs w:val="24"/>
          <w:u w:val="none" w:color="auto"/>
        </w:rPr>
      </w:pPr>
      <w:r>
        <w:rPr>
          <w:rFonts w:ascii="Times New Roman" w:eastAsia="宋体" w:hAnsi="Times New Roman" w:cs="Times New Roman" w:hint="default"/>
          <w:color w:val="auto"/>
          <w:spacing w:val="-1"/>
          <w:sz w:val="24"/>
          <w:szCs w:val="24"/>
          <w:u w:val="none" w:color="auto"/>
        </w:rPr>
        <w:t>本项目危险物质数量与临界量的比值Q=</w:t>
      </w:r>
      <w:r>
        <w:rPr>
          <w:rFonts w:cs="Times New Roman" w:hint="eastAsia"/>
          <w:color w:val="auto"/>
          <w:spacing w:val="-1"/>
          <w:sz w:val="24"/>
          <w:szCs w:val="24"/>
          <w:u w:val="none" w:color="auto"/>
          <w:lang w:val="en-US" w:eastAsia="zh-CN"/>
        </w:rPr>
        <w:t>175.0432</w:t>
      </w:r>
      <w:r>
        <w:rPr>
          <w:rFonts w:ascii="Times New Roman" w:eastAsia="宋体" w:hAnsi="Times New Roman" w:cs="Times New Roman" w:hint="default"/>
          <w:color w:val="auto"/>
          <w:sz w:val="24"/>
          <w:szCs w:val="24"/>
          <w:highlight w:val="none"/>
          <w:u w:val="none" w:color="auto"/>
        </w:rPr>
        <w:t>≥</w:t>
      </w:r>
      <w:r>
        <w:rPr>
          <w:rFonts w:ascii="Times New Roman" w:eastAsia="宋体" w:hAnsi="Times New Roman" w:cs="Times New Roman" w:hint="default"/>
          <w:color w:val="auto"/>
          <w:spacing w:val="-2"/>
          <w:sz w:val="24"/>
          <w:szCs w:val="24"/>
          <w:u w:val="none" w:color="auto"/>
        </w:rPr>
        <w:t>100。</w:t>
      </w:r>
    </w:p>
    <w:p w14:paraId="268FA106">
      <w:pPr>
        <w:tabs>
          <w:tab w:val="left" w:pos="808"/>
        </w:tabs>
        <w:spacing w:before="195" w:line="220" w:lineRule="auto"/>
        <w:ind w:left="672"/>
        <w:outlineLvl w:val="2"/>
        <w:rPr>
          <w:rFonts w:ascii="Times New Roman" w:eastAsia="宋体" w:hAnsi="Times New Roman" w:cs="Times New Roman" w:hint="default"/>
          <w:color w:val="auto"/>
          <w:sz w:val="24"/>
          <w:szCs w:val="24"/>
          <w:u w:val="none" w:color="auto"/>
        </w:rPr>
      </w:pPr>
      <w:r>
        <w:rPr>
          <w:rFonts w:ascii="Times New Roman" w:eastAsia="宋体" w:hAnsi="Times New Roman" w:cs="Times New Roman" w:hint="default"/>
          <w:color w:val="auto"/>
          <w:sz w:val="24"/>
          <w:szCs w:val="24"/>
          <w:u w:val="none" w:color="auto"/>
        </w:rPr>
        <w:tab/>
      </w:r>
      <w:r>
        <w:rPr>
          <w:rFonts w:ascii="Times New Roman" w:eastAsia="宋体" w:hAnsi="Times New Roman" w:cs="Times New Roman" w:hint="default"/>
          <w:color w:val="auto"/>
          <w:spacing w:val="-14"/>
          <w:sz w:val="24"/>
          <w:szCs w:val="24"/>
          <w:u w:val="none" w:color="auto"/>
        </w:rPr>
        <w:t>（2）行业与生产工艺</w:t>
      </w:r>
    </w:p>
    <w:p w14:paraId="46FFBA66">
      <w:pPr>
        <w:spacing w:before="178" w:line="276" w:lineRule="auto"/>
        <w:ind w:left="681"/>
        <w:outlineLvl w:val="2"/>
        <w:rPr>
          <w:rFonts w:ascii="Times New Roman" w:eastAsia="宋体" w:hAnsi="Times New Roman" w:cs="Times New Roman" w:hint="default"/>
          <w:color w:val="auto"/>
          <w:sz w:val="24"/>
          <w:szCs w:val="24"/>
          <w:u w:val="none" w:color="auto"/>
        </w:rPr>
      </w:pPr>
      <w:r>
        <w:rPr>
          <w:rFonts w:ascii="Times New Roman" w:eastAsia="宋体" w:hAnsi="Times New Roman" w:cs="Times New Roman" w:hint="default"/>
          <w:color w:val="auto"/>
          <w:spacing w:val="-4"/>
          <w:sz w:val="24"/>
          <w:szCs w:val="24"/>
          <w:u w:val="none" w:color="auto"/>
        </w:rPr>
        <w:t>根据行业及生产工艺特点确定本项目</w:t>
      </w:r>
      <w:r>
        <w:rPr>
          <w:rFonts w:ascii="Times New Roman" w:eastAsia="宋体" w:hAnsi="Times New Roman" w:cs="Times New Roman" w:hint="default"/>
          <w:color w:val="auto"/>
          <w:spacing w:val="-56"/>
          <w:sz w:val="24"/>
          <w:szCs w:val="24"/>
          <w:u w:val="none" w:color="auto"/>
        </w:rPr>
        <w:t xml:space="preserve"> </w:t>
      </w:r>
      <w:r>
        <w:rPr>
          <w:rFonts w:ascii="Times New Roman" w:eastAsia="宋体" w:hAnsi="Times New Roman" w:cs="Times New Roman" w:hint="default"/>
          <w:color w:val="auto"/>
          <w:spacing w:val="-4"/>
          <w:sz w:val="24"/>
          <w:szCs w:val="24"/>
          <w:u w:val="none" w:color="auto"/>
        </w:rPr>
        <w:t>M=5，属于</w:t>
      </w:r>
      <w:r>
        <w:rPr>
          <w:rFonts w:ascii="Times New Roman" w:eastAsia="宋体" w:hAnsi="Times New Roman" w:cs="Times New Roman" w:hint="default"/>
          <w:color w:val="auto"/>
          <w:spacing w:val="-56"/>
          <w:sz w:val="24"/>
          <w:szCs w:val="24"/>
          <w:u w:val="none" w:color="auto"/>
        </w:rPr>
        <w:t xml:space="preserve"> </w:t>
      </w:r>
      <w:r>
        <w:rPr>
          <w:rFonts w:ascii="Times New Roman" w:eastAsia="宋体" w:hAnsi="Times New Roman" w:cs="Times New Roman" w:hint="default"/>
          <w:color w:val="auto"/>
          <w:spacing w:val="-4"/>
          <w:sz w:val="24"/>
          <w:szCs w:val="24"/>
          <w:u w:val="none" w:color="auto"/>
        </w:rPr>
        <w:t>M4。具体确定</w:t>
      </w:r>
      <w:r>
        <w:rPr>
          <w:rFonts w:ascii="Times New Roman" w:eastAsia="宋体" w:hAnsi="Times New Roman" w:cs="Times New Roman" w:hint="default"/>
          <w:color w:val="auto"/>
          <w:spacing w:val="-5"/>
          <w:sz w:val="24"/>
          <w:szCs w:val="24"/>
          <w:u w:val="none" w:color="auto"/>
        </w:rPr>
        <w:t>依据见表</w:t>
      </w:r>
      <w:r>
        <w:rPr>
          <w:rFonts w:ascii="Times New Roman" w:eastAsia="宋体" w:hAnsi="Times New Roman" w:cs="Times New Roman" w:hint="default"/>
          <w:color w:val="auto"/>
          <w:spacing w:val="-49"/>
          <w:sz w:val="24"/>
          <w:szCs w:val="24"/>
          <w:u w:val="none" w:color="auto"/>
        </w:rPr>
        <w:t xml:space="preserve"> </w:t>
      </w:r>
      <w:r>
        <w:rPr>
          <w:rFonts w:ascii="Times New Roman" w:eastAsia="宋体" w:hAnsi="Times New Roman" w:cs="Times New Roman" w:hint="default"/>
          <w:color w:val="auto"/>
          <w:spacing w:val="-5"/>
          <w:sz w:val="24"/>
          <w:szCs w:val="24"/>
          <w:u w:val="none" w:color="auto"/>
        </w:rPr>
        <w:t>5。</w:t>
      </w:r>
    </w:p>
    <w:p w14:paraId="61B57EB7">
      <w:pPr>
        <w:pStyle w:val="a9"/>
        <w:bidi w:val="0"/>
        <w:rPr>
          <w:rFonts w:ascii="Times New Roman" w:eastAsia="宋体" w:hAnsi="Times New Roman" w:cs="Times New Roman" w:hint="default"/>
          <w:color w:val="auto"/>
          <w:sz w:val="20"/>
          <w:szCs w:val="20"/>
          <w:u w:val="none" w:color="auto"/>
        </w:rPr>
      </w:pPr>
      <w:r>
        <w:rPr>
          <w:rFonts w:ascii="Times New Roman" w:eastAsia="宋体" w:hAnsi="Times New Roman" w:cs="Times New Roman" w:hint="default"/>
          <w:color w:val="auto"/>
          <w:spacing w:val="5"/>
          <w:sz w:val="20"/>
          <w:szCs w:val="20"/>
          <w:u w:val="none" w:color="auto"/>
          <w14:textOutline w14:w="3795" w14:cap="sq">
            <w14:solidFill>
              <w14:srgbClr w14:val="000000"/>
            </w14:solidFill>
            <w14:bevel/>
          </w14:textOutline>
        </w:rPr>
        <w:t>表</w:t>
      </w:r>
      <w:r>
        <w:rPr>
          <w:rFonts w:ascii="Times New Roman" w:eastAsia="宋体" w:hAnsi="Times New Roman" w:cs="Times New Roman" w:hint="default"/>
          <w:color w:val="auto"/>
          <w:spacing w:val="-29"/>
          <w:sz w:val="20"/>
          <w:szCs w:val="20"/>
          <w:u w:val="none" w:color="auto"/>
        </w:rPr>
        <w:t xml:space="preserve"> </w:t>
      </w:r>
      <w:r>
        <w:rPr>
          <w:rFonts w:ascii="Times New Roman" w:eastAsia="宋体" w:hAnsi="Times New Roman" w:cs="Times New Roman" w:hint="default"/>
          <w:b/>
          <w:bCs/>
          <w:color w:val="auto"/>
          <w:spacing w:val="5"/>
          <w:sz w:val="20"/>
          <w:szCs w:val="20"/>
          <w:u w:val="none" w:color="auto"/>
          <w:lang w:val="en-US" w:eastAsia="zh-CN"/>
        </w:rPr>
        <w:t>6</w:t>
      </w:r>
      <w:r>
        <w:rPr>
          <w:rFonts w:ascii="Times New Roman" w:eastAsia="宋体" w:hAnsi="Times New Roman" w:cs="Times New Roman" w:hint="default"/>
          <w:b/>
          <w:bCs/>
          <w:color w:val="auto"/>
          <w:spacing w:val="5"/>
          <w:sz w:val="20"/>
          <w:szCs w:val="20"/>
          <w:u w:val="none" w:color="auto"/>
        </w:rPr>
        <w:t xml:space="preserve">     </w:t>
      </w:r>
      <w:r>
        <w:rPr>
          <w:rFonts w:ascii="Times New Roman" w:eastAsia="宋体" w:hAnsi="Times New Roman" w:cs="Times New Roman" w:hint="default"/>
          <w:color w:val="auto"/>
          <w:spacing w:val="5"/>
          <w:sz w:val="20"/>
          <w:szCs w:val="20"/>
          <w:u w:val="none" w:color="auto"/>
          <w14:textOutline w14:w="3795" w14:cap="sq">
            <w14:solidFill>
              <w14:srgbClr w14:val="000000"/>
            </w14:solidFill>
            <w14:bevel/>
          </w14:textOutline>
        </w:rPr>
        <w:t>本项目</w:t>
      </w:r>
      <w:r>
        <w:rPr>
          <w:rFonts w:ascii="Times New Roman" w:eastAsia="宋体" w:hAnsi="Times New Roman" w:cs="Times New Roman" w:hint="default"/>
          <w:color w:val="auto"/>
          <w:spacing w:val="-40"/>
          <w:sz w:val="20"/>
          <w:szCs w:val="20"/>
          <w:u w:val="none" w:color="auto"/>
        </w:rPr>
        <w:t xml:space="preserve"> </w:t>
      </w:r>
      <w:r>
        <w:rPr>
          <w:rFonts w:ascii="Times New Roman" w:eastAsia="宋体" w:hAnsi="Times New Roman" w:cs="Times New Roman" w:hint="default"/>
          <w:b/>
          <w:bCs/>
          <w:color w:val="auto"/>
          <w:spacing w:val="5"/>
          <w:sz w:val="20"/>
          <w:szCs w:val="20"/>
          <w:u w:val="none" w:color="auto"/>
        </w:rPr>
        <w:t>Q</w:t>
      </w:r>
      <w:r>
        <w:rPr>
          <w:rFonts w:ascii="Times New Roman" w:eastAsia="宋体" w:hAnsi="Times New Roman" w:cs="Times New Roman" w:hint="default"/>
          <w:b/>
          <w:bCs/>
          <w:color w:val="auto"/>
          <w:spacing w:val="12"/>
          <w:w w:val="101"/>
          <w:sz w:val="20"/>
          <w:szCs w:val="20"/>
          <w:u w:val="none" w:color="auto"/>
        </w:rPr>
        <w:t xml:space="preserve"> </w:t>
      </w:r>
      <w:r>
        <w:rPr>
          <w:rFonts w:ascii="Times New Roman" w:eastAsia="宋体" w:hAnsi="Times New Roman" w:cs="Times New Roman" w:hint="default"/>
          <w:color w:val="auto"/>
          <w:spacing w:val="5"/>
          <w:sz w:val="20"/>
          <w:szCs w:val="20"/>
          <w:u w:val="none" w:color="auto"/>
          <w14:textOutline w14:w="3795" w14:cap="sq">
            <w14:solidFill>
              <w14:srgbClr w14:val="000000"/>
            </w14:solidFill>
            <w14:bevel/>
          </w14:textOutline>
        </w:rPr>
        <w:t>值确定表</w:t>
      </w:r>
    </w:p>
    <w:p w14:paraId="22354ECB">
      <w:pPr>
        <w:spacing w:line="145" w:lineRule="exact"/>
        <w:rPr>
          <w:rFonts w:ascii="Times New Roman" w:eastAsia="宋体" w:hAnsi="Times New Roman" w:cs="Times New Roman" w:hint="default"/>
          <w:color w:val="auto"/>
        </w:rPr>
      </w:pPr>
    </w:p>
    <w:tbl>
      <w:tblPr>
        <w:tblStyle w:val="TableNormal0"/>
        <w:tblW w:w="8665" w:type="dxa"/>
        <w:tblInd w:w="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Pr>
      <w:tblGrid>
        <w:gridCol w:w="2309"/>
        <w:gridCol w:w="4724"/>
        <w:gridCol w:w="1632"/>
      </w:tblGrid>
      <w:tr w14:paraId="358E4BEA">
        <w:tblPrEx>
          <w:tblW w:w="8665" w:type="dxa"/>
          <w:tblInd w:w="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PrEx>
        <w:trPr>
          <w:trHeight w:val="340"/>
        </w:trPr>
        <w:tc>
          <w:tcPr>
            <w:tcW w:w="2309" w:type="dxa"/>
            <w:tcBorders>
              <w:tl2br w:val="nil"/>
              <w:tr2bl w:val="nil"/>
            </w:tcBorders>
            <w:vAlign w:val="center"/>
          </w:tcPr>
          <w:p w14:paraId="759A4F8F">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行业</w:t>
            </w:r>
          </w:p>
        </w:tc>
        <w:tc>
          <w:tcPr>
            <w:tcW w:w="4724" w:type="dxa"/>
            <w:tcBorders>
              <w:tl2br w:val="nil"/>
              <w:tr2bl w:val="nil"/>
            </w:tcBorders>
            <w:vAlign w:val="center"/>
          </w:tcPr>
          <w:p w14:paraId="149FE9CF">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评估依据</w:t>
            </w:r>
          </w:p>
        </w:tc>
        <w:tc>
          <w:tcPr>
            <w:tcW w:w="1632" w:type="dxa"/>
            <w:tcBorders>
              <w:tl2br w:val="nil"/>
              <w:tr2bl w:val="nil"/>
            </w:tcBorders>
            <w:vAlign w:val="center"/>
          </w:tcPr>
          <w:p w14:paraId="084763CF">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分值</w:t>
            </w:r>
          </w:p>
        </w:tc>
      </w:tr>
      <w:tr w14:paraId="5FB49173">
        <w:tblPrEx>
          <w:tblW w:w="8665" w:type="dxa"/>
          <w:tblInd w:w="12" w:type="dxa"/>
          <w:tblLayout w:type="fixed"/>
          <w:tblCellMar>
            <w:top w:w="0" w:type="dxa"/>
            <w:left w:w="0" w:type="dxa"/>
            <w:bottom w:w="0" w:type="dxa"/>
            <w:right w:w="0" w:type="dxa"/>
          </w:tblCellMar>
        </w:tblPrEx>
        <w:trPr>
          <w:trHeight w:val="1667"/>
        </w:trPr>
        <w:tc>
          <w:tcPr>
            <w:tcW w:w="2309" w:type="dxa"/>
            <w:vMerge w:val="restart"/>
            <w:tcBorders>
              <w:tl2br w:val="nil"/>
              <w:tr2bl w:val="nil"/>
            </w:tcBorders>
            <w:vAlign w:val="center"/>
          </w:tcPr>
          <w:p w14:paraId="534CA424">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石化、化工、医药、轻工、化纤、有色冶炼等</w:t>
            </w:r>
          </w:p>
        </w:tc>
        <w:tc>
          <w:tcPr>
            <w:tcW w:w="4724" w:type="dxa"/>
            <w:tcBorders>
              <w:tl2br w:val="nil"/>
              <w:tr2bl w:val="nil"/>
            </w:tcBorders>
            <w:vAlign w:val="center"/>
          </w:tcPr>
          <w:p w14:paraId="3C970432">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涉及光气及光气化工艺、电解工艺（氯碱）、氯化工艺、硝化工艺、合成氨工艺、裂解（裂化）工艺、氟化工艺、加氢工艺、重氮化工艺、氧化工艺、过氧化工艺、胺基化工艺、磺化工艺、聚合工艺、烷基化工艺、型煤化工工艺、电石生产工艺、偶氮化工艺</w:t>
            </w:r>
          </w:p>
        </w:tc>
        <w:tc>
          <w:tcPr>
            <w:tcW w:w="1632" w:type="dxa"/>
            <w:tcBorders>
              <w:tl2br w:val="nil"/>
              <w:tr2bl w:val="nil"/>
            </w:tcBorders>
            <w:vAlign w:val="center"/>
          </w:tcPr>
          <w:p w14:paraId="26EF0091">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10/套</w:t>
            </w:r>
          </w:p>
        </w:tc>
      </w:tr>
      <w:tr w14:paraId="4B3CEF50">
        <w:tblPrEx>
          <w:tblW w:w="8665" w:type="dxa"/>
          <w:tblInd w:w="12" w:type="dxa"/>
          <w:tblLayout w:type="fixed"/>
          <w:tblCellMar>
            <w:top w:w="0" w:type="dxa"/>
            <w:left w:w="0" w:type="dxa"/>
            <w:bottom w:w="0" w:type="dxa"/>
            <w:right w:w="0" w:type="dxa"/>
          </w:tblCellMar>
        </w:tblPrEx>
        <w:trPr>
          <w:trHeight w:val="357"/>
        </w:trPr>
        <w:tc>
          <w:tcPr>
            <w:tcW w:w="2309" w:type="dxa"/>
            <w:vMerge/>
            <w:tcBorders>
              <w:tl2br w:val="nil"/>
              <w:tr2bl w:val="nil"/>
            </w:tcBorders>
            <w:vAlign w:val="center"/>
          </w:tcPr>
          <w:p w14:paraId="2E56AF2F">
            <w:pPr>
              <w:pStyle w:val="R-"/>
              <w:bidi w:val="0"/>
              <w:rPr>
                <w:rFonts w:ascii="Times New Roman" w:eastAsia="宋体" w:hAnsi="Times New Roman" w:cs="Times New Roman" w:hint="default"/>
                <w:color w:val="auto"/>
                <w:lang w:val="en-US" w:eastAsia="zh-CN"/>
              </w:rPr>
            </w:pPr>
          </w:p>
        </w:tc>
        <w:tc>
          <w:tcPr>
            <w:tcW w:w="4724" w:type="dxa"/>
            <w:tcBorders>
              <w:tl2br w:val="nil"/>
              <w:tr2bl w:val="nil"/>
            </w:tcBorders>
            <w:vAlign w:val="center"/>
          </w:tcPr>
          <w:p w14:paraId="1E77DC23">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无机酸制酸工艺、焦化工艺</w:t>
            </w:r>
          </w:p>
        </w:tc>
        <w:tc>
          <w:tcPr>
            <w:tcW w:w="1632" w:type="dxa"/>
            <w:tcBorders>
              <w:tl2br w:val="nil"/>
              <w:tr2bl w:val="nil"/>
            </w:tcBorders>
            <w:vAlign w:val="center"/>
          </w:tcPr>
          <w:p w14:paraId="551FC10B">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5/套</w:t>
            </w:r>
          </w:p>
        </w:tc>
      </w:tr>
      <w:tr w14:paraId="3FF261A4">
        <w:tblPrEx>
          <w:tblW w:w="8665" w:type="dxa"/>
          <w:tblInd w:w="12" w:type="dxa"/>
          <w:tblLayout w:type="fixed"/>
          <w:tblCellMar>
            <w:top w:w="0" w:type="dxa"/>
            <w:left w:w="0" w:type="dxa"/>
            <w:bottom w:w="0" w:type="dxa"/>
            <w:right w:w="0" w:type="dxa"/>
          </w:tblCellMar>
        </w:tblPrEx>
        <w:trPr>
          <w:trHeight w:val="556"/>
        </w:trPr>
        <w:tc>
          <w:tcPr>
            <w:tcW w:w="2309" w:type="dxa"/>
            <w:vMerge/>
            <w:tcBorders>
              <w:tl2br w:val="nil"/>
              <w:tr2bl w:val="nil"/>
            </w:tcBorders>
            <w:vAlign w:val="center"/>
          </w:tcPr>
          <w:p w14:paraId="6726AB47">
            <w:pPr>
              <w:pStyle w:val="R-"/>
              <w:bidi w:val="0"/>
              <w:rPr>
                <w:rFonts w:ascii="Times New Roman" w:eastAsia="宋体" w:hAnsi="Times New Roman" w:cs="Times New Roman" w:hint="default"/>
                <w:color w:val="auto"/>
                <w:lang w:val="en-US" w:eastAsia="zh-CN"/>
              </w:rPr>
            </w:pPr>
          </w:p>
        </w:tc>
        <w:tc>
          <w:tcPr>
            <w:tcW w:w="4724" w:type="dxa"/>
            <w:tcBorders>
              <w:tl2br w:val="nil"/>
              <w:tr2bl w:val="nil"/>
            </w:tcBorders>
            <w:vAlign w:val="center"/>
          </w:tcPr>
          <w:p w14:paraId="17B28390">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其他高温或高压，且涉及危险物质的工艺过程a、 危险物质贮存罐区</w:t>
            </w:r>
          </w:p>
        </w:tc>
        <w:tc>
          <w:tcPr>
            <w:tcW w:w="1632" w:type="dxa"/>
            <w:tcBorders>
              <w:tl2br w:val="nil"/>
              <w:tr2bl w:val="nil"/>
            </w:tcBorders>
            <w:vAlign w:val="center"/>
          </w:tcPr>
          <w:p w14:paraId="5C65430F">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5/套（罐区）</w:t>
            </w:r>
          </w:p>
        </w:tc>
      </w:tr>
      <w:tr w14:paraId="39430376">
        <w:tblPrEx>
          <w:tblW w:w="8665" w:type="dxa"/>
          <w:tblInd w:w="12" w:type="dxa"/>
          <w:tblLayout w:type="fixed"/>
          <w:tblCellMar>
            <w:top w:w="0" w:type="dxa"/>
            <w:left w:w="0" w:type="dxa"/>
            <w:bottom w:w="0" w:type="dxa"/>
            <w:right w:w="0" w:type="dxa"/>
          </w:tblCellMar>
        </w:tblPrEx>
        <w:trPr>
          <w:trHeight w:val="301"/>
        </w:trPr>
        <w:tc>
          <w:tcPr>
            <w:tcW w:w="2309" w:type="dxa"/>
            <w:tcBorders>
              <w:tl2br w:val="nil"/>
              <w:tr2bl w:val="nil"/>
            </w:tcBorders>
            <w:vAlign w:val="center"/>
          </w:tcPr>
          <w:p w14:paraId="2D5D4EA8">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管道、港口/码头等</w:t>
            </w:r>
          </w:p>
        </w:tc>
        <w:tc>
          <w:tcPr>
            <w:tcW w:w="4724" w:type="dxa"/>
            <w:tcBorders>
              <w:tl2br w:val="nil"/>
              <w:tr2bl w:val="nil"/>
            </w:tcBorders>
            <w:vAlign w:val="center"/>
          </w:tcPr>
          <w:p w14:paraId="7E440F94">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涉及危险物质管道运输项目、港口/码头等</w:t>
            </w:r>
          </w:p>
        </w:tc>
        <w:tc>
          <w:tcPr>
            <w:tcW w:w="1632" w:type="dxa"/>
            <w:tcBorders>
              <w:tl2br w:val="nil"/>
              <w:tr2bl w:val="nil"/>
            </w:tcBorders>
            <w:vAlign w:val="center"/>
          </w:tcPr>
          <w:p w14:paraId="50E85FDD">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10</w:t>
            </w:r>
          </w:p>
        </w:tc>
      </w:tr>
      <w:tr w14:paraId="2A9502CA">
        <w:tblPrEx>
          <w:tblW w:w="8665" w:type="dxa"/>
          <w:tblInd w:w="12" w:type="dxa"/>
          <w:tblLayout w:type="fixed"/>
          <w:tblCellMar>
            <w:top w:w="0" w:type="dxa"/>
            <w:left w:w="0" w:type="dxa"/>
            <w:bottom w:w="0" w:type="dxa"/>
            <w:right w:w="0" w:type="dxa"/>
          </w:tblCellMar>
        </w:tblPrEx>
        <w:trPr>
          <w:trHeight w:val="826"/>
        </w:trPr>
        <w:tc>
          <w:tcPr>
            <w:tcW w:w="2309" w:type="dxa"/>
            <w:tcBorders>
              <w:tl2br w:val="nil"/>
              <w:tr2bl w:val="nil"/>
            </w:tcBorders>
            <w:vAlign w:val="center"/>
          </w:tcPr>
          <w:p w14:paraId="60425895">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石油天然气</w:t>
            </w:r>
          </w:p>
        </w:tc>
        <w:tc>
          <w:tcPr>
            <w:tcW w:w="4724" w:type="dxa"/>
            <w:tcBorders>
              <w:tl2br w:val="nil"/>
              <w:tr2bl w:val="nil"/>
            </w:tcBorders>
            <w:vAlign w:val="center"/>
          </w:tcPr>
          <w:p w14:paraId="5BE279E2">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石油、天然气、页岩气开采（含净化），气库（不</w:t>
            </w:r>
          </w:p>
          <w:p w14:paraId="3826E905">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含加气站的气库），油库（不含加气站的油库）、油气管线b（不含城镇燃气管线）</w:t>
            </w:r>
          </w:p>
        </w:tc>
        <w:tc>
          <w:tcPr>
            <w:tcW w:w="1632" w:type="dxa"/>
            <w:tcBorders>
              <w:tl2br w:val="nil"/>
              <w:tr2bl w:val="nil"/>
            </w:tcBorders>
            <w:vAlign w:val="center"/>
          </w:tcPr>
          <w:p w14:paraId="4DC0A58D">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10</w:t>
            </w:r>
          </w:p>
        </w:tc>
      </w:tr>
      <w:tr w14:paraId="2B9A8056">
        <w:tblPrEx>
          <w:tblW w:w="8665" w:type="dxa"/>
          <w:tblInd w:w="12" w:type="dxa"/>
          <w:tblLayout w:type="fixed"/>
          <w:tblCellMar>
            <w:top w:w="0" w:type="dxa"/>
            <w:left w:w="0" w:type="dxa"/>
            <w:bottom w:w="0" w:type="dxa"/>
            <w:right w:w="0" w:type="dxa"/>
          </w:tblCellMar>
        </w:tblPrEx>
        <w:trPr>
          <w:trHeight w:val="284"/>
        </w:trPr>
        <w:tc>
          <w:tcPr>
            <w:tcW w:w="2309" w:type="dxa"/>
            <w:tcBorders>
              <w:tl2br w:val="nil"/>
              <w:tr2bl w:val="nil"/>
            </w:tcBorders>
            <w:shd w:val="clear" w:color="auto" w:fill="D9D9D9"/>
            <w:vAlign w:val="center"/>
          </w:tcPr>
          <w:p w14:paraId="69BE67BA">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其他</w:t>
            </w:r>
          </w:p>
        </w:tc>
        <w:tc>
          <w:tcPr>
            <w:tcW w:w="4724" w:type="dxa"/>
            <w:tcBorders>
              <w:tl2br w:val="nil"/>
              <w:tr2bl w:val="nil"/>
            </w:tcBorders>
            <w:shd w:val="clear" w:color="auto" w:fill="D9D9D9"/>
            <w:vAlign w:val="center"/>
          </w:tcPr>
          <w:p w14:paraId="7E848874">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涉及危险物质使用、贮存的项目</w:t>
            </w:r>
          </w:p>
        </w:tc>
        <w:tc>
          <w:tcPr>
            <w:tcW w:w="1632" w:type="dxa"/>
            <w:tcBorders>
              <w:tl2br w:val="nil"/>
              <w:tr2bl w:val="nil"/>
            </w:tcBorders>
            <w:shd w:val="clear" w:color="auto" w:fill="D9D9D9"/>
            <w:vAlign w:val="center"/>
          </w:tcPr>
          <w:p w14:paraId="7A44C11A">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5</w:t>
            </w:r>
          </w:p>
        </w:tc>
      </w:tr>
      <w:tr w14:paraId="30433EFD">
        <w:tblPrEx>
          <w:tblW w:w="8665" w:type="dxa"/>
          <w:tblInd w:w="12" w:type="dxa"/>
          <w:tblLayout w:type="fixed"/>
          <w:tblCellMar>
            <w:top w:w="0" w:type="dxa"/>
            <w:left w:w="0" w:type="dxa"/>
            <w:bottom w:w="0" w:type="dxa"/>
            <w:right w:w="0" w:type="dxa"/>
          </w:tblCellMar>
        </w:tblPrEx>
        <w:trPr>
          <w:trHeight w:val="706"/>
        </w:trPr>
        <w:tc>
          <w:tcPr>
            <w:tcW w:w="8665" w:type="dxa"/>
            <w:gridSpan w:val="3"/>
            <w:tcBorders>
              <w:tl2br w:val="nil"/>
              <w:tr2bl w:val="nil"/>
            </w:tcBorders>
            <w:vAlign w:val="center"/>
          </w:tcPr>
          <w:p w14:paraId="48B80A2D">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a高温指工艺温度≥300℃ , 高压指压力容器的设计压力（P）≥10.0MPa；</w:t>
            </w:r>
          </w:p>
          <w:p w14:paraId="1D15B889">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b长输管道运输项目应按站场、管线分段进行评价。</w:t>
            </w:r>
          </w:p>
        </w:tc>
      </w:tr>
    </w:tbl>
    <w:p w14:paraId="4A276739">
      <w:pPr>
        <w:tabs>
          <w:tab w:val="left" w:pos="808"/>
        </w:tabs>
        <w:spacing w:before="194" w:line="221" w:lineRule="auto"/>
        <w:ind w:left="672"/>
        <w:rPr>
          <w:rFonts w:ascii="Times New Roman" w:eastAsia="宋体" w:hAnsi="Times New Roman" w:cs="Times New Roman" w:hint="default"/>
          <w:color w:val="auto"/>
          <w:sz w:val="24"/>
          <w:szCs w:val="24"/>
          <w:u w:val="none" w:color="auto"/>
        </w:rPr>
      </w:pPr>
      <w:r>
        <w:rPr>
          <w:rFonts w:ascii="Times New Roman" w:eastAsia="宋体" w:hAnsi="Times New Roman" w:cs="Times New Roman" w:hint="default"/>
          <w:color w:val="auto"/>
          <w:spacing w:val="-7"/>
          <w:sz w:val="24"/>
          <w:szCs w:val="24"/>
          <w:u w:val="none" w:color="auto"/>
        </w:rPr>
        <w:t>（3）危险物质及工艺系统危险性（P）分级</w:t>
      </w:r>
    </w:p>
    <w:p w14:paraId="52F12A54">
      <w:pPr>
        <w:tabs>
          <w:tab w:val="left" w:pos="808"/>
        </w:tabs>
        <w:spacing w:before="194" w:line="221" w:lineRule="auto"/>
        <w:ind w:left="672"/>
        <w:rPr>
          <w:rFonts w:ascii="Times New Roman" w:eastAsia="宋体" w:hAnsi="Times New Roman" w:cs="Times New Roman" w:hint="default"/>
          <w:color w:val="auto"/>
          <w:spacing w:val="-7"/>
          <w:sz w:val="24"/>
          <w:szCs w:val="24"/>
          <w:u w:val="none" w:color="auto"/>
        </w:rPr>
      </w:pPr>
      <w:r>
        <w:rPr>
          <w:rFonts w:ascii="Times New Roman" w:eastAsia="宋体" w:hAnsi="Times New Roman" w:cs="Times New Roman" w:hint="default"/>
          <w:color w:val="auto"/>
          <w:spacing w:val="-7"/>
          <w:sz w:val="24"/>
          <w:szCs w:val="24"/>
          <w:u w:val="none" w:color="auto"/>
        </w:rPr>
        <w:t>根据危险物质及工艺系统危险性等级判断（P）可知，本项目危险性等级为P</w:t>
      </w:r>
      <w:r>
        <w:rPr>
          <w:rFonts w:ascii="Times New Roman" w:eastAsia="宋体" w:hAnsi="Times New Roman" w:cs="Times New Roman" w:hint="default"/>
          <w:color w:val="auto"/>
          <w:spacing w:val="-7"/>
          <w:sz w:val="24"/>
          <w:szCs w:val="24"/>
          <w:u w:val="none" w:color="auto"/>
          <w:lang w:val="en-US" w:eastAsia="zh-CN"/>
        </w:rPr>
        <w:t>3</w:t>
      </w:r>
      <w:r>
        <w:rPr>
          <w:rFonts w:ascii="Times New Roman" w:eastAsia="宋体" w:hAnsi="Times New Roman" w:cs="Times New Roman" w:hint="default"/>
          <w:color w:val="auto"/>
          <w:spacing w:val="-7"/>
          <w:sz w:val="24"/>
          <w:szCs w:val="24"/>
          <w:u w:val="none" w:color="auto"/>
        </w:rPr>
        <w:t>。</w:t>
      </w:r>
    </w:p>
    <w:p w14:paraId="25DB5557">
      <w:pPr>
        <w:pStyle w:val="000"/>
        <w:bidi w:val="0"/>
        <w:rPr>
          <w:rFonts w:ascii="Times New Roman" w:eastAsia="宋体" w:hAnsi="Times New Roman" w:cs="Times New Roman" w:hint="default"/>
          <w:color w:val="auto"/>
        </w:rPr>
      </w:pPr>
      <w:r>
        <w:rPr>
          <w:rFonts w:ascii="Times New Roman" w:eastAsia="宋体" w:hAnsi="Times New Roman" w:cs="Times New Roman" w:hint="default"/>
          <w:color w:val="auto"/>
        </w:rPr>
        <w:t>表</w:t>
      </w:r>
      <w:r>
        <w:rPr>
          <w:rFonts w:ascii="Times New Roman" w:eastAsia="宋体" w:hAnsi="Times New Roman" w:cs="Times New Roman" w:hint="default"/>
          <w:color w:val="auto"/>
          <w:lang w:val="en-US" w:eastAsia="zh-CN"/>
        </w:rPr>
        <w:t>7</w:t>
      </w:r>
      <w:r>
        <w:rPr>
          <w:rFonts w:ascii="Times New Roman" w:eastAsia="宋体" w:hAnsi="Times New Roman" w:cs="Times New Roman" w:hint="default"/>
          <w:color w:val="auto"/>
        </w:rPr>
        <w:t xml:space="preserve">     本项目 Q 值确定表</w:t>
      </w:r>
    </w:p>
    <w:p w14:paraId="6D3A76A2">
      <w:pPr>
        <w:spacing w:line="145" w:lineRule="exact"/>
        <w:rPr>
          <w:rFonts w:ascii="Times New Roman" w:eastAsia="宋体" w:hAnsi="Times New Roman" w:cs="Times New Roman" w:hint="default"/>
          <w:color w:val="auto"/>
          <w:u w:val="none" w:color="auto"/>
        </w:rPr>
      </w:pPr>
    </w:p>
    <w:tbl>
      <w:tblPr>
        <w:tblStyle w:val="TableNormal0"/>
        <w:tblW w:w="4965"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Pr>
      <w:tblGrid>
        <w:gridCol w:w="1662"/>
        <w:gridCol w:w="1649"/>
        <w:gridCol w:w="1649"/>
        <w:gridCol w:w="1649"/>
        <w:gridCol w:w="1665"/>
      </w:tblGrid>
      <w:tr w14:paraId="5A9D3512">
        <w:tblPrEx>
          <w:tblW w:w="4965"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PrEx>
        <w:trPr>
          <w:trHeight w:val="338"/>
          <w:jc w:val="center"/>
        </w:trPr>
        <w:tc>
          <w:tcPr>
            <w:tcW w:w="1659" w:type="dxa"/>
            <w:vMerge w:val="restart"/>
            <w:tcBorders>
              <w:tl2br w:val="nil"/>
              <w:tr2bl w:val="nil"/>
            </w:tcBorders>
            <w:vAlign w:val="top"/>
          </w:tcPr>
          <w:p w14:paraId="3A1B8150">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危险物质数量与  临界量比值（Q）</w:t>
            </w:r>
          </w:p>
        </w:tc>
        <w:tc>
          <w:tcPr>
            <w:tcW w:w="6596" w:type="dxa"/>
            <w:gridSpan w:val="4"/>
            <w:tcBorders>
              <w:tl2br w:val="nil"/>
              <w:tr2bl w:val="nil"/>
            </w:tcBorders>
            <w:vAlign w:val="top"/>
          </w:tcPr>
          <w:p w14:paraId="1675B91F">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行业及生产工艺（M）</w:t>
            </w:r>
          </w:p>
        </w:tc>
      </w:tr>
      <w:tr w14:paraId="51BB6468">
        <w:tblPrEx>
          <w:tblW w:w="4965" w:type="pct"/>
          <w:jc w:val="center"/>
          <w:tblLayout w:type="fixed"/>
          <w:tblCellMar>
            <w:top w:w="0" w:type="dxa"/>
            <w:left w:w="0" w:type="dxa"/>
            <w:bottom w:w="0" w:type="dxa"/>
            <w:right w:w="0" w:type="dxa"/>
          </w:tblCellMar>
        </w:tblPrEx>
        <w:trPr>
          <w:trHeight w:val="303"/>
          <w:jc w:val="center"/>
        </w:trPr>
        <w:tc>
          <w:tcPr>
            <w:tcW w:w="1659" w:type="dxa"/>
            <w:vMerge/>
            <w:tcBorders>
              <w:tl2br w:val="nil"/>
              <w:tr2bl w:val="nil"/>
            </w:tcBorders>
            <w:vAlign w:val="top"/>
          </w:tcPr>
          <w:p w14:paraId="4082F8AC">
            <w:pPr>
              <w:pStyle w:val="R-"/>
              <w:bidi w:val="0"/>
              <w:rPr>
                <w:rFonts w:ascii="Times New Roman" w:eastAsia="宋体" w:hAnsi="Times New Roman" w:cs="Times New Roman" w:hint="default"/>
                <w:color w:val="auto"/>
              </w:rPr>
            </w:pPr>
          </w:p>
        </w:tc>
        <w:tc>
          <w:tcPr>
            <w:tcW w:w="1645" w:type="dxa"/>
            <w:tcBorders>
              <w:tl2br w:val="nil"/>
              <w:tr2bl w:val="nil"/>
            </w:tcBorders>
            <w:vAlign w:val="top"/>
          </w:tcPr>
          <w:p w14:paraId="360A8BD1">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M1</w:t>
            </w:r>
          </w:p>
        </w:tc>
        <w:tc>
          <w:tcPr>
            <w:tcW w:w="1645" w:type="dxa"/>
            <w:tcBorders>
              <w:tl2br w:val="nil"/>
              <w:tr2bl w:val="nil"/>
            </w:tcBorders>
            <w:vAlign w:val="top"/>
          </w:tcPr>
          <w:p w14:paraId="7FD22F6E">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M2</w:t>
            </w:r>
          </w:p>
        </w:tc>
        <w:tc>
          <w:tcPr>
            <w:tcW w:w="1645" w:type="dxa"/>
            <w:tcBorders>
              <w:tl2br w:val="nil"/>
              <w:tr2bl w:val="nil"/>
            </w:tcBorders>
            <w:vAlign w:val="top"/>
          </w:tcPr>
          <w:p w14:paraId="183139A8">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M3</w:t>
            </w:r>
          </w:p>
        </w:tc>
        <w:tc>
          <w:tcPr>
            <w:tcW w:w="1661" w:type="dxa"/>
            <w:tcBorders>
              <w:tl2br w:val="nil"/>
              <w:tr2bl w:val="nil"/>
            </w:tcBorders>
            <w:vAlign w:val="top"/>
          </w:tcPr>
          <w:p w14:paraId="2D615497">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M4</w:t>
            </w:r>
          </w:p>
        </w:tc>
      </w:tr>
      <w:tr w14:paraId="1C512DA3">
        <w:tblPrEx>
          <w:tblW w:w="4965" w:type="pct"/>
          <w:jc w:val="center"/>
          <w:tblLayout w:type="fixed"/>
          <w:tblCellMar>
            <w:top w:w="0" w:type="dxa"/>
            <w:left w:w="0" w:type="dxa"/>
            <w:bottom w:w="0" w:type="dxa"/>
            <w:right w:w="0" w:type="dxa"/>
          </w:tblCellMar>
        </w:tblPrEx>
        <w:trPr>
          <w:trHeight w:val="304"/>
          <w:jc w:val="center"/>
        </w:trPr>
        <w:tc>
          <w:tcPr>
            <w:tcW w:w="1659" w:type="dxa"/>
            <w:tcBorders>
              <w:tl2br w:val="nil"/>
              <w:tr2bl w:val="nil"/>
            </w:tcBorders>
            <w:vAlign w:val="top"/>
          </w:tcPr>
          <w:p w14:paraId="773E749C">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 xml:space="preserve">Q≥100   </w:t>
            </w:r>
          </w:p>
        </w:tc>
        <w:tc>
          <w:tcPr>
            <w:tcW w:w="1645" w:type="dxa"/>
            <w:tcBorders>
              <w:tl2br w:val="nil"/>
              <w:tr2bl w:val="nil"/>
            </w:tcBorders>
            <w:vAlign w:val="top"/>
          </w:tcPr>
          <w:p w14:paraId="47058D53">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P1</w:t>
            </w:r>
          </w:p>
        </w:tc>
        <w:tc>
          <w:tcPr>
            <w:tcW w:w="1645" w:type="dxa"/>
            <w:tcBorders>
              <w:tl2br w:val="nil"/>
              <w:tr2bl w:val="nil"/>
            </w:tcBorders>
            <w:vAlign w:val="top"/>
          </w:tcPr>
          <w:p w14:paraId="18518BDD">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P1</w:t>
            </w:r>
          </w:p>
        </w:tc>
        <w:tc>
          <w:tcPr>
            <w:tcW w:w="1645" w:type="dxa"/>
            <w:tcBorders>
              <w:tl2br w:val="nil"/>
              <w:tr2bl w:val="nil"/>
            </w:tcBorders>
            <w:shd w:val="clear" w:color="auto" w:fill="auto"/>
            <w:vAlign w:val="top"/>
          </w:tcPr>
          <w:p w14:paraId="6A3D9F4C">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P2</w:t>
            </w:r>
          </w:p>
        </w:tc>
        <w:tc>
          <w:tcPr>
            <w:tcW w:w="1661" w:type="dxa"/>
            <w:tcBorders>
              <w:tl2br w:val="nil"/>
              <w:tr2bl w:val="nil"/>
            </w:tcBorders>
            <w:shd w:val="clear" w:color="auto" w:fill="BFBFBF" w:themeFill="background1" w:themeFillShade="BF"/>
            <w:vAlign w:val="top"/>
          </w:tcPr>
          <w:p w14:paraId="060945EE">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P3</w:t>
            </w:r>
          </w:p>
        </w:tc>
      </w:tr>
      <w:tr w14:paraId="167B1C8C">
        <w:tblPrEx>
          <w:tblW w:w="4965" w:type="pct"/>
          <w:jc w:val="center"/>
          <w:tblLayout w:type="fixed"/>
          <w:tblCellMar>
            <w:top w:w="0" w:type="dxa"/>
            <w:left w:w="0" w:type="dxa"/>
            <w:bottom w:w="0" w:type="dxa"/>
            <w:right w:w="0" w:type="dxa"/>
          </w:tblCellMar>
        </w:tblPrEx>
        <w:trPr>
          <w:trHeight w:val="334"/>
          <w:jc w:val="center"/>
        </w:trPr>
        <w:tc>
          <w:tcPr>
            <w:tcW w:w="1659" w:type="dxa"/>
            <w:tcBorders>
              <w:tl2br w:val="nil"/>
              <w:tr2bl w:val="nil"/>
            </w:tcBorders>
            <w:vAlign w:val="top"/>
          </w:tcPr>
          <w:p w14:paraId="26899880">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 xml:space="preserve">10≤Q＜100  </w:t>
            </w:r>
          </w:p>
        </w:tc>
        <w:tc>
          <w:tcPr>
            <w:tcW w:w="1645" w:type="dxa"/>
            <w:tcBorders>
              <w:tl2br w:val="nil"/>
              <w:tr2bl w:val="nil"/>
            </w:tcBorders>
            <w:vAlign w:val="top"/>
          </w:tcPr>
          <w:p w14:paraId="3B4FFF6E">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P1</w:t>
            </w:r>
          </w:p>
        </w:tc>
        <w:tc>
          <w:tcPr>
            <w:tcW w:w="1645" w:type="dxa"/>
            <w:tcBorders>
              <w:tl2br w:val="nil"/>
              <w:tr2bl w:val="nil"/>
            </w:tcBorders>
            <w:vAlign w:val="top"/>
          </w:tcPr>
          <w:p w14:paraId="1C516659">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P2</w:t>
            </w:r>
          </w:p>
        </w:tc>
        <w:tc>
          <w:tcPr>
            <w:tcW w:w="1645" w:type="dxa"/>
            <w:tcBorders>
              <w:tl2br w:val="nil"/>
              <w:tr2bl w:val="nil"/>
            </w:tcBorders>
            <w:shd w:val="clear" w:color="auto" w:fill="auto"/>
            <w:vAlign w:val="top"/>
          </w:tcPr>
          <w:p w14:paraId="7C5C6702">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P3</w:t>
            </w:r>
          </w:p>
        </w:tc>
        <w:tc>
          <w:tcPr>
            <w:tcW w:w="1661" w:type="dxa"/>
            <w:tcBorders>
              <w:tl2br w:val="nil"/>
              <w:tr2bl w:val="nil"/>
            </w:tcBorders>
            <w:shd w:val="clear" w:color="auto" w:fill="auto"/>
            <w:vAlign w:val="top"/>
          </w:tcPr>
          <w:p w14:paraId="30182DA1">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P4</w:t>
            </w:r>
          </w:p>
        </w:tc>
      </w:tr>
      <w:tr w14:paraId="1DF8DC66">
        <w:tblPrEx>
          <w:tblW w:w="4965" w:type="pct"/>
          <w:jc w:val="center"/>
          <w:tblLayout w:type="fixed"/>
          <w:tblCellMar>
            <w:top w:w="0" w:type="dxa"/>
            <w:left w:w="0" w:type="dxa"/>
            <w:bottom w:w="0" w:type="dxa"/>
            <w:right w:w="0" w:type="dxa"/>
          </w:tblCellMar>
        </w:tblPrEx>
        <w:trPr>
          <w:trHeight w:val="359"/>
          <w:jc w:val="center"/>
        </w:trPr>
        <w:tc>
          <w:tcPr>
            <w:tcW w:w="1659" w:type="dxa"/>
            <w:tcBorders>
              <w:tl2br w:val="nil"/>
              <w:tr2bl w:val="nil"/>
            </w:tcBorders>
            <w:vAlign w:val="top"/>
          </w:tcPr>
          <w:p w14:paraId="5845C795">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1≤Q＜10</w:t>
            </w:r>
          </w:p>
        </w:tc>
        <w:tc>
          <w:tcPr>
            <w:tcW w:w="1645" w:type="dxa"/>
            <w:tcBorders>
              <w:tl2br w:val="nil"/>
              <w:tr2bl w:val="nil"/>
            </w:tcBorders>
            <w:vAlign w:val="top"/>
          </w:tcPr>
          <w:p w14:paraId="6BA78DFD">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P2</w:t>
            </w:r>
          </w:p>
        </w:tc>
        <w:tc>
          <w:tcPr>
            <w:tcW w:w="1645" w:type="dxa"/>
            <w:tcBorders>
              <w:tl2br w:val="nil"/>
              <w:tr2bl w:val="nil"/>
            </w:tcBorders>
            <w:vAlign w:val="top"/>
          </w:tcPr>
          <w:p w14:paraId="35F89385">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P3</w:t>
            </w:r>
          </w:p>
        </w:tc>
        <w:tc>
          <w:tcPr>
            <w:tcW w:w="1645" w:type="dxa"/>
            <w:tcBorders>
              <w:tl2br w:val="nil"/>
              <w:tr2bl w:val="nil"/>
            </w:tcBorders>
            <w:vAlign w:val="top"/>
          </w:tcPr>
          <w:p w14:paraId="333C94B4">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P4</w:t>
            </w:r>
          </w:p>
        </w:tc>
        <w:tc>
          <w:tcPr>
            <w:tcW w:w="1661" w:type="dxa"/>
            <w:tcBorders>
              <w:tl2br w:val="nil"/>
              <w:tr2bl w:val="nil"/>
            </w:tcBorders>
            <w:vAlign w:val="top"/>
          </w:tcPr>
          <w:p w14:paraId="1BD07418">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P4</w:t>
            </w:r>
          </w:p>
        </w:tc>
      </w:tr>
    </w:tbl>
    <w:p w14:paraId="368B2EC5">
      <w:pPr>
        <w:numPr>
          <w:ilvl w:val="0"/>
          <w:numId w:val="10"/>
        </w:numPr>
        <w:tabs>
          <w:tab w:val="left" w:pos="808"/>
        </w:tabs>
        <w:spacing w:before="194" w:line="221" w:lineRule="auto"/>
        <w:ind w:left="-60" w:firstLine="480" w:leftChars="0" w:firstLineChars="0"/>
        <w:rPr>
          <w:rFonts w:ascii="Times New Roman" w:eastAsia="宋体" w:hAnsi="Times New Roman" w:cs="Times New Roman" w:hint="default"/>
          <w:color w:val="auto"/>
          <w:spacing w:val="-7"/>
          <w:sz w:val="24"/>
          <w:szCs w:val="24"/>
          <w:u w:val="none" w:color="auto"/>
          <w:lang w:val="en-US" w:eastAsia="zh-CN"/>
        </w:rPr>
      </w:pPr>
      <w:r>
        <w:rPr>
          <w:rFonts w:ascii="Times New Roman" w:eastAsia="宋体" w:hAnsi="Times New Roman" w:cs="Times New Roman" w:hint="default"/>
          <w:color w:val="auto"/>
          <w:spacing w:val="-7"/>
          <w:sz w:val="24"/>
          <w:szCs w:val="24"/>
          <w:u w:val="none" w:color="auto"/>
          <w:lang w:val="en-US" w:eastAsia="zh-CN"/>
        </w:rPr>
        <w:t>大气环境敏感程度分级</w:t>
      </w:r>
    </w:p>
    <w:p w14:paraId="777B56C9">
      <w:pPr>
        <w:pStyle w:val="000"/>
        <w:bidi w:val="0"/>
        <w:rPr>
          <w:rFonts w:ascii="Times New Roman" w:eastAsia="宋体" w:hAnsi="Times New Roman" w:cs="Times New Roman" w:hint="default"/>
          <w:color w:val="auto"/>
        </w:rPr>
      </w:pPr>
      <w:r>
        <w:rPr>
          <w:rFonts w:ascii="Times New Roman" w:eastAsia="宋体" w:hAnsi="Times New Roman" w:cs="Times New Roman" w:hint="default"/>
          <w:color w:val="auto"/>
        </w:rPr>
        <w:t>表</w:t>
      </w:r>
      <w:r>
        <w:rPr>
          <w:rFonts w:ascii="Times New Roman" w:eastAsia="宋体" w:hAnsi="Times New Roman" w:cs="Times New Roman" w:hint="default"/>
          <w:color w:val="auto"/>
          <w:lang w:val="en-US" w:eastAsia="zh-CN"/>
        </w:rPr>
        <w:t>8</w:t>
      </w:r>
      <w:r>
        <w:rPr>
          <w:rFonts w:ascii="Times New Roman" w:eastAsia="宋体" w:hAnsi="Times New Roman" w:cs="Times New Roman" w:hint="default"/>
          <w:color w:val="auto"/>
        </w:rPr>
        <w:t xml:space="preserve"> 大气环境敏感程度分级及判定结果</w:t>
      </w:r>
    </w:p>
    <w:tbl>
      <w:tblPr>
        <w:tblStyle w:val="TableNormal"/>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0" w:type="dxa"/>
          <w:left w:w="108" w:type="dxa"/>
          <w:bottom w:w="0" w:type="dxa"/>
          <w:right w:w="108" w:type="dxa"/>
        </w:tblCellMar>
      </w:tblPr>
      <w:tblGrid>
        <w:gridCol w:w="1008"/>
        <w:gridCol w:w="4680"/>
        <w:gridCol w:w="1620"/>
        <w:gridCol w:w="1214"/>
      </w:tblGrid>
      <w:tr w14:paraId="65454491">
        <w:tblPrEx>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0" w:type="dxa"/>
            <w:left w:w="108" w:type="dxa"/>
            <w:bottom w:w="0" w:type="dxa"/>
            <w:right w:w="108" w:type="dxa"/>
          </w:tblCellMar>
        </w:tblPrEx>
        <w:trPr>
          <w:tblHeader/>
          <w:jc w:val="center"/>
        </w:trPr>
        <w:tc>
          <w:tcPr>
            <w:tcW w:w="1008" w:type="dxa"/>
            <w:noWrap w:val="0"/>
            <w:vAlign w:val="top"/>
          </w:tcPr>
          <w:p w14:paraId="068FA0E3">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分级</w:t>
            </w:r>
          </w:p>
        </w:tc>
        <w:tc>
          <w:tcPr>
            <w:tcW w:w="4680" w:type="dxa"/>
            <w:noWrap w:val="0"/>
            <w:vAlign w:val="top"/>
          </w:tcPr>
          <w:p w14:paraId="22B5373C">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大气环境敏感性</w:t>
            </w:r>
          </w:p>
        </w:tc>
        <w:tc>
          <w:tcPr>
            <w:tcW w:w="1620" w:type="dxa"/>
            <w:noWrap w:val="0"/>
            <w:vAlign w:val="top"/>
          </w:tcPr>
          <w:p w14:paraId="2E450386">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拟建工程</w:t>
            </w:r>
          </w:p>
        </w:tc>
        <w:tc>
          <w:tcPr>
            <w:tcW w:w="1214" w:type="dxa"/>
            <w:noWrap w:val="0"/>
            <w:vAlign w:val="top"/>
          </w:tcPr>
          <w:p w14:paraId="64239B0D">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分级结果</w:t>
            </w:r>
          </w:p>
        </w:tc>
      </w:tr>
      <w:tr w14:paraId="7DA2497D">
        <w:tblPrEx>
          <w:tblW w:w="0" w:type="auto"/>
          <w:jc w:val="center"/>
          <w:tblLayout w:type="fixed"/>
          <w:tblCellMar>
            <w:top w:w="0" w:type="dxa"/>
            <w:left w:w="108" w:type="dxa"/>
            <w:bottom w:w="0" w:type="dxa"/>
            <w:right w:w="108" w:type="dxa"/>
          </w:tblCellMar>
        </w:tblPrEx>
        <w:trPr>
          <w:jc w:val="center"/>
        </w:trPr>
        <w:tc>
          <w:tcPr>
            <w:tcW w:w="1008" w:type="dxa"/>
            <w:noWrap w:val="0"/>
            <w:vAlign w:val="center"/>
          </w:tcPr>
          <w:p w14:paraId="5AD21B1B">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E1</w:t>
            </w:r>
          </w:p>
        </w:tc>
        <w:tc>
          <w:tcPr>
            <w:tcW w:w="4680" w:type="dxa"/>
            <w:noWrap w:val="0"/>
            <w:vAlign w:val="top"/>
          </w:tcPr>
          <w:p w14:paraId="0A74BCA7">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周边5km范围内居住区、医疗卫生、文化教育、科研、行政办公等机构人口总数大于5万人，或其他需要特殊保护区域；或周边500m范围内人口总数大于1000人；油气、化学品输送管线管段周边200m范围内，每千米管段人口数大于200人</w:t>
            </w:r>
          </w:p>
        </w:tc>
        <w:tc>
          <w:tcPr>
            <w:tcW w:w="1620" w:type="dxa"/>
            <w:vMerge w:val="restart"/>
            <w:noWrap w:val="0"/>
            <w:vAlign w:val="center"/>
          </w:tcPr>
          <w:p w14:paraId="1BE092D5">
            <w:pPr>
              <w:pStyle w:val="R-"/>
              <w:bidi w:val="0"/>
              <w:rPr>
                <w:rFonts w:ascii="Times New Roman" w:eastAsia="宋体" w:hAnsi="Times New Roman" w:cs="Times New Roman" w:hint="default"/>
                <w:color w:val="auto"/>
                <w:lang w:eastAsia="zh-CN"/>
              </w:rPr>
            </w:pPr>
            <w:r>
              <w:rPr>
                <w:rFonts w:ascii="Times New Roman" w:eastAsia="宋体" w:hAnsi="Times New Roman" w:cs="Times New Roman" w:hint="default"/>
                <w:color w:val="auto"/>
              </w:rPr>
              <w:t>根据调查，拟建工程厂区周边5km范围内各村庄和居住区的人口数为</w:t>
            </w:r>
            <w:r>
              <w:rPr>
                <w:rFonts w:ascii="Times New Roman" w:eastAsia="宋体" w:hAnsi="Times New Roman" w:cs="Times New Roman" w:hint="default"/>
                <w:color w:val="auto"/>
                <w:lang w:val="en-US" w:eastAsia="zh-CN"/>
              </w:rPr>
              <w:t>0.</w:t>
            </w:r>
            <w:r>
              <w:rPr>
                <w:rFonts w:ascii="Times New Roman" w:eastAsia="宋体" w:hAnsi="Times New Roman" w:cs="Times New Roman" w:hint="default"/>
                <w:color w:val="auto"/>
              </w:rPr>
              <w:t>8万人</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rPr>
              <w:t>周边500m范围内人口总数</w:t>
            </w:r>
            <w:r>
              <w:rPr>
                <w:rFonts w:ascii="Times New Roman" w:eastAsia="宋体" w:hAnsi="Times New Roman" w:cs="Times New Roman" w:hint="default"/>
                <w:color w:val="auto"/>
                <w:lang w:val="en-US" w:eastAsia="zh-CN"/>
              </w:rPr>
              <w:t>约4</w:t>
            </w:r>
            <w:r>
              <w:rPr>
                <w:rFonts w:ascii="Times New Roman" w:eastAsia="宋体" w:hAnsi="Times New Roman" w:cs="Times New Roman" w:hint="default"/>
                <w:color w:val="auto"/>
              </w:rPr>
              <w:t>00人</w:t>
            </w:r>
          </w:p>
        </w:tc>
        <w:tc>
          <w:tcPr>
            <w:tcW w:w="1214" w:type="dxa"/>
            <w:vMerge w:val="restart"/>
            <w:noWrap w:val="0"/>
            <w:vAlign w:val="center"/>
          </w:tcPr>
          <w:p w14:paraId="7C7BA325">
            <w:pPr>
              <w:pStyle w:val="R-"/>
              <w:bidi w:val="0"/>
              <w:rPr>
                <w:rFonts w:ascii="Times New Roman" w:eastAsia="宋体" w:hAnsi="Times New Roman" w:cs="Times New Roman" w:hint="default"/>
                <w:color w:val="auto"/>
                <w:lang w:eastAsia="zh-CN"/>
              </w:rPr>
            </w:pPr>
            <w:r>
              <w:rPr>
                <w:rFonts w:ascii="Times New Roman" w:eastAsia="宋体" w:hAnsi="Times New Roman" w:cs="Times New Roman" w:hint="default"/>
                <w:color w:val="auto"/>
              </w:rPr>
              <w:t>E</w:t>
            </w:r>
            <w:r>
              <w:rPr>
                <w:rFonts w:ascii="Times New Roman" w:eastAsia="宋体" w:hAnsi="Times New Roman" w:cs="Times New Roman" w:hint="default"/>
                <w:color w:val="auto"/>
                <w:lang w:val="en-US" w:eastAsia="zh-CN"/>
              </w:rPr>
              <w:t>3</w:t>
            </w:r>
          </w:p>
        </w:tc>
      </w:tr>
      <w:tr w14:paraId="00C2EB42">
        <w:tblPrEx>
          <w:tblW w:w="0" w:type="auto"/>
          <w:jc w:val="center"/>
          <w:tblLayout w:type="fixed"/>
          <w:tblCellMar>
            <w:top w:w="0" w:type="dxa"/>
            <w:left w:w="108" w:type="dxa"/>
            <w:bottom w:w="0" w:type="dxa"/>
            <w:right w:w="108" w:type="dxa"/>
          </w:tblCellMar>
        </w:tblPrEx>
        <w:trPr>
          <w:jc w:val="center"/>
        </w:trPr>
        <w:tc>
          <w:tcPr>
            <w:tcW w:w="1008" w:type="dxa"/>
            <w:noWrap w:val="0"/>
            <w:vAlign w:val="top"/>
          </w:tcPr>
          <w:p w14:paraId="6EC2915B">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E2</w:t>
            </w:r>
          </w:p>
        </w:tc>
        <w:tc>
          <w:tcPr>
            <w:tcW w:w="4680" w:type="dxa"/>
            <w:noWrap w:val="0"/>
            <w:vAlign w:val="top"/>
          </w:tcPr>
          <w:p w14:paraId="7597A3CC">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周边5km范围内居住区、医疗卫生、文化教育、科研、行政办公等机构人口总数大于1万人，小于5万人；或周边500m范围内人口总数大于500人，小于1000人；油气、化学品输送管线管段周边200m范围内，每千米管段人口数大于100人，小于200人</w:t>
            </w:r>
          </w:p>
        </w:tc>
        <w:tc>
          <w:tcPr>
            <w:tcW w:w="1620" w:type="dxa"/>
            <w:vMerge/>
            <w:noWrap w:val="0"/>
            <w:vAlign w:val="top"/>
          </w:tcPr>
          <w:p w14:paraId="65AEE971">
            <w:pPr>
              <w:pStyle w:val="R-"/>
              <w:bidi w:val="0"/>
              <w:rPr>
                <w:rFonts w:ascii="Times New Roman" w:eastAsia="宋体" w:hAnsi="Times New Roman" w:cs="Times New Roman" w:hint="default"/>
                <w:color w:val="auto"/>
              </w:rPr>
            </w:pPr>
          </w:p>
        </w:tc>
        <w:tc>
          <w:tcPr>
            <w:tcW w:w="1214" w:type="dxa"/>
            <w:vMerge/>
            <w:noWrap w:val="0"/>
            <w:vAlign w:val="top"/>
          </w:tcPr>
          <w:p w14:paraId="6D5E03EC">
            <w:pPr>
              <w:pStyle w:val="R-"/>
              <w:bidi w:val="0"/>
              <w:rPr>
                <w:rFonts w:ascii="Times New Roman" w:eastAsia="宋体" w:hAnsi="Times New Roman" w:cs="Times New Roman" w:hint="default"/>
                <w:color w:val="auto"/>
              </w:rPr>
            </w:pPr>
          </w:p>
        </w:tc>
      </w:tr>
      <w:tr w14:paraId="6DA53ADF">
        <w:tblPrEx>
          <w:tblW w:w="0" w:type="auto"/>
          <w:jc w:val="center"/>
          <w:tblLayout w:type="fixed"/>
          <w:tblCellMar>
            <w:top w:w="0" w:type="dxa"/>
            <w:left w:w="108" w:type="dxa"/>
            <w:bottom w:w="0" w:type="dxa"/>
            <w:right w:w="108" w:type="dxa"/>
          </w:tblCellMar>
        </w:tblPrEx>
        <w:trPr>
          <w:jc w:val="center"/>
        </w:trPr>
        <w:tc>
          <w:tcPr>
            <w:tcW w:w="1008" w:type="dxa"/>
            <w:shd w:val="clear" w:color="auto" w:fill="D8D8D8" w:themeFill="background1" w:themeFillShade="D8"/>
            <w:noWrap w:val="0"/>
            <w:vAlign w:val="center"/>
          </w:tcPr>
          <w:p w14:paraId="2ACF4DEB">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E3</w:t>
            </w:r>
          </w:p>
        </w:tc>
        <w:tc>
          <w:tcPr>
            <w:tcW w:w="4680" w:type="dxa"/>
            <w:shd w:val="clear" w:color="auto" w:fill="D8D8D8" w:themeFill="background1" w:themeFillShade="D8"/>
            <w:noWrap w:val="0"/>
            <w:vAlign w:val="top"/>
          </w:tcPr>
          <w:p w14:paraId="240E2C37">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周边5km范围内居住区、医疗卫生、文化教育、科研、行政办公等机构人口总数小于1万人；或周边500m范围内人口总数小于500人；油气、化学品输送管线管段周边200m范围内，每千米管段人口数小于100人</w:t>
            </w:r>
          </w:p>
        </w:tc>
        <w:tc>
          <w:tcPr>
            <w:tcW w:w="1620" w:type="dxa"/>
            <w:vMerge/>
            <w:noWrap w:val="0"/>
            <w:vAlign w:val="top"/>
          </w:tcPr>
          <w:p w14:paraId="28734440">
            <w:pPr>
              <w:pStyle w:val="R-"/>
              <w:bidi w:val="0"/>
              <w:rPr>
                <w:rFonts w:ascii="Times New Roman" w:eastAsia="宋体" w:hAnsi="Times New Roman" w:cs="Times New Roman" w:hint="default"/>
                <w:color w:val="auto"/>
              </w:rPr>
            </w:pPr>
          </w:p>
        </w:tc>
        <w:tc>
          <w:tcPr>
            <w:tcW w:w="1214" w:type="dxa"/>
            <w:vMerge/>
            <w:noWrap w:val="0"/>
            <w:vAlign w:val="top"/>
          </w:tcPr>
          <w:p w14:paraId="7722B7C8">
            <w:pPr>
              <w:pStyle w:val="R-"/>
              <w:bidi w:val="0"/>
              <w:rPr>
                <w:rFonts w:ascii="Times New Roman" w:eastAsia="宋体" w:hAnsi="Times New Roman" w:cs="Times New Roman" w:hint="default"/>
                <w:color w:val="auto"/>
              </w:rPr>
            </w:pPr>
          </w:p>
        </w:tc>
      </w:tr>
    </w:tbl>
    <w:p w14:paraId="20B6353E">
      <w:pPr>
        <w:widowControl/>
        <w:snapToGrid w:val="0"/>
        <w:spacing w:line="360" w:lineRule="auto"/>
        <w:ind w:firstLine="480" w:firstLineChars="200"/>
        <w:jc w:val="left"/>
        <w:rPr>
          <w:rFonts w:ascii="Times New Roman" w:eastAsia="宋体" w:hAnsi="Times New Roman" w:cs="Times New Roman" w:hint="default"/>
          <w:color w:val="auto"/>
        </w:rPr>
      </w:pPr>
      <w:r>
        <w:rPr>
          <w:rFonts w:ascii="Times New Roman" w:eastAsia="宋体" w:hAnsi="Times New Roman" w:cs="Times New Roman" w:hint="default"/>
          <w:color w:val="auto"/>
          <w:sz w:val="24"/>
          <w:szCs w:val="24"/>
          <w:highlight w:val="none"/>
          <w:lang w:val="en-US" w:eastAsia="zh-CN"/>
        </w:rPr>
        <w:t>本项目500m范围内涉及半截塔村的人口数为400人，5km范围内敏感目标的人口数约为8000人，大气环境敏感程度为E3。</w:t>
      </w:r>
    </w:p>
    <w:p w14:paraId="7A3316D5">
      <w:pPr>
        <w:pStyle w:val="0000"/>
        <w:bidi w:val="0"/>
        <w:rPr>
          <w:rFonts w:ascii="Times New Roman" w:eastAsia="宋体" w:hAnsi="Times New Roman" w:cs="Times New Roman" w:hint="default"/>
          <w:color w:val="auto"/>
          <w:sz w:val="24"/>
          <w:szCs w:val="24"/>
          <w:u w:val="none" w:color="auto"/>
        </w:rPr>
      </w:pPr>
      <w:r>
        <w:rPr>
          <w:rFonts w:ascii="Times New Roman" w:eastAsia="宋体" w:hAnsi="Times New Roman" w:cs="Times New Roman" w:hint="default"/>
          <w:color w:val="auto"/>
          <w:spacing w:val="-12"/>
          <w:sz w:val="24"/>
          <w:szCs w:val="24"/>
          <w:u w:val="none" w:color="auto"/>
        </w:rPr>
        <w:t>（4）地表水环境敏感程度</w:t>
      </w:r>
    </w:p>
    <w:p w14:paraId="7908276C">
      <w:pPr>
        <w:spacing w:before="211" w:line="385" w:lineRule="auto"/>
        <w:ind w:left="207" w:right="90" w:firstLine="474"/>
        <w:rPr>
          <w:rFonts w:ascii="Times New Roman" w:eastAsia="宋体" w:hAnsi="Times New Roman" w:cs="Times New Roman" w:hint="default"/>
          <w:color w:val="auto"/>
          <w:spacing w:val="-8"/>
          <w:sz w:val="24"/>
          <w:szCs w:val="24"/>
          <w:u w:val="none" w:color="auto"/>
        </w:rPr>
      </w:pPr>
      <w:r>
        <w:rPr>
          <w:rFonts w:ascii="Times New Roman" w:eastAsia="宋体" w:hAnsi="Times New Roman" w:cs="Times New Roman" w:hint="default"/>
          <w:color w:val="auto"/>
          <w:spacing w:val="-8"/>
          <w:sz w:val="24"/>
          <w:szCs w:val="24"/>
          <w:u w:val="none" w:color="auto"/>
        </w:rPr>
        <w:t>依据事故情况下危险物质泄漏到水体的排放点受纳地表水体功能敏感性，与下游环境敏感目标情况，共分为三种类型，E1为环境高度敏感区，E2为环境中度敏感区，E3为环境低度敏感区，分级原则见表10。其中地表水功能敏感性分区和环境敏感目标分级分别见表</w:t>
      </w:r>
      <w:r>
        <w:rPr>
          <w:rFonts w:ascii="Times New Roman" w:eastAsia="宋体" w:hAnsi="Times New Roman" w:cs="Times New Roman" w:hint="default"/>
          <w:color w:val="auto"/>
          <w:spacing w:val="-8"/>
          <w:sz w:val="24"/>
          <w:szCs w:val="24"/>
          <w:u w:val="none" w:color="auto"/>
          <w:lang w:val="en-US" w:eastAsia="zh-CN"/>
        </w:rPr>
        <w:t>9</w:t>
      </w:r>
      <w:r>
        <w:rPr>
          <w:rFonts w:ascii="Times New Roman" w:eastAsia="宋体" w:hAnsi="Times New Roman" w:cs="Times New Roman" w:hint="default"/>
          <w:color w:val="auto"/>
          <w:spacing w:val="-8"/>
          <w:sz w:val="24"/>
          <w:szCs w:val="24"/>
          <w:u w:val="none" w:color="auto"/>
        </w:rPr>
        <w:t>和</w:t>
      </w:r>
      <w:r>
        <w:rPr>
          <w:rFonts w:ascii="Times New Roman" w:eastAsia="宋体" w:hAnsi="Times New Roman" w:cs="Times New Roman" w:hint="default"/>
          <w:color w:val="auto"/>
          <w:spacing w:val="-8"/>
          <w:sz w:val="24"/>
          <w:szCs w:val="24"/>
          <w:u w:val="none" w:color="auto"/>
          <w:lang w:val="en-US" w:eastAsia="zh-CN"/>
        </w:rPr>
        <w:t>10</w:t>
      </w:r>
      <w:r>
        <w:rPr>
          <w:rFonts w:ascii="Times New Roman" w:eastAsia="宋体" w:hAnsi="Times New Roman" w:cs="Times New Roman" w:hint="default"/>
          <w:color w:val="auto"/>
          <w:spacing w:val="-8"/>
          <w:sz w:val="24"/>
          <w:szCs w:val="24"/>
          <w:u w:val="none" w:color="auto"/>
        </w:rPr>
        <w:t>。</w:t>
      </w:r>
    </w:p>
    <w:p w14:paraId="7E4F76F3">
      <w:pPr>
        <w:pStyle w:val="000"/>
        <w:bidi w:val="0"/>
        <w:rPr>
          <w:rFonts w:ascii="Times New Roman" w:eastAsia="宋体" w:hAnsi="Times New Roman" w:cs="Times New Roman" w:hint="default"/>
          <w:color w:val="auto"/>
        </w:rPr>
      </w:pPr>
      <w:r>
        <w:rPr>
          <w:rFonts w:ascii="Times New Roman" w:eastAsia="宋体" w:hAnsi="Times New Roman" w:cs="Times New Roman" w:hint="default"/>
          <w:color w:val="auto"/>
        </w:rPr>
        <w:t xml:space="preserve">表 </w:t>
      </w:r>
      <w:r>
        <w:rPr>
          <w:rFonts w:ascii="Times New Roman" w:eastAsia="宋体" w:hAnsi="Times New Roman" w:cs="Times New Roman" w:hint="default"/>
          <w:color w:val="auto"/>
          <w:lang w:val="en-US" w:eastAsia="zh-CN"/>
        </w:rPr>
        <w:t>9</w:t>
      </w:r>
      <w:r>
        <w:rPr>
          <w:rFonts w:ascii="Times New Roman" w:eastAsia="宋体" w:hAnsi="Times New Roman" w:cs="Times New Roman" w:hint="default"/>
          <w:color w:val="auto"/>
        </w:rPr>
        <w:t xml:space="preserve">   地表水功能敏感性分区</w:t>
      </w:r>
    </w:p>
    <w:p w14:paraId="08B9B26B">
      <w:pPr>
        <w:spacing w:line="137" w:lineRule="exact"/>
        <w:rPr>
          <w:rFonts w:ascii="Times New Roman" w:eastAsia="宋体" w:hAnsi="Times New Roman" w:cs="Times New Roman" w:hint="default"/>
          <w:color w:val="auto"/>
          <w:u w:val="none" w:color="auto"/>
        </w:rPr>
      </w:pPr>
    </w:p>
    <w:tbl>
      <w:tblPr>
        <w:tblStyle w:val="TableNormal0"/>
        <w:tblW w:w="496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Pr>
      <w:tblGrid>
        <w:gridCol w:w="1663"/>
        <w:gridCol w:w="6609"/>
      </w:tblGrid>
      <w:tr w14:paraId="109B4372">
        <w:tblPrEx>
          <w:tblW w:w="496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PrEx>
        <w:trPr>
          <w:trHeight w:val="341"/>
          <w:jc w:val="center"/>
        </w:trPr>
        <w:tc>
          <w:tcPr>
            <w:tcW w:w="1738" w:type="dxa"/>
            <w:tcBorders>
              <w:tl2br w:val="nil"/>
              <w:tr2bl w:val="nil"/>
            </w:tcBorders>
            <w:vAlign w:val="center"/>
          </w:tcPr>
          <w:p w14:paraId="66D1BD60">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敏感性</w:t>
            </w:r>
          </w:p>
        </w:tc>
        <w:tc>
          <w:tcPr>
            <w:tcW w:w="6911" w:type="dxa"/>
            <w:tcBorders>
              <w:tl2br w:val="nil"/>
              <w:tr2bl w:val="nil"/>
            </w:tcBorders>
            <w:vAlign w:val="center"/>
          </w:tcPr>
          <w:p w14:paraId="3A3008C9">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地表水环境敏感性</w:t>
            </w:r>
          </w:p>
        </w:tc>
      </w:tr>
      <w:tr w14:paraId="235CAA16">
        <w:tblPrEx>
          <w:tblW w:w="4964" w:type="pct"/>
          <w:jc w:val="center"/>
          <w:tblLayout w:type="fixed"/>
          <w:tblCellMar>
            <w:top w:w="0" w:type="dxa"/>
            <w:left w:w="0" w:type="dxa"/>
            <w:bottom w:w="0" w:type="dxa"/>
            <w:right w:w="0" w:type="dxa"/>
          </w:tblCellMar>
        </w:tblPrEx>
        <w:trPr>
          <w:trHeight w:val="1208"/>
          <w:jc w:val="center"/>
        </w:trPr>
        <w:tc>
          <w:tcPr>
            <w:tcW w:w="1738" w:type="dxa"/>
            <w:tcBorders>
              <w:tl2br w:val="nil"/>
              <w:tr2bl w:val="nil"/>
            </w:tcBorders>
            <w:vAlign w:val="center"/>
          </w:tcPr>
          <w:p w14:paraId="1E235C7E">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敏感F1</w:t>
            </w:r>
          </w:p>
        </w:tc>
        <w:tc>
          <w:tcPr>
            <w:tcW w:w="6911" w:type="dxa"/>
            <w:tcBorders>
              <w:tl2br w:val="nil"/>
              <w:tr2bl w:val="nil"/>
            </w:tcBorders>
            <w:vAlign w:val="center"/>
          </w:tcPr>
          <w:p w14:paraId="47E480FE">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排放点进入地表水水域环境功能为Ⅱ类及以上，或海水水质分类第一类；</w:t>
            </w:r>
            <w:r>
              <w:rPr>
                <w:rFonts w:ascii="Times New Roman" w:eastAsia="宋体" w:hAnsi="Times New Roman" w:cs="Times New Roman" w:hint="default"/>
                <w:color w:val="auto"/>
                <w:lang w:eastAsia="zh-CN"/>
              </w:rPr>
              <w:t>或已发生</w:t>
            </w:r>
            <w:r>
              <w:rPr>
                <w:rFonts w:ascii="Times New Roman" w:eastAsia="宋体" w:hAnsi="Times New Roman" w:cs="Times New Roman" w:hint="default"/>
                <w:color w:val="auto"/>
              </w:rPr>
              <w:t>事故时，危险物质泄漏到水体的排放点算起，排放进入受纳河流 最大流速时24h流经范围内涉跨国界的</w:t>
            </w:r>
          </w:p>
        </w:tc>
      </w:tr>
      <w:tr w14:paraId="1F33DBFC">
        <w:tblPrEx>
          <w:tblW w:w="4964" w:type="pct"/>
          <w:jc w:val="center"/>
          <w:tblLayout w:type="fixed"/>
          <w:tblCellMar>
            <w:top w:w="0" w:type="dxa"/>
            <w:left w:w="0" w:type="dxa"/>
            <w:bottom w:w="0" w:type="dxa"/>
            <w:right w:w="0" w:type="dxa"/>
          </w:tblCellMar>
        </w:tblPrEx>
        <w:trPr>
          <w:trHeight w:val="753"/>
          <w:jc w:val="center"/>
        </w:trPr>
        <w:tc>
          <w:tcPr>
            <w:tcW w:w="1738" w:type="dxa"/>
            <w:tcBorders>
              <w:tl2br w:val="nil"/>
              <w:tr2bl w:val="nil"/>
            </w:tcBorders>
            <w:vAlign w:val="center"/>
          </w:tcPr>
          <w:p w14:paraId="14C0BBB9">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较敏感F2</w:t>
            </w:r>
          </w:p>
        </w:tc>
        <w:tc>
          <w:tcPr>
            <w:tcW w:w="6911" w:type="dxa"/>
            <w:tcBorders>
              <w:tl2br w:val="nil"/>
              <w:tr2bl w:val="nil"/>
            </w:tcBorders>
            <w:vAlign w:val="center"/>
          </w:tcPr>
          <w:p w14:paraId="22DF6EBA">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排放点进入地表水水域环境功能为Ⅲ类，或海水水质分类第二类；</w:t>
            </w:r>
            <w:r>
              <w:rPr>
                <w:rFonts w:ascii="Times New Roman" w:eastAsia="宋体" w:hAnsi="Times New Roman" w:cs="Times New Roman" w:hint="default"/>
                <w:color w:val="auto"/>
                <w:lang w:eastAsia="zh-CN"/>
              </w:rPr>
              <w:t>或已发生</w:t>
            </w:r>
            <w:r>
              <w:rPr>
                <w:rFonts w:ascii="Times New Roman" w:eastAsia="宋体" w:hAnsi="Times New Roman" w:cs="Times New Roman" w:hint="default"/>
                <w:color w:val="auto"/>
              </w:rPr>
              <w:t>事故时，危险物质泄漏到水体的排放点算起，排放进入受纳河流最大流速时，24h流经范围内涉跨省界的</w:t>
            </w:r>
          </w:p>
        </w:tc>
      </w:tr>
      <w:tr w14:paraId="3839D7A3">
        <w:tblPrEx>
          <w:tblW w:w="4964" w:type="pct"/>
          <w:jc w:val="center"/>
          <w:tblLayout w:type="fixed"/>
          <w:tblCellMar>
            <w:top w:w="0" w:type="dxa"/>
            <w:left w:w="0" w:type="dxa"/>
            <w:bottom w:w="0" w:type="dxa"/>
            <w:right w:w="0" w:type="dxa"/>
          </w:tblCellMar>
        </w:tblPrEx>
        <w:trPr>
          <w:trHeight w:val="360"/>
          <w:jc w:val="center"/>
        </w:trPr>
        <w:tc>
          <w:tcPr>
            <w:tcW w:w="1738" w:type="dxa"/>
            <w:tcBorders>
              <w:tl2br w:val="nil"/>
              <w:tr2bl w:val="nil"/>
            </w:tcBorders>
            <w:shd w:val="clear" w:color="auto" w:fill="D9D9D9"/>
            <w:vAlign w:val="center"/>
          </w:tcPr>
          <w:p w14:paraId="178E1D18">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低敏感F3</w:t>
            </w:r>
          </w:p>
        </w:tc>
        <w:tc>
          <w:tcPr>
            <w:tcW w:w="6911" w:type="dxa"/>
            <w:tcBorders>
              <w:tl2br w:val="nil"/>
              <w:tr2bl w:val="nil"/>
            </w:tcBorders>
            <w:shd w:val="clear" w:color="auto" w:fill="D9D9D9"/>
            <w:vAlign w:val="center"/>
          </w:tcPr>
          <w:p w14:paraId="1A352AF9">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上述地区之外的其他地区</w:t>
            </w:r>
          </w:p>
        </w:tc>
      </w:tr>
    </w:tbl>
    <w:p w14:paraId="4026B60A">
      <w:pPr>
        <w:pStyle w:val="000"/>
        <w:bidi w:val="0"/>
        <w:rPr>
          <w:rFonts w:ascii="Times New Roman" w:eastAsia="宋体" w:hAnsi="Times New Roman" w:cs="Times New Roman" w:hint="default"/>
          <w:color w:val="auto"/>
        </w:rPr>
      </w:pPr>
      <w:r>
        <w:rPr>
          <w:rFonts w:ascii="Times New Roman" w:eastAsia="宋体" w:hAnsi="Times New Roman" w:cs="Times New Roman" w:hint="default"/>
          <w:color w:val="auto"/>
        </w:rPr>
        <w:t>表</w:t>
      </w:r>
      <w:r>
        <w:rPr>
          <w:rFonts w:ascii="Times New Roman" w:eastAsia="宋体" w:hAnsi="Times New Roman" w:cs="Times New Roman" w:hint="default"/>
          <w:color w:val="auto"/>
          <w:lang w:val="en-US" w:eastAsia="zh-CN"/>
        </w:rPr>
        <w:t>10</w:t>
      </w:r>
      <w:r>
        <w:rPr>
          <w:rFonts w:ascii="Times New Roman" w:eastAsia="宋体" w:hAnsi="Times New Roman" w:cs="Times New Roman" w:hint="default"/>
          <w:color w:val="auto"/>
        </w:rPr>
        <w:t xml:space="preserve">     地表水环境敏感目标分级</w:t>
      </w:r>
    </w:p>
    <w:p w14:paraId="4533D0B4">
      <w:pPr>
        <w:spacing w:line="33" w:lineRule="exact"/>
        <w:rPr>
          <w:rFonts w:ascii="Times New Roman" w:eastAsia="宋体" w:hAnsi="Times New Roman" w:cs="Times New Roman" w:hint="default"/>
          <w:color w:val="auto"/>
        </w:rPr>
      </w:pPr>
    </w:p>
    <w:tbl>
      <w:tblPr>
        <w:tblStyle w:val="TableNormal0"/>
        <w:tblW w:w="5052" w:type="pct"/>
        <w:jc w:val="center"/>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Pr>
      <w:tblGrid>
        <w:gridCol w:w="1688"/>
        <w:gridCol w:w="21"/>
        <w:gridCol w:w="6695"/>
        <w:gridCol w:w="21"/>
      </w:tblGrid>
      <w:tr w14:paraId="400797A3">
        <w:tblPrEx>
          <w:tblW w:w="5052" w:type="pct"/>
          <w:jc w:val="center"/>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PrEx>
        <w:trPr>
          <w:gridAfter w:val="1"/>
          <w:wAfter w:w="21" w:type="dxa"/>
          <w:trHeight w:val="330"/>
          <w:jc w:val="center"/>
        </w:trPr>
        <w:tc>
          <w:tcPr>
            <w:tcW w:w="1683" w:type="dxa"/>
            <w:tcBorders>
              <w:bottom w:val="single" w:sz="2" w:space="0" w:color="000000"/>
              <w:right w:val="single" w:sz="2" w:space="0" w:color="000000"/>
            </w:tcBorders>
            <w:vAlign w:val="center"/>
          </w:tcPr>
          <w:p w14:paraId="240C71C4">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分级</w:t>
            </w:r>
          </w:p>
        </w:tc>
        <w:tc>
          <w:tcPr>
            <w:tcW w:w="6696" w:type="dxa"/>
            <w:gridSpan w:val="2"/>
            <w:tcBorders>
              <w:left w:val="single" w:sz="2" w:space="0" w:color="000000"/>
              <w:bottom w:val="single" w:sz="2" w:space="0" w:color="000000"/>
            </w:tcBorders>
            <w:vAlign w:val="center"/>
          </w:tcPr>
          <w:p w14:paraId="6B631B4A">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环境敏感目标</w:t>
            </w:r>
          </w:p>
        </w:tc>
      </w:tr>
      <w:tr w14:paraId="1BF7C7B9">
        <w:tblPrEx>
          <w:tblW w:w="5052" w:type="pct"/>
          <w:jc w:val="center"/>
          <w:tblLayout w:type="fixed"/>
          <w:tblCellMar>
            <w:top w:w="0" w:type="dxa"/>
            <w:left w:w="0" w:type="dxa"/>
            <w:bottom w:w="0" w:type="dxa"/>
            <w:right w:w="0" w:type="dxa"/>
          </w:tblCellMar>
        </w:tblPrEx>
        <w:trPr>
          <w:gridAfter w:val="1"/>
          <w:wAfter w:w="21" w:type="dxa"/>
          <w:trHeight w:val="319"/>
          <w:jc w:val="center"/>
        </w:trPr>
        <w:tc>
          <w:tcPr>
            <w:tcW w:w="1683" w:type="dxa"/>
            <w:tcBorders>
              <w:top w:val="single" w:sz="2" w:space="0" w:color="000000"/>
              <w:right w:val="single" w:sz="2" w:space="0" w:color="000000"/>
            </w:tcBorders>
            <w:vAlign w:val="center"/>
          </w:tcPr>
          <w:p w14:paraId="04509CE7">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S1</w:t>
            </w:r>
          </w:p>
        </w:tc>
        <w:tc>
          <w:tcPr>
            <w:tcW w:w="6696" w:type="dxa"/>
            <w:gridSpan w:val="2"/>
            <w:tcBorders>
              <w:top w:val="single" w:sz="2" w:space="0" w:color="000000"/>
              <w:left w:val="single" w:sz="2" w:space="0" w:color="000000"/>
            </w:tcBorders>
            <w:vAlign w:val="center"/>
          </w:tcPr>
          <w:p w14:paraId="5BBA966F">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发生事故时，危险物质泄漏到内陆水体的排放点下游（顺水流向） 10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14:paraId="77B932DD">
        <w:tblPrEx>
          <w:tblW w:w="5052"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1149"/>
          <w:jc w:val="center"/>
        </w:trPr>
        <w:tc>
          <w:tcPr>
            <w:tcW w:w="1704" w:type="dxa"/>
            <w:gridSpan w:val="2"/>
            <w:tcBorders>
              <w:left w:val="single" w:sz="10" w:space="0" w:color="000000"/>
            </w:tcBorders>
            <w:vAlign w:val="center"/>
          </w:tcPr>
          <w:p w14:paraId="48679DD4">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S2</w:t>
            </w:r>
          </w:p>
        </w:tc>
        <w:tc>
          <w:tcPr>
            <w:tcW w:w="6696" w:type="dxa"/>
            <w:gridSpan w:val="2"/>
            <w:tcBorders>
              <w:right w:val="single" w:sz="10" w:space="0" w:color="000000"/>
            </w:tcBorders>
            <w:vAlign w:val="center"/>
          </w:tcPr>
          <w:p w14:paraId="61A5B700">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发生事故时，危险物质泄漏到内陆水体的排放点下游（顺水流向）10km范围内、近岸海域一个潮周期水质点可能达到的最大水平距离的两倍范围内，有如下一类或多类环境风险受体的：水产养殖区；天然渔场；森林公 园；地质公园；海滨风景游览区；具有重要经济价值的海洋生物生存区域</w:t>
            </w:r>
          </w:p>
        </w:tc>
      </w:tr>
      <w:tr w14:paraId="7702E6E7">
        <w:tblPrEx>
          <w:tblW w:w="5052"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902"/>
          <w:jc w:val="center"/>
        </w:trPr>
        <w:tc>
          <w:tcPr>
            <w:tcW w:w="1704" w:type="dxa"/>
            <w:gridSpan w:val="2"/>
            <w:tcBorders>
              <w:left w:val="single" w:sz="10" w:space="0" w:color="000000"/>
              <w:bottom w:val="single" w:sz="10" w:space="0" w:color="000000"/>
            </w:tcBorders>
            <w:shd w:val="clear" w:color="auto" w:fill="D9D9D9"/>
            <w:vAlign w:val="center"/>
          </w:tcPr>
          <w:p w14:paraId="214C8A08">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S3</w:t>
            </w:r>
          </w:p>
        </w:tc>
        <w:tc>
          <w:tcPr>
            <w:tcW w:w="6696" w:type="dxa"/>
            <w:gridSpan w:val="2"/>
            <w:tcBorders>
              <w:bottom w:val="single" w:sz="10" w:space="0" w:color="000000"/>
              <w:right w:val="single" w:sz="10" w:space="0" w:color="000000"/>
            </w:tcBorders>
            <w:shd w:val="clear" w:color="auto" w:fill="D9D9D9"/>
            <w:vAlign w:val="center"/>
          </w:tcPr>
          <w:p w14:paraId="30DA62FD">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排放点下游（顺水流向10km范围、近岸海域一个潮周期水质点可能达到的最大水平距离的两倍范围内无上述类型1和类型</w:t>
            </w:r>
            <w:r>
              <w:rPr>
                <w:rFonts w:ascii="Times New Roman" w:eastAsia="宋体" w:hAnsi="Times New Roman" w:cs="Times New Roman" w:hint="default"/>
                <w:color w:val="auto"/>
                <w:lang w:val="en-US" w:eastAsia="zh-CN"/>
              </w:rPr>
              <w:t>2</w:t>
            </w:r>
            <w:r>
              <w:rPr>
                <w:rFonts w:ascii="Times New Roman" w:eastAsia="宋体" w:hAnsi="Times New Roman" w:cs="Times New Roman" w:hint="default"/>
                <w:color w:val="auto"/>
              </w:rPr>
              <w:t>包括的敏感保护目 标</w:t>
            </w:r>
          </w:p>
        </w:tc>
      </w:tr>
    </w:tbl>
    <w:p w14:paraId="28C002B7">
      <w:pPr>
        <w:spacing w:before="211" w:line="385" w:lineRule="auto"/>
        <w:ind w:left="207" w:right="90" w:firstLine="474"/>
        <w:rPr>
          <w:rFonts w:ascii="Times New Roman" w:eastAsia="宋体" w:hAnsi="Times New Roman" w:cs="Times New Roman" w:hint="default"/>
          <w:color w:val="auto"/>
          <w:spacing w:val="-8"/>
          <w:sz w:val="24"/>
          <w:szCs w:val="24"/>
          <w:u w:val="none" w:color="auto"/>
        </w:rPr>
      </w:pPr>
      <w:r>
        <w:rPr>
          <w:rFonts w:ascii="Times New Roman" w:eastAsia="宋体" w:hAnsi="Times New Roman" w:cs="Times New Roman" w:hint="default"/>
          <w:color w:val="auto"/>
          <w:spacing w:val="-8"/>
          <w:sz w:val="24"/>
          <w:szCs w:val="24"/>
          <w:u w:val="none" w:color="auto"/>
        </w:rPr>
        <w:t>本项目职工生活污水经化粪池处理后经厂区拟建一体化污水处理设施处理后</w:t>
      </w:r>
      <w:r>
        <w:rPr>
          <w:rFonts w:ascii="Times New Roman" w:eastAsia="宋体" w:hAnsi="Times New Roman" w:cs="Times New Roman" w:hint="default"/>
          <w:color w:val="auto"/>
          <w:spacing w:val="-8"/>
          <w:sz w:val="24"/>
          <w:szCs w:val="24"/>
          <w:u w:val="none" w:color="auto"/>
          <w:lang w:val="en-US" w:eastAsia="zh-CN"/>
        </w:rPr>
        <w:t>用于抑尘和绿化，不外排。</w:t>
      </w:r>
      <w:r>
        <w:rPr>
          <w:rFonts w:ascii="Times New Roman" w:eastAsia="宋体" w:hAnsi="Times New Roman" w:cs="Times New Roman" w:hint="default"/>
          <w:color w:val="auto"/>
          <w:spacing w:val="-8"/>
          <w:sz w:val="24"/>
          <w:szCs w:val="24"/>
          <w:u w:val="none" w:color="auto"/>
        </w:rPr>
        <w:t>地表水环境敏感目标分级为S3。</w:t>
      </w:r>
    </w:p>
    <w:p w14:paraId="3E5FB8BA">
      <w:pPr>
        <w:spacing w:before="211" w:line="385" w:lineRule="auto"/>
        <w:ind w:left="207" w:right="90" w:firstLine="474"/>
        <w:rPr>
          <w:rFonts w:ascii="Times New Roman" w:eastAsia="宋体" w:hAnsi="Times New Roman" w:cs="Times New Roman" w:hint="default"/>
          <w:color w:val="auto"/>
          <w:spacing w:val="-8"/>
          <w:sz w:val="24"/>
          <w:szCs w:val="24"/>
          <w:u w:val="none" w:color="auto"/>
        </w:rPr>
      </w:pPr>
    </w:p>
    <w:p w14:paraId="5FFA45F2">
      <w:pPr>
        <w:pStyle w:val="000"/>
        <w:bidi w:val="0"/>
        <w:rPr>
          <w:rFonts w:ascii="Times New Roman" w:eastAsia="宋体" w:hAnsi="Times New Roman" w:cs="Times New Roman" w:hint="default"/>
          <w:color w:val="auto"/>
        </w:rPr>
      </w:pPr>
      <w:r>
        <w:rPr>
          <w:rFonts w:ascii="Times New Roman" w:eastAsia="宋体" w:hAnsi="Times New Roman" w:cs="Times New Roman" w:hint="default"/>
          <w:color w:val="auto"/>
          <w:lang w:val="en-US" w:eastAsia="zh-CN"/>
        </w:rPr>
        <w:t xml:space="preserve">表 </w:t>
      </w:r>
      <w:r>
        <w:rPr>
          <w:rFonts w:ascii="Times New Roman" w:eastAsia="宋体" w:hAnsi="Times New Roman" w:cs="Times New Roman" w:hint="default"/>
          <w:color w:val="auto"/>
        </w:rPr>
        <w:t xml:space="preserve"> </w:t>
      </w:r>
      <w:r>
        <w:rPr>
          <w:rFonts w:ascii="Times New Roman" w:eastAsia="宋体" w:hAnsi="Times New Roman" w:cs="Times New Roman" w:hint="default"/>
          <w:color w:val="auto"/>
          <w:lang w:val="en-US" w:eastAsia="zh-CN"/>
        </w:rPr>
        <w:t xml:space="preserve">11  </w:t>
      </w:r>
      <w:r>
        <w:rPr>
          <w:rFonts w:ascii="Times New Roman" w:eastAsia="宋体" w:hAnsi="Times New Roman" w:cs="Times New Roman" w:hint="default"/>
          <w:color w:val="auto"/>
        </w:rPr>
        <w:t>地表水环境敏感程度分级</w:t>
      </w:r>
    </w:p>
    <w:tbl>
      <w:tblPr>
        <w:tblStyle w:val="TableNormal0"/>
        <w:tblW w:w="8683" w:type="dxa"/>
        <w:tblInd w:w="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2178"/>
        <w:gridCol w:w="2163"/>
        <w:gridCol w:w="2164"/>
        <w:gridCol w:w="2178"/>
      </w:tblGrid>
      <w:tr w14:paraId="1FE51AD4">
        <w:tblPrEx>
          <w:tblW w:w="8683" w:type="dxa"/>
          <w:tblInd w:w="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367"/>
        </w:trPr>
        <w:tc>
          <w:tcPr>
            <w:tcW w:w="2178" w:type="dxa"/>
            <w:vMerge w:val="restart"/>
            <w:tcBorders>
              <w:top w:val="single" w:sz="10" w:space="0" w:color="000000"/>
              <w:left w:val="single" w:sz="10" w:space="0" w:color="000000"/>
              <w:bottom w:val="nil"/>
            </w:tcBorders>
            <w:vAlign w:val="top"/>
          </w:tcPr>
          <w:p w14:paraId="2A21DC47">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环境敏感目标</w:t>
            </w:r>
          </w:p>
        </w:tc>
        <w:tc>
          <w:tcPr>
            <w:tcW w:w="6505" w:type="dxa"/>
            <w:gridSpan w:val="3"/>
            <w:tcBorders>
              <w:top w:val="single" w:sz="10" w:space="0" w:color="000000"/>
              <w:right w:val="single" w:sz="10" w:space="0" w:color="000000"/>
            </w:tcBorders>
            <w:vAlign w:val="top"/>
          </w:tcPr>
          <w:p w14:paraId="0516AEA5">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行业及生产工艺（M）</w:t>
            </w:r>
          </w:p>
        </w:tc>
      </w:tr>
      <w:tr w14:paraId="1A5CC17E">
        <w:tblPrEx>
          <w:tblW w:w="8683" w:type="dxa"/>
          <w:tblInd w:w="12" w:type="dxa"/>
          <w:tblLayout w:type="fixed"/>
          <w:tblCellMar>
            <w:top w:w="0" w:type="dxa"/>
            <w:left w:w="0" w:type="dxa"/>
            <w:bottom w:w="0" w:type="dxa"/>
            <w:right w:w="0" w:type="dxa"/>
          </w:tblCellMar>
        </w:tblPrEx>
        <w:trPr>
          <w:trHeight w:val="363"/>
        </w:trPr>
        <w:tc>
          <w:tcPr>
            <w:tcW w:w="2178" w:type="dxa"/>
            <w:vMerge/>
            <w:tcBorders>
              <w:top w:val="nil"/>
              <w:left w:val="single" w:sz="10" w:space="0" w:color="000000"/>
            </w:tcBorders>
            <w:vAlign w:val="top"/>
          </w:tcPr>
          <w:p w14:paraId="2DAE3786">
            <w:pPr>
              <w:pStyle w:val="R-"/>
              <w:bidi w:val="0"/>
              <w:rPr>
                <w:rFonts w:ascii="Times New Roman" w:eastAsia="宋体" w:hAnsi="Times New Roman" w:cs="Times New Roman" w:hint="default"/>
                <w:color w:val="auto"/>
              </w:rPr>
            </w:pPr>
          </w:p>
        </w:tc>
        <w:tc>
          <w:tcPr>
            <w:tcW w:w="2163" w:type="dxa"/>
            <w:vAlign w:val="top"/>
          </w:tcPr>
          <w:p w14:paraId="460162B8">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F1</w:t>
            </w:r>
          </w:p>
        </w:tc>
        <w:tc>
          <w:tcPr>
            <w:tcW w:w="2164" w:type="dxa"/>
            <w:vAlign w:val="top"/>
          </w:tcPr>
          <w:p w14:paraId="11692253">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F2</w:t>
            </w:r>
          </w:p>
        </w:tc>
        <w:tc>
          <w:tcPr>
            <w:tcW w:w="2178" w:type="dxa"/>
            <w:tcBorders>
              <w:right w:val="single" w:sz="10" w:space="0" w:color="000000"/>
            </w:tcBorders>
            <w:vAlign w:val="top"/>
          </w:tcPr>
          <w:p w14:paraId="2ACBB8E8">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F3</w:t>
            </w:r>
          </w:p>
        </w:tc>
      </w:tr>
      <w:tr w14:paraId="1A349E40">
        <w:tblPrEx>
          <w:tblW w:w="8683" w:type="dxa"/>
          <w:tblInd w:w="12" w:type="dxa"/>
          <w:tblLayout w:type="fixed"/>
          <w:tblCellMar>
            <w:top w:w="0" w:type="dxa"/>
            <w:left w:w="0" w:type="dxa"/>
            <w:bottom w:w="0" w:type="dxa"/>
            <w:right w:w="0" w:type="dxa"/>
          </w:tblCellMar>
        </w:tblPrEx>
        <w:trPr>
          <w:trHeight w:val="363"/>
        </w:trPr>
        <w:tc>
          <w:tcPr>
            <w:tcW w:w="2178" w:type="dxa"/>
            <w:tcBorders>
              <w:left w:val="single" w:sz="10" w:space="0" w:color="000000"/>
            </w:tcBorders>
            <w:vAlign w:val="top"/>
          </w:tcPr>
          <w:p w14:paraId="7EFCF454">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S1</w:t>
            </w:r>
          </w:p>
        </w:tc>
        <w:tc>
          <w:tcPr>
            <w:tcW w:w="2163" w:type="dxa"/>
            <w:vAlign w:val="top"/>
          </w:tcPr>
          <w:p w14:paraId="000778A7">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E1</w:t>
            </w:r>
          </w:p>
        </w:tc>
        <w:tc>
          <w:tcPr>
            <w:tcW w:w="2164" w:type="dxa"/>
            <w:vAlign w:val="top"/>
          </w:tcPr>
          <w:p w14:paraId="29060F81">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E1</w:t>
            </w:r>
          </w:p>
        </w:tc>
        <w:tc>
          <w:tcPr>
            <w:tcW w:w="2178" w:type="dxa"/>
            <w:tcBorders>
              <w:right w:val="single" w:sz="10" w:space="0" w:color="000000"/>
            </w:tcBorders>
            <w:vAlign w:val="top"/>
          </w:tcPr>
          <w:p w14:paraId="1A9B53AC">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E2</w:t>
            </w:r>
          </w:p>
        </w:tc>
      </w:tr>
      <w:tr w14:paraId="06C6C604">
        <w:tblPrEx>
          <w:tblW w:w="8683" w:type="dxa"/>
          <w:tblInd w:w="12" w:type="dxa"/>
          <w:tblLayout w:type="fixed"/>
          <w:tblCellMar>
            <w:top w:w="0" w:type="dxa"/>
            <w:left w:w="0" w:type="dxa"/>
            <w:bottom w:w="0" w:type="dxa"/>
            <w:right w:w="0" w:type="dxa"/>
          </w:tblCellMar>
        </w:tblPrEx>
        <w:trPr>
          <w:trHeight w:val="363"/>
        </w:trPr>
        <w:tc>
          <w:tcPr>
            <w:tcW w:w="2178" w:type="dxa"/>
            <w:tcBorders>
              <w:left w:val="single" w:sz="10" w:space="0" w:color="000000"/>
            </w:tcBorders>
            <w:vAlign w:val="top"/>
          </w:tcPr>
          <w:p w14:paraId="50F0B003">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S2</w:t>
            </w:r>
          </w:p>
        </w:tc>
        <w:tc>
          <w:tcPr>
            <w:tcW w:w="2163" w:type="dxa"/>
            <w:vAlign w:val="top"/>
          </w:tcPr>
          <w:p w14:paraId="723604C3">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E1</w:t>
            </w:r>
          </w:p>
        </w:tc>
        <w:tc>
          <w:tcPr>
            <w:tcW w:w="2164" w:type="dxa"/>
            <w:vAlign w:val="top"/>
          </w:tcPr>
          <w:p w14:paraId="4BDB894C">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E2</w:t>
            </w:r>
          </w:p>
        </w:tc>
        <w:tc>
          <w:tcPr>
            <w:tcW w:w="2178" w:type="dxa"/>
            <w:tcBorders>
              <w:right w:val="single" w:sz="10" w:space="0" w:color="000000"/>
            </w:tcBorders>
            <w:vAlign w:val="top"/>
          </w:tcPr>
          <w:p w14:paraId="7F921FAA">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E3</w:t>
            </w:r>
          </w:p>
        </w:tc>
      </w:tr>
      <w:tr w14:paraId="46990643">
        <w:tblPrEx>
          <w:tblW w:w="8683" w:type="dxa"/>
          <w:tblInd w:w="12" w:type="dxa"/>
          <w:tblLayout w:type="fixed"/>
          <w:tblCellMar>
            <w:top w:w="0" w:type="dxa"/>
            <w:left w:w="0" w:type="dxa"/>
            <w:bottom w:w="0" w:type="dxa"/>
            <w:right w:w="0" w:type="dxa"/>
          </w:tblCellMar>
        </w:tblPrEx>
        <w:trPr>
          <w:trHeight w:val="387"/>
        </w:trPr>
        <w:tc>
          <w:tcPr>
            <w:tcW w:w="2178" w:type="dxa"/>
            <w:tcBorders>
              <w:left w:val="single" w:sz="10" w:space="0" w:color="000000"/>
              <w:bottom w:val="single" w:sz="10" w:space="0" w:color="000000"/>
            </w:tcBorders>
            <w:vAlign w:val="top"/>
          </w:tcPr>
          <w:p w14:paraId="54DB2829">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S3</w:t>
            </w:r>
          </w:p>
        </w:tc>
        <w:tc>
          <w:tcPr>
            <w:tcW w:w="2163" w:type="dxa"/>
            <w:tcBorders>
              <w:bottom w:val="single" w:sz="10" w:space="0" w:color="000000"/>
            </w:tcBorders>
            <w:vAlign w:val="top"/>
          </w:tcPr>
          <w:p w14:paraId="7BD24E0E">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E1</w:t>
            </w:r>
          </w:p>
        </w:tc>
        <w:tc>
          <w:tcPr>
            <w:tcW w:w="2164" w:type="dxa"/>
            <w:tcBorders>
              <w:bottom w:val="single" w:sz="10" w:space="0" w:color="000000"/>
            </w:tcBorders>
            <w:vAlign w:val="top"/>
          </w:tcPr>
          <w:p w14:paraId="638C7054">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E2</w:t>
            </w:r>
          </w:p>
        </w:tc>
        <w:tc>
          <w:tcPr>
            <w:tcW w:w="2178" w:type="dxa"/>
            <w:tcBorders>
              <w:bottom w:val="single" w:sz="10" w:space="0" w:color="000000"/>
              <w:right w:val="single" w:sz="10" w:space="0" w:color="000000"/>
            </w:tcBorders>
            <w:shd w:val="clear" w:color="auto" w:fill="D9D9D9"/>
            <w:vAlign w:val="top"/>
          </w:tcPr>
          <w:p w14:paraId="4D963FB9">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E3</w:t>
            </w:r>
          </w:p>
        </w:tc>
      </w:tr>
    </w:tbl>
    <w:p w14:paraId="51AAA8C8">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综上分析，对照表9可知，本项目地表水环境敏感程度分级为E3。</w:t>
      </w:r>
    </w:p>
    <w:p w14:paraId="6665C24F">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（6）地下水环境敏感程度</w:t>
      </w:r>
    </w:p>
    <w:p w14:paraId="64DE39D3">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依据地下水功能敏感性与包气带防污性能，共分为三种类型，E1为环境高度敏感区，E2为环境中度敏感区，E3为环境低度敏感区，分级原则见表1</w:t>
      </w:r>
      <w:r>
        <w:rPr>
          <w:rFonts w:cs="Times New Roman" w:hint="eastAsia"/>
          <w:color w:val="auto"/>
          <w:lang w:val="en-US" w:eastAsia="zh-CN"/>
        </w:rPr>
        <w:t>4</w:t>
      </w:r>
      <w:r>
        <w:rPr>
          <w:rFonts w:ascii="Times New Roman" w:eastAsia="宋体" w:hAnsi="Times New Roman" w:cs="Times New Roman" w:hint="default"/>
          <w:color w:val="auto"/>
        </w:rPr>
        <w:t>。其中地下水功能敏感性分区和包气带防污性能分级分别见表1</w:t>
      </w:r>
      <w:r>
        <w:rPr>
          <w:rFonts w:ascii="Times New Roman" w:eastAsia="宋体" w:hAnsi="Times New Roman" w:cs="Times New Roman" w:hint="default"/>
          <w:color w:val="auto"/>
          <w:lang w:val="en-US" w:eastAsia="zh-CN"/>
        </w:rPr>
        <w:t>2</w:t>
      </w:r>
      <w:r>
        <w:rPr>
          <w:rFonts w:ascii="Times New Roman" w:eastAsia="宋体" w:hAnsi="Times New Roman" w:cs="Times New Roman" w:hint="default"/>
          <w:color w:val="auto"/>
        </w:rPr>
        <w:t>和1</w:t>
      </w:r>
      <w:r>
        <w:rPr>
          <w:rFonts w:ascii="Times New Roman" w:eastAsia="宋体" w:hAnsi="Times New Roman" w:cs="Times New Roman" w:hint="default"/>
          <w:color w:val="auto"/>
          <w:lang w:val="en-US" w:eastAsia="zh-CN"/>
        </w:rPr>
        <w:t>3</w:t>
      </w:r>
      <w:r>
        <w:rPr>
          <w:rFonts w:ascii="Times New Roman" w:eastAsia="宋体" w:hAnsi="Times New Roman" w:cs="Times New Roman" w:hint="default"/>
          <w:color w:val="auto"/>
        </w:rPr>
        <w:t>。当同一建设项目涉及两个G分区或D分级及以上时，取相对高值。</w:t>
      </w:r>
    </w:p>
    <w:p w14:paraId="28D5783B">
      <w:pPr>
        <w:pStyle w:val="Caption"/>
        <w:jc w:val="center"/>
        <w:rPr>
          <w:rFonts w:ascii="Times New Roman" w:eastAsia="宋体" w:hAnsi="Times New Roman" w:cs="Times New Roman" w:hint="default"/>
          <w:b/>
          <w:color w:val="auto"/>
          <w:sz w:val="24"/>
          <w:szCs w:val="24"/>
        </w:rPr>
      </w:pPr>
      <w:r>
        <w:rPr>
          <w:rFonts w:ascii="Times New Roman" w:eastAsia="宋体" w:hAnsi="Times New Roman" w:cs="Times New Roman" w:hint="default"/>
          <w:b/>
          <w:color w:val="auto"/>
          <w:sz w:val="24"/>
          <w:szCs w:val="24"/>
        </w:rPr>
        <w:t>表</w:t>
      </w:r>
      <w:r>
        <w:rPr>
          <w:rFonts w:ascii="Times New Roman" w:eastAsia="宋体" w:hAnsi="Times New Roman" w:cs="Times New Roman" w:hint="default"/>
          <w:b/>
          <w:color w:val="auto"/>
          <w:sz w:val="24"/>
          <w:szCs w:val="24"/>
          <w:lang w:val="en-US" w:eastAsia="zh-CN"/>
        </w:rPr>
        <w:t>12</w:t>
      </w:r>
      <w:r>
        <w:rPr>
          <w:rFonts w:ascii="Times New Roman" w:eastAsia="宋体" w:hAnsi="Times New Roman" w:cs="Times New Roman" w:hint="default"/>
          <w:b/>
          <w:color w:val="auto"/>
          <w:sz w:val="24"/>
          <w:szCs w:val="24"/>
        </w:rPr>
        <w:t xml:space="preserve"> 地下水功能敏感性分区及判定结果</w:t>
      </w:r>
    </w:p>
    <w:tbl>
      <w:tblPr>
        <w:tblStyle w:val="TableNormal"/>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0" w:type="dxa"/>
          <w:left w:w="108" w:type="dxa"/>
          <w:bottom w:w="0" w:type="dxa"/>
          <w:right w:w="108" w:type="dxa"/>
        </w:tblCellMar>
      </w:tblPr>
      <w:tblGrid>
        <w:gridCol w:w="1368"/>
        <w:gridCol w:w="4505"/>
        <w:gridCol w:w="1435"/>
        <w:gridCol w:w="1214"/>
      </w:tblGrid>
      <w:tr w14:paraId="7AA983E9">
        <w:tblPrEx>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0" w:type="dxa"/>
            <w:left w:w="108" w:type="dxa"/>
            <w:bottom w:w="0" w:type="dxa"/>
            <w:right w:w="108" w:type="dxa"/>
          </w:tblCellMar>
        </w:tblPrEx>
        <w:trPr>
          <w:jc w:val="center"/>
        </w:trPr>
        <w:tc>
          <w:tcPr>
            <w:tcW w:w="1368" w:type="dxa"/>
            <w:noWrap w:val="0"/>
            <w:vAlign w:val="top"/>
          </w:tcPr>
          <w:p w14:paraId="18B9AE14">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敏感性</w:t>
            </w:r>
          </w:p>
        </w:tc>
        <w:tc>
          <w:tcPr>
            <w:tcW w:w="4505" w:type="dxa"/>
            <w:noWrap w:val="0"/>
            <w:vAlign w:val="top"/>
          </w:tcPr>
          <w:p w14:paraId="385383D8">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地下水环境敏感特征</w:t>
            </w:r>
          </w:p>
        </w:tc>
        <w:tc>
          <w:tcPr>
            <w:tcW w:w="1435" w:type="dxa"/>
            <w:noWrap w:val="0"/>
            <w:vAlign w:val="top"/>
          </w:tcPr>
          <w:p w14:paraId="1305511F">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拟建工程</w:t>
            </w:r>
          </w:p>
        </w:tc>
        <w:tc>
          <w:tcPr>
            <w:tcW w:w="1214" w:type="dxa"/>
            <w:noWrap w:val="0"/>
            <w:vAlign w:val="top"/>
          </w:tcPr>
          <w:p w14:paraId="0CA74B31">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判定结果</w:t>
            </w:r>
          </w:p>
        </w:tc>
      </w:tr>
      <w:tr w14:paraId="2766134F">
        <w:tblPrEx>
          <w:tblW w:w="0" w:type="auto"/>
          <w:jc w:val="center"/>
          <w:tblLayout w:type="fixed"/>
          <w:tblCellMar>
            <w:top w:w="0" w:type="dxa"/>
            <w:left w:w="108" w:type="dxa"/>
            <w:bottom w:w="0" w:type="dxa"/>
            <w:right w:w="108" w:type="dxa"/>
          </w:tblCellMar>
        </w:tblPrEx>
        <w:trPr>
          <w:jc w:val="center"/>
        </w:trPr>
        <w:tc>
          <w:tcPr>
            <w:tcW w:w="1368" w:type="dxa"/>
            <w:noWrap w:val="0"/>
            <w:vAlign w:val="center"/>
          </w:tcPr>
          <w:p w14:paraId="53A9AEFF">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敏感G1</w:t>
            </w:r>
          </w:p>
        </w:tc>
        <w:tc>
          <w:tcPr>
            <w:tcW w:w="4505" w:type="dxa"/>
            <w:noWrap w:val="0"/>
            <w:vAlign w:val="center"/>
          </w:tcPr>
          <w:p w14:paraId="38EB9740">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c>
          <w:tcPr>
            <w:tcW w:w="1435" w:type="dxa"/>
            <w:vMerge w:val="restart"/>
            <w:noWrap w:val="0"/>
            <w:vAlign w:val="center"/>
          </w:tcPr>
          <w:p w14:paraId="5D564306">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rPr>
              <w:t>项目区不涉及集中式饮用水水源、准保护区、补给径流区等环境敏感区</w:t>
            </w:r>
            <w:r>
              <w:rPr>
                <w:rFonts w:cs="Times New Roman" w:hint="eastAsia"/>
                <w:color w:val="auto"/>
                <w:lang w:eastAsia="zh-CN"/>
              </w:rPr>
              <w:t>，</w:t>
            </w:r>
            <w:r>
              <w:rPr>
                <w:rFonts w:cs="Times New Roman" w:hint="eastAsia"/>
                <w:color w:val="auto"/>
                <w:lang w:val="en-US" w:eastAsia="zh-CN"/>
              </w:rPr>
              <w:t>周边村庄为管网集中供水，无</w:t>
            </w:r>
            <w:r>
              <w:rPr>
                <w:rFonts w:ascii="Times New Roman" w:eastAsia="宋体" w:hAnsi="Times New Roman" w:cs="Times New Roman" w:hint="default"/>
                <w:color w:val="auto"/>
              </w:rPr>
              <w:t>分散式饮用水水源地</w:t>
            </w:r>
          </w:p>
        </w:tc>
        <w:tc>
          <w:tcPr>
            <w:tcW w:w="1214" w:type="dxa"/>
            <w:vMerge w:val="restart"/>
            <w:noWrap w:val="0"/>
            <w:vAlign w:val="center"/>
          </w:tcPr>
          <w:p w14:paraId="6600897E">
            <w:pPr>
              <w:pStyle w:val="R-"/>
              <w:bidi w:val="0"/>
              <w:rPr>
                <w:rFonts w:ascii="Times New Roman" w:eastAsia="宋体" w:hAnsi="Times New Roman" w:cs="Times New Roman" w:hint="eastAsia"/>
                <w:color w:val="auto"/>
                <w:lang w:eastAsia="zh-CN"/>
              </w:rPr>
            </w:pPr>
            <w:r>
              <w:rPr>
                <w:rFonts w:ascii="Times New Roman" w:eastAsia="宋体" w:hAnsi="Times New Roman" w:cs="Times New Roman" w:hint="default"/>
                <w:color w:val="auto"/>
              </w:rPr>
              <w:t>不敏感G</w:t>
            </w:r>
            <w:r>
              <w:rPr>
                <w:rFonts w:cs="Times New Roman" w:hint="eastAsia"/>
                <w:color w:val="auto"/>
                <w:lang w:val="en-US" w:eastAsia="zh-CN"/>
              </w:rPr>
              <w:t>3</w:t>
            </w:r>
          </w:p>
        </w:tc>
      </w:tr>
      <w:tr w14:paraId="34853A0E">
        <w:tblPrEx>
          <w:tblW w:w="0" w:type="auto"/>
          <w:jc w:val="center"/>
          <w:tblLayout w:type="fixed"/>
          <w:tblCellMar>
            <w:top w:w="0" w:type="dxa"/>
            <w:left w:w="108" w:type="dxa"/>
            <w:bottom w:w="0" w:type="dxa"/>
            <w:right w:w="108" w:type="dxa"/>
          </w:tblCellMar>
        </w:tblPrEx>
        <w:trPr>
          <w:jc w:val="center"/>
        </w:trPr>
        <w:tc>
          <w:tcPr>
            <w:tcW w:w="1368" w:type="dxa"/>
            <w:noWrap w:val="0"/>
            <w:vAlign w:val="center"/>
          </w:tcPr>
          <w:p w14:paraId="68E8DD70">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较敏感G2</w:t>
            </w:r>
          </w:p>
        </w:tc>
        <w:tc>
          <w:tcPr>
            <w:tcW w:w="4505" w:type="dxa"/>
            <w:noWrap w:val="0"/>
            <w:vAlign w:val="center"/>
          </w:tcPr>
          <w:p w14:paraId="589A4EBA">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a。</w:t>
            </w:r>
          </w:p>
        </w:tc>
        <w:tc>
          <w:tcPr>
            <w:tcW w:w="1435" w:type="dxa"/>
            <w:vMerge/>
            <w:noWrap w:val="0"/>
            <w:vAlign w:val="top"/>
          </w:tcPr>
          <w:p w14:paraId="22B586BD">
            <w:pPr>
              <w:pStyle w:val="R-"/>
              <w:bidi w:val="0"/>
              <w:rPr>
                <w:rFonts w:ascii="Times New Roman" w:eastAsia="宋体" w:hAnsi="Times New Roman" w:cs="Times New Roman" w:hint="default"/>
                <w:color w:val="auto"/>
              </w:rPr>
            </w:pPr>
          </w:p>
        </w:tc>
        <w:tc>
          <w:tcPr>
            <w:tcW w:w="1214" w:type="dxa"/>
            <w:vMerge/>
            <w:noWrap w:val="0"/>
            <w:vAlign w:val="top"/>
          </w:tcPr>
          <w:p w14:paraId="432EC2B9">
            <w:pPr>
              <w:pStyle w:val="R-"/>
              <w:bidi w:val="0"/>
              <w:rPr>
                <w:rFonts w:ascii="Times New Roman" w:eastAsia="宋体" w:hAnsi="Times New Roman" w:cs="Times New Roman" w:hint="default"/>
                <w:color w:val="auto"/>
              </w:rPr>
            </w:pPr>
          </w:p>
        </w:tc>
      </w:tr>
      <w:tr w14:paraId="770A9252">
        <w:tblPrEx>
          <w:tblW w:w="0" w:type="auto"/>
          <w:jc w:val="center"/>
          <w:tblLayout w:type="fixed"/>
          <w:tblCellMar>
            <w:top w:w="0" w:type="dxa"/>
            <w:left w:w="108" w:type="dxa"/>
            <w:bottom w:w="0" w:type="dxa"/>
            <w:right w:w="108" w:type="dxa"/>
          </w:tblCellMar>
        </w:tblPrEx>
        <w:trPr>
          <w:jc w:val="center"/>
        </w:trPr>
        <w:tc>
          <w:tcPr>
            <w:tcW w:w="1368" w:type="dxa"/>
            <w:shd w:val="clear" w:color="auto" w:fill="D8D8D8" w:themeFill="background1" w:themeFillShade="D8"/>
            <w:noWrap w:val="0"/>
            <w:vAlign w:val="center"/>
          </w:tcPr>
          <w:p w14:paraId="165ED63D">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不敏感G3</w:t>
            </w:r>
          </w:p>
        </w:tc>
        <w:tc>
          <w:tcPr>
            <w:tcW w:w="4505" w:type="dxa"/>
            <w:tcBorders>
              <w:bottom w:val="single" w:sz="2" w:space="0" w:color="auto"/>
            </w:tcBorders>
            <w:shd w:val="clear" w:color="auto" w:fill="D8D8D8" w:themeFill="background1" w:themeFillShade="D8"/>
            <w:noWrap w:val="0"/>
            <w:vAlign w:val="center"/>
          </w:tcPr>
          <w:p w14:paraId="16068FB7">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上述地区之外的其他地区</w:t>
            </w:r>
          </w:p>
        </w:tc>
        <w:tc>
          <w:tcPr>
            <w:tcW w:w="1435" w:type="dxa"/>
            <w:vMerge/>
            <w:tcBorders>
              <w:bottom w:val="single" w:sz="2" w:space="0" w:color="auto"/>
            </w:tcBorders>
            <w:noWrap w:val="0"/>
            <w:vAlign w:val="top"/>
          </w:tcPr>
          <w:p w14:paraId="2C857B02">
            <w:pPr>
              <w:pStyle w:val="R-"/>
              <w:bidi w:val="0"/>
              <w:rPr>
                <w:rFonts w:ascii="Times New Roman" w:eastAsia="宋体" w:hAnsi="Times New Roman" w:cs="Times New Roman" w:hint="default"/>
                <w:color w:val="auto"/>
              </w:rPr>
            </w:pPr>
          </w:p>
        </w:tc>
        <w:tc>
          <w:tcPr>
            <w:tcW w:w="1214" w:type="dxa"/>
            <w:vMerge/>
            <w:tcBorders>
              <w:bottom w:val="single" w:sz="2" w:space="0" w:color="auto"/>
            </w:tcBorders>
            <w:noWrap w:val="0"/>
            <w:vAlign w:val="top"/>
          </w:tcPr>
          <w:p w14:paraId="492809BB">
            <w:pPr>
              <w:pStyle w:val="R-"/>
              <w:bidi w:val="0"/>
              <w:rPr>
                <w:rFonts w:ascii="Times New Roman" w:eastAsia="宋体" w:hAnsi="Times New Roman" w:cs="Times New Roman" w:hint="default"/>
                <w:color w:val="auto"/>
              </w:rPr>
            </w:pPr>
          </w:p>
        </w:tc>
      </w:tr>
      <w:tr w14:paraId="152DCE71">
        <w:tblPrEx>
          <w:tblW w:w="0" w:type="auto"/>
          <w:jc w:val="center"/>
          <w:tblLayout w:type="fixed"/>
          <w:tblCellMar>
            <w:top w:w="0" w:type="dxa"/>
            <w:left w:w="108" w:type="dxa"/>
            <w:bottom w:w="0" w:type="dxa"/>
            <w:right w:w="108" w:type="dxa"/>
          </w:tblCellMar>
        </w:tblPrEx>
        <w:trPr>
          <w:jc w:val="center"/>
        </w:trPr>
        <w:tc>
          <w:tcPr>
            <w:tcW w:w="8522" w:type="dxa"/>
            <w:gridSpan w:val="4"/>
            <w:noWrap w:val="0"/>
            <w:vAlign w:val="top"/>
          </w:tcPr>
          <w:p w14:paraId="77C8B40B">
            <w:pPr>
              <w:pStyle w:val="R-"/>
              <w:bidi w:val="0"/>
              <w:rPr>
                <w:rFonts w:ascii="Times New Roman" w:eastAsia="宋体" w:hAnsi="Times New Roman" w:cs="Times New Roman" w:hint="default"/>
                <w:color w:val="auto"/>
              </w:rPr>
            </w:pPr>
            <w:r>
              <w:rPr>
                <w:rFonts w:ascii="Times New Roman" w:eastAsia="宋体" w:hAnsi="Times New Roman" w:cs="Times New Roman" w:hint="default"/>
                <w:color w:val="auto"/>
              </w:rPr>
              <w:t>a“环境敏感区”是指《建设项目环境影响评价分类管理名录》中所界定的涉及地下水的环境敏感区</w:t>
            </w:r>
          </w:p>
        </w:tc>
      </w:tr>
    </w:tbl>
    <w:p w14:paraId="4E53B197">
      <w:pPr>
        <w:pStyle w:val="000"/>
        <w:bidi w:val="0"/>
        <w:rPr>
          <w:rFonts w:ascii="Times New Roman" w:eastAsia="宋体" w:hAnsi="Times New Roman" w:cs="Times New Roman" w:hint="default"/>
          <w:color w:val="auto"/>
        </w:rPr>
      </w:pPr>
    </w:p>
    <w:p w14:paraId="24711359">
      <w:pPr>
        <w:pStyle w:val="000"/>
        <w:bidi w:val="0"/>
        <w:rPr>
          <w:rFonts w:ascii="Times New Roman" w:eastAsia="宋体" w:hAnsi="Times New Roman" w:cs="Times New Roman" w:hint="default"/>
          <w:color w:val="auto"/>
        </w:rPr>
      </w:pPr>
      <w:r>
        <w:rPr>
          <w:rFonts w:ascii="Times New Roman" w:eastAsia="宋体" w:hAnsi="Times New Roman" w:cs="Times New Roman" w:hint="default"/>
          <w:color w:val="auto"/>
        </w:rPr>
        <w:t>表 1</w:t>
      </w:r>
      <w:r>
        <w:rPr>
          <w:rFonts w:ascii="Times New Roman" w:eastAsia="宋体" w:hAnsi="Times New Roman" w:cs="Times New Roman" w:hint="default"/>
          <w:color w:val="auto"/>
          <w:lang w:val="en-US" w:eastAsia="zh-CN"/>
        </w:rPr>
        <w:t>3</w:t>
      </w:r>
      <w:r>
        <w:rPr>
          <w:rFonts w:ascii="Times New Roman" w:eastAsia="宋体" w:hAnsi="Times New Roman" w:cs="Times New Roman" w:hint="default"/>
          <w:color w:val="auto"/>
        </w:rPr>
        <w:t xml:space="preserve">    包气带防污性能分级</w:t>
      </w:r>
    </w:p>
    <w:p w14:paraId="0AF408BF">
      <w:pPr>
        <w:spacing w:line="136" w:lineRule="exact"/>
        <w:rPr>
          <w:rFonts w:ascii="Times New Roman" w:eastAsia="宋体" w:hAnsi="Times New Roman" w:cs="Times New Roman" w:hint="default"/>
          <w:color w:val="auto"/>
        </w:rPr>
      </w:pPr>
    </w:p>
    <w:tbl>
      <w:tblPr>
        <w:tblStyle w:val="TableNormal0"/>
        <w:tblW w:w="8665" w:type="dxa"/>
        <w:tblInd w:w="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1741"/>
        <w:gridCol w:w="6924"/>
      </w:tblGrid>
      <w:tr w14:paraId="65E0E49B">
        <w:tblPrEx>
          <w:tblW w:w="8665" w:type="dxa"/>
          <w:tblInd w:w="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338"/>
        </w:trPr>
        <w:tc>
          <w:tcPr>
            <w:tcW w:w="1741" w:type="dxa"/>
            <w:tcBorders>
              <w:top w:val="single" w:sz="10" w:space="0" w:color="000000"/>
              <w:left w:val="single" w:sz="10" w:space="0" w:color="000000"/>
            </w:tcBorders>
            <w:vAlign w:val="top"/>
          </w:tcPr>
          <w:p w14:paraId="25BBEF20">
            <w:pPr>
              <w:pStyle w:val="TableText"/>
              <w:spacing w:before="66" w:line="229" w:lineRule="auto"/>
              <w:ind w:left="655"/>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4"/>
                <w:sz w:val="21"/>
                <w:szCs w:val="21"/>
                <w:u w:val="single" w:color="000000"/>
                <w14:textOutline w14:w="3795" w14:cap="sq">
                  <w14:solidFill>
                    <w14:srgbClr w14:val="000000"/>
                  </w14:solidFill>
                  <w14:bevel/>
                </w14:textOutline>
              </w:rPr>
              <w:t>分级</w:t>
            </w:r>
            <w:r>
              <w:rPr>
                <w:rFonts w:ascii="Times New Roman" w:eastAsia="宋体" w:hAnsi="Times New Roman" w:cs="Times New Roman" w:hint="default"/>
                <w:color w:val="auto"/>
                <w:sz w:val="21"/>
                <w:szCs w:val="21"/>
                <w:u w:val="single" w:color="auto"/>
              </w:rPr>
              <w:t xml:space="preserve">  </w:t>
            </w:r>
          </w:p>
        </w:tc>
        <w:tc>
          <w:tcPr>
            <w:tcW w:w="6924" w:type="dxa"/>
            <w:tcBorders>
              <w:top w:val="single" w:sz="10" w:space="0" w:color="000000"/>
              <w:right w:val="single" w:sz="10" w:space="0" w:color="000000"/>
            </w:tcBorders>
            <w:vAlign w:val="top"/>
          </w:tcPr>
          <w:p w14:paraId="45D38795">
            <w:pPr>
              <w:pStyle w:val="TableText"/>
              <w:spacing w:before="66" w:line="228" w:lineRule="auto"/>
              <w:ind w:left="2414"/>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9"/>
                <w:sz w:val="21"/>
                <w:szCs w:val="21"/>
                <w:u w:val="single" w:color="000000"/>
                <w14:textOutline w14:w="3795" w14:cap="sq">
                  <w14:solidFill>
                    <w14:srgbClr w14:val="000000"/>
                  </w14:solidFill>
                  <w14:bevel/>
                </w14:textOutline>
              </w:rPr>
              <w:t>包气带岩土的渗透性能</w:t>
            </w:r>
          </w:p>
        </w:tc>
      </w:tr>
      <w:tr w14:paraId="63D45122">
        <w:tblPrEx>
          <w:tblW w:w="8665" w:type="dxa"/>
          <w:tblInd w:w="12" w:type="dxa"/>
          <w:tblLayout w:type="fixed"/>
          <w:tblCellMar>
            <w:top w:w="0" w:type="dxa"/>
            <w:left w:w="0" w:type="dxa"/>
            <w:bottom w:w="0" w:type="dxa"/>
            <w:right w:w="0" w:type="dxa"/>
          </w:tblCellMar>
        </w:tblPrEx>
        <w:trPr>
          <w:trHeight w:val="334"/>
        </w:trPr>
        <w:tc>
          <w:tcPr>
            <w:tcW w:w="1741" w:type="dxa"/>
            <w:tcBorders>
              <w:left w:val="single" w:sz="10" w:space="0" w:color="000000"/>
            </w:tcBorders>
            <w:vAlign w:val="top"/>
          </w:tcPr>
          <w:p w14:paraId="4C7F3BBF">
            <w:pPr>
              <w:spacing w:before="104" w:line="195" w:lineRule="auto"/>
              <w:ind w:left="730"/>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3"/>
                <w:sz w:val="21"/>
                <w:szCs w:val="21"/>
                <w:u w:val="single" w:color="auto"/>
              </w:rPr>
              <w:t>D3</w:t>
            </w:r>
          </w:p>
        </w:tc>
        <w:tc>
          <w:tcPr>
            <w:tcW w:w="6924" w:type="dxa"/>
            <w:tcBorders>
              <w:right w:val="single" w:sz="10" w:space="0" w:color="000000"/>
            </w:tcBorders>
            <w:vAlign w:val="top"/>
          </w:tcPr>
          <w:p w14:paraId="2F969837">
            <w:pPr>
              <w:pStyle w:val="TableText"/>
              <w:spacing w:before="38" w:line="264" w:lineRule="auto"/>
              <w:ind w:left="100"/>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u w:val="single" w:color="auto"/>
              </w:rPr>
              <w:t>Mb</w:t>
            </w:r>
            <w:r>
              <w:rPr>
                <w:rFonts w:ascii="Times New Roman" w:eastAsia="宋体" w:hAnsi="Times New Roman" w:cs="Times New Roman" w:hint="default"/>
                <w:color w:val="auto"/>
                <w:spacing w:val="4"/>
                <w:sz w:val="21"/>
                <w:szCs w:val="21"/>
                <w:u w:val="single" w:color="auto"/>
              </w:rPr>
              <w:t>≥1.0m</w:t>
            </w:r>
            <w:r>
              <w:rPr>
                <w:rFonts w:ascii="Times New Roman" w:eastAsia="宋体" w:hAnsi="Times New Roman" w:cs="Times New Roman" w:hint="default"/>
                <w:color w:val="auto"/>
                <w:spacing w:val="-26"/>
                <w:sz w:val="21"/>
                <w:szCs w:val="21"/>
                <w:u w:val="single" w:color="auto"/>
              </w:rPr>
              <w:t xml:space="preserve"> </w:t>
            </w:r>
            <w:r>
              <w:rPr>
                <w:rFonts w:ascii="Times New Roman" w:eastAsia="宋体" w:hAnsi="Times New Roman" w:cs="Times New Roman" w:hint="default"/>
                <w:color w:val="auto"/>
                <w:spacing w:val="4"/>
                <w:sz w:val="21"/>
                <w:szCs w:val="21"/>
                <w:u w:val="single" w:color="auto"/>
              </w:rPr>
              <w:t>，K≤1.0</w:t>
            </w:r>
            <w:r>
              <w:rPr>
                <w:rFonts w:ascii="Times New Roman" w:eastAsia="宋体" w:hAnsi="Times New Roman" w:cs="Times New Roman" w:hint="default"/>
                <w:color w:val="auto"/>
                <w:spacing w:val="-35"/>
                <w:sz w:val="21"/>
                <w:szCs w:val="21"/>
                <w:u w:val="single" w:color="auto"/>
              </w:rPr>
              <w:t xml:space="preserve"> </w:t>
            </w:r>
            <w:r>
              <w:rPr>
                <w:rFonts w:ascii="Times New Roman" w:eastAsia="宋体" w:hAnsi="Times New Roman" w:cs="Times New Roman" w:hint="default"/>
                <w:color w:val="auto"/>
                <w:spacing w:val="4"/>
                <w:sz w:val="21"/>
                <w:szCs w:val="21"/>
                <w:u w:val="single" w:color="auto"/>
              </w:rPr>
              <w:t>×</w:t>
            </w:r>
            <w:r>
              <w:rPr>
                <w:rFonts w:ascii="Times New Roman" w:eastAsia="宋体" w:hAnsi="Times New Roman" w:cs="Times New Roman" w:hint="default"/>
                <w:color w:val="auto"/>
                <w:spacing w:val="-23"/>
                <w:sz w:val="21"/>
                <w:szCs w:val="21"/>
                <w:u w:val="single" w:color="auto"/>
              </w:rPr>
              <w:t xml:space="preserve"> </w:t>
            </w:r>
            <w:r>
              <w:rPr>
                <w:rFonts w:ascii="Times New Roman" w:eastAsia="宋体" w:hAnsi="Times New Roman" w:cs="Times New Roman" w:hint="default"/>
                <w:color w:val="auto"/>
                <w:spacing w:val="4"/>
                <w:sz w:val="21"/>
                <w:szCs w:val="21"/>
                <w:u w:val="single" w:color="auto"/>
              </w:rPr>
              <w:t>10</w:t>
            </w:r>
            <w:r>
              <w:rPr>
                <w:rFonts w:ascii="Times New Roman" w:eastAsia="宋体" w:hAnsi="Times New Roman" w:cs="Times New Roman" w:hint="default"/>
                <w:color w:val="auto"/>
                <w:spacing w:val="4"/>
                <w:position w:val="6"/>
                <w:sz w:val="21"/>
                <w:szCs w:val="21"/>
                <w:u w:val="single" w:color="auto"/>
              </w:rPr>
              <w:t>-6</w:t>
            </w:r>
            <w:r>
              <w:rPr>
                <w:rFonts w:ascii="Times New Roman" w:eastAsia="宋体" w:hAnsi="Times New Roman" w:cs="Times New Roman" w:hint="default"/>
                <w:color w:val="auto"/>
                <w:sz w:val="21"/>
                <w:szCs w:val="21"/>
                <w:u w:val="single" w:color="auto"/>
              </w:rPr>
              <w:t>cm</w:t>
            </w:r>
            <w:r>
              <w:rPr>
                <w:rFonts w:ascii="Times New Roman" w:eastAsia="宋体" w:hAnsi="Times New Roman" w:cs="Times New Roman" w:hint="default"/>
                <w:color w:val="auto"/>
                <w:spacing w:val="4"/>
                <w:sz w:val="21"/>
                <w:szCs w:val="21"/>
                <w:u w:val="single" w:color="auto"/>
              </w:rPr>
              <w:t>/s</w:t>
            </w:r>
            <w:r>
              <w:rPr>
                <w:rFonts w:ascii="Times New Roman" w:eastAsia="宋体" w:hAnsi="Times New Roman" w:cs="Times New Roman" w:hint="default"/>
                <w:color w:val="auto"/>
                <w:spacing w:val="-24"/>
                <w:sz w:val="21"/>
                <w:szCs w:val="21"/>
                <w:u w:val="single" w:color="auto"/>
              </w:rPr>
              <w:t xml:space="preserve"> </w:t>
            </w:r>
            <w:r>
              <w:rPr>
                <w:rFonts w:ascii="Times New Roman" w:eastAsia="宋体" w:hAnsi="Times New Roman" w:cs="Times New Roman" w:hint="default"/>
                <w:color w:val="auto"/>
                <w:spacing w:val="4"/>
                <w:sz w:val="21"/>
                <w:szCs w:val="21"/>
                <w:u w:val="single" w:color="auto"/>
              </w:rPr>
              <w:t>，且分布连续、稳定</w:t>
            </w:r>
          </w:p>
        </w:tc>
      </w:tr>
      <w:tr w14:paraId="6FD64E95">
        <w:tblPrEx>
          <w:tblW w:w="8665" w:type="dxa"/>
          <w:tblInd w:w="12" w:type="dxa"/>
          <w:tblLayout w:type="fixed"/>
          <w:tblCellMar>
            <w:top w:w="0" w:type="dxa"/>
            <w:left w:w="0" w:type="dxa"/>
            <w:bottom w:w="0" w:type="dxa"/>
            <w:right w:w="0" w:type="dxa"/>
          </w:tblCellMar>
        </w:tblPrEx>
        <w:trPr>
          <w:trHeight w:val="633"/>
        </w:trPr>
        <w:tc>
          <w:tcPr>
            <w:tcW w:w="1741" w:type="dxa"/>
            <w:tcBorders>
              <w:left w:val="single" w:sz="10" w:space="0" w:color="000000"/>
            </w:tcBorders>
            <w:shd w:val="clear" w:color="auto" w:fill="auto"/>
            <w:vAlign w:val="top"/>
          </w:tcPr>
          <w:p w14:paraId="74BD2AEF">
            <w:pPr>
              <w:spacing w:before="259" w:line="195" w:lineRule="auto"/>
              <w:ind w:left="730"/>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3"/>
                <w:sz w:val="21"/>
                <w:szCs w:val="21"/>
                <w:u w:val="single" w:color="auto"/>
              </w:rPr>
              <w:t>D2</w:t>
            </w:r>
          </w:p>
        </w:tc>
        <w:tc>
          <w:tcPr>
            <w:tcW w:w="6924" w:type="dxa"/>
            <w:tcBorders>
              <w:right w:val="single" w:sz="10" w:space="0" w:color="000000"/>
            </w:tcBorders>
            <w:shd w:val="clear" w:color="auto" w:fill="auto"/>
            <w:vAlign w:val="top"/>
          </w:tcPr>
          <w:p w14:paraId="6D85163B">
            <w:pPr>
              <w:pStyle w:val="TableText"/>
              <w:spacing w:before="42" w:line="281" w:lineRule="auto"/>
              <w:ind w:left="104"/>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4"/>
                <w:sz w:val="21"/>
                <w:szCs w:val="21"/>
                <w:u w:val="single" w:color="auto"/>
              </w:rPr>
              <w:t>0.5m≤</w:t>
            </w:r>
            <w:r>
              <w:rPr>
                <w:rFonts w:ascii="Times New Roman" w:eastAsia="宋体" w:hAnsi="Times New Roman" w:cs="Times New Roman" w:hint="default"/>
                <w:color w:val="auto"/>
                <w:sz w:val="21"/>
                <w:szCs w:val="21"/>
                <w:u w:val="single" w:color="auto"/>
              </w:rPr>
              <w:t>Mb</w:t>
            </w:r>
            <w:r>
              <w:rPr>
                <w:rFonts w:ascii="Times New Roman" w:eastAsia="宋体" w:hAnsi="Times New Roman" w:cs="Times New Roman" w:hint="default"/>
                <w:color w:val="auto"/>
                <w:spacing w:val="4"/>
                <w:sz w:val="21"/>
                <w:szCs w:val="21"/>
                <w:u w:val="single" w:color="auto"/>
              </w:rPr>
              <w:t>&lt;1.0m</w:t>
            </w:r>
            <w:r>
              <w:rPr>
                <w:rFonts w:ascii="Times New Roman" w:eastAsia="宋体" w:hAnsi="Times New Roman" w:cs="Times New Roman" w:hint="default"/>
                <w:color w:val="auto"/>
                <w:spacing w:val="-21"/>
                <w:sz w:val="21"/>
                <w:szCs w:val="21"/>
                <w:u w:val="single" w:color="auto"/>
              </w:rPr>
              <w:t xml:space="preserve"> </w:t>
            </w:r>
            <w:r>
              <w:rPr>
                <w:rFonts w:ascii="Times New Roman" w:eastAsia="宋体" w:hAnsi="Times New Roman" w:cs="Times New Roman" w:hint="default"/>
                <w:color w:val="auto"/>
                <w:spacing w:val="4"/>
                <w:sz w:val="21"/>
                <w:szCs w:val="21"/>
                <w:u w:val="single" w:color="auto"/>
              </w:rPr>
              <w:t>，K≤1.0</w:t>
            </w:r>
            <w:r>
              <w:rPr>
                <w:rFonts w:ascii="Times New Roman" w:eastAsia="宋体" w:hAnsi="Times New Roman" w:cs="Times New Roman" w:hint="default"/>
                <w:color w:val="auto"/>
                <w:spacing w:val="-35"/>
                <w:sz w:val="21"/>
                <w:szCs w:val="21"/>
                <w:u w:val="single" w:color="auto"/>
              </w:rPr>
              <w:t xml:space="preserve"> </w:t>
            </w:r>
            <w:r>
              <w:rPr>
                <w:rFonts w:ascii="Times New Roman" w:eastAsia="宋体" w:hAnsi="Times New Roman" w:cs="Times New Roman" w:hint="default"/>
                <w:color w:val="auto"/>
                <w:spacing w:val="4"/>
                <w:sz w:val="21"/>
                <w:szCs w:val="21"/>
                <w:u w:val="single" w:color="auto"/>
              </w:rPr>
              <w:t>×</w:t>
            </w:r>
            <w:r>
              <w:rPr>
                <w:rFonts w:ascii="Times New Roman" w:eastAsia="宋体" w:hAnsi="Times New Roman" w:cs="Times New Roman" w:hint="default"/>
                <w:color w:val="auto"/>
                <w:spacing w:val="-25"/>
                <w:sz w:val="21"/>
                <w:szCs w:val="21"/>
                <w:u w:val="single" w:color="auto"/>
              </w:rPr>
              <w:t xml:space="preserve"> </w:t>
            </w:r>
            <w:r>
              <w:rPr>
                <w:rFonts w:ascii="Times New Roman" w:eastAsia="宋体" w:hAnsi="Times New Roman" w:cs="Times New Roman" w:hint="default"/>
                <w:color w:val="auto"/>
                <w:spacing w:val="4"/>
                <w:sz w:val="21"/>
                <w:szCs w:val="21"/>
                <w:u w:val="single" w:color="auto"/>
              </w:rPr>
              <w:t>10</w:t>
            </w:r>
            <w:r>
              <w:rPr>
                <w:rFonts w:ascii="Times New Roman" w:eastAsia="宋体" w:hAnsi="Times New Roman" w:cs="Times New Roman" w:hint="default"/>
                <w:color w:val="auto"/>
                <w:spacing w:val="4"/>
                <w:position w:val="6"/>
                <w:sz w:val="21"/>
                <w:szCs w:val="21"/>
                <w:u w:val="single" w:color="auto"/>
              </w:rPr>
              <w:t>-6</w:t>
            </w:r>
            <w:r>
              <w:rPr>
                <w:rFonts w:ascii="Times New Roman" w:eastAsia="宋体" w:hAnsi="Times New Roman" w:cs="Times New Roman" w:hint="default"/>
                <w:color w:val="auto"/>
                <w:sz w:val="21"/>
                <w:szCs w:val="21"/>
                <w:u w:val="single" w:color="auto"/>
              </w:rPr>
              <w:t>cm</w:t>
            </w:r>
            <w:r>
              <w:rPr>
                <w:rFonts w:ascii="Times New Roman" w:eastAsia="宋体" w:hAnsi="Times New Roman" w:cs="Times New Roman" w:hint="default"/>
                <w:color w:val="auto"/>
                <w:spacing w:val="4"/>
                <w:sz w:val="21"/>
                <w:szCs w:val="21"/>
                <w:u w:val="single" w:color="auto"/>
              </w:rPr>
              <w:t>/s</w:t>
            </w:r>
            <w:r>
              <w:rPr>
                <w:rFonts w:ascii="Times New Roman" w:eastAsia="宋体" w:hAnsi="Times New Roman" w:cs="Times New Roman" w:hint="default"/>
                <w:color w:val="auto"/>
                <w:spacing w:val="-27"/>
                <w:sz w:val="21"/>
                <w:szCs w:val="21"/>
                <w:u w:val="single" w:color="auto"/>
              </w:rPr>
              <w:t xml:space="preserve"> </w:t>
            </w:r>
            <w:r>
              <w:rPr>
                <w:rFonts w:ascii="Times New Roman" w:eastAsia="宋体" w:hAnsi="Times New Roman" w:cs="Times New Roman" w:hint="default"/>
                <w:color w:val="auto"/>
                <w:spacing w:val="4"/>
                <w:sz w:val="21"/>
                <w:szCs w:val="21"/>
                <w:u w:val="single" w:color="auto"/>
              </w:rPr>
              <w:t>，且分布连续、稳定</w:t>
            </w:r>
          </w:p>
          <w:p w14:paraId="1DC5113F">
            <w:pPr>
              <w:pStyle w:val="TableText"/>
              <w:spacing w:line="274" w:lineRule="exact"/>
              <w:ind w:left="100"/>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shd w:val="clear" w:color="auto" w:fill="auto"/>
              </w:rPr>
              <mc:AlternateContent>
                <mc:Choice Requires="wps">
                  <w:drawing>
                    <wp:anchor distT="0" distB="0" distL="114300" distR="114300" simplePos="0" relativeHeight="251660288" behindDoc="0" locked="0" layoutInCell="1" allowOverlap="1">
                      <wp:simplePos x="0" y="0"/>
                      <wp:positionH relativeFrom="column">
                        <wp:posOffset>60960</wp:posOffset>
                      </wp:positionH>
                      <wp:positionV relativeFrom="paragraph">
                        <wp:posOffset>146050</wp:posOffset>
                      </wp:positionV>
                      <wp:extent cx="3564255" cy="6350"/>
                      <wp:effectExtent l="0" t="0" r="0" b="0"/>
                      <wp:wrapNone/>
                      <wp:docPr id="8" name="矩形 8"/>
                      <wp:cNvGraphicFramePr/>
                      <a:graphic xmlns:a="http://schemas.openxmlformats.org/drawingml/2006/main">
                        <a:graphicData uri="http://schemas.microsoft.com/office/word/2010/wordprocessingShape">
                          <wps:wsp xmlns:wps="http://schemas.microsoft.com/office/word/2010/wordprocessingShape">
                            <wps:cNvSpPr/>
                            <wps:spPr>
                              <a:xfrm>
                                <a:off x="0" y="0"/>
                                <a:ext cx="3564255" cy="6350"/>
                              </a:xfrm>
                              <a:prstGeom prst="rect">
                                <a:avLst/>
                              </a:prstGeom>
                              <a:solidFill>
                                <a:srgbClr val="000000"/>
                              </a:solidFill>
                              <a:ln>
                                <a:noFill/>
                              </a:ln>
                            </wps:spPr>
                            <wps:bodyPr upright="1"/>
                          </wps:wsp>
                        </a:graphicData>
                      </a:graphic>
                    </wp:anchor>
                  </w:drawing>
                </mc:Choice>
                <mc:Fallback>
                  <w:pict>
                    <v:rect id="_x0000_s1026" o:spid="_x0000_s1032" style="width:280.65pt;height:0.5pt;margin-top:11.5pt;margin-left:4.8pt;mso-height-relative:page;mso-width-relative:page;position:absolute;z-index:251661312" coordsize="21600,21600" filled="t" fillcolor="black" stroked="f">
                      <o:lock v:ext="edit" aspectratio="f"/>
                    </v:rect>
                  </w:pict>
                </mc:Fallback>
              </mc:AlternateContent>
            </w:r>
            <w:r>
              <w:rPr>
                <w:rFonts w:ascii="Times New Roman" w:eastAsia="宋体" w:hAnsi="Times New Roman" w:cs="Times New Roman" w:hint="default"/>
                <w:color w:val="auto"/>
                <w:position w:val="1"/>
                <w:sz w:val="21"/>
                <w:szCs w:val="21"/>
                <w:shd w:val="clear" w:color="auto" w:fill="auto"/>
              </w:rPr>
              <w:t>Mb</w:t>
            </w:r>
            <w:r>
              <w:rPr>
                <w:rFonts w:ascii="Times New Roman" w:eastAsia="宋体" w:hAnsi="Times New Roman" w:cs="Times New Roman" w:hint="default"/>
                <w:color w:val="auto"/>
                <w:spacing w:val="2"/>
                <w:position w:val="1"/>
                <w:sz w:val="21"/>
                <w:szCs w:val="21"/>
                <w:shd w:val="clear" w:color="auto" w:fill="auto"/>
              </w:rPr>
              <w:t>≥</w:t>
            </w:r>
            <w:r>
              <w:rPr>
                <w:rFonts w:ascii="Times New Roman" w:eastAsia="宋体" w:hAnsi="Times New Roman" w:cs="Times New Roman" w:hint="default"/>
                <w:color w:val="auto"/>
                <w:spacing w:val="-25"/>
                <w:position w:val="1"/>
                <w:sz w:val="21"/>
                <w:szCs w:val="21"/>
                <w:shd w:val="clear" w:color="auto" w:fill="auto"/>
              </w:rPr>
              <w:t xml:space="preserve"> </w:t>
            </w:r>
            <w:r>
              <w:rPr>
                <w:rFonts w:ascii="Times New Roman" w:eastAsia="宋体" w:hAnsi="Times New Roman" w:cs="Times New Roman" w:hint="default"/>
                <w:color w:val="auto"/>
                <w:spacing w:val="2"/>
                <w:position w:val="1"/>
                <w:sz w:val="21"/>
                <w:szCs w:val="21"/>
                <w:shd w:val="clear" w:color="auto" w:fill="auto"/>
              </w:rPr>
              <w:t>1.0m</w:t>
            </w:r>
            <w:r>
              <w:rPr>
                <w:rFonts w:ascii="Times New Roman" w:eastAsia="宋体" w:hAnsi="Times New Roman" w:cs="Times New Roman" w:hint="default"/>
                <w:color w:val="auto"/>
                <w:spacing w:val="-29"/>
                <w:position w:val="1"/>
                <w:sz w:val="21"/>
                <w:szCs w:val="21"/>
                <w:shd w:val="clear" w:color="auto" w:fill="auto"/>
              </w:rPr>
              <w:t xml:space="preserve"> </w:t>
            </w:r>
            <w:r>
              <w:rPr>
                <w:rFonts w:ascii="Times New Roman" w:eastAsia="宋体" w:hAnsi="Times New Roman" w:cs="Times New Roman" w:hint="default"/>
                <w:color w:val="auto"/>
                <w:spacing w:val="2"/>
                <w:position w:val="1"/>
                <w:sz w:val="21"/>
                <w:szCs w:val="21"/>
                <w:shd w:val="clear" w:color="auto" w:fill="auto"/>
              </w:rPr>
              <w:t>，1.0</w:t>
            </w:r>
            <w:r>
              <w:rPr>
                <w:rFonts w:ascii="Times New Roman" w:eastAsia="宋体" w:hAnsi="Times New Roman" w:cs="Times New Roman" w:hint="default"/>
                <w:color w:val="auto"/>
                <w:spacing w:val="-34"/>
                <w:position w:val="1"/>
                <w:sz w:val="21"/>
                <w:szCs w:val="21"/>
                <w:shd w:val="clear" w:color="auto" w:fill="auto"/>
              </w:rPr>
              <w:t xml:space="preserve"> </w:t>
            </w:r>
            <w:r>
              <w:rPr>
                <w:rFonts w:ascii="Times New Roman" w:eastAsia="宋体" w:hAnsi="Times New Roman" w:cs="Times New Roman" w:hint="default"/>
                <w:color w:val="auto"/>
                <w:spacing w:val="2"/>
                <w:position w:val="1"/>
                <w:sz w:val="21"/>
                <w:szCs w:val="21"/>
                <w:shd w:val="clear" w:color="auto" w:fill="auto"/>
              </w:rPr>
              <w:t>×</w:t>
            </w:r>
            <w:r>
              <w:rPr>
                <w:rFonts w:ascii="Times New Roman" w:eastAsia="宋体" w:hAnsi="Times New Roman" w:cs="Times New Roman" w:hint="default"/>
                <w:color w:val="auto"/>
                <w:spacing w:val="-26"/>
                <w:position w:val="1"/>
                <w:sz w:val="21"/>
                <w:szCs w:val="21"/>
                <w:shd w:val="clear" w:color="auto" w:fill="auto"/>
              </w:rPr>
              <w:t xml:space="preserve"> </w:t>
            </w:r>
            <w:r>
              <w:rPr>
                <w:rFonts w:ascii="Times New Roman" w:eastAsia="宋体" w:hAnsi="Times New Roman" w:cs="Times New Roman" w:hint="default"/>
                <w:color w:val="auto"/>
                <w:spacing w:val="2"/>
                <w:position w:val="1"/>
                <w:sz w:val="21"/>
                <w:szCs w:val="21"/>
                <w:shd w:val="clear" w:color="auto" w:fill="auto"/>
              </w:rPr>
              <w:t>10</w:t>
            </w:r>
            <w:r>
              <w:rPr>
                <w:rFonts w:ascii="Times New Roman" w:eastAsia="宋体" w:hAnsi="Times New Roman" w:cs="Times New Roman" w:hint="default"/>
                <w:color w:val="auto"/>
                <w:spacing w:val="2"/>
                <w:position w:val="7"/>
                <w:sz w:val="21"/>
                <w:szCs w:val="21"/>
                <w:shd w:val="clear" w:color="auto" w:fill="auto"/>
              </w:rPr>
              <w:t>-6</w:t>
            </w:r>
            <w:r>
              <w:rPr>
                <w:rFonts w:ascii="Times New Roman" w:eastAsia="宋体" w:hAnsi="Times New Roman" w:cs="Times New Roman" w:hint="default"/>
                <w:color w:val="auto"/>
                <w:position w:val="1"/>
                <w:sz w:val="21"/>
                <w:szCs w:val="21"/>
                <w:shd w:val="clear" w:color="auto" w:fill="auto"/>
              </w:rPr>
              <w:t>cm</w:t>
            </w:r>
            <w:r>
              <w:rPr>
                <w:rFonts w:ascii="Times New Roman" w:eastAsia="宋体" w:hAnsi="Times New Roman" w:cs="Times New Roman" w:hint="default"/>
                <w:color w:val="auto"/>
                <w:spacing w:val="2"/>
                <w:position w:val="1"/>
                <w:sz w:val="21"/>
                <w:szCs w:val="21"/>
                <w:shd w:val="clear" w:color="auto" w:fill="auto"/>
              </w:rPr>
              <w:t>/s</w:t>
            </w:r>
            <w:r>
              <w:rPr>
                <w:rFonts w:ascii="Times New Roman" w:eastAsia="宋体" w:hAnsi="Times New Roman" w:cs="Times New Roman" w:hint="default"/>
                <w:color w:val="auto"/>
                <w:spacing w:val="-26"/>
                <w:position w:val="1"/>
                <w:sz w:val="21"/>
                <w:szCs w:val="21"/>
                <w:shd w:val="clear" w:color="auto" w:fill="auto"/>
              </w:rPr>
              <w:t xml:space="preserve"> </w:t>
            </w:r>
            <w:r>
              <w:rPr>
                <w:rFonts w:ascii="Times New Roman" w:eastAsia="宋体" w:hAnsi="Times New Roman" w:cs="Times New Roman" w:hint="default"/>
                <w:color w:val="auto"/>
                <w:spacing w:val="2"/>
                <w:position w:val="1"/>
                <w:sz w:val="21"/>
                <w:szCs w:val="21"/>
                <w:shd w:val="clear" w:color="auto" w:fill="auto"/>
              </w:rPr>
              <w:t>＜K≤</w:t>
            </w:r>
            <w:r>
              <w:rPr>
                <w:rFonts w:ascii="Times New Roman" w:eastAsia="宋体" w:hAnsi="Times New Roman" w:cs="Times New Roman" w:hint="default"/>
                <w:color w:val="auto"/>
                <w:spacing w:val="-25"/>
                <w:position w:val="1"/>
                <w:sz w:val="21"/>
                <w:szCs w:val="21"/>
                <w:shd w:val="clear" w:color="auto" w:fill="auto"/>
              </w:rPr>
              <w:t xml:space="preserve"> </w:t>
            </w:r>
            <w:r>
              <w:rPr>
                <w:rFonts w:ascii="Times New Roman" w:eastAsia="宋体" w:hAnsi="Times New Roman" w:cs="Times New Roman" w:hint="default"/>
                <w:color w:val="auto"/>
                <w:spacing w:val="2"/>
                <w:position w:val="1"/>
                <w:sz w:val="21"/>
                <w:szCs w:val="21"/>
                <w:shd w:val="clear" w:color="auto" w:fill="auto"/>
              </w:rPr>
              <w:t>1</w:t>
            </w:r>
            <w:r>
              <w:rPr>
                <w:rFonts w:ascii="Times New Roman" w:eastAsia="宋体" w:hAnsi="Times New Roman" w:cs="Times New Roman" w:hint="default"/>
                <w:color w:val="auto"/>
                <w:spacing w:val="1"/>
                <w:position w:val="1"/>
                <w:sz w:val="21"/>
                <w:szCs w:val="21"/>
                <w:shd w:val="clear" w:color="auto" w:fill="auto"/>
              </w:rPr>
              <w:t>.0</w:t>
            </w:r>
            <w:r>
              <w:rPr>
                <w:rFonts w:ascii="Times New Roman" w:eastAsia="宋体" w:hAnsi="Times New Roman" w:cs="Times New Roman" w:hint="default"/>
                <w:color w:val="auto"/>
                <w:spacing w:val="-32"/>
                <w:position w:val="1"/>
                <w:sz w:val="21"/>
                <w:szCs w:val="21"/>
                <w:shd w:val="clear" w:color="auto" w:fill="auto"/>
              </w:rPr>
              <w:t xml:space="preserve"> </w:t>
            </w:r>
            <w:r>
              <w:rPr>
                <w:rFonts w:ascii="Times New Roman" w:eastAsia="宋体" w:hAnsi="Times New Roman" w:cs="Times New Roman" w:hint="default"/>
                <w:color w:val="auto"/>
                <w:spacing w:val="1"/>
                <w:position w:val="1"/>
                <w:sz w:val="21"/>
                <w:szCs w:val="21"/>
                <w:shd w:val="clear" w:color="auto" w:fill="auto"/>
              </w:rPr>
              <w:t>×</w:t>
            </w:r>
            <w:r>
              <w:rPr>
                <w:rFonts w:ascii="Times New Roman" w:eastAsia="宋体" w:hAnsi="Times New Roman" w:cs="Times New Roman" w:hint="default"/>
                <w:color w:val="auto"/>
                <w:spacing w:val="-25"/>
                <w:position w:val="1"/>
                <w:sz w:val="21"/>
                <w:szCs w:val="21"/>
                <w:shd w:val="clear" w:color="auto" w:fill="auto"/>
              </w:rPr>
              <w:t xml:space="preserve"> </w:t>
            </w:r>
            <w:r>
              <w:rPr>
                <w:rFonts w:ascii="Times New Roman" w:eastAsia="宋体" w:hAnsi="Times New Roman" w:cs="Times New Roman" w:hint="default"/>
                <w:color w:val="auto"/>
                <w:spacing w:val="1"/>
                <w:position w:val="1"/>
                <w:sz w:val="21"/>
                <w:szCs w:val="21"/>
                <w:shd w:val="clear" w:color="auto" w:fill="auto"/>
              </w:rPr>
              <w:t>10</w:t>
            </w:r>
            <w:r>
              <w:rPr>
                <w:rFonts w:ascii="Times New Roman" w:eastAsia="宋体" w:hAnsi="Times New Roman" w:cs="Times New Roman" w:hint="default"/>
                <w:color w:val="auto"/>
                <w:spacing w:val="1"/>
                <w:position w:val="7"/>
                <w:sz w:val="21"/>
                <w:szCs w:val="21"/>
                <w:shd w:val="clear" w:color="auto" w:fill="auto"/>
              </w:rPr>
              <w:t>-4</w:t>
            </w:r>
            <w:r>
              <w:rPr>
                <w:rFonts w:ascii="Times New Roman" w:eastAsia="宋体" w:hAnsi="Times New Roman" w:cs="Times New Roman" w:hint="default"/>
                <w:color w:val="auto"/>
                <w:position w:val="1"/>
                <w:sz w:val="21"/>
                <w:szCs w:val="21"/>
                <w:shd w:val="clear" w:color="auto" w:fill="auto"/>
              </w:rPr>
              <w:t>cm</w:t>
            </w:r>
            <w:r>
              <w:rPr>
                <w:rFonts w:ascii="Times New Roman" w:eastAsia="宋体" w:hAnsi="Times New Roman" w:cs="Times New Roman" w:hint="default"/>
                <w:color w:val="auto"/>
                <w:spacing w:val="1"/>
                <w:position w:val="1"/>
                <w:sz w:val="21"/>
                <w:szCs w:val="21"/>
                <w:shd w:val="clear" w:color="auto" w:fill="auto"/>
              </w:rPr>
              <w:t>/s</w:t>
            </w:r>
            <w:r>
              <w:rPr>
                <w:rFonts w:ascii="Times New Roman" w:eastAsia="宋体" w:hAnsi="Times New Roman" w:cs="Times New Roman" w:hint="default"/>
                <w:color w:val="auto"/>
                <w:spacing w:val="-25"/>
                <w:position w:val="1"/>
                <w:sz w:val="21"/>
                <w:szCs w:val="21"/>
                <w:shd w:val="clear" w:color="auto" w:fill="auto"/>
              </w:rPr>
              <w:t xml:space="preserve"> </w:t>
            </w:r>
            <w:r>
              <w:rPr>
                <w:rFonts w:ascii="Times New Roman" w:eastAsia="宋体" w:hAnsi="Times New Roman" w:cs="Times New Roman" w:hint="default"/>
                <w:color w:val="auto"/>
                <w:spacing w:val="1"/>
                <w:position w:val="1"/>
                <w:sz w:val="21"/>
                <w:szCs w:val="21"/>
                <w:shd w:val="clear" w:color="auto" w:fill="auto"/>
              </w:rPr>
              <w:t>，且分布连续、稳定</w:t>
            </w:r>
          </w:p>
        </w:tc>
      </w:tr>
      <w:tr w14:paraId="0ADB0D47">
        <w:tblPrEx>
          <w:tblW w:w="8665" w:type="dxa"/>
          <w:tblInd w:w="12" w:type="dxa"/>
          <w:tblLayout w:type="fixed"/>
          <w:tblCellMar>
            <w:top w:w="0" w:type="dxa"/>
            <w:left w:w="0" w:type="dxa"/>
            <w:bottom w:w="0" w:type="dxa"/>
            <w:right w:w="0" w:type="dxa"/>
          </w:tblCellMar>
        </w:tblPrEx>
        <w:trPr>
          <w:trHeight w:val="358"/>
        </w:trPr>
        <w:tc>
          <w:tcPr>
            <w:tcW w:w="1741" w:type="dxa"/>
            <w:tcBorders>
              <w:left w:val="single" w:sz="10" w:space="0" w:color="000000"/>
              <w:bottom w:val="single" w:sz="10" w:space="0" w:color="000000"/>
            </w:tcBorders>
            <w:shd w:val="clear" w:color="auto" w:fill="D8D8D8" w:themeFill="background1" w:themeFillShade="D8"/>
            <w:vAlign w:val="top"/>
          </w:tcPr>
          <w:p w14:paraId="0FA82448">
            <w:pPr>
              <w:spacing w:before="118" w:line="195" w:lineRule="auto"/>
              <w:ind w:left="730"/>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3"/>
                <w:sz w:val="21"/>
                <w:szCs w:val="21"/>
                <w:u w:val="single" w:color="auto"/>
              </w:rPr>
              <w:t>D1</w:t>
            </w:r>
          </w:p>
        </w:tc>
        <w:tc>
          <w:tcPr>
            <w:tcW w:w="6924" w:type="dxa"/>
            <w:tcBorders>
              <w:bottom w:val="single" w:sz="10" w:space="0" w:color="000000"/>
              <w:right w:val="single" w:sz="10" w:space="0" w:color="000000"/>
            </w:tcBorders>
            <w:shd w:val="clear" w:color="auto" w:fill="D8D8D8" w:themeFill="background1" w:themeFillShade="D8"/>
            <w:vAlign w:val="top"/>
          </w:tcPr>
          <w:p w14:paraId="186FE361">
            <w:pPr>
              <w:pStyle w:val="TableText"/>
              <w:spacing w:before="83" w:line="228" w:lineRule="auto"/>
              <w:ind w:left="105"/>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7"/>
                <w:sz w:val="21"/>
                <w:szCs w:val="21"/>
                <w:u w:val="single" w:color="auto"/>
              </w:rPr>
              <w:t>岩（土）层不满足上述“D2”和“D3”条件</w:t>
            </w:r>
          </w:p>
        </w:tc>
      </w:tr>
    </w:tbl>
    <w:p w14:paraId="2E46FDA2">
      <w:pPr>
        <w:pStyle w:val="00005"/>
        <w:bidi w:val="0"/>
        <w:rPr>
          <w:rFonts w:ascii="Times New Roman" w:eastAsia="宋体" w:hAnsi="Times New Roman" w:cs="Times New Roman" w:hint="default"/>
          <w:color w:val="auto"/>
          <w:sz w:val="21"/>
          <w:lang w:eastAsia="zh-CN"/>
        </w:rPr>
      </w:pPr>
      <w:r>
        <w:rPr>
          <w:rFonts w:ascii="Times New Roman" w:eastAsia="宋体" w:hAnsi="Times New Roman" w:cs="Times New Roman" w:hint="default"/>
          <w:color w:val="auto"/>
          <w:sz w:val="24"/>
        </w:rPr>
        <w:t>根据现场水文地质勘察，项目厂区包气带岩性主要粉细砂</w:t>
      </w:r>
      <w:r>
        <w:rPr>
          <w:rFonts w:cs="Times New Roman" w:hint="eastAsia"/>
          <w:color w:val="auto"/>
          <w:sz w:val="24"/>
          <w:lang w:eastAsia="zh-CN"/>
        </w:rPr>
        <w:t>、角砾</w:t>
      </w:r>
      <w:r>
        <w:rPr>
          <w:rFonts w:ascii="Times New Roman" w:eastAsia="宋体" w:hAnsi="Times New Roman" w:cs="Times New Roman" w:hint="default"/>
          <w:color w:val="auto"/>
          <w:sz w:val="24"/>
        </w:rPr>
        <w:t>，且分布连续稳定，包气带垂向渗透系数约</w:t>
      </w:r>
      <w:r>
        <w:rPr>
          <w:rFonts w:cs="Times New Roman" w:hint="eastAsia"/>
          <w:color w:val="auto"/>
          <w:sz w:val="24"/>
          <w:lang w:val="en-US" w:eastAsia="zh-CN"/>
        </w:rPr>
        <w:t>较大</w:t>
      </w:r>
      <w:r>
        <w:rPr>
          <w:rFonts w:ascii="Times New Roman" w:eastAsia="宋体" w:hAnsi="Times New Roman" w:cs="Times New Roman" w:hint="default"/>
          <w:color w:val="auto"/>
          <w:sz w:val="24"/>
        </w:rPr>
        <w:t>，以此判定包气带防污性能分级为D</w:t>
      </w:r>
      <w:r>
        <w:rPr>
          <w:rFonts w:cs="Times New Roman" w:hint="eastAsia"/>
          <w:color w:val="auto"/>
          <w:sz w:val="24"/>
          <w:lang w:val="en-US" w:eastAsia="zh-CN"/>
        </w:rPr>
        <w:t>1</w:t>
      </w:r>
      <w:r>
        <w:rPr>
          <w:rFonts w:ascii="Times New Roman" w:eastAsia="宋体" w:hAnsi="Times New Roman" w:cs="Times New Roman" w:hint="default"/>
          <w:color w:val="auto"/>
          <w:sz w:val="24"/>
          <w:lang w:eastAsia="zh-CN"/>
        </w:rPr>
        <w:t>。</w:t>
      </w:r>
    </w:p>
    <w:p w14:paraId="7B3F123F">
      <w:pPr>
        <w:pStyle w:val="000"/>
        <w:bidi w:val="0"/>
        <w:rPr>
          <w:rFonts w:ascii="Times New Roman" w:eastAsia="宋体" w:hAnsi="Times New Roman" w:cs="Times New Roman" w:hint="default"/>
          <w:color w:val="auto"/>
        </w:rPr>
      </w:pPr>
      <w:r>
        <w:rPr>
          <w:rFonts w:ascii="Times New Roman" w:eastAsia="宋体" w:hAnsi="Times New Roman" w:cs="Times New Roman" w:hint="default"/>
          <w:color w:val="auto"/>
        </w:rPr>
        <w:t>表 1</w:t>
      </w:r>
      <w:r>
        <w:rPr>
          <w:rFonts w:ascii="Times New Roman" w:eastAsia="宋体" w:hAnsi="Times New Roman" w:cs="Times New Roman" w:hint="default"/>
          <w:color w:val="auto"/>
          <w:lang w:val="en-US" w:eastAsia="zh-CN"/>
        </w:rPr>
        <w:t>4</w:t>
      </w:r>
      <w:r>
        <w:rPr>
          <w:rFonts w:ascii="Times New Roman" w:eastAsia="宋体" w:hAnsi="Times New Roman" w:cs="Times New Roman" w:hint="default"/>
          <w:color w:val="auto"/>
        </w:rPr>
        <w:t xml:space="preserve">  地下水环境敏感程度分级</w:t>
      </w:r>
    </w:p>
    <w:p w14:paraId="1B647E6D">
      <w:pPr>
        <w:spacing w:line="135" w:lineRule="exact"/>
        <w:rPr>
          <w:rFonts w:ascii="Times New Roman" w:eastAsia="宋体" w:hAnsi="Times New Roman" w:cs="Times New Roman" w:hint="default"/>
          <w:color w:val="auto"/>
        </w:rPr>
      </w:pPr>
    </w:p>
    <w:tbl>
      <w:tblPr>
        <w:tblStyle w:val="TableNormal0"/>
        <w:tblW w:w="8683" w:type="dxa"/>
        <w:tblInd w:w="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2178"/>
        <w:gridCol w:w="2163"/>
        <w:gridCol w:w="2164"/>
        <w:gridCol w:w="2178"/>
      </w:tblGrid>
      <w:tr w14:paraId="6AE41DCE">
        <w:tblPrEx>
          <w:tblW w:w="8683" w:type="dxa"/>
          <w:tblInd w:w="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367"/>
        </w:trPr>
        <w:tc>
          <w:tcPr>
            <w:tcW w:w="2178" w:type="dxa"/>
            <w:vMerge w:val="restart"/>
            <w:tcBorders>
              <w:top w:val="single" w:sz="10" w:space="0" w:color="000000"/>
              <w:left w:val="single" w:sz="10" w:space="0" w:color="000000"/>
              <w:bottom w:val="nil"/>
            </w:tcBorders>
            <w:vAlign w:val="top"/>
          </w:tcPr>
          <w:p w14:paraId="79336C39">
            <w:pPr>
              <w:pStyle w:val="TableText"/>
              <w:spacing w:before="267" w:line="228" w:lineRule="auto"/>
              <w:ind w:left="453"/>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pacing w:val="9"/>
                <w:sz w:val="21"/>
                <w:szCs w:val="21"/>
                <w:u w:val="none" w:color="auto"/>
                <w14:textOutline w14:w="3795" w14:cap="sq">
                  <w14:solidFill>
                    <w14:srgbClr w14:val="000000"/>
                  </w14:solidFill>
                  <w14:bevel/>
                </w14:textOutline>
              </w:rPr>
              <w:t>环境敏感目标</w:t>
            </w:r>
          </w:p>
        </w:tc>
        <w:tc>
          <w:tcPr>
            <w:tcW w:w="6505" w:type="dxa"/>
            <w:gridSpan w:val="3"/>
            <w:tcBorders>
              <w:top w:val="single" w:sz="10" w:space="0" w:color="000000"/>
              <w:right w:val="single" w:sz="10" w:space="0" w:color="000000"/>
            </w:tcBorders>
            <w:vAlign w:val="top"/>
          </w:tcPr>
          <w:p w14:paraId="368AEFF1">
            <w:pPr>
              <w:pStyle w:val="TableText"/>
              <w:spacing w:before="82" w:line="228" w:lineRule="auto"/>
              <w:ind w:left="2413"/>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pacing w:val="9"/>
                <w:sz w:val="21"/>
                <w:szCs w:val="21"/>
                <w:u w:val="none" w:color="auto"/>
                <w14:textOutline w14:w="3795" w14:cap="sq">
                  <w14:solidFill>
                    <w14:srgbClr w14:val="000000"/>
                  </w14:solidFill>
                  <w14:bevel/>
                </w14:textOutline>
              </w:rPr>
              <w:t>地下水功能敏感性</w:t>
            </w:r>
          </w:p>
        </w:tc>
      </w:tr>
      <w:tr w14:paraId="58C8976C">
        <w:tblPrEx>
          <w:tblW w:w="8683" w:type="dxa"/>
          <w:tblInd w:w="63" w:type="dxa"/>
          <w:tblLayout w:type="fixed"/>
          <w:tblCellMar>
            <w:top w:w="0" w:type="dxa"/>
            <w:left w:w="0" w:type="dxa"/>
            <w:bottom w:w="0" w:type="dxa"/>
            <w:right w:w="0" w:type="dxa"/>
          </w:tblCellMar>
        </w:tblPrEx>
        <w:trPr>
          <w:trHeight w:val="363"/>
        </w:trPr>
        <w:tc>
          <w:tcPr>
            <w:tcW w:w="2178" w:type="dxa"/>
            <w:vMerge/>
            <w:tcBorders>
              <w:top w:val="nil"/>
              <w:left w:val="single" w:sz="10" w:space="0" w:color="000000"/>
            </w:tcBorders>
            <w:vAlign w:val="top"/>
          </w:tcPr>
          <w:p w14:paraId="71F938AC">
            <w:pPr>
              <w:rPr>
                <w:rFonts w:ascii="Times New Roman" w:eastAsia="宋体" w:hAnsi="Times New Roman" w:cs="Times New Roman" w:hint="default"/>
                <w:color w:val="auto"/>
                <w:sz w:val="21"/>
                <w:szCs w:val="21"/>
                <w:u w:val="none" w:color="auto"/>
              </w:rPr>
            </w:pPr>
          </w:p>
        </w:tc>
        <w:tc>
          <w:tcPr>
            <w:tcW w:w="2163" w:type="dxa"/>
            <w:vAlign w:val="top"/>
          </w:tcPr>
          <w:p w14:paraId="41B368A7">
            <w:pPr>
              <w:spacing w:before="118" w:line="195" w:lineRule="auto"/>
              <w:ind w:left="949"/>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b/>
                <w:bCs/>
                <w:color w:val="auto"/>
                <w:spacing w:val="1"/>
                <w:sz w:val="21"/>
                <w:szCs w:val="21"/>
                <w:u w:val="none" w:color="auto"/>
              </w:rPr>
              <w:t>G1</w:t>
            </w:r>
          </w:p>
        </w:tc>
        <w:tc>
          <w:tcPr>
            <w:tcW w:w="2164" w:type="dxa"/>
            <w:vAlign w:val="top"/>
          </w:tcPr>
          <w:p w14:paraId="7268F21F">
            <w:pPr>
              <w:spacing w:before="118" w:line="195" w:lineRule="auto"/>
              <w:ind w:left="958"/>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b/>
                <w:bCs/>
                <w:color w:val="auto"/>
                <w:spacing w:val="1"/>
                <w:sz w:val="21"/>
                <w:szCs w:val="21"/>
                <w:u w:val="none" w:color="auto"/>
              </w:rPr>
              <w:t>G2</w:t>
            </w:r>
          </w:p>
        </w:tc>
        <w:tc>
          <w:tcPr>
            <w:tcW w:w="2178" w:type="dxa"/>
            <w:tcBorders>
              <w:right w:val="single" w:sz="10" w:space="0" w:color="000000"/>
            </w:tcBorders>
            <w:vAlign w:val="top"/>
          </w:tcPr>
          <w:p w14:paraId="1B0B68EA">
            <w:pPr>
              <w:spacing w:before="118" w:line="195" w:lineRule="auto"/>
              <w:ind w:left="964"/>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b/>
                <w:bCs/>
                <w:color w:val="auto"/>
                <w:spacing w:val="1"/>
                <w:sz w:val="21"/>
                <w:szCs w:val="21"/>
                <w:u w:val="none" w:color="auto"/>
              </w:rPr>
              <w:t>G3</w:t>
            </w:r>
          </w:p>
        </w:tc>
      </w:tr>
      <w:tr w14:paraId="5440B2C0">
        <w:tblPrEx>
          <w:tblW w:w="8683" w:type="dxa"/>
          <w:tblInd w:w="63" w:type="dxa"/>
          <w:tblLayout w:type="fixed"/>
          <w:tblCellMar>
            <w:top w:w="0" w:type="dxa"/>
            <w:left w:w="0" w:type="dxa"/>
            <w:bottom w:w="0" w:type="dxa"/>
            <w:right w:w="0" w:type="dxa"/>
          </w:tblCellMar>
        </w:tblPrEx>
        <w:trPr>
          <w:trHeight w:val="363"/>
        </w:trPr>
        <w:tc>
          <w:tcPr>
            <w:tcW w:w="2178" w:type="dxa"/>
            <w:tcBorders>
              <w:left w:val="single" w:sz="10" w:space="0" w:color="000000"/>
            </w:tcBorders>
            <w:vAlign w:val="top"/>
          </w:tcPr>
          <w:p w14:paraId="1B3A7C4F">
            <w:pPr>
              <w:spacing w:before="124" w:line="195" w:lineRule="auto"/>
              <w:ind w:left="949"/>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b/>
                <w:bCs/>
                <w:color w:val="auto"/>
                <w:spacing w:val="4"/>
                <w:sz w:val="21"/>
                <w:szCs w:val="21"/>
                <w:u w:val="none" w:color="auto"/>
              </w:rPr>
              <w:t>D1</w:t>
            </w:r>
          </w:p>
        </w:tc>
        <w:tc>
          <w:tcPr>
            <w:tcW w:w="2163" w:type="dxa"/>
            <w:vAlign w:val="top"/>
          </w:tcPr>
          <w:p w14:paraId="2AEA56C1">
            <w:pPr>
              <w:spacing w:before="124" w:line="195" w:lineRule="auto"/>
              <w:ind w:left="964"/>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pacing w:val="2"/>
                <w:sz w:val="21"/>
                <w:szCs w:val="21"/>
                <w:u w:val="none" w:color="auto"/>
              </w:rPr>
              <w:t>E1</w:t>
            </w:r>
          </w:p>
        </w:tc>
        <w:tc>
          <w:tcPr>
            <w:tcW w:w="2164" w:type="dxa"/>
            <w:vAlign w:val="top"/>
          </w:tcPr>
          <w:p w14:paraId="1822A6EC">
            <w:pPr>
              <w:spacing w:before="124" w:line="195" w:lineRule="auto"/>
              <w:ind w:left="971"/>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pacing w:val="2"/>
                <w:sz w:val="21"/>
                <w:szCs w:val="21"/>
                <w:u w:val="none" w:color="auto"/>
              </w:rPr>
              <w:t>E1</w:t>
            </w:r>
          </w:p>
        </w:tc>
        <w:tc>
          <w:tcPr>
            <w:tcW w:w="2178" w:type="dxa"/>
            <w:tcBorders>
              <w:right w:val="single" w:sz="10" w:space="0" w:color="000000"/>
            </w:tcBorders>
            <w:shd w:val="clear" w:color="auto" w:fill="D8D8D8" w:themeFill="background1" w:themeFillShade="D8"/>
            <w:vAlign w:val="top"/>
          </w:tcPr>
          <w:p w14:paraId="22B90430">
            <w:pPr>
              <w:spacing w:before="124" w:line="195" w:lineRule="auto"/>
              <w:ind w:left="971"/>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z w:val="21"/>
                <w:szCs w:val="21"/>
                <w:u w:val="none" w:color="auto"/>
              </w:rPr>
              <w:t>E2</w:t>
            </w:r>
          </w:p>
        </w:tc>
      </w:tr>
      <w:tr w14:paraId="59F2505D">
        <w:tblPrEx>
          <w:tblW w:w="8683" w:type="dxa"/>
          <w:tblInd w:w="63" w:type="dxa"/>
          <w:tblLayout w:type="fixed"/>
          <w:tblCellMar>
            <w:top w:w="0" w:type="dxa"/>
            <w:left w:w="0" w:type="dxa"/>
            <w:bottom w:w="0" w:type="dxa"/>
            <w:right w:w="0" w:type="dxa"/>
          </w:tblCellMar>
        </w:tblPrEx>
        <w:trPr>
          <w:trHeight w:val="363"/>
        </w:trPr>
        <w:tc>
          <w:tcPr>
            <w:tcW w:w="2178" w:type="dxa"/>
            <w:tcBorders>
              <w:left w:val="single" w:sz="10" w:space="0" w:color="000000"/>
            </w:tcBorders>
            <w:vAlign w:val="top"/>
          </w:tcPr>
          <w:p w14:paraId="00E1B26C">
            <w:pPr>
              <w:spacing w:before="128" w:line="195" w:lineRule="auto"/>
              <w:ind w:left="949"/>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b/>
                <w:bCs/>
                <w:color w:val="auto"/>
                <w:spacing w:val="4"/>
                <w:sz w:val="21"/>
                <w:szCs w:val="21"/>
                <w:u w:val="none" w:color="auto"/>
              </w:rPr>
              <w:t>D2</w:t>
            </w:r>
          </w:p>
        </w:tc>
        <w:tc>
          <w:tcPr>
            <w:tcW w:w="2163" w:type="dxa"/>
            <w:vAlign w:val="top"/>
          </w:tcPr>
          <w:p w14:paraId="723935CF">
            <w:pPr>
              <w:spacing w:before="128" w:line="195" w:lineRule="auto"/>
              <w:ind w:left="964"/>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pacing w:val="2"/>
                <w:sz w:val="21"/>
                <w:szCs w:val="21"/>
                <w:u w:val="none" w:color="auto"/>
              </w:rPr>
              <w:t>E1</w:t>
            </w:r>
          </w:p>
        </w:tc>
        <w:tc>
          <w:tcPr>
            <w:tcW w:w="2164" w:type="dxa"/>
            <w:vAlign w:val="top"/>
          </w:tcPr>
          <w:p w14:paraId="591EE950">
            <w:pPr>
              <w:spacing w:before="128" w:line="195" w:lineRule="auto"/>
              <w:ind w:left="971"/>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pacing w:val="2"/>
                <w:sz w:val="21"/>
                <w:szCs w:val="21"/>
                <w:u w:val="none" w:color="auto"/>
              </w:rPr>
              <w:t>E2</w:t>
            </w:r>
          </w:p>
        </w:tc>
        <w:tc>
          <w:tcPr>
            <w:tcW w:w="2178" w:type="dxa"/>
            <w:tcBorders>
              <w:right w:val="single" w:sz="10" w:space="0" w:color="000000"/>
            </w:tcBorders>
            <w:shd w:val="clear" w:color="auto" w:fill="auto"/>
            <w:vAlign w:val="top"/>
          </w:tcPr>
          <w:p w14:paraId="64D00918">
            <w:pPr>
              <w:spacing w:before="124" w:line="195" w:lineRule="auto"/>
              <w:ind w:left="971"/>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z w:val="21"/>
                <w:szCs w:val="21"/>
                <w:u w:val="none" w:color="auto"/>
              </w:rPr>
              <w:t>E3</w:t>
            </w:r>
          </w:p>
        </w:tc>
      </w:tr>
      <w:tr w14:paraId="4B4A2134">
        <w:tblPrEx>
          <w:tblW w:w="8683" w:type="dxa"/>
          <w:tblInd w:w="63" w:type="dxa"/>
          <w:tblLayout w:type="fixed"/>
          <w:tblCellMar>
            <w:top w:w="0" w:type="dxa"/>
            <w:left w:w="0" w:type="dxa"/>
            <w:bottom w:w="0" w:type="dxa"/>
            <w:right w:w="0" w:type="dxa"/>
          </w:tblCellMar>
        </w:tblPrEx>
        <w:trPr>
          <w:trHeight w:val="387"/>
        </w:trPr>
        <w:tc>
          <w:tcPr>
            <w:tcW w:w="2178" w:type="dxa"/>
            <w:tcBorders>
              <w:left w:val="single" w:sz="10" w:space="0" w:color="000000"/>
              <w:bottom w:val="single" w:sz="10" w:space="0" w:color="000000"/>
            </w:tcBorders>
            <w:vAlign w:val="top"/>
          </w:tcPr>
          <w:p w14:paraId="3120E18D">
            <w:pPr>
              <w:spacing w:before="132" w:line="195" w:lineRule="auto"/>
              <w:ind w:left="949"/>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b/>
                <w:bCs/>
                <w:color w:val="auto"/>
                <w:spacing w:val="4"/>
                <w:sz w:val="21"/>
                <w:szCs w:val="21"/>
                <w:u w:val="none" w:color="auto"/>
              </w:rPr>
              <w:t>D3</w:t>
            </w:r>
          </w:p>
        </w:tc>
        <w:tc>
          <w:tcPr>
            <w:tcW w:w="2163" w:type="dxa"/>
            <w:tcBorders>
              <w:bottom w:val="single" w:sz="10" w:space="0" w:color="000000"/>
            </w:tcBorders>
            <w:vAlign w:val="top"/>
          </w:tcPr>
          <w:p w14:paraId="407699C6">
            <w:pPr>
              <w:spacing w:before="132" w:line="195" w:lineRule="auto"/>
              <w:ind w:left="964"/>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pacing w:val="2"/>
                <w:sz w:val="21"/>
                <w:szCs w:val="21"/>
                <w:u w:val="none" w:color="auto"/>
              </w:rPr>
              <w:t>E2</w:t>
            </w:r>
          </w:p>
        </w:tc>
        <w:tc>
          <w:tcPr>
            <w:tcW w:w="2164" w:type="dxa"/>
            <w:tcBorders>
              <w:bottom w:val="single" w:sz="10" w:space="0" w:color="000000"/>
            </w:tcBorders>
            <w:vAlign w:val="top"/>
          </w:tcPr>
          <w:p w14:paraId="7025CB64">
            <w:pPr>
              <w:spacing w:before="132" w:line="195" w:lineRule="auto"/>
              <w:ind w:left="971"/>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pacing w:val="2"/>
                <w:sz w:val="21"/>
                <w:szCs w:val="21"/>
                <w:u w:val="none" w:color="auto"/>
              </w:rPr>
              <w:t>E3</w:t>
            </w:r>
          </w:p>
        </w:tc>
        <w:tc>
          <w:tcPr>
            <w:tcW w:w="2178" w:type="dxa"/>
            <w:tcBorders>
              <w:bottom w:val="single" w:sz="10" w:space="0" w:color="000000"/>
              <w:right w:val="single" w:sz="10" w:space="0" w:color="000000"/>
            </w:tcBorders>
            <w:shd w:val="clear" w:color="auto" w:fill="auto"/>
            <w:vAlign w:val="top"/>
          </w:tcPr>
          <w:p w14:paraId="1FC632E6">
            <w:pPr>
              <w:spacing w:before="124" w:line="195" w:lineRule="auto"/>
              <w:ind w:left="971"/>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z w:val="21"/>
                <w:szCs w:val="21"/>
                <w:u w:val="none" w:color="auto"/>
              </w:rPr>
              <w:t>E3</w:t>
            </w:r>
          </w:p>
        </w:tc>
      </w:tr>
    </w:tbl>
    <w:p w14:paraId="45BAF87E">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综上分析，本项目地下水环境敏感程度分级判定为E</w:t>
      </w:r>
      <w:r>
        <w:rPr>
          <w:rFonts w:cs="Times New Roman" w:hint="eastAsia"/>
          <w:color w:val="auto"/>
          <w:lang w:val="en-US" w:eastAsia="zh-CN"/>
        </w:rPr>
        <w:t>2</w:t>
      </w:r>
      <w:r>
        <w:rPr>
          <w:rFonts w:ascii="Times New Roman" w:eastAsia="宋体" w:hAnsi="Times New Roman" w:cs="Times New Roman" w:hint="default"/>
          <w:color w:val="auto"/>
        </w:rPr>
        <w:t>。</w:t>
      </w:r>
    </w:p>
    <w:p w14:paraId="4AE8E5E3">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（7）评价工作等级划分</w:t>
      </w:r>
    </w:p>
    <w:p w14:paraId="46E698A7">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根据建设项目环境风险潜势划分依据，本项目风险潜势为</w:t>
      </w:r>
      <w:r>
        <w:rPr>
          <w:rFonts w:ascii="Times New Roman" w:eastAsia="宋体" w:hAnsi="Times New Roman" w:cs="Times New Roman" w:hint="default"/>
          <w:color w:val="auto"/>
          <w:sz w:val="20"/>
          <w:szCs w:val="20"/>
          <w:u w:val="none" w:color="auto"/>
        </w:rPr>
        <w:t>Ⅱ</w:t>
      </w:r>
      <w:r>
        <w:rPr>
          <w:rFonts w:ascii="Times New Roman" w:eastAsia="宋体" w:hAnsi="Times New Roman" w:cs="Times New Roman" w:hint="default"/>
          <w:color w:val="auto"/>
        </w:rPr>
        <w:t>级。详见表1</w:t>
      </w:r>
      <w:r>
        <w:rPr>
          <w:rFonts w:ascii="Times New Roman" w:eastAsia="宋体" w:hAnsi="Times New Roman" w:cs="Times New Roman" w:hint="default"/>
          <w:color w:val="auto"/>
          <w:lang w:val="en-US" w:eastAsia="zh-CN"/>
        </w:rPr>
        <w:t>5</w:t>
      </w:r>
      <w:r>
        <w:rPr>
          <w:rFonts w:ascii="Times New Roman" w:eastAsia="宋体" w:hAnsi="Times New Roman" w:cs="Times New Roman" w:hint="default"/>
          <w:color w:val="auto"/>
        </w:rPr>
        <w:t>。</w:t>
      </w:r>
    </w:p>
    <w:p w14:paraId="382280EF">
      <w:pPr>
        <w:pStyle w:val="09"/>
        <w:bidi w:val="0"/>
        <w:rPr>
          <w:rFonts w:ascii="Times New Roman" w:eastAsia="宋体" w:hAnsi="Times New Roman" w:cs="Times New Roman" w:hint="default"/>
          <w:color w:val="auto"/>
        </w:rPr>
      </w:pPr>
      <w:r>
        <w:rPr>
          <w:rFonts w:ascii="Times New Roman" w:eastAsia="宋体" w:hAnsi="Times New Roman" w:cs="Times New Roman" w:hint="default"/>
          <w:color w:val="auto"/>
        </w:rPr>
        <w:t>表 1</w:t>
      </w:r>
      <w:r>
        <w:rPr>
          <w:rFonts w:ascii="Times New Roman" w:eastAsia="宋体" w:hAnsi="Times New Roman" w:cs="Times New Roman" w:hint="default"/>
          <w:color w:val="auto"/>
          <w:lang w:val="en-US" w:eastAsia="zh-CN"/>
        </w:rPr>
        <w:t>5</w:t>
      </w:r>
      <w:r>
        <w:rPr>
          <w:rFonts w:ascii="Times New Roman" w:eastAsia="宋体" w:hAnsi="Times New Roman" w:cs="Times New Roman" w:hint="default"/>
          <w:color w:val="auto"/>
        </w:rPr>
        <w:t xml:space="preserve">     风险评价工作等级划分</w:t>
      </w:r>
    </w:p>
    <w:p w14:paraId="2A9DF2DB">
      <w:pPr>
        <w:spacing w:line="138" w:lineRule="exact"/>
        <w:rPr>
          <w:rFonts w:ascii="Times New Roman" w:eastAsia="宋体" w:hAnsi="Times New Roman" w:cs="Times New Roman" w:hint="default"/>
          <w:color w:val="auto"/>
        </w:rPr>
      </w:pPr>
    </w:p>
    <w:tbl>
      <w:tblPr>
        <w:tblStyle w:val="TableNormal0"/>
        <w:tblW w:w="8785" w:type="dxa"/>
        <w:tblInd w:w="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2314"/>
        <w:gridCol w:w="1555"/>
        <w:gridCol w:w="1690"/>
        <w:gridCol w:w="1604"/>
        <w:gridCol w:w="1622"/>
      </w:tblGrid>
      <w:tr w14:paraId="5FBA30CD">
        <w:tblPrEx>
          <w:tblW w:w="8785" w:type="dxa"/>
          <w:tblInd w:w="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345"/>
        </w:trPr>
        <w:tc>
          <w:tcPr>
            <w:tcW w:w="2314" w:type="dxa"/>
            <w:vMerge w:val="restart"/>
            <w:tcBorders>
              <w:top w:val="single" w:sz="10" w:space="0" w:color="000000"/>
              <w:left w:val="single" w:sz="10" w:space="0" w:color="000000"/>
              <w:bottom w:val="nil"/>
            </w:tcBorders>
            <w:vAlign w:val="top"/>
          </w:tcPr>
          <w:p w14:paraId="28C60E10">
            <w:pPr>
              <w:pStyle w:val="TableText"/>
              <w:spacing w:before="245" w:line="228" w:lineRule="auto"/>
              <w:ind w:left="206"/>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pacing w:val="12"/>
                <w:sz w:val="21"/>
                <w:szCs w:val="21"/>
                <w:u w:val="none" w:color="auto"/>
                <w14:textOutline w14:w="3795" w14:cap="sq">
                  <w14:solidFill>
                    <w14:srgbClr w14:val="000000"/>
                  </w14:solidFill>
                  <w14:bevel/>
                </w14:textOutline>
              </w:rPr>
              <w:t>环境敏感程度（</w:t>
            </w:r>
            <w:r>
              <w:rPr>
                <w:rFonts w:ascii="Times New Roman" w:eastAsia="宋体" w:hAnsi="Times New Roman" w:cs="Times New Roman" w:hint="default"/>
                <w:b/>
                <w:bCs/>
                <w:color w:val="auto"/>
                <w:spacing w:val="12"/>
                <w:sz w:val="21"/>
                <w:szCs w:val="21"/>
                <w:u w:val="none" w:color="auto"/>
              </w:rPr>
              <w:t>E</w:t>
            </w:r>
            <w:r>
              <w:rPr>
                <w:rFonts w:ascii="Times New Roman" w:eastAsia="宋体" w:hAnsi="Times New Roman" w:cs="Times New Roman" w:hint="default"/>
                <w:color w:val="auto"/>
                <w:spacing w:val="12"/>
                <w:sz w:val="21"/>
                <w:szCs w:val="21"/>
                <w:u w:val="none" w:color="auto"/>
                <w14:textOutline w14:w="3795" w14:cap="sq">
                  <w14:solidFill>
                    <w14:srgbClr w14:val="000000"/>
                  </w14:solidFill>
                  <w14:bevel/>
                </w14:textOutline>
              </w:rPr>
              <w:t>）</w:t>
            </w:r>
            <w:r>
              <w:rPr>
                <w:rFonts w:ascii="Times New Roman" w:eastAsia="宋体" w:hAnsi="Times New Roman" w:cs="Times New Roman" w:hint="default"/>
                <w:color w:val="auto"/>
                <w:spacing w:val="12"/>
                <w:sz w:val="21"/>
                <w:szCs w:val="21"/>
                <w:u w:val="none" w:color="auto"/>
              </w:rPr>
              <w:t xml:space="preserve"> </w:t>
            </w:r>
          </w:p>
        </w:tc>
        <w:tc>
          <w:tcPr>
            <w:tcW w:w="6471" w:type="dxa"/>
            <w:gridSpan w:val="4"/>
            <w:tcBorders>
              <w:top w:val="single" w:sz="10" w:space="0" w:color="000000"/>
              <w:right w:val="single" w:sz="10" w:space="0" w:color="000000"/>
            </w:tcBorders>
            <w:vAlign w:val="top"/>
          </w:tcPr>
          <w:p w14:paraId="2BDA5036">
            <w:pPr>
              <w:pStyle w:val="TableText"/>
              <w:spacing w:before="70" w:line="229" w:lineRule="auto"/>
              <w:ind w:left="1706"/>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pacing w:val="9"/>
                <w:sz w:val="21"/>
                <w:szCs w:val="21"/>
                <w:u w:val="none" w:color="auto"/>
                <w14:textOutline w14:w="3795" w14:cap="sq">
                  <w14:solidFill>
                    <w14:srgbClr w14:val="000000"/>
                  </w14:solidFill>
                  <w14:bevel/>
                </w14:textOutline>
              </w:rPr>
              <w:t>危险物质及工艺系统危险性（</w:t>
            </w:r>
            <w:r>
              <w:rPr>
                <w:rFonts w:ascii="Times New Roman" w:eastAsia="宋体" w:hAnsi="Times New Roman" w:cs="Times New Roman" w:hint="default"/>
                <w:b/>
                <w:bCs/>
                <w:color w:val="auto"/>
                <w:spacing w:val="9"/>
                <w:sz w:val="21"/>
                <w:szCs w:val="21"/>
                <w:u w:val="none" w:color="auto"/>
              </w:rPr>
              <w:t>P</w:t>
            </w:r>
            <w:r>
              <w:rPr>
                <w:rFonts w:ascii="Times New Roman" w:eastAsia="宋体" w:hAnsi="Times New Roman" w:cs="Times New Roman" w:hint="default"/>
                <w:color w:val="auto"/>
                <w:spacing w:val="9"/>
                <w:sz w:val="21"/>
                <w:szCs w:val="21"/>
                <w:u w:val="none" w:color="auto"/>
                <w14:textOutline w14:w="3795" w14:cap="sq">
                  <w14:solidFill>
                    <w14:srgbClr w14:val="000000"/>
                  </w14:solidFill>
                  <w14:bevel/>
                </w14:textOutline>
              </w:rPr>
              <w:t>）</w:t>
            </w:r>
          </w:p>
        </w:tc>
      </w:tr>
      <w:tr w14:paraId="58366FCD">
        <w:tblPrEx>
          <w:tblW w:w="8785" w:type="dxa"/>
          <w:tblInd w:w="12" w:type="dxa"/>
          <w:tblLayout w:type="fixed"/>
          <w:tblCellMar>
            <w:top w:w="0" w:type="dxa"/>
            <w:left w:w="0" w:type="dxa"/>
            <w:bottom w:w="0" w:type="dxa"/>
            <w:right w:w="0" w:type="dxa"/>
          </w:tblCellMar>
        </w:tblPrEx>
        <w:trPr>
          <w:trHeight w:val="341"/>
        </w:trPr>
        <w:tc>
          <w:tcPr>
            <w:tcW w:w="2314" w:type="dxa"/>
            <w:vMerge/>
            <w:tcBorders>
              <w:top w:val="nil"/>
              <w:left w:val="single" w:sz="10" w:space="0" w:color="000000"/>
            </w:tcBorders>
            <w:vAlign w:val="top"/>
          </w:tcPr>
          <w:p w14:paraId="1D18DA78">
            <w:pPr>
              <w:rPr>
                <w:rFonts w:ascii="Times New Roman" w:eastAsia="宋体" w:hAnsi="Times New Roman" w:cs="Times New Roman" w:hint="default"/>
                <w:color w:val="auto"/>
                <w:sz w:val="21"/>
                <w:szCs w:val="21"/>
                <w:u w:val="none" w:color="auto"/>
              </w:rPr>
            </w:pPr>
          </w:p>
        </w:tc>
        <w:tc>
          <w:tcPr>
            <w:tcW w:w="1555" w:type="dxa"/>
            <w:vAlign w:val="top"/>
          </w:tcPr>
          <w:p w14:paraId="698C13F6">
            <w:pPr>
              <w:pStyle w:val="TableText"/>
              <w:spacing w:before="68" w:line="228" w:lineRule="auto"/>
              <w:ind w:right="12"/>
              <w:jc w:val="right"/>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z w:val="21"/>
                <w:szCs w:val="21"/>
                <w:u w:val="none" w:color="auto"/>
                <w14:textOutline w14:w="3795" w14:cap="sq">
                  <w14:solidFill>
                    <w14:srgbClr w14:val="000000"/>
                  </w14:solidFill>
                  <w14:bevel/>
                </w14:textOutline>
              </w:rPr>
              <w:t>极高危害（</w:t>
            </w:r>
            <w:r>
              <w:rPr>
                <w:rFonts w:ascii="Times New Roman" w:eastAsia="宋体" w:hAnsi="Times New Roman" w:cs="Times New Roman" w:hint="default"/>
                <w:b/>
                <w:bCs/>
                <w:color w:val="auto"/>
                <w:sz w:val="21"/>
                <w:szCs w:val="21"/>
                <w:u w:val="none" w:color="auto"/>
              </w:rPr>
              <w:t>P1</w:t>
            </w:r>
            <w:r>
              <w:rPr>
                <w:rFonts w:ascii="Times New Roman" w:eastAsia="宋体" w:hAnsi="Times New Roman" w:cs="Times New Roman" w:hint="default"/>
                <w:color w:val="auto"/>
                <w:sz w:val="21"/>
                <w:szCs w:val="21"/>
                <w:u w:val="none" w:color="auto"/>
                <w14:textOutline w14:w="3795" w14:cap="sq">
                  <w14:solidFill>
                    <w14:srgbClr w14:val="000000"/>
                  </w14:solidFill>
                  <w14:bevel/>
                </w14:textOutline>
              </w:rPr>
              <w:t>）</w:t>
            </w:r>
          </w:p>
        </w:tc>
        <w:tc>
          <w:tcPr>
            <w:tcW w:w="1690" w:type="dxa"/>
            <w:vAlign w:val="top"/>
          </w:tcPr>
          <w:p w14:paraId="689385FC">
            <w:pPr>
              <w:pStyle w:val="TableText"/>
              <w:spacing w:before="68" w:line="228" w:lineRule="auto"/>
              <w:ind w:left="118"/>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pacing w:val="6"/>
                <w:sz w:val="21"/>
                <w:szCs w:val="21"/>
                <w:u w:val="none" w:color="auto"/>
                <w14:textOutline w14:w="3795" w14:cap="sq">
                  <w14:solidFill>
                    <w14:srgbClr w14:val="000000"/>
                  </w14:solidFill>
                  <w14:bevel/>
                </w14:textOutline>
              </w:rPr>
              <w:t>高度危害（</w:t>
            </w:r>
            <w:r>
              <w:rPr>
                <w:rFonts w:ascii="Times New Roman" w:eastAsia="宋体" w:hAnsi="Times New Roman" w:cs="Times New Roman" w:hint="default"/>
                <w:b/>
                <w:bCs/>
                <w:color w:val="auto"/>
                <w:spacing w:val="6"/>
                <w:sz w:val="21"/>
                <w:szCs w:val="21"/>
                <w:u w:val="none" w:color="auto"/>
              </w:rPr>
              <w:t>P2</w:t>
            </w:r>
            <w:r>
              <w:rPr>
                <w:rFonts w:ascii="Times New Roman" w:eastAsia="宋体" w:hAnsi="Times New Roman" w:cs="Times New Roman" w:hint="default"/>
                <w:color w:val="auto"/>
                <w:spacing w:val="6"/>
                <w:sz w:val="21"/>
                <w:szCs w:val="21"/>
                <w:u w:val="none" w:color="auto"/>
                <w14:textOutline w14:w="3795" w14:cap="sq">
                  <w14:solidFill>
                    <w14:srgbClr w14:val="000000"/>
                  </w14:solidFill>
                  <w14:bevel/>
                </w14:textOutline>
              </w:rPr>
              <w:t>）</w:t>
            </w:r>
          </w:p>
        </w:tc>
        <w:tc>
          <w:tcPr>
            <w:tcW w:w="1604" w:type="dxa"/>
            <w:vAlign w:val="top"/>
          </w:tcPr>
          <w:p w14:paraId="3679F2E2">
            <w:pPr>
              <w:pStyle w:val="TableText"/>
              <w:spacing w:before="68" w:line="229" w:lineRule="auto"/>
              <w:ind w:right="1"/>
              <w:jc w:val="right"/>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pacing w:val="4"/>
                <w:sz w:val="21"/>
                <w:szCs w:val="21"/>
                <w:u w:val="none" w:color="auto"/>
                <w14:textOutline w14:w="3795" w14:cap="sq">
                  <w14:solidFill>
                    <w14:srgbClr w14:val="000000"/>
                  </w14:solidFill>
                  <w14:bevel/>
                </w14:textOutline>
              </w:rPr>
              <w:t>中度危害（</w:t>
            </w:r>
            <w:r>
              <w:rPr>
                <w:rFonts w:ascii="Times New Roman" w:eastAsia="宋体" w:hAnsi="Times New Roman" w:cs="Times New Roman" w:hint="default"/>
                <w:b/>
                <w:bCs/>
                <w:color w:val="auto"/>
                <w:spacing w:val="4"/>
                <w:sz w:val="21"/>
                <w:szCs w:val="21"/>
                <w:u w:val="none" w:color="auto"/>
              </w:rPr>
              <w:t>P3</w:t>
            </w:r>
            <w:r>
              <w:rPr>
                <w:rFonts w:ascii="Times New Roman" w:eastAsia="宋体" w:hAnsi="Times New Roman" w:cs="Times New Roman" w:hint="default"/>
                <w:color w:val="auto"/>
                <w:spacing w:val="4"/>
                <w:sz w:val="21"/>
                <w:szCs w:val="21"/>
                <w:u w:val="none" w:color="auto"/>
                <w14:textOutline w14:w="3795" w14:cap="sq">
                  <w14:solidFill>
                    <w14:srgbClr w14:val="000000"/>
                  </w14:solidFill>
                  <w14:bevel/>
                </w14:textOutline>
              </w:rPr>
              <w:t>）</w:t>
            </w:r>
          </w:p>
        </w:tc>
        <w:tc>
          <w:tcPr>
            <w:tcW w:w="1622" w:type="dxa"/>
            <w:tcBorders>
              <w:right w:val="single" w:sz="10" w:space="0" w:color="000000"/>
            </w:tcBorders>
            <w:vAlign w:val="top"/>
          </w:tcPr>
          <w:p w14:paraId="3662D151">
            <w:pPr>
              <w:pStyle w:val="TableText"/>
              <w:spacing w:before="68" w:line="228" w:lineRule="auto"/>
              <w:ind w:right="5"/>
              <w:jc w:val="right"/>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pacing w:val="6"/>
                <w:sz w:val="21"/>
                <w:szCs w:val="21"/>
                <w:u w:val="none" w:color="auto"/>
                <w14:textOutline w14:w="3795" w14:cap="sq">
                  <w14:solidFill>
                    <w14:srgbClr w14:val="000000"/>
                  </w14:solidFill>
                  <w14:bevel/>
                </w14:textOutline>
              </w:rPr>
              <w:t>轻度危害（</w:t>
            </w:r>
            <w:r>
              <w:rPr>
                <w:rFonts w:ascii="Times New Roman" w:eastAsia="宋体" w:hAnsi="Times New Roman" w:cs="Times New Roman" w:hint="default"/>
                <w:b/>
                <w:bCs/>
                <w:color w:val="auto"/>
                <w:spacing w:val="6"/>
                <w:sz w:val="21"/>
                <w:szCs w:val="21"/>
                <w:u w:val="none" w:color="auto"/>
              </w:rPr>
              <w:t>P4</w:t>
            </w:r>
            <w:r>
              <w:rPr>
                <w:rFonts w:ascii="Times New Roman" w:eastAsia="宋体" w:hAnsi="Times New Roman" w:cs="Times New Roman" w:hint="default"/>
                <w:color w:val="auto"/>
                <w:spacing w:val="6"/>
                <w:sz w:val="21"/>
                <w:szCs w:val="21"/>
                <w:u w:val="none" w:color="auto"/>
                <w14:textOutline w14:w="3795" w14:cap="sq">
                  <w14:solidFill>
                    <w14:srgbClr w14:val="000000"/>
                  </w14:solidFill>
                  <w14:bevel/>
                </w14:textOutline>
              </w:rPr>
              <w:t>）</w:t>
            </w:r>
          </w:p>
        </w:tc>
      </w:tr>
      <w:tr w14:paraId="1170D880">
        <w:tblPrEx>
          <w:tblW w:w="8785" w:type="dxa"/>
          <w:tblInd w:w="12" w:type="dxa"/>
          <w:tblLayout w:type="fixed"/>
          <w:tblCellMar>
            <w:top w:w="0" w:type="dxa"/>
            <w:left w:w="0" w:type="dxa"/>
            <w:bottom w:w="0" w:type="dxa"/>
            <w:right w:w="0" w:type="dxa"/>
          </w:tblCellMar>
        </w:tblPrEx>
        <w:trPr>
          <w:trHeight w:val="341"/>
        </w:trPr>
        <w:tc>
          <w:tcPr>
            <w:tcW w:w="2314" w:type="dxa"/>
            <w:tcBorders>
              <w:left w:val="single" w:sz="10" w:space="0" w:color="000000"/>
            </w:tcBorders>
            <w:vAlign w:val="top"/>
          </w:tcPr>
          <w:p w14:paraId="2478AEF5">
            <w:pPr>
              <w:pStyle w:val="TableText"/>
              <w:spacing w:before="73" w:line="228" w:lineRule="auto"/>
              <w:ind w:left="105"/>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pacing w:val="12"/>
                <w:sz w:val="21"/>
                <w:szCs w:val="21"/>
                <w:u w:val="none" w:color="auto"/>
              </w:rPr>
              <w:t>环境高度敏感区（E1）</w:t>
            </w:r>
          </w:p>
        </w:tc>
        <w:tc>
          <w:tcPr>
            <w:tcW w:w="1555" w:type="dxa"/>
            <w:vAlign w:val="top"/>
          </w:tcPr>
          <w:p w14:paraId="1A908B9D">
            <w:pPr>
              <w:pStyle w:val="TableText"/>
              <w:spacing w:before="73" w:line="238" w:lineRule="auto"/>
              <w:ind w:left="639"/>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pacing w:val="1"/>
                <w:sz w:val="21"/>
                <w:szCs w:val="21"/>
                <w:u w:val="none" w:color="auto"/>
              </w:rPr>
              <w:t>Ⅳ</w:t>
            </w:r>
            <w:r>
              <w:rPr>
                <w:rFonts w:ascii="Times New Roman" w:eastAsia="宋体" w:hAnsi="Times New Roman" w:cs="Times New Roman" w:hint="default"/>
                <w:color w:val="auto"/>
                <w:spacing w:val="1"/>
                <w:position w:val="6"/>
                <w:sz w:val="21"/>
                <w:szCs w:val="21"/>
                <w:u w:val="none" w:color="auto"/>
              </w:rPr>
              <w:t>+</w:t>
            </w:r>
          </w:p>
        </w:tc>
        <w:tc>
          <w:tcPr>
            <w:tcW w:w="1690" w:type="dxa"/>
            <w:vAlign w:val="top"/>
          </w:tcPr>
          <w:p w14:paraId="2C09FB96">
            <w:pPr>
              <w:pStyle w:val="TableText"/>
              <w:spacing w:before="73" w:line="238" w:lineRule="auto"/>
              <w:ind w:left="752"/>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z w:val="21"/>
                <w:szCs w:val="21"/>
                <w:u w:val="none" w:color="auto"/>
              </w:rPr>
              <w:t>Ⅳ</w:t>
            </w:r>
          </w:p>
        </w:tc>
        <w:tc>
          <w:tcPr>
            <w:tcW w:w="1604" w:type="dxa"/>
            <w:vAlign w:val="top"/>
          </w:tcPr>
          <w:p w14:paraId="5C729327">
            <w:pPr>
              <w:pStyle w:val="TableText"/>
              <w:spacing w:before="73" w:line="238" w:lineRule="auto"/>
              <w:ind w:left="707"/>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pacing w:val="1"/>
                <w:sz w:val="21"/>
                <w:szCs w:val="21"/>
                <w:u w:val="none" w:color="auto"/>
              </w:rPr>
              <w:t>Ⅲ</w:t>
            </w:r>
          </w:p>
        </w:tc>
        <w:tc>
          <w:tcPr>
            <w:tcW w:w="1622" w:type="dxa"/>
            <w:tcBorders>
              <w:right w:val="single" w:sz="10" w:space="0" w:color="000000"/>
            </w:tcBorders>
            <w:vAlign w:val="top"/>
          </w:tcPr>
          <w:p w14:paraId="29893243">
            <w:pPr>
              <w:pStyle w:val="TableText"/>
              <w:spacing w:before="73" w:line="238" w:lineRule="auto"/>
              <w:ind w:left="713"/>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pacing w:val="1"/>
                <w:sz w:val="21"/>
                <w:szCs w:val="21"/>
                <w:u w:val="none" w:color="auto"/>
              </w:rPr>
              <w:t>Ⅲ</w:t>
            </w:r>
          </w:p>
        </w:tc>
      </w:tr>
      <w:tr w14:paraId="679DD0E8">
        <w:tblPrEx>
          <w:tblW w:w="8785" w:type="dxa"/>
          <w:tblInd w:w="12" w:type="dxa"/>
          <w:tblLayout w:type="fixed"/>
          <w:tblCellMar>
            <w:top w:w="0" w:type="dxa"/>
            <w:left w:w="0" w:type="dxa"/>
            <w:bottom w:w="0" w:type="dxa"/>
            <w:right w:w="0" w:type="dxa"/>
          </w:tblCellMar>
        </w:tblPrEx>
        <w:trPr>
          <w:trHeight w:val="341"/>
        </w:trPr>
        <w:tc>
          <w:tcPr>
            <w:tcW w:w="2314" w:type="dxa"/>
            <w:tcBorders>
              <w:left w:val="single" w:sz="10" w:space="0" w:color="000000"/>
            </w:tcBorders>
            <w:vAlign w:val="top"/>
          </w:tcPr>
          <w:p w14:paraId="32A45049">
            <w:pPr>
              <w:pStyle w:val="TableText"/>
              <w:spacing w:before="77" w:line="228" w:lineRule="auto"/>
              <w:ind w:left="105"/>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pacing w:val="12"/>
                <w:sz w:val="21"/>
                <w:szCs w:val="21"/>
                <w:u w:val="none" w:color="auto"/>
              </w:rPr>
              <w:t>环境中度敏感区（E2）</w:t>
            </w:r>
          </w:p>
        </w:tc>
        <w:tc>
          <w:tcPr>
            <w:tcW w:w="1555" w:type="dxa"/>
            <w:vAlign w:val="top"/>
          </w:tcPr>
          <w:p w14:paraId="01CBDBE0">
            <w:pPr>
              <w:pStyle w:val="TableText"/>
              <w:spacing w:before="77" w:line="234" w:lineRule="auto"/>
              <w:ind w:left="680"/>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z w:val="21"/>
                <w:szCs w:val="21"/>
                <w:u w:val="none" w:color="auto"/>
              </w:rPr>
              <w:t>Ⅳ</w:t>
            </w:r>
          </w:p>
        </w:tc>
        <w:tc>
          <w:tcPr>
            <w:tcW w:w="1690" w:type="dxa"/>
            <w:vAlign w:val="top"/>
          </w:tcPr>
          <w:p w14:paraId="1EB64050">
            <w:pPr>
              <w:pStyle w:val="TableText"/>
              <w:spacing w:before="77" w:line="234" w:lineRule="auto"/>
              <w:ind w:left="746"/>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pacing w:val="1"/>
                <w:sz w:val="21"/>
                <w:szCs w:val="21"/>
                <w:u w:val="none" w:color="auto"/>
              </w:rPr>
              <w:t>Ⅲ</w:t>
            </w:r>
          </w:p>
        </w:tc>
        <w:tc>
          <w:tcPr>
            <w:tcW w:w="1604" w:type="dxa"/>
            <w:shd w:val="clear" w:color="auto" w:fill="D8D8D8" w:themeFill="background1" w:themeFillShade="D8"/>
            <w:vAlign w:val="top"/>
          </w:tcPr>
          <w:p w14:paraId="0E3EA966">
            <w:pPr>
              <w:pStyle w:val="TableText"/>
              <w:spacing w:before="77" w:line="234" w:lineRule="auto"/>
              <w:ind w:left="707"/>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pacing w:val="1"/>
                <w:sz w:val="21"/>
                <w:szCs w:val="21"/>
                <w:u w:val="none" w:color="auto"/>
              </w:rPr>
              <w:t>Ⅲ</w:t>
            </w:r>
          </w:p>
        </w:tc>
        <w:tc>
          <w:tcPr>
            <w:tcW w:w="1622" w:type="dxa"/>
            <w:tcBorders>
              <w:right w:val="single" w:sz="10" w:space="0" w:color="000000"/>
            </w:tcBorders>
            <w:shd w:val="clear" w:color="auto" w:fill="auto"/>
            <w:vAlign w:val="top"/>
          </w:tcPr>
          <w:p w14:paraId="1D49EB5C">
            <w:pPr>
              <w:pStyle w:val="TableText"/>
              <w:spacing w:before="77" w:line="234" w:lineRule="auto"/>
              <w:ind w:left="713"/>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pacing w:val="1"/>
                <w:sz w:val="21"/>
                <w:szCs w:val="21"/>
                <w:u w:val="none" w:color="auto"/>
              </w:rPr>
              <w:t>Ⅲ</w:t>
            </w:r>
          </w:p>
        </w:tc>
      </w:tr>
      <w:tr w14:paraId="53D46B98">
        <w:tblPrEx>
          <w:tblW w:w="8785" w:type="dxa"/>
          <w:tblInd w:w="12" w:type="dxa"/>
          <w:tblLayout w:type="fixed"/>
          <w:tblCellMar>
            <w:top w:w="0" w:type="dxa"/>
            <w:left w:w="0" w:type="dxa"/>
            <w:bottom w:w="0" w:type="dxa"/>
            <w:right w:w="0" w:type="dxa"/>
          </w:tblCellMar>
        </w:tblPrEx>
        <w:trPr>
          <w:trHeight w:val="341"/>
        </w:trPr>
        <w:tc>
          <w:tcPr>
            <w:tcW w:w="2314" w:type="dxa"/>
            <w:tcBorders>
              <w:left w:val="single" w:sz="10" w:space="0" w:color="000000"/>
            </w:tcBorders>
            <w:vAlign w:val="top"/>
          </w:tcPr>
          <w:p w14:paraId="04A68311">
            <w:pPr>
              <w:pStyle w:val="TableText"/>
              <w:spacing w:before="81" w:line="228" w:lineRule="auto"/>
              <w:ind w:left="105"/>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pacing w:val="12"/>
                <w:sz w:val="21"/>
                <w:szCs w:val="21"/>
                <w:u w:val="none" w:color="auto"/>
              </w:rPr>
              <w:t>环境低度敏感区（E3）</w:t>
            </w:r>
          </w:p>
        </w:tc>
        <w:tc>
          <w:tcPr>
            <w:tcW w:w="1555" w:type="dxa"/>
            <w:vAlign w:val="top"/>
          </w:tcPr>
          <w:p w14:paraId="14D8E81D">
            <w:pPr>
              <w:pStyle w:val="TableText"/>
              <w:spacing w:before="81" w:line="230" w:lineRule="auto"/>
              <w:ind w:left="673"/>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pacing w:val="1"/>
                <w:sz w:val="21"/>
                <w:szCs w:val="21"/>
                <w:u w:val="none" w:color="auto"/>
              </w:rPr>
              <w:t>Ⅲ</w:t>
            </w:r>
          </w:p>
        </w:tc>
        <w:tc>
          <w:tcPr>
            <w:tcW w:w="1690" w:type="dxa"/>
            <w:vAlign w:val="top"/>
          </w:tcPr>
          <w:p w14:paraId="1BAB13F2">
            <w:pPr>
              <w:pStyle w:val="TableText"/>
              <w:spacing w:before="81" w:line="230" w:lineRule="auto"/>
              <w:ind w:left="746"/>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pacing w:val="1"/>
                <w:sz w:val="21"/>
                <w:szCs w:val="21"/>
                <w:u w:val="none" w:color="auto"/>
              </w:rPr>
              <w:t>Ⅲ</w:t>
            </w:r>
          </w:p>
        </w:tc>
        <w:tc>
          <w:tcPr>
            <w:tcW w:w="1604" w:type="dxa"/>
            <w:shd w:val="clear" w:color="auto" w:fill="auto"/>
            <w:vAlign w:val="top"/>
          </w:tcPr>
          <w:p w14:paraId="43BC58EC">
            <w:pPr>
              <w:pStyle w:val="TableText"/>
              <w:spacing w:before="81" w:line="230" w:lineRule="auto"/>
              <w:ind w:left="744"/>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z w:val="21"/>
                <w:szCs w:val="21"/>
                <w:u w:val="none" w:color="auto"/>
              </w:rPr>
              <w:t>Ⅱ</w:t>
            </w:r>
          </w:p>
        </w:tc>
        <w:tc>
          <w:tcPr>
            <w:tcW w:w="1622" w:type="dxa"/>
            <w:tcBorders>
              <w:right w:val="single" w:sz="10" w:space="0" w:color="000000"/>
            </w:tcBorders>
            <w:shd w:val="clear" w:color="auto" w:fill="auto"/>
            <w:vAlign w:val="top"/>
          </w:tcPr>
          <w:p w14:paraId="6F80CC6B">
            <w:pPr>
              <w:pStyle w:val="TableText"/>
              <w:tabs>
                <w:tab w:val="left" w:pos="781"/>
              </w:tabs>
              <w:spacing w:before="81" w:line="230" w:lineRule="auto"/>
              <w:ind w:left="706"/>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z w:val="21"/>
                <w:szCs w:val="21"/>
                <w:u w:val="none" w:color="auto"/>
              </w:rPr>
              <w:t>Ⅰ</w:t>
            </w:r>
          </w:p>
        </w:tc>
      </w:tr>
      <w:tr w14:paraId="221E47D8">
        <w:tblPrEx>
          <w:tblW w:w="8785" w:type="dxa"/>
          <w:tblInd w:w="12" w:type="dxa"/>
          <w:tblLayout w:type="fixed"/>
          <w:tblCellMar>
            <w:top w:w="0" w:type="dxa"/>
            <w:left w:w="0" w:type="dxa"/>
            <w:bottom w:w="0" w:type="dxa"/>
            <w:right w:w="0" w:type="dxa"/>
          </w:tblCellMar>
        </w:tblPrEx>
        <w:trPr>
          <w:trHeight w:val="364"/>
        </w:trPr>
        <w:tc>
          <w:tcPr>
            <w:tcW w:w="8785" w:type="dxa"/>
            <w:gridSpan w:val="5"/>
            <w:tcBorders>
              <w:left w:val="single" w:sz="10" w:space="0" w:color="000000"/>
              <w:bottom w:val="single" w:sz="10" w:space="0" w:color="000000"/>
              <w:right w:val="single" w:sz="10" w:space="0" w:color="000000"/>
            </w:tcBorders>
            <w:vAlign w:val="top"/>
          </w:tcPr>
          <w:p w14:paraId="27518148">
            <w:pPr>
              <w:pStyle w:val="TableText"/>
              <w:spacing w:before="86" w:line="228" w:lineRule="auto"/>
              <w:ind w:left="24"/>
              <w:rPr>
                <w:rFonts w:ascii="Times New Roman" w:eastAsia="宋体" w:hAnsi="Times New Roman" w:cs="Times New Roman" w:hint="default"/>
                <w:color w:val="auto"/>
                <w:sz w:val="21"/>
                <w:szCs w:val="21"/>
                <w:u w:val="none" w:color="auto"/>
              </w:rPr>
            </w:pPr>
            <w:r>
              <w:rPr>
                <w:rFonts w:ascii="Times New Roman" w:eastAsia="宋体" w:hAnsi="Times New Roman" w:cs="Times New Roman" w:hint="default"/>
                <w:color w:val="auto"/>
                <w:spacing w:val="9"/>
                <w:sz w:val="21"/>
                <w:szCs w:val="21"/>
                <w:u w:val="none" w:color="auto"/>
              </w:rPr>
              <w:t>注：</w:t>
            </w:r>
            <w:r>
              <w:rPr>
                <w:rFonts w:ascii="Times New Roman" w:eastAsia="宋体" w:hAnsi="Times New Roman" w:cs="Times New Roman" w:hint="default"/>
                <w:color w:val="auto"/>
                <w:spacing w:val="-48"/>
                <w:sz w:val="21"/>
                <w:szCs w:val="21"/>
                <w:u w:val="none" w:color="auto"/>
              </w:rPr>
              <w:t xml:space="preserve"> </w:t>
            </w:r>
            <w:r>
              <w:rPr>
                <w:rFonts w:ascii="Times New Roman" w:eastAsia="宋体" w:hAnsi="Times New Roman" w:cs="Times New Roman" w:hint="default"/>
                <w:color w:val="auto"/>
                <w:spacing w:val="9"/>
                <w:sz w:val="21"/>
                <w:szCs w:val="21"/>
                <w:u w:val="none" w:color="auto"/>
              </w:rPr>
              <w:t>Ⅳ</w:t>
            </w:r>
            <w:r>
              <w:rPr>
                <w:rFonts w:ascii="Times New Roman" w:eastAsia="宋体" w:hAnsi="Times New Roman" w:cs="Times New Roman" w:hint="default"/>
                <w:color w:val="auto"/>
                <w:spacing w:val="9"/>
                <w:position w:val="6"/>
                <w:sz w:val="21"/>
                <w:szCs w:val="21"/>
                <w:u w:val="none" w:color="auto"/>
              </w:rPr>
              <w:t>+</w:t>
            </w:r>
            <w:r>
              <w:rPr>
                <w:rFonts w:ascii="Times New Roman" w:eastAsia="宋体" w:hAnsi="Times New Roman" w:cs="Times New Roman" w:hint="default"/>
                <w:color w:val="auto"/>
                <w:spacing w:val="-18"/>
                <w:position w:val="6"/>
                <w:sz w:val="21"/>
                <w:szCs w:val="21"/>
                <w:u w:val="none" w:color="auto"/>
              </w:rPr>
              <w:t xml:space="preserve"> </w:t>
            </w:r>
            <w:r>
              <w:rPr>
                <w:rFonts w:ascii="Times New Roman" w:eastAsia="宋体" w:hAnsi="Times New Roman" w:cs="Times New Roman" w:hint="default"/>
                <w:color w:val="auto"/>
                <w:spacing w:val="9"/>
                <w:sz w:val="21"/>
                <w:szCs w:val="21"/>
                <w:u w:val="none" w:color="auto"/>
              </w:rPr>
              <w:t>为极高环境风险</w:t>
            </w:r>
          </w:p>
        </w:tc>
      </w:tr>
    </w:tbl>
    <w:p w14:paraId="1966B725">
      <w:pPr>
        <w:pStyle w:val="00005"/>
        <w:bidi w:val="0"/>
        <w:rPr>
          <w:rFonts w:ascii="Times New Roman" w:eastAsia="宋体" w:hAnsi="Times New Roman" w:cs="Times New Roman" w:hint="eastAsia"/>
          <w:color w:val="auto"/>
          <w:lang w:eastAsia="zh-CN"/>
        </w:rPr>
      </w:pPr>
      <w:r>
        <w:rPr>
          <w:rFonts w:ascii="Times New Roman" w:eastAsia="宋体" w:hAnsi="Times New Roman" w:cs="Times New Roman" w:hint="default"/>
          <w:color w:val="auto"/>
        </w:rPr>
        <w:t>本项目</w:t>
      </w:r>
      <w:r>
        <w:rPr>
          <w:rFonts w:ascii="Times New Roman" w:eastAsia="宋体" w:hAnsi="Times New Roman" w:cs="Times New Roman" w:hint="default"/>
          <w:color w:val="auto"/>
          <w:lang w:val="en-US" w:eastAsia="zh-CN"/>
        </w:rPr>
        <w:t>大气、</w:t>
      </w:r>
      <w:r>
        <w:rPr>
          <w:rFonts w:ascii="Times New Roman" w:eastAsia="宋体" w:hAnsi="Times New Roman" w:cs="Times New Roman" w:hint="default"/>
          <w:color w:val="auto"/>
        </w:rPr>
        <w:t>地表水感程度分级均为E3</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rPr>
        <w:t>地下水环境敏感程度分级均为E</w:t>
      </w:r>
      <w:r>
        <w:rPr>
          <w:rFonts w:ascii="Times New Roman" w:eastAsia="宋体" w:hAnsi="Times New Roman" w:cs="Times New Roman" w:hint="default"/>
          <w:color w:val="auto"/>
          <w:lang w:val="en-US" w:eastAsia="zh-CN"/>
        </w:rPr>
        <w:t>2</w:t>
      </w:r>
      <w:r>
        <w:rPr>
          <w:rFonts w:ascii="Times New Roman" w:eastAsia="宋体" w:hAnsi="Times New Roman" w:cs="Times New Roman" w:hint="default"/>
          <w:color w:val="auto"/>
        </w:rPr>
        <w:t>，危险物质及工艺系统危险性等级为P</w:t>
      </w:r>
      <w:r>
        <w:rPr>
          <w:rFonts w:ascii="Times New Roman" w:eastAsia="宋体" w:hAnsi="Times New Roman" w:cs="Times New Roman" w:hint="default"/>
          <w:color w:val="auto"/>
          <w:lang w:val="en-US" w:eastAsia="zh-CN"/>
        </w:rPr>
        <w:t>3</w:t>
      </w:r>
      <w:r>
        <w:rPr>
          <w:rFonts w:ascii="Times New Roman" w:eastAsia="宋体" w:hAnsi="Times New Roman" w:cs="Times New Roman" w:hint="eastAsia"/>
          <w:color w:val="auto"/>
          <w:lang w:eastAsia="zh-CN"/>
        </w:rPr>
        <w:t>。</w:t>
      </w:r>
    </w:p>
    <w:p w14:paraId="5B678E26">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综合上述分析，判定本项目环境风险潜势结论为：大气环境为</w:t>
      </w:r>
      <w:r>
        <w:rPr>
          <w:rFonts w:ascii="Times New Roman" w:eastAsia="宋体" w:hAnsi="Times New Roman" w:cs="Times New Roman" w:hint="default"/>
          <w:color w:val="auto"/>
          <w:lang w:val="en-US" w:eastAsia="zh-CN"/>
        </w:rPr>
        <w:t>Ⅱ</w:t>
      </w:r>
      <w:r>
        <w:rPr>
          <w:rFonts w:ascii="Times New Roman" w:eastAsia="宋体" w:hAnsi="Times New Roman" w:cs="Times New Roman" w:hint="default"/>
          <w:color w:val="auto"/>
        </w:rPr>
        <w:t>类，地表水环境Ⅱ类，地下水环境III类。根据《建设项目环境风险评价技术导则》（HJ169-2018）规定，建设项目环境风险潜势综合等级取各要素等级的相对高值，则本项目风险潜势为Ⅲ类。</w:t>
      </w:r>
    </w:p>
    <w:p w14:paraId="70E53CF6">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本项目环境风险评价等级为</w:t>
      </w:r>
      <w:r>
        <w:rPr>
          <w:rFonts w:ascii="Times New Roman" w:eastAsia="宋体" w:hAnsi="Times New Roman" w:cs="Times New Roman" w:hint="eastAsia"/>
          <w:color w:val="auto"/>
          <w:lang w:val="en-US" w:eastAsia="zh-CN"/>
        </w:rPr>
        <w:t>二</w:t>
      </w:r>
      <w:r>
        <w:rPr>
          <w:rFonts w:ascii="Times New Roman" w:eastAsia="宋体" w:hAnsi="Times New Roman" w:cs="Times New Roman" w:hint="default"/>
          <w:color w:val="auto"/>
        </w:rPr>
        <w:t>级（其中大气环境为</w:t>
      </w:r>
      <w:r>
        <w:rPr>
          <w:rFonts w:ascii="Times New Roman" w:eastAsia="宋体" w:hAnsi="Times New Roman" w:cs="Times New Roman" w:hint="eastAsia"/>
          <w:color w:val="auto"/>
          <w:lang w:val="en-US" w:eastAsia="zh-CN"/>
        </w:rPr>
        <w:t>三</w:t>
      </w:r>
      <w:r>
        <w:rPr>
          <w:rFonts w:ascii="Times New Roman" w:eastAsia="宋体" w:hAnsi="Times New Roman" w:cs="Times New Roman" w:hint="default"/>
          <w:color w:val="auto"/>
        </w:rPr>
        <w:t>级，地表水环境为</w:t>
      </w:r>
      <w:r>
        <w:rPr>
          <w:rFonts w:ascii="Times New Roman" w:eastAsia="宋体" w:hAnsi="Times New Roman" w:cs="Times New Roman" w:hint="eastAsia"/>
          <w:color w:val="auto"/>
          <w:lang w:val="en-US" w:eastAsia="zh-CN"/>
        </w:rPr>
        <w:t>三</w:t>
      </w:r>
      <w:r>
        <w:rPr>
          <w:rFonts w:ascii="Times New Roman" w:eastAsia="宋体" w:hAnsi="Times New Roman" w:cs="Times New Roman" w:hint="default"/>
          <w:color w:val="auto"/>
        </w:rPr>
        <w:t>级，地下水为二级）</w:t>
      </w:r>
      <w:r>
        <w:rPr>
          <w:rFonts w:ascii="Times New Roman" w:eastAsia="宋体" w:hAnsi="Times New Roman" w:cs="Times New Roman" w:hint="eastAsia"/>
          <w:color w:val="auto"/>
          <w:lang w:val="en-US" w:eastAsia="zh-CN"/>
        </w:rPr>
        <w:t>，</w:t>
      </w:r>
      <w:r>
        <w:rPr>
          <w:rFonts w:ascii="Times New Roman" w:eastAsia="宋体" w:hAnsi="Times New Roman" w:cs="Times New Roman" w:hint="default"/>
          <w:color w:val="auto"/>
        </w:rPr>
        <w:t>具体见表1</w:t>
      </w:r>
      <w:r>
        <w:rPr>
          <w:rFonts w:ascii="Times New Roman" w:eastAsia="宋体" w:hAnsi="Times New Roman" w:cs="Times New Roman" w:hint="default"/>
          <w:color w:val="auto"/>
          <w:lang w:val="en-US" w:eastAsia="zh-CN"/>
        </w:rPr>
        <w:t>6</w:t>
      </w:r>
      <w:r>
        <w:rPr>
          <w:rFonts w:ascii="Times New Roman" w:eastAsia="宋体" w:hAnsi="Times New Roman" w:cs="Times New Roman" w:hint="default"/>
          <w:color w:val="auto"/>
        </w:rPr>
        <w:t>。</w:t>
      </w:r>
    </w:p>
    <w:p w14:paraId="3E911CD9">
      <w:pPr>
        <w:pStyle w:val="000"/>
        <w:bidi w:val="0"/>
        <w:rPr>
          <w:rFonts w:ascii="Times New Roman" w:eastAsia="宋体" w:hAnsi="Times New Roman" w:cs="Times New Roman" w:hint="default"/>
          <w:color w:val="auto"/>
        </w:rPr>
      </w:pPr>
      <w:r>
        <w:rPr>
          <w:rFonts w:ascii="Times New Roman" w:eastAsia="宋体" w:hAnsi="Times New Roman" w:cs="Times New Roman" w:hint="default"/>
          <w:color w:val="auto"/>
        </w:rPr>
        <w:t>表 1</w:t>
      </w:r>
      <w:r>
        <w:rPr>
          <w:rFonts w:ascii="Times New Roman" w:eastAsia="宋体" w:hAnsi="Times New Roman" w:cs="Times New Roman" w:hint="default"/>
          <w:color w:val="auto"/>
          <w:lang w:val="en-US" w:eastAsia="zh-CN"/>
        </w:rPr>
        <w:t>6</w:t>
      </w:r>
      <w:r>
        <w:rPr>
          <w:rFonts w:ascii="Times New Roman" w:eastAsia="宋体" w:hAnsi="Times New Roman" w:cs="Times New Roman" w:hint="default"/>
          <w:color w:val="auto"/>
        </w:rPr>
        <w:t xml:space="preserve">     风险评价工作等级划分</w:t>
      </w:r>
    </w:p>
    <w:p w14:paraId="4C52F938">
      <w:pPr>
        <w:spacing w:line="138" w:lineRule="exact"/>
        <w:rPr>
          <w:rFonts w:ascii="Times New Roman" w:eastAsia="宋体" w:hAnsi="Times New Roman" w:cs="Times New Roman" w:hint="default"/>
          <w:color w:val="auto"/>
        </w:rPr>
      </w:pPr>
    </w:p>
    <w:tbl>
      <w:tblPr>
        <w:tblStyle w:val="TableNormal0"/>
        <w:tblW w:w="4998"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1262"/>
        <w:gridCol w:w="1194"/>
        <w:gridCol w:w="1560"/>
        <w:gridCol w:w="2150"/>
        <w:gridCol w:w="2169"/>
      </w:tblGrid>
      <w:tr w14:paraId="5F0E49FA">
        <w:tblPrEx>
          <w:tblW w:w="4998"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326"/>
        </w:trPr>
        <w:tc>
          <w:tcPr>
            <w:tcW w:w="757" w:type="pct"/>
            <w:tcBorders>
              <w:top w:val="single" w:sz="10" w:space="0" w:color="000000"/>
              <w:left w:val="single" w:sz="10" w:space="0" w:color="000000"/>
            </w:tcBorders>
            <w:vAlign w:val="center"/>
          </w:tcPr>
          <w:p w14:paraId="25EC95E1">
            <w:pPr>
              <w:pStyle w:val="a12"/>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环境风险潜势</w:t>
            </w:r>
          </w:p>
        </w:tc>
        <w:tc>
          <w:tcPr>
            <w:tcW w:w="716" w:type="pct"/>
            <w:tcBorders>
              <w:top w:val="single" w:sz="10" w:space="0" w:color="000000"/>
            </w:tcBorders>
            <w:vAlign w:val="center"/>
          </w:tcPr>
          <w:p w14:paraId="51123F77">
            <w:pPr>
              <w:pStyle w:val="a12"/>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Ⅳ 、 Ⅳ+</w:t>
            </w:r>
          </w:p>
        </w:tc>
        <w:tc>
          <w:tcPr>
            <w:tcW w:w="936" w:type="pct"/>
            <w:tcBorders>
              <w:top w:val="single" w:sz="10" w:space="0" w:color="000000"/>
            </w:tcBorders>
            <w:vAlign w:val="center"/>
          </w:tcPr>
          <w:p w14:paraId="05D7ACF9">
            <w:pPr>
              <w:pStyle w:val="a12"/>
              <w:bidi w:val="0"/>
              <w:jc w:val="center"/>
              <w:rPr>
                <w:rFonts w:hint="default"/>
                <w:color w:val="auto"/>
              </w:rPr>
            </w:pPr>
            <w:r>
              <w:rPr>
                <w:rFonts w:hint="default"/>
                <w:color w:val="auto"/>
              </w:rPr>
              <w:t>Ⅲ</w:t>
            </w:r>
          </w:p>
        </w:tc>
        <w:tc>
          <w:tcPr>
            <w:tcW w:w="1290" w:type="pct"/>
            <w:tcBorders>
              <w:top w:val="single" w:sz="10" w:space="0" w:color="000000"/>
            </w:tcBorders>
            <w:vAlign w:val="center"/>
          </w:tcPr>
          <w:p w14:paraId="74E0DD2F">
            <w:pPr>
              <w:pStyle w:val="a12"/>
              <w:bidi w:val="0"/>
              <w:jc w:val="center"/>
              <w:rPr>
                <w:rFonts w:hint="default"/>
                <w:color w:val="auto"/>
              </w:rPr>
            </w:pPr>
            <w:r>
              <w:rPr>
                <w:rFonts w:hint="default"/>
                <w:color w:val="auto"/>
              </w:rPr>
              <w:t>Ⅱ</w:t>
            </w:r>
          </w:p>
        </w:tc>
        <w:tc>
          <w:tcPr>
            <w:tcW w:w="1299" w:type="pct"/>
            <w:tcBorders>
              <w:top w:val="single" w:sz="10" w:space="0" w:color="000000"/>
              <w:right w:val="single" w:sz="10" w:space="0" w:color="000000"/>
            </w:tcBorders>
            <w:shd w:val="clear" w:color="auto" w:fill="auto"/>
            <w:vAlign w:val="center"/>
          </w:tcPr>
          <w:p w14:paraId="11208FEC">
            <w:pPr>
              <w:pStyle w:val="a12"/>
              <w:bidi w:val="0"/>
              <w:jc w:val="center"/>
              <w:rPr>
                <w:rFonts w:hint="default"/>
                <w:color w:val="auto"/>
              </w:rPr>
            </w:pPr>
            <w:r>
              <w:rPr>
                <w:rFonts w:hint="default"/>
                <w:color w:val="auto"/>
              </w:rPr>
              <w:t>Ⅰ</w:t>
            </w:r>
          </w:p>
        </w:tc>
      </w:tr>
      <w:tr w14:paraId="32CD040A">
        <w:tblPrEx>
          <w:tblW w:w="4998" w:type="pct"/>
          <w:tblInd w:w="0" w:type="dxa"/>
          <w:tblCellMar>
            <w:top w:w="0" w:type="dxa"/>
            <w:left w:w="0" w:type="dxa"/>
            <w:bottom w:w="0" w:type="dxa"/>
            <w:right w:w="0" w:type="dxa"/>
          </w:tblCellMar>
        </w:tblPrEx>
        <w:trPr>
          <w:trHeight w:val="309"/>
        </w:trPr>
        <w:tc>
          <w:tcPr>
            <w:tcW w:w="757" w:type="pct"/>
            <w:tcBorders>
              <w:left w:val="single" w:sz="10" w:space="0" w:color="000000"/>
            </w:tcBorders>
            <w:vAlign w:val="center"/>
          </w:tcPr>
          <w:p w14:paraId="03166FAE">
            <w:pPr>
              <w:pStyle w:val="a12"/>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环评工作等级</w:t>
            </w:r>
          </w:p>
        </w:tc>
        <w:tc>
          <w:tcPr>
            <w:tcW w:w="716" w:type="pct"/>
            <w:vAlign w:val="center"/>
          </w:tcPr>
          <w:p w14:paraId="67F2CE45">
            <w:pPr>
              <w:pStyle w:val="a12"/>
              <w:bidi w:val="0"/>
              <w:jc w:val="center"/>
              <w:rPr>
                <w:rFonts w:ascii="Times New Roman" w:eastAsia="宋体" w:hAnsi="Times New Roman" w:cs="Times New Roman" w:hint="eastAsia"/>
                <w:color w:val="auto"/>
                <w:lang w:val="en-US" w:eastAsia="zh-CN"/>
              </w:rPr>
            </w:pPr>
            <w:r>
              <w:rPr>
                <w:rFonts w:ascii="Times New Roman" w:eastAsia="宋体" w:hAnsi="Times New Roman" w:cs="Times New Roman" w:hint="eastAsia"/>
                <w:color w:val="auto"/>
                <w:lang w:val="en-US" w:eastAsia="zh-CN"/>
              </w:rPr>
              <w:t>一</w:t>
            </w:r>
          </w:p>
        </w:tc>
        <w:tc>
          <w:tcPr>
            <w:tcW w:w="936" w:type="pct"/>
            <w:shd w:val="clear" w:color="auto" w:fill="D8D8D8" w:themeFill="background1" w:themeFillShade="D8"/>
            <w:vAlign w:val="center"/>
          </w:tcPr>
          <w:p w14:paraId="48F0910C">
            <w:pPr>
              <w:pStyle w:val="a12"/>
              <w:bidi w:val="0"/>
              <w:jc w:val="center"/>
              <w:rPr>
                <w:rFonts w:hint="default"/>
                <w:color w:val="auto"/>
              </w:rPr>
            </w:pPr>
            <w:r>
              <w:rPr>
                <w:rFonts w:hint="default"/>
                <w:color w:val="auto"/>
              </w:rPr>
              <w:t>二</w:t>
            </w:r>
          </w:p>
        </w:tc>
        <w:tc>
          <w:tcPr>
            <w:tcW w:w="1290" w:type="pct"/>
            <w:shd w:val="clear" w:color="auto" w:fill="auto"/>
            <w:vAlign w:val="center"/>
          </w:tcPr>
          <w:p w14:paraId="47796E82">
            <w:pPr>
              <w:pStyle w:val="a12"/>
              <w:bidi w:val="0"/>
              <w:jc w:val="center"/>
              <w:rPr>
                <w:rFonts w:hint="default"/>
                <w:color w:val="auto"/>
              </w:rPr>
            </w:pPr>
            <w:r>
              <w:rPr>
                <w:rFonts w:hint="default"/>
                <w:color w:val="auto"/>
              </w:rPr>
              <w:t>三</w:t>
            </w:r>
          </w:p>
        </w:tc>
        <w:tc>
          <w:tcPr>
            <w:tcW w:w="1299" w:type="pct"/>
            <w:tcBorders>
              <w:right w:val="single" w:sz="10" w:space="0" w:color="000000"/>
            </w:tcBorders>
            <w:shd w:val="clear" w:color="auto" w:fill="auto"/>
            <w:vAlign w:val="center"/>
          </w:tcPr>
          <w:p w14:paraId="29E80A97">
            <w:pPr>
              <w:pStyle w:val="a12"/>
              <w:bidi w:val="0"/>
              <w:jc w:val="center"/>
              <w:rPr>
                <w:rFonts w:hint="default"/>
                <w:color w:val="auto"/>
              </w:rPr>
            </w:pPr>
            <w:r>
              <w:rPr>
                <w:rFonts w:hint="default"/>
                <w:color w:val="auto"/>
              </w:rPr>
              <w:t>简单分析 a</w:t>
            </w:r>
          </w:p>
        </w:tc>
      </w:tr>
      <w:tr w14:paraId="68F1C74B">
        <w:tblPrEx>
          <w:tblW w:w="4998" w:type="pct"/>
          <w:tblInd w:w="0" w:type="dxa"/>
          <w:tblCellMar>
            <w:top w:w="0" w:type="dxa"/>
            <w:left w:w="0" w:type="dxa"/>
            <w:bottom w:w="0" w:type="dxa"/>
            <w:right w:w="0" w:type="dxa"/>
          </w:tblCellMar>
        </w:tblPrEx>
        <w:trPr>
          <w:trHeight w:val="292"/>
        </w:trPr>
        <w:tc>
          <w:tcPr>
            <w:tcW w:w="5000" w:type="pct"/>
            <w:gridSpan w:val="5"/>
            <w:tcBorders>
              <w:left w:val="single" w:sz="10" w:space="0" w:color="000000"/>
              <w:right w:val="single" w:sz="10" w:space="0" w:color="000000"/>
            </w:tcBorders>
            <w:vAlign w:val="center"/>
          </w:tcPr>
          <w:p w14:paraId="196822B3">
            <w:pPr>
              <w:pStyle w:val="a12"/>
              <w:bidi w:val="0"/>
              <w:jc w:val="center"/>
              <w:rPr>
                <w:rFonts w:hint="default"/>
                <w:color w:val="auto"/>
              </w:rPr>
            </w:pPr>
            <w:r>
              <w:rPr>
                <w:rFonts w:hint="default"/>
                <w:color w:val="auto"/>
              </w:rPr>
              <w:t>a ：相对于详细评价工作内容而言，在描述危险物质、环境影响途径、环境危害后果、风险防范措施等方面给出定性的说明。见附录A。</w:t>
            </w:r>
          </w:p>
        </w:tc>
      </w:tr>
    </w:tbl>
    <w:p w14:paraId="35DF1383">
      <w:pPr>
        <w:snapToGrid w:val="0"/>
        <w:spacing w:line="360" w:lineRule="auto"/>
        <w:ind w:firstLine="480" w:firstLineChars="200"/>
        <w:rPr>
          <w:rFonts w:ascii="Times New Roman" w:eastAsia="宋体" w:hAnsi="Times New Roman" w:cs="Times New Roman" w:hint="default"/>
          <w:color w:val="auto"/>
          <w:spacing w:val="24"/>
          <w:sz w:val="24"/>
          <w:szCs w:val="24"/>
          <w:u w:val="none" w:color="auto"/>
          <w:lang w:val="en-US" w:eastAsia="zh-CN"/>
        </w:rPr>
      </w:pPr>
      <w:r>
        <w:rPr>
          <w:rFonts w:ascii="Times New Roman" w:eastAsia="宋体" w:hAnsi="Times New Roman" w:cs="Times New Roman" w:hint="default"/>
          <w:color w:val="auto"/>
          <w:spacing w:val="24"/>
          <w:sz w:val="24"/>
          <w:szCs w:val="24"/>
          <w:u w:val="none" w:color="auto"/>
        </w:rPr>
        <w:t>本项目环境风险潜势为Ⅲ，根据《建设项目环境风险评价技术导则》（HJ169-2018）评价工作等级划分表，本项目</w:t>
      </w:r>
      <w:r>
        <w:rPr>
          <w:rFonts w:ascii="Times New Roman" w:eastAsia="宋体" w:hAnsi="Times New Roman" w:cs="Times New Roman" w:hint="eastAsia"/>
          <w:color w:val="auto"/>
          <w:spacing w:val="24"/>
          <w:sz w:val="24"/>
          <w:szCs w:val="24"/>
          <w:u w:val="none" w:color="auto"/>
          <w:lang w:val="en-US" w:eastAsia="zh-CN"/>
        </w:rPr>
        <w:t>大气</w:t>
      </w:r>
      <w:r>
        <w:rPr>
          <w:rFonts w:ascii="Times New Roman" w:eastAsia="宋体" w:hAnsi="Times New Roman" w:cs="Times New Roman" w:hint="default"/>
          <w:color w:val="auto"/>
          <w:spacing w:val="24"/>
          <w:sz w:val="24"/>
          <w:szCs w:val="24"/>
          <w:u w:val="none" w:color="auto"/>
        </w:rPr>
        <w:t>风险评价</w:t>
      </w:r>
      <w:r>
        <w:rPr>
          <w:rFonts w:ascii="Times New Roman" w:eastAsia="宋体" w:hAnsi="Times New Roman" w:cs="Times New Roman" w:hint="default"/>
          <w:color w:val="auto"/>
          <w:spacing w:val="24"/>
          <w:sz w:val="24"/>
          <w:szCs w:val="24"/>
          <w:u w:val="none" w:color="auto"/>
          <w:lang w:eastAsia="zh-CN"/>
        </w:rPr>
        <w:t>等级</w:t>
      </w:r>
      <w:r>
        <w:rPr>
          <w:rFonts w:ascii="Times New Roman" w:eastAsia="宋体" w:hAnsi="Times New Roman" w:cs="Times New Roman" w:hint="default"/>
          <w:color w:val="auto"/>
          <w:spacing w:val="24"/>
          <w:sz w:val="24"/>
          <w:szCs w:val="24"/>
          <w:u w:val="none" w:color="auto"/>
          <w:lang w:val="en-US" w:eastAsia="zh-CN"/>
        </w:rPr>
        <w:t>为</w:t>
      </w:r>
      <w:r>
        <w:rPr>
          <w:rFonts w:ascii="Times New Roman" w:eastAsia="宋体" w:hAnsi="Times New Roman" w:cs="Times New Roman" w:hint="eastAsia"/>
          <w:color w:val="auto"/>
          <w:spacing w:val="24"/>
          <w:sz w:val="24"/>
          <w:szCs w:val="24"/>
          <w:u w:val="none" w:color="auto"/>
          <w:lang w:val="en-US" w:eastAsia="zh-CN"/>
        </w:rPr>
        <w:t>三级</w:t>
      </w:r>
      <w:r>
        <w:rPr>
          <w:rFonts w:ascii="Times New Roman" w:eastAsia="宋体" w:hAnsi="Times New Roman" w:cs="Times New Roman" w:hint="default"/>
          <w:color w:val="auto"/>
          <w:spacing w:val="24"/>
          <w:sz w:val="24"/>
          <w:szCs w:val="24"/>
          <w:u w:val="none" w:color="auto"/>
        </w:rPr>
        <w:t>。</w:t>
      </w:r>
      <w:r>
        <w:rPr>
          <w:rFonts w:ascii="Times New Roman" w:eastAsia="宋体" w:hAnsi="Times New Roman" w:cs="Times New Roman" w:hint="default"/>
          <w:color w:val="auto"/>
          <w:spacing w:val="24"/>
          <w:sz w:val="24"/>
          <w:szCs w:val="24"/>
          <w:u w:val="none" w:color="auto"/>
          <w:lang w:val="en-US" w:eastAsia="zh-CN"/>
        </w:rPr>
        <w:t>项目的</w:t>
      </w:r>
      <w:r>
        <w:rPr>
          <w:rFonts w:ascii="Times New Roman" w:eastAsia="宋体" w:hAnsi="Times New Roman" w:cs="Times New Roman" w:hint="eastAsia"/>
          <w:color w:val="auto"/>
          <w:spacing w:val="24"/>
          <w:sz w:val="24"/>
          <w:szCs w:val="24"/>
          <w:u w:val="none" w:color="auto"/>
          <w:lang w:val="en-US" w:eastAsia="zh-CN"/>
        </w:rPr>
        <w:t>大气</w:t>
      </w:r>
      <w:r>
        <w:rPr>
          <w:rFonts w:ascii="Times New Roman" w:eastAsia="宋体" w:hAnsi="Times New Roman" w:cs="Times New Roman" w:hint="default"/>
          <w:color w:val="auto"/>
          <w:spacing w:val="24"/>
          <w:sz w:val="24"/>
          <w:szCs w:val="24"/>
          <w:u w:val="none" w:color="auto"/>
          <w:lang w:val="en-US" w:eastAsia="zh-CN"/>
        </w:rPr>
        <w:t>环境风险评价范围为厂界外3km</w:t>
      </w:r>
      <w:r>
        <w:rPr>
          <w:rFonts w:cs="Times New Roman" w:hint="eastAsia"/>
          <w:color w:val="auto"/>
          <w:spacing w:val="24"/>
          <w:sz w:val="24"/>
          <w:szCs w:val="24"/>
          <w:u w:val="none" w:color="auto"/>
          <w:lang w:val="en-US" w:eastAsia="zh-CN"/>
        </w:rPr>
        <w:t>范围</w:t>
      </w:r>
      <w:r>
        <w:rPr>
          <w:rFonts w:ascii="Times New Roman" w:eastAsia="宋体" w:hAnsi="Times New Roman" w:cs="Times New Roman" w:hint="default"/>
          <w:color w:val="auto"/>
          <w:spacing w:val="24"/>
          <w:sz w:val="24"/>
          <w:szCs w:val="24"/>
          <w:u w:val="none" w:color="auto"/>
          <w:lang w:val="en-US" w:eastAsia="zh-CN"/>
        </w:rPr>
        <w:t>。</w:t>
      </w:r>
      <w:r>
        <w:rPr>
          <w:rFonts w:ascii="Times New Roman" w:eastAsia="宋体" w:hAnsi="Times New Roman" w:cs="Times New Roman" w:hint="eastAsia"/>
          <w:color w:val="auto"/>
          <w:spacing w:val="24"/>
          <w:sz w:val="24"/>
          <w:szCs w:val="24"/>
          <w:u w:val="none" w:color="auto"/>
          <w:lang w:val="en-US" w:eastAsia="zh-CN"/>
        </w:rPr>
        <w:t>地下水</w:t>
      </w:r>
      <w:r>
        <w:rPr>
          <w:rFonts w:ascii="Times New Roman" w:eastAsia="宋体" w:hAnsi="Times New Roman" w:cs="Times New Roman" w:hint="default"/>
          <w:color w:val="auto"/>
          <w:spacing w:val="24"/>
          <w:sz w:val="24"/>
          <w:szCs w:val="24"/>
          <w:u w:val="none" w:color="auto"/>
        </w:rPr>
        <w:t>风险</w:t>
      </w:r>
      <w:r>
        <w:rPr>
          <w:rFonts w:ascii="Times New Roman" w:eastAsia="宋体" w:hAnsi="Times New Roman" w:cs="Times New Roman" w:hint="eastAsia"/>
          <w:color w:val="auto"/>
          <w:spacing w:val="24"/>
          <w:sz w:val="24"/>
          <w:szCs w:val="24"/>
          <w:u w:val="none" w:color="auto"/>
          <w:lang w:val="en-US" w:eastAsia="zh-CN"/>
        </w:rPr>
        <w:t>评价等级为二级，评价范围为6km</w:t>
      </w:r>
      <w:r>
        <w:rPr>
          <w:rFonts w:ascii="Times New Roman" w:eastAsia="宋体" w:hAnsi="Times New Roman" w:cs="Times New Roman" w:hint="eastAsia"/>
          <w:color w:val="auto"/>
          <w:spacing w:val="24"/>
          <w:sz w:val="24"/>
          <w:szCs w:val="24"/>
          <w:u w:val="none" w:color="auto"/>
          <w:vertAlign w:val="superscript"/>
          <w:lang w:val="en-US" w:eastAsia="zh-CN"/>
        </w:rPr>
        <w:t>2</w:t>
      </w:r>
    </w:p>
    <w:p w14:paraId="1A9307B4">
      <w:pPr>
        <w:pStyle w:val="00005"/>
        <w:bidi w:val="0"/>
        <w:rPr>
          <w:rFonts w:ascii="Times New Roman" w:eastAsia="宋体" w:hAnsi="Times New Roman" w:cs="Times New Roman" w:hint="default"/>
          <w:color w:val="auto"/>
          <w:sz w:val="28"/>
          <w:szCs w:val="28"/>
        </w:rPr>
      </w:pPr>
      <w:r>
        <w:rPr>
          <w:rFonts w:ascii="Times New Roman" w:eastAsia="宋体" w:hAnsi="Times New Roman" w:cs="Times New Roman" w:hint="default"/>
          <w:b/>
          <w:bCs/>
          <w:color w:val="auto"/>
          <w:sz w:val="28"/>
          <w:szCs w:val="28"/>
        </w:rPr>
        <w:t xml:space="preserve">3  </w:t>
      </w:r>
      <w:r>
        <w:rPr>
          <w:rFonts w:ascii="Times New Roman" w:eastAsia="宋体" w:hAnsi="Times New Roman" w:cs="Times New Roman" w:hint="default"/>
          <w:color w:val="auto"/>
          <w:sz w:val="28"/>
          <w:szCs w:val="28"/>
          <w14:textOutline w14:w="5103" w14:cap="sq">
            <w14:solidFill>
              <w14:srgbClr w14:val="000000"/>
            </w14:solidFill>
            <w14:bevel/>
          </w14:textOutline>
        </w:rPr>
        <w:t>环境敏感目标概况</w:t>
      </w:r>
    </w:p>
    <w:p w14:paraId="1948D118">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根据《建设项目环境风险评价技术导则》（HJ169-2018），本项目风险评价进行</w:t>
      </w:r>
      <w:r>
        <w:rPr>
          <w:rFonts w:ascii="Times New Roman" w:eastAsia="宋体" w:hAnsi="Times New Roman" w:cs="Times New Roman" w:hint="default"/>
          <w:color w:val="auto"/>
          <w:lang w:val="en-US" w:eastAsia="zh-CN"/>
        </w:rPr>
        <w:t>三级评价</w:t>
      </w:r>
      <w:r>
        <w:rPr>
          <w:rFonts w:ascii="Times New Roman" w:eastAsia="宋体" w:hAnsi="Times New Roman" w:cs="Times New Roman" w:hint="default"/>
          <w:color w:val="auto"/>
        </w:rPr>
        <w:t>，划定风险评价范围</w:t>
      </w:r>
      <w:r>
        <w:rPr>
          <w:rFonts w:ascii="Times New Roman" w:eastAsia="宋体" w:hAnsi="Times New Roman" w:cs="Times New Roman" w:hint="default"/>
          <w:color w:val="auto"/>
          <w:lang w:val="en-US" w:eastAsia="zh-CN"/>
        </w:rPr>
        <w:t>为</w:t>
      </w:r>
      <w:r>
        <w:rPr>
          <w:rFonts w:ascii="Times New Roman" w:eastAsia="宋体" w:hAnsi="Times New Roman" w:cs="Times New Roman" w:hint="default"/>
          <w:color w:val="auto"/>
        </w:rPr>
        <w:t>所在地</w:t>
      </w:r>
      <w:r>
        <w:rPr>
          <w:rFonts w:ascii="Times New Roman" w:eastAsia="宋体" w:hAnsi="Times New Roman" w:cs="Times New Roman" w:hint="default"/>
          <w:color w:val="auto"/>
          <w:lang w:val="en-US" w:eastAsia="zh-CN"/>
        </w:rPr>
        <w:t>3</w:t>
      </w:r>
      <w:r>
        <w:rPr>
          <w:rFonts w:ascii="Times New Roman" w:eastAsia="宋体" w:hAnsi="Times New Roman" w:cs="Times New Roman" w:hint="default"/>
          <w:color w:val="auto"/>
        </w:rPr>
        <w:t>km以内的区域</w:t>
      </w:r>
      <w:r>
        <w:rPr>
          <w:rFonts w:cs="Times New Roman" w:hint="eastAsia"/>
          <w:color w:val="auto"/>
          <w:lang w:eastAsia="zh-CN"/>
        </w:rPr>
        <w:t>，</w:t>
      </w:r>
      <w:r>
        <w:rPr>
          <w:rFonts w:ascii="Times New Roman" w:eastAsia="宋体" w:hAnsi="Times New Roman" w:cs="Times New Roman" w:hint="eastAsia"/>
          <w:color w:val="auto"/>
          <w:spacing w:val="24"/>
          <w:sz w:val="24"/>
          <w:szCs w:val="24"/>
          <w:u w:val="none" w:color="auto"/>
          <w:lang w:val="en-US" w:eastAsia="zh-CN"/>
        </w:rPr>
        <w:t>地下水评价范围为6km</w:t>
      </w:r>
      <w:r>
        <w:rPr>
          <w:rFonts w:ascii="Times New Roman" w:eastAsia="宋体" w:hAnsi="Times New Roman" w:cs="Times New Roman" w:hint="eastAsia"/>
          <w:color w:val="auto"/>
          <w:spacing w:val="24"/>
          <w:sz w:val="24"/>
          <w:szCs w:val="24"/>
          <w:u w:val="none" w:color="auto"/>
          <w:vertAlign w:val="superscript"/>
          <w:lang w:val="en-US" w:eastAsia="zh-CN"/>
        </w:rPr>
        <w:t>2</w:t>
      </w:r>
      <w:r>
        <w:rPr>
          <w:rFonts w:ascii="Times New Roman" w:eastAsia="宋体" w:hAnsi="Times New Roman" w:cs="Times New Roman" w:hint="default"/>
          <w:color w:val="auto"/>
        </w:rPr>
        <w:t>，主要的环境敏感目标见表1</w:t>
      </w:r>
      <w:r>
        <w:rPr>
          <w:rFonts w:ascii="Times New Roman" w:eastAsia="宋体" w:hAnsi="Times New Roman" w:cs="Times New Roman" w:hint="default"/>
          <w:color w:val="auto"/>
          <w:lang w:val="en-US" w:eastAsia="zh-CN"/>
        </w:rPr>
        <w:t>7</w:t>
      </w:r>
      <w:r>
        <w:rPr>
          <w:rFonts w:ascii="Times New Roman" w:eastAsia="宋体" w:hAnsi="Times New Roman" w:cs="Times New Roman" w:hint="default"/>
          <w:color w:val="auto"/>
        </w:rPr>
        <w:t>，</w:t>
      </w:r>
      <w:r>
        <w:rPr>
          <w:rFonts w:ascii="Times New Roman" w:eastAsia="宋体" w:hAnsi="Times New Roman" w:cs="Times New Roman" w:hint="eastAsia"/>
          <w:color w:val="auto"/>
          <w:spacing w:val="24"/>
          <w:sz w:val="24"/>
          <w:szCs w:val="24"/>
          <w:u w:val="none" w:color="auto"/>
          <w:lang w:val="en-US" w:eastAsia="zh-CN"/>
        </w:rPr>
        <w:t>地下水评价范围为6km</w:t>
      </w:r>
      <w:r>
        <w:rPr>
          <w:rFonts w:ascii="Times New Roman" w:eastAsia="宋体" w:hAnsi="Times New Roman" w:cs="Times New Roman" w:hint="eastAsia"/>
          <w:color w:val="auto"/>
          <w:spacing w:val="24"/>
          <w:sz w:val="24"/>
          <w:szCs w:val="24"/>
          <w:u w:val="none" w:color="auto"/>
          <w:vertAlign w:val="superscript"/>
          <w:lang w:val="en-US" w:eastAsia="zh-CN"/>
        </w:rPr>
        <w:t>2</w:t>
      </w:r>
      <w:r>
        <w:rPr>
          <w:rFonts w:ascii="Times New Roman" w:eastAsia="宋体" w:hAnsi="Times New Roman" w:cs="Times New Roman" w:hint="eastAsia"/>
          <w:color w:val="auto"/>
          <w:spacing w:val="24"/>
          <w:sz w:val="24"/>
          <w:szCs w:val="24"/>
          <w:u w:val="none" w:color="auto"/>
          <w:vertAlign w:val="baseline"/>
          <w:lang w:val="en-US" w:eastAsia="zh-CN"/>
        </w:rPr>
        <w:t>，无敏感目标。</w:t>
      </w:r>
      <w:r>
        <w:rPr>
          <w:rFonts w:ascii="Times New Roman" w:eastAsia="宋体" w:hAnsi="Times New Roman" w:cs="Times New Roman" w:hint="default"/>
          <w:color w:val="auto"/>
        </w:rPr>
        <w:t>环境保护目标分布图见图</w:t>
      </w:r>
      <w:r>
        <w:rPr>
          <w:rFonts w:ascii="Times New Roman" w:eastAsia="宋体" w:hAnsi="Times New Roman" w:cs="Times New Roman" w:hint="default"/>
          <w:color w:val="auto"/>
          <w:lang w:val="en-US" w:eastAsia="zh-CN"/>
        </w:rPr>
        <w:t>2</w:t>
      </w:r>
      <w:r>
        <w:rPr>
          <w:rFonts w:ascii="Times New Roman" w:eastAsia="宋体" w:hAnsi="Times New Roman" w:cs="Times New Roman" w:hint="default"/>
          <w:color w:val="auto"/>
        </w:rPr>
        <w:t>。</w:t>
      </w:r>
    </w:p>
    <w:p w14:paraId="5D0B8208">
      <w:pPr>
        <w:spacing w:before="185" w:line="228" w:lineRule="auto"/>
        <w:ind w:left="2569"/>
        <w:rPr>
          <w:rFonts w:ascii="Times New Roman" w:eastAsia="宋体" w:hAnsi="Times New Roman" w:cs="Times New Roman" w:hint="default"/>
          <w:color w:val="auto"/>
          <w:sz w:val="28"/>
          <w:szCs w:val="28"/>
        </w:rPr>
      </w:pPr>
      <w:r>
        <w:rPr>
          <w:rFonts w:ascii="Times New Roman" w:eastAsia="宋体" w:hAnsi="Times New Roman" w:cs="Times New Roman" w:hint="default"/>
          <w:color w:val="auto"/>
          <w:spacing w:val="5"/>
          <w:sz w:val="28"/>
          <w:szCs w:val="28"/>
          <w14:textOutline w14:w="3795" w14:cap="sq">
            <w14:solidFill>
              <w14:srgbClr w14:val="000000"/>
            </w14:solidFill>
            <w14:bevel/>
          </w14:textOutline>
        </w:rPr>
        <w:t>表</w:t>
      </w:r>
      <w:r>
        <w:rPr>
          <w:rFonts w:ascii="Times New Roman" w:eastAsia="宋体" w:hAnsi="Times New Roman" w:cs="Times New Roman" w:hint="default"/>
          <w:color w:val="auto"/>
          <w:spacing w:val="-22"/>
          <w:sz w:val="28"/>
          <w:szCs w:val="28"/>
        </w:rPr>
        <w:t xml:space="preserve"> </w:t>
      </w:r>
      <w:r>
        <w:rPr>
          <w:rFonts w:ascii="Times New Roman" w:eastAsia="宋体" w:hAnsi="Times New Roman" w:cs="Times New Roman" w:hint="default"/>
          <w:b/>
          <w:bCs/>
          <w:color w:val="auto"/>
          <w:spacing w:val="5"/>
          <w:sz w:val="28"/>
          <w:szCs w:val="28"/>
          <w:lang w:val="en-US" w:eastAsia="zh-CN"/>
        </w:rPr>
        <w:t>17</w:t>
      </w:r>
      <w:r>
        <w:rPr>
          <w:rFonts w:ascii="Times New Roman" w:eastAsia="宋体" w:hAnsi="Times New Roman" w:cs="Times New Roman" w:hint="default"/>
          <w:b/>
          <w:bCs/>
          <w:color w:val="auto"/>
          <w:spacing w:val="5"/>
          <w:sz w:val="28"/>
          <w:szCs w:val="28"/>
        </w:rPr>
        <w:t xml:space="preserve"> </w:t>
      </w:r>
      <w:r>
        <w:rPr>
          <w:rFonts w:ascii="Times New Roman" w:eastAsia="宋体" w:hAnsi="Times New Roman" w:cs="Times New Roman" w:hint="default"/>
          <w:color w:val="auto"/>
          <w:spacing w:val="5"/>
          <w:sz w:val="28"/>
          <w:szCs w:val="28"/>
          <w14:textOutline w14:w="3795" w14:cap="sq">
            <w14:solidFill>
              <w14:srgbClr w14:val="000000"/>
            </w14:solidFill>
            <w14:bevel/>
          </w14:textOutline>
        </w:rPr>
        <w:t>主要的</w:t>
      </w:r>
      <w:r>
        <w:rPr>
          <w:rFonts w:ascii="Times New Roman" w:eastAsia="宋体" w:hAnsi="Times New Roman" w:cs="Times New Roman" w:hint="default"/>
          <w:color w:val="auto"/>
          <w:spacing w:val="5"/>
          <w:sz w:val="28"/>
          <w:szCs w:val="28"/>
          <w:lang w:val="en-US" w:eastAsia="zh-CN"/>
          <w14:textOutline w14:w="3795" w14:cap="sq">
            <w14:solidFill>
              <w14:srgbClr w14:val="000000"/>
            </w14:solidFill>
            <w14:bevel/>
          </w14:textOutline>
        </w:rPr>
        <w:t>环境风险敏感</w:t>
      </w:r>
      <w:r>
        <w:rPr>
          <w:rFonts w:ascii="Times New Roman" w:eastAsia="宋体" w:hAnsi="Times New Roman" w:cs="Times New Roman" w:hint="default"/>
          <w:color w:val="auto"/>
          <w:spacing w:val="5"/>
          <w:sz w:val="28"/>
          <w:szCs w:val="28"/>
          <w14:textOutline w14:w="3795" w14:cap="sq">
            <w14:solidFill>
              <w14:srgbClr w14:val="000000"/>
            </w14:solidFill>
            <w14:bevel/>
          </w14:textOutline>
        </w:rPr>
        <w:t>目标汇总表</w:t>
      </w:r>
    </w:p>
    <w:p w14:paraId="350D296F">
      <w:pPr>
        <w:spacing w:line="135" w:lineRule="exact"/>
        <w:rPr>
          <w:rFonts w:ascii="Times New Roman" w:eastAsia="宋体" w:hAnsi="Times New Roman" w:cs="Times New Roman" w:hint="default"/>
          <w:color w:val="auto"/>
        </w:rPr>
      </w:pPr>
    </w:p>
    <w:tbl>
      <w:tblPr>
        <w:tblStyle w:val="TableNormal0"/>
        <w:tblW w:w="8847" w:type="dxa"/>
        <w:tblInd w:w="27" w:type="dxa"/>
        <w:tblBorders>
          <w:top w:val="single" w:sz="2" w:space="0" w:color="000000"/>
          <w:left w:val="single" w:sz="8" w:space="0" w:color="000000"/>
          <w:bottom w:val="single" w:sz="8" w:space="0" w:color="000000"/>
          <w:right w:val="single" w:sz="8" w:space="0" w:color="000000"/>
          <w:insideH w:val="single" w:sz="8" w:space="0" w:color="000000"/>
          <w:insideV w:val="single" w:sz="2" w:space="0" w:color="000000"/>
        </w:tblBorders>
        <w:tblLayout w:type="fixed"/>
        <w:tblCellMar>
          <w:top w:w="0" w:type="dxa"/>
          <w:left w:w="0" w:type="dxa"/>
          <w:bottom w:w="0" w:type="dxa"/>
          <w:right w:w="0" w:type="dxa"/>
        </w:tblCellMar>
      </w:tblPr>
      <w:tblGrid>
        <w:gridCol w:w="709"/>
        <w:gridCol w:w="1934"/>
        <w:gridCol w:w="1338"/>
        <w:gridCol w:w="1354"/>
        <w:gridCol w:w="1890"/>
        <w:gridCol w:w="1622"/>
      </w:tblGrid>
      <w:tr w14:paraId="0B79C06A">
        <w:tblPrEx>
          <w:tblW w:w="8847" w:type="dxa"/>
          <w:tblInd w:w="27" w:type="dxa"/>
          <w:tblBorders>
            <w:top w:val="single" w:sz="2" w:space="0" w:color="000000"/>
            <w:left w:val="single" w:sz="8" w:space="0" w:color="000000"/>
            <w:bottom w:val="single" w:sz="8" w:space="0" w:color="000000"/>
            <w:right w:val="single" w:sz="8" w:space="0" w:color="000000"/>
            <w:insideH w:val="single" w:sz="8" w:space="0" w:color="000000"/>
            <w:insideV w:val="single" w:sz="2" w:space="0" w:color="000000"/>
          </w:tblBorders>
          <w:tblLayout w:type="fixed"/>
          <w:tblCellMar>
            <w:top w:w="0" w:type="dxa"/>
            <w:left w:w="0" w:type="dxa"/>
            <w:bottom w:w="0" w:type="dxa"/>
            <w:right w:w="0" w:type="dxa"/>
          </w:tblCellMar>
        </w:tblPrEx>
        <w:trPr>
          <w:trHeight w:val="367"/>
        </w:trPr>
        <w:tc>
          <w:tcPr>
            <w:tcW w:w="709" w:type="dxa"/>
            <w:tcBorders>
              <w:tl2br w:val="nil"/>
              <w:tr2bl w:val="nil"/>
            </w:tcBorders>
            <w:vAlign w:val="top"/>
          </w:tcPr>
          <w:p w14:paraId="739ADCE2">
            <w:pPr>
              <w:pStyle w:val="TableText"/>
              <w:spacing w:before="113" w:line="225" w:lineRule="auto"/>
              <w:ind w:left="133"/>
              <w:outlineLvl w:val="1"/>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6"/>
                <w:sz w:val="21"/>
                <w:szCs w:val="21"/>
                <w14:textOutline w14:w="3795" w14:cap="sq">
                  <w14:solidFill>
                    <w14:srgbClr w14:val="000000"/>
                  </w14:solidFill>
                  <w14:bevel/>
                </w14:textOutline>
              </w:rPr>
              <w:t>序号</w:t>
            </w:r>
          </w:p>
        </w:tc>
        <w:tc>
          <w:tcPr>
            <w:tcW w:w="1934" w:type="dxa"/>
            <w:tcBorders>
              <w:tl2br w:val="nil"/>
              <w:tr2bl w:val="nil"/>
            </w:tcBorders>
            <w:vAlign w:val="top"/>
          </w:tcPr>
          <w:p w14:paraId="32E2CAF2">
            <w:pPr>
              <w:pStyle w:val="TableText"/>
              <w:spacing w:before="113" w:line="225" w:lineRule="auto"/>
              <w:ind w:left="124"/>
              <w:outlineLvl w:val="1"/>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9"/>
                <w:sz w:val="21"/>
                <w:szCs w:val="21"/>
                <w14:textOutline w14:w="3795" w14:cap="sq">
                  <w14:solidFill>
                    <w14:srgbClr w14:val="000000"/>
                  </w14:solidFill>
                  <w14:bevel/>
                </w14:textOutline>
              </w:rPr>
              <w:t>环境保护目标名称</w:t>
            </w:r>
          </w:p>
        </w:tc>
        <w:tc>
          <w:tcPr>
            <w:tcW w:w="1338" w:type="dxa"/>
            <w:tcBorders>
              <w:tl2br w:val="nil"/>
              <w:tr2bl w:val="nil"/>
            </w:tcBorders>
            <w:vAlign w:val="top"/>
          </w:tcPr>
          <w:p w14:paraId="423C439F">
            <w:pPr>
              <w:pStyle w:val="TableText"/>
              <w:spacing w:before="79" w:line="230" w:lineRule="auto"/>
              <w:ind w:left="251"/>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8"/>
                <w:sz w:val="21"/>
                <w:szCs w:val="21"/>
                <w14:textOutline w14:w="3795" w14:cap="sq">
                  <w14:solidFill>
                    <w14:srgbClr w14:val="000000"/>
                  </w14:solidFill>
                  <w14:bevel/>
                </w14:textOutline>
              </w:rPr>
              <w:t>相对方位</w:t>
            </w:r>
          </w:p>
        </w:tc>
        <w:tc>
          <w:tcPr>
            <w:tcW w:w="1354" w:type="dxa"/>
            <w:tcBorders>
              <w:tl2br w:val="nil"/>
              <w:tr2bl w:val="nil"/>
            </w:tcBorders>
            <w:vAlign w:val="top"/>
          </w:tcPr>
          <w:p w14:paraId="0F1873AC">
            <w:pPr>
              <w:pStyle w:val="TableText"/>
              <w:spacing w:before="79" w:line="229" w:lineRule="auto"/>
              <w:ind w:left="473"/>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6"/>
                <w:sz w:val="21"/>
                <w:szCs w:val="21"/>
                <w14:textOutline w14:w="3795" w14:cap="sq">
                  <w14:solidFill>
                    <w14:srgbClr w14:val="000000"/>
                  </w14:solidFill>
                  <w14:bevel/>
                </w14:textOutline>
              </w:rPr>
              <w:t>距离</w:t>
            </w:r>
          </w:p>
        </w:tc>
        <w:tc>
          <w:tcPr>
            <w:tcW w:w="1890" w:type="dxa"/>
            <w:tcBorders>
              <w:tl2br w:val="nil"/>
              <w:tr2bl w:val="nil"/>
            </w:tcBorders>
            <w:vAlign w:val="top"/>
          </w:tcPr>
          <w:p w14:paraId="771D888B">
            <w:pPr>
              <w:pStyle w:val="TableText"/>
              <w:spacing w:before="79" w:line="230" w:lineRule="auto"/>
              <w:ind w:left="748"/>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5"/>
                <w:sz w:val="21"/>
                <w:szCs w:val="21"/>
                <w14:textOutline w14:w="3795" w14:cap="sq">
                  <w14:solidFill>
                    <w14:srgbClr w14:val="000000"/>
                  </w14:solidFill>
                  <w14:bevel/>
                </w14:textOutline>
              </w:rPr>
              <w:t>属性</w:t>
            </w:r>
          </w:p>
        </w:tc>
        <w:tc>
          <w:tcPr>
            <w:tcW w:w="1622" w:type="dxa"/>
            <w:tcBorders>
              <w:tl2br w:val="nil"/>
              <w:tr2bl w:val="nil"/>
            </w:tcBorders>
            <w:vAlign w:val="top"/>
          </w:tcPr>
          <w:p w14:paraId="5BFD4389">
            <w:pPr>
              <w:pStyle w:val="TableText"/>
              <w:spacing w:before="80" w:line="228" w:lineRule="auto"/>
              <w:ind w:left="613"/>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5"/>
                <w:sz w:val="21"/>
                <w:szCs w:val="21"/>
                <w14:textOutline w14:w="3795" w14:cap="sq">
                  <w14:solidFill>
                    <w14:srgbClr w14:val="000000"/>
                  </w14:solidFill>
                  <w14:bevel/>
                </w14:textOutline>
              </w:rPr>
              <w:t>人数</w:t>
            </w:r>
          </w:p>
        </w:tc>
      </w:tr>
      <w:tr w14:paraId="5DB96CAA">
        <w:tblPrEx>
          <w:tblW w:w="8847" w:type="dxa"/>
          <w:tblInd w:w="27" w:type="dxa"/>
          <w:tblLayout w:type="fixed"/>
          <w:tblCellMar>
            <w:top w:w="0" w:type="dxa"/>
            <w:left w:w="0" w:type="dxa"/>
            <w:bottom w:w="0" w:type="dxa"/>
            <w:right w:w="0" w:type="dxa"/>
          </w:tblCellMar>
        </w:tblPrEx>
        <w:trPr>
          <w:trHeight w:val="238"/>
        </w:trPr>
        <w:tc>
          <w:tcPr>
            <w:tcW w:w="709" w:type="dxa"/>
            <w:tcBorders>
              <w:tl2br w:val="nil"/>
              <w:tr2bl w:val="nil"/>
            </w:tcBorders>
            <w:vAlign w:val="top"/>
          </w:tcPr>
          <w:p w14:paraId="05DDFB1E">
            <w:pPr>
              <w:spacing w:before="89" w:line="195" w:lineRule="auto"/>
              <w:ind w:left="309"/>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1</w:t>
            </w:r>
          </w:p>
        </w:tc>
        <w:tc>
          <w:tcPr>
            <w:tcW w:w="1934" w:type="dxa"/>
            <w:tcBorders>
              <w:tl2br w:val="nil"/>
              <w:tr2bl w:val="nil"/>
            </w:tcBorders>
            <w:vAlign w:val="top"/>
          </w:tcPr>
          <w:p w14:paraId="383A4A24">
            <w:pPr>
              <w:pStyle w:val="TableText"/>
              <w:spacing w:before="51" w:line="229" w:lineRule="auto"/>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杨树林</w:t>
            </w:r>
          </w:p>
        </w:tc>
        <w:tc>
          <w:tcPr>
            <w:tcW w:w="1338" w:type="dxa"/>
            <w:tcBorders>
              <w:tl2br w:val="nil"/>
              <w:tr2bl w:val="nil"/>
            </w:tcBorders>
            <w:vAlign w:val="top"/>
          </w:tcPr>
          <w:p w14:paraId="443BF8DD">
            <w:pPr>
              <w:spacing w:before="89" w:line="192" w:lineRule="auto"/>
              <w:ind w:left="605"/>
              <w:rPr>
                <w:rFonts w:ascii="Times New Roman" w:eastAsia="宋体" w:hAnsi="Times New Roman" w:cs="Times New Roman" w:hint="default"/>
                <w:color w:val="auto"/>
                <w:sz w:val="21"/>
                <w:szCs w:val="21"/>
                <w:lang w:eastAsia="zh-CN"/>
              </w:rPr>
            </w:pPr>
            <w:r>
              <w:rPr>
                <w:rFonts w:ascii="Times New Roman" w:eastAsia="宋体" w:hAnsi="Times New Roman" w:cs="Times New Roman" w:hint="default"/>
                <w:color w:val="auto"/>
                <w:sz w:val="21"/>
                <w:szCs w:val="21"/>
              </w:rPr>
              <w:t>S</w:t>
            </w:r>
          </w:p>
        </w:tc>
        <w:tc>
          <w:tcPr>
            <w:tcW w:w="1354" w:type="dxa"/>
            <w:tcBorders>
              <w:tl2br w:val="nil"/>
              <w:tr2bl w:val="nil"/>
            </w:tcBorders>
            <w:vAlign w:val="top"/>
          </w:tcPr>
          <w:p w14:paraId="6A51E935">
            <w:pPr>
              <w:spacing w:before="86" w:line="195" w:lineRule="auto"/>
              <w:ind w:left="445"/>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3"/>
                <w:sz w:val="21"/>
                <w:szCs w:val="21"/>
                <w:lang w:val="en-US" w:eastAsia="zh-CN"/>
              </w:rPr>
              <w:t>2920</w:t>
            </w:r>
            <w:r>
              <w:rPr>
                <w:rFonts w:ascii="Times New Roman" w:eastAsia="宋体" w:hAnsi="Times New Roman" w:cs="Times New Roman" w:hint="default"/>
                <w:color w:val="auto"/>
                <w:spacing w:val="3"/>
                <w:sz w:val="21"/>
                <w:szCs w:val="21"/>
              </w:rPr>
              <w:t>m</w:t>
            </w:r>
          </w:p>
        </w:tc>
        <w:tc>
          <w:tcPr>
            <w:tcW w:w="1890" w:type="dxa"/>
            <w:tcBorders>
              <w:tl2br w:val="nil"/>
              <w:tr2bl w:val="nil"/>
            </w:tcBorders>
            <w:vAlign w:val="top"/>
          </w:tcPr>
          <w:p w14:paraId="40655E9C">
            <w:pPr>
              <w:pStyle w:val="TableText"/>
              <w:spacing w:before="51" w:line="229" w:lineRule="auto"/>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4"/>
                <w:sz w:val="21"/>
                <w:szCs w:val="21"/>
              </w:rPr>
              <w:t>村庄</w:t>
            </w:r>
          </w:p>
        </w:tc>
        <w:tc>
          <w:tcPr>
            <w:tcW w:w="1622" w:type="dxa"/>
            <w:tcBorders>
              <w:tl2br w:val="nil"/>
              <w:tr2bl w:val="nil"/>
            </w:tcBorders>
            <w:vAlign w:val="top"/>
          </w:tcPr>
          <w:p w14:paraId="7F3F04C2">
            <w:pPr>
              <w:spacing w:before="89" w:line="195" w:lineRule="auto"/>
              <w:ind w:left="627"/>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150</w:t>
            </w:r>
          </w:p>
        </w:tc>
      </w:tr>
      <w:tr w14:paraId="5DC3CCE9">
        <w:tblPrEx>
          <w:tblW w:w="8847" w:type="dxa"/>
          <w:tblInd w:w="27" w:type="dxa"/>
          <w:tblLayout w:type="fixed"/>
          <w:tblCellMar>
            <w:top w:w="0" w:type="dxa"/>
            <w:left w:w="0" w:type="dxa"/>
            <w:bottom w:w="0" w:type="dxa"/>
            <w:right w:w="0" w:type="dxa"/>
          </w:tblCellMar>
        </w:tblPrEx>
        <w:trPr>
          <w:trHeight w:val="315"/>
        </w:trPr>
        <w:tc>
          <w:tcPr>
            <w:tcW w:w="709" w:type="dxa"/>
            <w:tcBorders>
              <w:tl2br w:val="nil"/>
              <w:tr2bl w:val="nil"/>
            </w:tcBorders>
            <w:vAlign w:val="top"/>
          </w:tcPr>
          <w:p w14:paraId="3734C47C">
            <w:pPr>
              <w:spacing w:before="93" w:line="195" w:lineRule="auto"/>
              <w:ind w:left="289"/>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2</w:t>
            </w:r>
          </w:p>
        </w:tc>
        <w:tc>
          <w:tcPr>
            <w:tcW w:w="1934" w:type="dxa"/>
            <w:tcBorders>
              <w:tl2br w:val="nil"/>
              <w:tr2bl w:val="nil"/>
            </w:tcBorders>
            <w:vAlign w:val="top"/>
          </w:tcPr>
          <w:p w14:paraId="277B0460">
            <w:pPr>
              <w:pStyle w:val="TableText"/>
              <w:spacing w:before="51" w:line="229" w:lineRule="auto"/>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半截塔</w:t>
            </w:r>
          </w:p>
        </w:tc>
        <w:tc>
          <w:tcPr>
            <w:tcW w:w="1338" w:type="dxa"/>
            <w:tcBorders>
              <w:tl2br w:val="nil"/>
              <w:tr2bl w:val="nil"/>
            </w:tcBorders>
            <w:vAlign w:val="top"/>
          </w:tcPr>
          <w:p w14:paraId="0B3D4A82">
            <w:pPr>
              <w:spacing w:before="88" w:line="195" w:lineRule="auto"/>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pacing w:val="-1"/>
                <w:sz w:val="21"/>
                <w:szCs w:val="21"/>
              </w:rPr>
              <w:t>SW</w:t>
            </w:r>
          </w:p>
        </w:tc>
        <w:tc>
          <w:tcPr>
            <w:tcW w:w="1354" w:type="dxa"/>
            <w:tcBorders>
              <w:tl2br w:val="nil"/>
              <w:tr2bl w:val="nil"/>
            </w:tcBorders>
            <w:vAlign w:val="top"/>
          </w:tcPr>
          <w:p w14:paraId="42753B91">
            <w:pPr>
              <w:spacing w:before="88" w:line="195" w:lineRule="auto"/>
              <w:ind w:left="445"/>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3"/>
                <w:sz w:val="21"/>
                <w:szCs w:val="21"/>
                <w:lang w:val="en-US" w:eastAsia="zh-CN"/>
              </w:rPr>
              <w:t>260</w:t>
            </w:r>
            <w:r>
              <w:rPr>
                <w:rFonts w:ascii="Times New Roman" w:eastAsia="宋体" w:hAnsi="Times New Roman" w:cs="Times New Roman" w:hint="default"/>
                <w:color w:val="auto"/>
                <w:spacing w:val="3"/>
                <w:sz w:val="21"/>
                <w:szCs w:val="21"/>
              </w:rPr>
              <w:t>m</w:t>
            </w:r>
          </w:p>
        </w:tc>
        <w:tc>
          <w:tcPr>
            <w:tcW w:w="1890" w:type="dxa"/>
            <w:tcBorders>
              <w:tl2br w:val="nil"/>
              <w:tr2bl w:val="nil"/>
            </w:tcBorders>
            <w:vAlign w:val="top"/>
          </w:tcPr>
          <w:p w14:paraId="35D60413">
            <w:pPr>
              <w:spacing w:before="52" w:line="229" w:lineRule="auto"/>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4"/>
                <w:sz w:val="21"/>
                <w:szCs w:val="21"/>
              </w:rPr>
              <w:t>村庄</w:t>
            </w:r>
          </w:p>
        </w:tc>
        <w:tc>
          <w:tcPr>
            <w:tcW w:w="1622" w:type="dxa"/>
            <w:tcBorders>
              <w:tl2br w:val="nil"/>
              <w:tr2bl w:val="nil"/>
            </w:tcBorders>
            <w:vAlign w:val="top"/>
          </w:tcPr>
          <w:p w14:paraId="7709E231">
            <w:pPr>
              <w:spacing w:before="93" w:line="195" w:lineRule="auto"/>
              <w:ind w:left="627"/>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400</w:t>
            </w:r>
          </w:p>
        </w:tc>
      </w:tr>
      <w:tr w14:paraId="46E49BA9">
        <w:tblPrEx>
          <w:tblW w:w="8847" w:type="dxa"/>
          <w:tblInd w:w="27" w:type="dxa"/>
          <w:tblLayout w:type="fixed"/>
          <w:tblCellMar>
            <w:top w:w="0" w:type="dxa"/>
            <w:left w:w="0" w:type="dxa"/>
            <w:bottom w:w="0" w:type="dxa"/>
            <w:right w:w="0" w:type="dxa"/>
          </w:tblCellMar>
        </w:tblPrEx>
        <w:trPr>
          <w:trHeight w:val="355"/>
        </w:trPr>
        <w:tc>
          <w:tcPr>
            <w:tcW w:w="709" w:type="dxa"/>
            <w:tcBorders>
              <w:tl2br w:val="nil"/>
              <w:tr2bl w:val="nil"/>
            </w:tcBorders>
            <w:vAlign w:val="top"/>
          </w:tcPr>
          <w:p w14:paraId="2B6C7B3F">
            <w:pPr>
              <w:spacing w:before="94" w:line="195" w:lineRule="auto"/>
              <w:ind w:left="293"/>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3</w:t>
            </w:r>
          </w:p>
        </w:tc>
        <w:tc>
          <w:tcPr>
            <w:tcW w:w="1934" w:type="dxa"/>
            <w:tcBorders>
              <w:tl2br w:val="nil"/>
              <w:tr2bl w:val="nil"/>
            </w:tcBorders>
            <w:vAlign w:val="top"/>
          </w:tcPr>
          <w:p w14:paraId="09E6C2BB">
            <w:pPr>
              <w:pStyle w:val="TableText"/>
              <w:spacing w:before="51" w:line="229" w:lineRule="auto"/>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北店</w:t>
            </w:r>
          </w:p>
        </w:tc>
        <w:tc>
          <w:tcPr>
            <w:tcW w:w="1338" w:type="dxa"/>
            <w:tcBorders>
              <w:tl2br w:val="nil"/>
              <w:tr2bl w:val="nil"/>
            </w:tcBorders>
            <w:vAlign w:val="top"/>
          </w:tcPr>
          <w:p w14:paraId="43BD8CDD">
            <w:pPr>
              <w:spacing w:before="95" w:line="192" w:lineRule="auto"/>
              <w:ind w:left="486"/>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8"/>
                <w:sz w:val="21"/>
                <w:szCs w:val="21"/>
              </w:rPr>
              <w:t>NW</w:t>
            </w:r>
          </w:p>
        </w:tc>
        <w:tc>
          <w:tcPr>
            <w:tcW w:w="1354" w:type="dxa"/>
            <w:tcBorders>
              <w:tl2br w:val="nil"/>
              <w:tr2bl w:val="nil"/>
            </w:tcBorders>
            <w:vAlign w:val="top"/>
          </w:tcPr>
          <w:p w14:paraId="064356F9">
            <w:pPr>
              <w:spacing w:before="92" w:line="195" w:lineRule="auto"/>
              <w:ind w:left="447"/>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3"/>
                <w:sz w:val="21"/>
                <w:szCs w:val="21"/>
                <w:lang w:val="en-US" w:eastAsia="zh-CN"/>
              </w:rPr>
              <w:t>890</w:t>
            </w:r>
            <w:r>
              <w:rPr>
                <w:rFonts w:ascii="Times New Roman" w:eastAsia="宋体" w:hAnsi="Times New Roman" w:cs="Times New Roman" w:hint="default"/>
                <w:color w:val="auto"/>
                <w:spacing w:val="3"/>
                <w:sz w:val="21"/>
                <w:szCs w:val="21"/>
              </w:rPr>
              <w:t>m</w:t>
            </w:r>
          </w:p>
        </w:tc>
        <w:tc>
          <w:tcPr>
            <w:tcW w:w="1890" w:type="dxa"/>
            <w:tcBorders>
              <w:tl2br w:val="nil"/>
              <w:tr2bl w:val="nil"/>
            </w:tcBorders>
            <w:vAlign w:val="top"/>
          </w:tcPr>
          <w:p w14:paraId="24531D2D">
            <w:pPr>
              <w:spacing w:before="56" w:line="229" w:lineRule="auto"/>
              <w:jc w:val="center"/>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4"/>
                <w:sz w:val="21"/>
                <w:szCs w:val="21"/>
              </w:rPr>
              <w:t>村庄</w:t>
            </w:r>
          </w:p>
        </w:tc>
        <w:tc>
          <w:tcPr>
            <w:tcW w:w="1622" w:type="dxa"/>
            <w:tcBorders>
              <w:tl2br w:val="nil"/>
              <w:tr2bl w:val="nil"/>
            </w:tcBorders>
            <w:vAlign w:val="top"/>
          </w:tcPr>
          <w:p w14:paraId="1DD3E3E2">
            <w:pPr>
              <w:spacing w:before="94" w:line="195" w:lineRule="auto"/>
              <w:ind w:left="666"/>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350</w:t>
            </w:r>
          </w:p>
        </w:tc>
      </w:tr>
      <w:tr w14:paraId="7AF38742">
        <w:tblPrEx>
          <w:tblW w:w="8847" w:type="dxa"/>
          <w:tblInd w:w="27" w:type="dxa"/>
          <w:tblLayout w:type="fixed"/>
          <w:tblCellMar>
            <w:top w:w="0" w:type="dxa"/>
            <w:left w:w="0" w:type="dxa"/>
            <w:bottom w:w="0" w:type="dxa"/>
            <w:right w:w="0" w:type="dxa"/>
          </w:tblCellMar>
        </w:tblPrEx>
        <w:trPr>
          <w:trHeight w:val="315"/>
        </w:trPr>
        <w:tc>
          <w:tcPr>
            <w:tcW w:w="709" w:type="dxa"/>
            <w:tcBorders>
              <w:tl2br w:val="nil"/>
              <w:tr2bl w:val="nil"/>
            </w:tcBorders>
            <w:vAlign w:val="top"/>
          </w:tcPr>
          <w:p w14:paraId="534DF195">
            <w:pPr>
              <w:spacing w:before="96" w:line="195" w:lineRule="auto"/>
              <w:ind w:left="288"/>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1"/>
                <w:sz w:val="21"/>
                <w:szCs w:val="21"/>
              </w:rPr>
              <w:t>4</w:t>
            </w:r>
          </w:p>
        </w:tc>
        <w:tc>
          <w:tcPr>
            <w:tcW w:w="1934" w:type="dxa"/>
            <w:tcBorders>
              <w:tl2br w:val="nil"/>
              <w:tr2bl w:val="nil"/>
            </w:tcBorders>
            <w:vAlign w:val="top"/>
          </w:tcPr>
          <w:p w14:paraId="2C67F319">
            <w:pPr>
              <w:pStyle w:val="TableText"/>
              <w:spacing w:before="51" w:line="229" w:lineRule="auto"/>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马家店</w:t>
            </w:r>
          </w:p>
        </w:tc>
        <w:tc>
          <w:tcPr>
            <w:tcW w:w="1338" w:type="dxa"/>
            <w:tcBorders>
              <w:tl2br w:val="nil"/>
              <w:tr2bl w:val="nil"/>
            </w:tcBorders>
            <w:vAlign w:val="top"/>
          </w:tcPr>
          <w:p w14:paraId="248FB687">
            <w:pPr>
              <w:spacing w:before="96" w:line="192" w:lineRule="auto"/>
              <w:ind w:left="605"/>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8"/>
                <w:sz w:val="21"/>
                <w:szCs w:val="21"/>
              </w:rPr>
              <w:t>NW</w:t>
            </w:r>
          </w:p>
        </w:tc>
        <w:tc>
          <w:tcPr>
            <w:tcW w:w="1354" w:type="dxa"/>
            <w:tcBorders>
              <w:tl2br w:val="nil"/>
              <w:tr2bl w:val="nil"/>
            </w:tcBorders>
            <w:vAlign w:val="top"/>
          </w:tcPr>
          <w:p w14:paraId="674DDCDB">
            <w:pPr>
              <w:spacing w:before="93" w:line="195" w:lineRule="auto"/>
              <w:ind w:left="440"/>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4"/>
                <w:sz w:val="21"/>
                <w:szCs w:val="21"/>
                <w:lang w:val="en-US" w:eastAsia="zh-CN"/>
              </w:rPr>
              <w:t>1950</w:t>
            </w:r>
            <w:r>
              <w:rPr>
                <w:rFonts w:ascii="Times New Roman" w:eastAsia="宋体" w:hAnsi="Times New Roman" w:cs="Times New Roman" w:hint="default"/>
                <w:color w:val="auto"/>
                <w:spacing w:val="4"/>
                <w:sz w:val="21"/>
                <w:szCs w:val="21"/>
              </w:rPr>
              <w:t>m</w:t>
            </w:r>
          </w:p>
        </w:tc>
        <w:tc>
          <w:tcPr>
            <w:tcW w:w="1890" w:type="dxa"/>
            <w:tcBorders>
              <w:tl2br w:val="nil"/>
              <w:tr2bl w:val="nil"/>
            </w:tcBorders>
            <w:vAlign w:val="top"/>
          </w:tcPr>
          <w:p w14:paraId="5851671F">
            <w:pPr>
              <w:spacing w:before="57" w:line="228" w:lineRule="auto"/>
              <w:ind w:left="747"/>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4"/>
                <w:sz w:val="21"/>
                <w:szCs w:val="21"/>
              </w:rPr>
              <w:t>村庄</w:t>
            </w:r>
          </w:p>
        </w:tc>
        <w:tc>
          <w:tcPr>
            <w:tcW w:w="1622" w:type="dxa"/>
            <w:tcBorders>
              <w:tl2br w:val="nil"/>
              <w:tr2bl w:val="nil"/>
            </w:tcBorders>
            <w:vAlign w:val="top"/>
          </w:tcPr>
          <w:p w14:paraId="2EF456FE">
            <w:pPr>
              <w:spacing w:before="96" w:line="195" w:lineRule="auto"/>
              <w:ind w:left="627"/>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200</w:t>
            </w:r>
          </w:p>
        </w:tc>
      </w:tr>
      <w:tr w14:paraId="736FB74F">
        <w:tblPrEx>
          <w:tblW w:w="8847" w:type="dxa"/>
          <w:tblInd w:w="27" w:type="dxa"/>
          <w:tblLayout w:type="fixed"/>
          <w:tblCellMar>
            <w:top w:w="0" w:type="dxa"/>
            <w:left w:w="0" w:type="dxa"/>
            <w:bottom w:w="0" w:type="dxa"/>
            <w:right w:w="0" w:type="dxa"/>
          </w:tblCellMar>
        </w:tblPrEx>
        <w:trPr>
          <w:trHeight w:val="315"/>
        </w:trPr>
        <w:tc>
          <w:tcPr>
            <w:tcW w:w="709" w:type="dxa"/>
            <w:tcBorders>
              <w:tl2br w:val="nil"/>
              <w:tr2bl w:val="nil"/>
            </w:tcBorders>
            <w:vAlign w:val="top"/>
          </w:tcPr>
          <w:p w14:paraId="1D3868A9">
            <w:pPr>
              <w:spacing w:before="100" w:line="192" w:lineRule="auto"/>
              <w:ind w:left="294"/>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5</w:t>
            </w:r>
          </w:p>
        </w:tc>
        <w:tc>
          <w:tcPr>
            <w:tcW w:w="1934" w:type="dxa"/>
            <w:tcBorders>
              <w:tl2br w:val="nil"/>
              <w:tr2bl w:val="nil"/>
            </w:tcBorders>
            <w:vAlign w:val="top"/>
          </w:tcPr>
          <w:p w14:paraId="1F7516B7">
            <w:pPr>
              <w:pStyle w:val="TableText"/>
              <w:spacing w:before="51" w:line="229" w:lineRule="auto"/>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头号</w:t>
            </w:r>
          </w:p>
        </w:tc>
        <w:tc>
          <w:tcPr>
            <w:tcW w:w="1338" w:type="dxa"/>
            <w:tcBorders>
              <w:tl2br w:val="nil"/>
              <w:tr2bl w:val="nil"/>
            </w:tcBorders>
            <w:vAlign w:val="top"/>
          </w:tcPr>
          <w:p w14:paraId="6EDAB7AB">
            <w:pPr>
              <w:spacing w:before="98" w:line="192" w:lineRule="auto"/>
              <w:ind w:left="568"/>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5"/>
                <w:sz w:val="21"/>
                <w:szCs w:val="21"/>
              </w:rPr>
              <w:t>W</w:t>
            </w:r>
          </w:p>
        </w:tc>
        <w:tc>
          <w:tcPr>
            <w:tcW w:w="1354" w:type="dxa"/>
            <w:tcBorders>
              <w:tl2br w:val="nil"/>
              <w:tr2bl w:val="nil"/>
            </w:tcBorders>
            <w:vAlign w:val="top"/>
          </w:tcPr>
          <w:p w14:paraId="36DB29FB">
            <w:pPr>
              <w:spacing w:before="95" w:line="195" w:lineRule="auto"/>
              <w:ind w:left="440"/>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5"/>
                <w:sz w:val="21"/>
                <w:szCs w:val="21"/>
                <w:lang w:val="en-US" w:eastAsia="zh-CN"/>
              </w:rPr>
              <w:t>1830</w:t>
            </w:r>
            <w:r>
              <w:rPr>
                <w:rFonts w:ascii="Times New Roman" w:eastAsia="宋体" w:hAnsi="Times New Roman" w:cs="Times New Roman" w:hint="default"/>
                <w:color w:val="auto"/>
                <w:spacing w:val="5"/>
                <w:sz w:val="21"/>
                <w:szCs w:val="21"/>
              </w:rPr>
              <w:t>m</w:t>
            </w:r>
          </w:p>
        </w:tc>
        <w:tc>
          <w:tcPr>
            <w:tcW w:w="1890" w:type="dxa"/>
            <w:tcBorders>
              <w:tl2br w:val="nil"/>
              <w:tr2bl w:val="nil"/>
            </w:tcBorders>
            <w:vAlign w:val="top"/>
          </w:tcPr>
          <w:p w14:paraId="07BC77E3">
            <w:pPr>
              <w:spacing w:before="60" w:line="226" w:lineRule="auto"/>
              <w:ind w:left="747"/>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4"/>
                <w:sz w:val="21"/>
                <w:szCs w:val="21"/>
              </w:rPr>
              <w:t>村庄</w:t>
            </w:r>
          </w:p>
        </w:tc>
        <w:tc>
          <w:tcPr>
            <w:tcW w:w="1622" w:type="dxa"/>
            <w:tcBorders>
              <w:tl2br w:val="nil"/>
              <w:tr2bl w:val="nil"/>
            </w:tcBorders>
            <w:vAlign w:val="top"/>
          </w:tcPr>
          <w:p w14:paraId="731CC622">
            <w:pPr>
              <w:spacing w:before="97" w:line="195" w:lineRule="auto"/>
              <w:ind w:left="613"/>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180</w:t>
            </w:r>
          </w:p>
        </w:tc>
      </w:tr>
      <w:tr w14:paraId="7AAB3C32">
        <w:tblPrEx>
          <w:tblW w:w="8847" w:type="dxa"/>
          <w:tblInd w:w="27" w:type="dxa"/>
          <w:tblLayout w:type="fixed"/>
          <w:tblCellMar>
            <w:top w:w="0" w:type="dxa"/>
            <w:left w:w="0" w:type="dxa"/>
            <w:bottom w:w="0" w:type="dxa"/>
            <w:right w:w="0" w:type="dxa"/>
          </w:tblCellMar>
        </w:tblPrEx>
        <w:trPr>
          <w:trHeight w:val="315"/>
        </w:trPr>
        <w:tc>
          <w:tcPr>
            <w:tcW w:w="709" w:type="dxa"/>
            <w:tcBorders>
              <w:tl2br w:val="nil"/>
              <w:tr2bl w:val="nil"/>
            </w:tcBorders>
            <w:vAlign w:val="top"/>
          </w:tcPr>
          <w:p w14:paraId="75F1ABA9">
            <w:pPr>
              <w:spacing w:before="99" w:line="195" w:lineRule="auto"/>
              <w:ind w:left="293"/>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6</w:t>
            </w:r>
          </w:p>
        </w:tc>
        <w:tc>
          <w:tcPr>
            <w:tcW w:w="1934" w:type="dxa"/>
            <w:tcBorders>
              <w:tl2br w:val="nil"/>
              <w:tr2bl w:val="nil"/>
            </w:tcBorders>
            <w:vAlign w:val="top"/>
          </w:tcPr>
          <w:p w14:paraId="1571BFF8">
            <w:pPr>
              <w:pStyle w:val="R-"/>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头号河西</w:t>
            </w:r>
          </w:p>
        </w:tc>
        <w:tc>
          <w:tcPr>
            <w:tcW w:w="1338" w:type="dxa"/>
            <w:tcBorders>
              <w:tl2br w:val="nil"/>
              <w:tr2bl w:val="nil"/>
            </w:tcBorders>
            <w:vAlign w:val="top"/>
          </w:tcPr>
          <w:p w14:paraId="53849E90">
            <w:pPr>
              <w:spacing w:before="99" w:line="195" w:lineRule="auto"/>
              <w:ind w:left="520"/>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1"/>
                <w:sz w:val="21"/>
                <w:szCs w:val="21"/>
              </w:rPr>
              <w:t>SW</w:t>
            </w:r>
          </w:p>
        </w:tc>
        <w:tc>
          <w:tcPr>
            <w:tcW w:w="1354" w:type="dxa"/>
            <w:tcBorders>
              <w:tl2br w:val="nil"/>
              <w:tr2bl w:val="nil"/>
            </w:tcBorders>
            <w:vAlign w:val="top"/>
          </w:tcPr>
          <w:p w14:paraId="4B16D25A">
            <w:pPr>
              <w:spacing w:before="99" w:line="195" w:lineRule="auto"/>
              <w:ind w:left="413"/>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2"/>
                <w:sz w:val="21"/>
                <w:szCs w:val="21"/>
                <w:lang w:val="en-US" w:eastAsia="zh-CN"/>
              </w:rPr>
              <w:t>2600</w:t>
            </w:r>
            <w:r>
              <w:rPr>
                <w:rFonts w:ascii="Times New Roman" w:eastAsia="宋体" w:hAnsi="Times New Roman" w:cs="Times New Roman" w:hint="default"/>
                <w:color w:val="auto"/>
                <w:spacing w:val="-2"/>
                <w:sz w:val="21"/>
                <w:szCs w:val="21"/>
              </w:rPr>
              <w:t>m</w:t>
            </w:r>
          </w:p>
        </w:tc>
        <w:tc>
          <w:tcPr>
            <w:tcW w:w="1890" w:type="dxa"/>
            <w:tcBorders>
              <w:tl2br w:val="nil"/>
              <w:tr2bl w:val="nil"/>
            </w:tcBorders>
            <w:vAlign w:val="top"/>
          </w:tcPr>
          <w:p w14:paraId="6C5570E7">
            <w:pPr>
              <w:spacing w:before="63" w:line="223" w:lineRule="auto"/>
              <w:ind w:left="747"/>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4"/>
                <w:sz w:val="21"/>
                <w:szCs w:val="21"/>
              </w:rPr>
              <w:t>村庄</w:t>
            </w:r>
          </w:p>
        </w:tc>
        <w:tc>
          <w:tcPr>
            <w:tcW w:w="1622" w:type="dxa"/>
            <w:tcBorders>
              <w:tl2br w:val="nil"/>
              <w:tr2bl w:val="nil"/>
            </w:tcBorders>
            <w:vAlign w:val="top"/>
          </w:tcPr>
          <w:p w14:paraId="5A3145BB">
            <w:pPr>
              <w:spacing w:before="99" w:line="195" w:lineRule="auto"/>
              <w:ind w:left="627"/>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200</w:t>
            </w:r>
          </w:p>
        </w:tc>
      </w:tr>
      <w:tr w14:paraId="55C6A2D4">
        <w:tblPrEx>
          <w:tblW w:w="8847" w:type="dxa"/>
          <w:tblInd w:w="27" w:type="dxa"/>
          <w:tblLayout w:type="fixed"/>
          <w:tblCellMar>
            <w:top w:w="0" w:type="dxa"/>
            <w:left w:w="0" w:type="dxa"/>
            <w:bottom w:w="0" w:type="dxa"/>
            <w:right w:w="0" w:type="dxa"/>
          </w:tblCellMar>
        </w:tblPrEx>
        <w:trPr>
          <w:trHeight w:val="315"/>
        </w:trPr>
        <w:tc>
          <w:tcPr>
            <w:tcW w:w="709" w:type="dxa"/>
            <w:tcBorders>
              <w:tl2br w:val="nil"/>
              <w:tr2bl w:val="nil"/>
            </w:tcBorders>
            <w:vAlign w:val="top"/>
          </w:tcPr>
          <w:p w14:paraId="4AC9EBA1">
            <w:pPr>
              <w:spacing w:before="104" w:line="192" w:lineRule="auto"/>
              <w:ind w:left="292"/>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7</w:t>
            </w:r>
          </w:p>
        </w:tc>
        <w:tc>
          <w:tcPr>
            <w:tcW w:w="1934" w:type="dxa"/>
            <w:tcBorders>
              <w:tl2br w:val="nil"/>
              <w:tr2bl w:val="nil"/>
            </w:tcBorders>
            <w:vAlign w:val="top"/>
          </w:tcPr>
          <w:p w14:paraId="241C206E">
            <w:pPr>
              <w:pStyle w:val="TableText"/>
              <w:spacing w:before="51" w:line="229" w:lineRule="auto"/>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白家店</w:t>
            </w:r>
          </w:p>
        </w:tc>
        <w:tc>
          <w:tcPr>
            <w:tcW w:w="1338" w:type="dxa"/>
            <w:tcBorders>
              <w:tl2br w:val="nil"/>
              <w:tr2bl w:val="nil"/>
            </w:tcBorders>
            <w:vAlign w:val="top"/>
          </w:tcPr>
          <w:p w14:paraId="0F8957A3">
            <w:pPr>
              <w:spacing w:before="101" w:line="195" w:lineRule="auto"/>
              <w:ind w:left="520"/>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1"/>
                <w:sz w:val="21"/>
                <w:szCs w:val="21"/>
              </w:rPr>
              <w:t>SW</w:t>
            </w:r>
          </w:p>
        </w:tc>
        <w:tc>
          <w:tcPr>
            <w:tcW w:w="1354" w:type="dxa"/>
            <w:tcBorders>
              <w:tl2br w:val="nil"/>
              <w:tr2bl w:val="nil"/>
            </w:tcBorders>
            <w:vAlign w:val="top"/>
          </w:tcPr>
          <w:p w14:paraId="70E44A61">
            <w:pPr>
              <w:spacing w:before="101" w:line="195" w:lineRule="auto"/>
              <w:ind w:left="408"/>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lang w:val="en-US" w:eastAsia="zh-CN"/>
              </w:rPr>
              <w:t>830</w:t>
            </w:r>
            <w:r>
              <w:rPr>
                <w:rFonts w:ascii="Times New Roman" w:eastAsia="宋体" w:hAnsi="Times New Roman" w:cs="Times New Roman" w:hint="default"/>
                <w:color w:val="auto"/>
                <w:sz w:val="21"/>
                <w:szCs w:val="21"/>
              </w:rPr>
              <w:t>m</w:t>
            </w:r>
          </w:p>
        </w:tc>
        <w:tc>
          <w:tcPr>
            <w:tcW w:w="1890" w:type="dxa"/>
            <w:tcBorders>
              <w:tl2br w:val="nil"/>
              <w:tr2bl w:val="nil"/>
            </w:tcBorders>
            <w:vAlign w:val="top"/>
          </w:tcPr>
          <w:p w14:paraId="58650943">
            <w:pPr>
              <w:spacing w:before="65" w:line="221" w:lineRule="auto"/>
              <w:ind w:left="747"/>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4"/>
                <w:sz w:val="21"/>
                <w:szCs w:val="21"/>
              </w:rPr>
              <w:t>村庄</w:t>
            </w:r>
          </w:p>
        </w:tc>
        <w:tc>
          <w:tcPr>
            <w:tcW w:w="1622" w:type="dxa"/>
            <w:tcBorders>
              <w:tl2br w:val="nil"/>
              <w:tr2bl w:val="nil"/>
            </w:tcBorders>
            <w:vAlign w:val="top"/>
          </w:tcPr>
          <w:p w14:paraId="1564BB68">
            <w:pPr>
              <w:spacing w:before="101" w:line="195" w:lineRule="auto"/>
              <w:ind w:left="662"/>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350</w:t>
            </w:r>
          </w:p>
        </w:tc>
      </w:tr>
      <w:tr w14:paraId="226CB0EA">
        <w:tblPrEx>
          <w:tblW w:w="8847" w:type="dxa"/>
          <w:tblInd w:w="27" w:type="dxa"/>
          <w:tblLayout w:type="fixed"/>
          <w:tblCellMar>
            <w:top w:w="0" w:type="dxa"/>
            <w:left w:w="0" w:type="dxa"/>
            <w:bottom w:w="0" w:type="dxa"/>
            <w:right w:w="0" w:type="dxa"/>
          </w:tblCellMar>
        </w:tblPrEx>
        <w:trPr>
          <w:trHeight w:val="315"/>
        </w:trPr>
        <w:tc>
          <w:tcPr>
            <w:tcW w:w="709" w:type="dxa"/>
            <w:tcBorders>
              <w:tl2br w:val="nil"/>
              <w:tr2bl w:val="nil"/>
            </w:tcBorders>
            <w:vAlign w:val="top"/>
          </w:tcPr>
          <w:p w14:paraId="4A8EB0D3">
            <w:pPr>
              <w:spacing w:before="105" w:line="195" w:lineRule="auto"/>
              <w:ind w:left="297"/>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8</w:t>
            </w:r>
          </w:p>
        </w:tc>
        <w:tc>
          <w:tcPr>
            <w:tcW w:w="1934" w:type="dxa"/>
            <w:tcBorders>
              <w:tl2br w:val="nil"/>
              <w:tr2bl w:val="nil"/>
            </w:tcBorders>
            <w:vAlign w:val="top"/>
          </w:tcPr>
          <w:p w14:paraId="2237FAEA">
            <w:pPr>
              <w:pStyle w:val="TableText"/>
              <w:spacing w:before="51" w:line="229" w:lineRule="auto"/>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冯家店</w:t>
            </w:r>
          </w:p>
        </w:tc>
        <w:tc>
          <w:tcPr>
            <w:tcW w:w="1338" w:type="dxa"/>
            <w:tcBorders>
              <w:tl2br w:val="nil"/>
              <w:tr2bl w:val="nil"/>
            </w:tcBorders>
            <w:vAlign w:val="top"/>
          </w:tcPr>
          <w:p w14:paraId="25A836AB">
            <w:pPr>
              <w:spacing w:before="107" w:line="192" w:lineRule="auto"/>
              <w:ind w:left="486"/>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8"/>
                <w:sz w:val="21"/>
                <w:szCs w:val="21"/>
              </w:rPr>
              <w:t>NW</w:t>
            </w:r>
          </w:p>
        </w:tc>
        <w:tc>
          <w:tcPr>
            <w:tcW w:w="1354" w:type="dxa"/>
            <w:tcBorders>
              <w:tl2br w:val="nil"/>
              <w:tr2bl w:val="nil"/>
            </w:tcBorders>
            <w:vAlign w:val="top"/>
          </w:tcPr>
          <w:p w14:paraId="5CBB6BB2">
            <w:pPr>
              <w:spacing w:before="105" w:line="195" w:lineRule="auto"/>
              <w:ind w:left="444"/>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3"/>
                <w:sz w:val="21"/>
                <w:szCs w:val="21"/>
              </w:rPr>
              <w:t>736m</w:t>
            </w:r>
          </w:p>
        </w:tc>
        <w:tc>
          <w:tcPr>
            <w:tcW w:w="1890" w:type="dxa"/>
            <w:tcBorders>
              <w:tl2br w:val="nil"/>
              <w:tr2bl w:val="nil"/>
            </w:tcBorders>
            <w:vAlign w:val="top"/>
          </w:tcPr>
          <w:p w14:paraId="687514FA">
            <w:pPr>
              <w:spacing w:before="68" w:line="218" w:lineRule="auto"/>
              <w:ind w:left="751"/>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4"/>
                <w:sz w:val="21"/>
                <w:szCs w:val="21"/>
              </w:rPr>
              <w:t>村庄</w:t>
            </w:r>
          </w:p>
        </w:tc>
        <w:tc>
          <w:tcPr>
            <w:tcW w:w="1622" w:type="dxa"/>
            <w:tcBorders>
              <w:tl2br w:val="nil"/>
              <w:tr2bl w:val="nil"/>
            </w:tcBorders>
            <w:vAlign w:val="top"/>
          </w:tcPr>
          <w:p w14:paraId="59A2ECAF">
            <w:pPr>
              <w:spacing w:before="105" w:line="195" w:lineRule="auto"/>
              <w:ind w:left="663"/>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300</w:t>
            </w:r>
          </w:p>
        </w:tc>
      </w:tr>
      <w:tr w14:paraId="6F73FAA0">
        <w:tblPrEx>
          <w:tblW w:w="8847" w:type="dxa"/>
          <w:tblInd w:w="27" w:type="dxa"/>
          <w:tblLayout w:type="fixed"/>
          <w:tblCellMar>
            <w:top w:w="0" w:type="dxa"/>
            <w:left w:w="0" w:type="dxa"/>
            <w:bottom w:w="0" w:type="dxa"/>
            <w:right w:w="0" w:type="dxa"/>
          </w:tblCellMar>
        </w:tblPrEx>
        <w:trPr>
          <w:trHeight w:val="315"/>
        </w:trPr>
        <w:tc>
          <w:tcPr>
            <w:tcW w:w="709" w:type="dxa"/>
            <w:tcBorders>
              <w:tl2br w:val="nil"/>
              <w:tr2bl w:val="nil"/>
            </w:tcBorders>
            <w:vAlign w:val="top"/>
          </w:tcPr>
          <w:p w14:paraId="08738EC2">
            <w:pPr>
              <w:spacing w:before="106" w:line="195" w:lineRule="auto"/>
              <w:ind w:left="293"/>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9</w:t>
            </w:r>
          </w:p>
        </w:tc>
        <w:tc>
          <w:tcPr>
            <w:tcW w:w="1934" w:type="dxa"/>
            <w:tcBorders>
              <w:tl2br w:val="nil"/>
              <w:tr2bl w:val="nil"/>
            </w:tcBorders>
            <w:vAlign w:val="top"/>
          </w:tcPr>
          <w:p w14:paraId="1DC3750C">
            <w:pPr>
              <w:pStyle w:val="TableText"/>
              <w:spacing w:before="51" w:line="229" w:lineRule="auto"/>
              <w:jc w:val="center"/>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上冯家店</w:t>
            </w:r>
          </w:p>
        </w:tc>
        <w:tc>
          <w:tcPr>
            <w:tcW w:w="1338" w:type="dxa"/>
            <w:tcBorders>
              <w:tl2br w:val="nil"/>
              <w:tr2bl w:val="nil"/>
            </w:tcBorders>
            <w:vAlign w:val="top"/>
          </w:tcPr>
          <w:p w14:paraId="462E96E1">
            <w:pPr>
              <w:spacing w:before="109" w:line="192" w:lineRule="auto"/>
              <w:ind w:left="522"/>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7"/>
                <w:sz w:val="21"/>
                <w:szCs w:val="21"/>
              </w:rPr>
              <w:t>NE</w:t>
            </w:r>
          </w:p>
        </w:tc>
        <w:tc>
          <w:tcPr>
            <w:tcW w:w="1354" w:type="dxa"/>
            <w:tcBorders>
              <w:tl2br w:val="nil"/>
              <w:tr2bl w:val="nil"/>
            </w:tcBorders>
            <w:vAlign w:val="top"/>
          </w:tcPr>
          <w:p w14:paraId="13040567">
            <w:pPr>
              <w:spacing w:before="106" w:line="195" w:lineRule="auto"/>
              <w:ind w:left="408"/>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z w:val="21"/>
                <w:szCs w:val="21"/>
              </w:rPr>
              <w:t>1031m</w:t>
            </w:r>
          </w:p>
        </w:tc>
        <w:tc>
          <w:tcPr>
            <w:tcW w:w="1890" w:type="dxa"/>
            <w:tcBorders>
              <w:tl2br w:val="nil"/>
              <w:tr2bl w:val="nil"/>
            </w:tcBorders>
            <w:vAlign w:val="top"/>
          </w:tcPr>
          <w:p w14:paraId="308FE556">
            <w:pPr>
              <w:spacing w:before="71" w:line="216" w:lineRule="auto"/>
              <w:ind w:left="751"/>
              <w:rPr>
                <w:rFonts w:ascii="Times New Roman" w:eastAsia="宋体" w:hAnsi="Times New Roman" w:cs="Times New Roman" w:hint="default"/>
                <w:color w:val="auto"/>
                <w:sz w:val="21"/>
                <w:szCs w:val="21"/>
              </w:rPr>
            </w:pPr>
            <w:r>
              <w:rPr>
                <w:rFonts w:ascii="Times New Roman" w:eastAsia="宋体" w:hAnsi="Times New Roman" w:cs="Times New Roman" w:hint="default"/>
                <w:color w:val="auto"/>
                <w:spacing w:val="4"/>
                <w:sz w:val="21"/>
                <w:szCs w:val="21"/>
              </w:rPr>
              <w:t>村庄</w:t>
            </w:r>
          </w:p>
        </w:tc>
        <w:tc>
          <w:tcPr>
            <w:tcW w:w="1622" w:type="dxa"/>
            <w:tcBorders>
              <w:tl2br w:val="nil"/>
              <w:tr2bl w:val="nil"/>
            </w:tcBorders>
            <w:vAlign w:val="top"/>
          </w:tcPr>
          <w:p w14:paraId="77DB7219">
            <w:pPr>
              <w:spacing w:before="106" w:line="195" w:lineRule="auto"/>
              <w:ind w:left="627"/>
              <w:rPr>
                <w:rFonts w:ascii="Times New Roman" w:eastAsia="宋体" w:hAnsi="Times New Roman" w:cs="Times New Roman" w:hint="default"/>
                <w:color w:val="auto"/>
                <w:sz w:val="21"/>
                <w:szCs w:val="21"/>
                <w:lang w:val="en-US" w:eastAsia="zh-CN"/>
              </w:rPr>
            </w:pPr>
            <w:r>
              <w:rPr>
                <w:rFonts w:ascii="Times New Roman" w:eastAsia="宋体" w:hAnsi="Times New Roman" w:cs="Times New Roman" w:hint="default"/>
                <w:color w:val="auto"/>
                <w:sz w:val="21"/>
                <w:szCs w:val="21"/>
                <w:lang w:val="en-US" w:eastAsia="zh-CN"/>
              </w:rPr>
              <w:t>300</w:t>
            </w:r>
          </w:p>
        </w:tc>
      </w:tr>
    </w:tbl>
    <w:p w14:paraId="46C96B9D">
      <w:pPr>
        <w:pStyle w:val="BodyText"/>
        <w:spacing w:before="123" w:line="5964" w:lineRule="exact"/>
        <w:rPr>
          <w:rFonts w:ascii="Times New Roman" w:eastAsia="宋体" w:hAnsi="Times New Roman" w:cs="Times New Roman" w:hint="default"/>
          <w:color w:val="auto"/>
        </w:rPr>
      </w:pPr>
      <w:r>
        <w:rPr>
          <w:color w:val="auto"/>
          <w:sz w:val="18"/>
        </w:rPr>
        <mc:AlternateContent>
          <mc:Choice Requires="wps">
            <w:drawing>
              <wp:anchor distT="0" distB="0" distL="114300" distR="114300" simplePos="0" relativeHeight="251671552" behindDoc="0" locked="0" layoutInCell="1" allowOverlap="1">
                <wp:simplePos x="0" y="0"/>
                <wp:positionH relativeFrom="column">
                  <wp:posOffset>876300</wp:posOffset>
                </wp:positionH>
                <wp:positionV relativeFrom="paragraph">
                  <wp:posOffset>247650</wp:posOffset>
                </wp:positionV>
                <wp:extent cx="2645410" cy="3420745"/>
                <wp:effectExtent l="9525" t="9525" r="12065" b="13970"/>
                <wp:wrapNone/>
                <wp:docPr id="16" name="矩形 16"/>
                <wp:cNvGraphicFramePr/>
                <a:graphic xmlns:a="http://schemas.openxmlformats.org/drawingml/2006/main">
                  <a:graphicData uri="http://schemas.microsoft.com/office/word/2010/wordprocessingShape">
                    <wps:wsp xmlns:wps="http://schemas.microsoft.com/office/word/2010/wordprocessingShape">
                      <wps:cNvSpPr/>
                      <wps:spPr>
                        <a:xfrm>
                          <a:off x="2444115" y="5135245"/>
                          <a:ext cx="2645410" cy="3420745"/>
                        </a:xfrm>
                        <a:prstGeom prst="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rect id="_x0000_s1026" o:spid="_x0000_s1033" style="width:208.3pt;height:269.35pt;margin-top:19.5pt;margin-left:69pt;mso-height-relative:page;mso-width-relative:page;position:absolute;v-text-anchor:middle;z-index:251672576" coordsize="21600,21600" filled="f" stroked="t" strokecolor="red">
                <v:stroke joinstyle="miter"/>
                <o:lock v:ext="edit" aspectratio="f"/>
              </v:rect>
            </w:pict>
          </mc:Fallback>
        </mc:AlternateContent>
      </w:r>
      <w:r>
        <w:rPr>
          <w:color w:val="auto"/>
          <w:sz w:val="18"/>
        </w:rPr>
        <mc:AlternateContent>
          <mc:Choice Requires="wps">
            <w:drawing>
              <wp:anchor distT="0" distB="0" distL="114300" distR="114300" simplePos="0" relativeHeight="251675648" behindDoc="0" locked="0" layoutInCell="1" allowOverlap="1">
                <wp:simplePos x="0" y="0"/>
                <wp:positionH relativeFrom="column">
                  <wp:posOffset>4261485</wp:posOffset>
                </wp:positionH>
                <wp:positionV relativeFrom="paragraph">
                  <wp:posOffset>2428875</wp:posOffset>
                </wp:positionV>
                <wp:extent cx="714375" cy="428625"/>
                <wp:effectExtent l="525145" t="6350" r="10160" b="6985"/>
                <wp:wrapNone/>
                <wp:docPr id="22" name="矩形标注 22"/>
                <wp:cNvGraphicFramePr/>
                <a:graphic xmlns:a="http://schemas.openxmlformats.org/drawingml/2006/main">
                  <a:graphicData uri="http://schemas.microsoft.com/office/word/2010/wordprocessingShape">
                    <wps:wsp xmlns:wps="http://schemas.microsoft.com/office/word/2010/wordprocessingShape">
                      <wps:cNvSpPr/>
                      <wps:spPr>
                        <a:xfrm>
                          <a:off x="0" y="0"/>
                          <a:ext cx="714375" cy="428625"/>
                        </a:xfrm>
                        <a:prstGeom prst="wedgeRectCallout">
                          <a:avLst>
                            <a:gd name="adj1" fmla="val -116400"/>
                            <a:gd name="adj2" fmla="val -13111"/>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eastAsia="宋体" w:hint="default"/>
                                <w:lang w:val="en-US" w:eastAsia="zh-CN"/>
                              </w:rPr>
                            </w:pPr>
                            <w:r>
                              <w:rPr>
                                <w:rFonts w:hint="eastAsia"/>
                                <w:lang w:val="en-US" w:eastAsia="zh-CN"/>
                              </w:rPr>
                              <w:t>大气范围</w:t>
                            </w:r>
                          </w:p>
                        </w:txbxContent>
                      </wps:txbx>
                      <wps:bodyPr rot="0" spcFirstLastPara="0" vertOverflow="overflow" horzOverflow="overflow" vert="horz" wrap="square" numCol="1" spcCol="0" rtlCol="0" fromWordArt="0" anchor="ctr" anchorCtr="0" forceAA="0" compatLnSpc="1"/>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6" o:spid="_x0000_s1034" type="#_x0000_t61" style="width:56.25pt;height:33.75pt;margin-top:191.25pt;margin-left:335.55pt;mso-height-relative:page;mso-width-relative:page;position:absolute;v-text-anchor:middle;z-index:251676672" coordsize="21600,21600" adj="-14342,7968" filled="f" stroked="t" strokecolor="yellow">
                <v:stroke joinstyle="miter"/>
                <o:lock v:ext="edit" aspectratio="f"/>
                <v:textbox>
                  <w:txbxContent>
                    <w:p w14:paraId="6C77C1D4">
                      <w:pPr>
                        <w:jc w:val="center"/>
                        <w:rPr>
                          <w:rFonts w:eastAsia="宋体" w:hint="default"/>
                          <w:lang w:val="en-US" w:eastAsia="zh-CN"/>
                        </w:rPr>
                      </w:pPr>
                      <w:r>
                        <w:rPr>
                          <w:rFonts w:hint="eastAsia"/>
                          <w:lang w:val="en-US" w:eastAsia="zh-CN"/>
                        </w:rPr>
                        <w:t>大气范围</w:t>
                      </w:r>
                    </w:p>
                  </w:txbxContent>
                </v:textbox>
              </v:shape>
            </w:pict>
          </mc:Fallback>
        </mc:AlternateContent>
      </w:r>
      <w:r>
        <w:rPr>
          <w:color w:val="auto"/>
          <w:sz w:val="18"/>
        </w:rPr>
        <mc:AlternateContent>
          <mc:Choice Requires="wps">
            <w:drawing>
              <wp:anchor distT="0" distB="0" distL="114300" distR="114300" simplePos="0" relativeHeight="251673600" behindDoc="0" locked="0" layoutInCell="1" allowOverlap="1">
                <wp:simplePos x="0" y="0"/>
                <wp:positionH relativeFrom="column">
                  <wp:posOffset>4413885</wp:posOffset>
                </wp:positionH>
                <wp:positionV relativeFrom="paragraph">
                  <wp:posOffset>504825</wp:posOffset>
                </wp:positionV>
                <wp:extent cx="704850" cy="428625"/>
                <wp:effectExtent l="1045210" t="6350" r="17780" b="6985"/>
                <wp:wrapNone/>
                <wp:docPr id="19" name="矩形标注 19"/>
                <wp:cNvGraphicFramePr/>
                <a:graphic xmlns:a="http://schemas.openxmlformats.org/drawingml/2006/main">
                  <a:graphicData uri="http://schemas.microsoft.com/office/word/2010/wordprocessingShape">
                    <wps:wsp xmlns:wps="http://schemas.microsoft.com/office/word/2010/wordprocessingShape">
                      <wps:cNvSpPr/>
                      <wps:spPr>
                        <a:xfrm>
                          <a:off x="5554980" y="5382260"/>
                          <a:ext cx="704850" cy="428625"/>
                        </a:xfrm>
                        <a:prstGeom prst="wedgeRectCallout">
                          <a:avLst>
                            <a:gd name="adj1" fmla="val -191081"/>
                            <a:gd name="adj2" fmla="val -22000"/>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eastAsia="宋体" w:hint="default"/>
                                <w:lang w:val="en-US" w:eastAsia="zh-CN"/>
                              </w:rPr>
                            </w:pPr>
                            <w:r>
                              <w:rPr>
                                <w:rFonts w:hint="eastAsia"/>
                                <w:lang w:val="en-US" w:eastAsia="zh-CN"/>
                              </w:rPr>
                              <w:t>地下水范围</w:t>
                            </w:r>
                          </w:p>
                        </w:txbxContent>
                      </wps:txbx>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35" type="#_x0000_t61" style="width:55.5pt;height:33.75pt;margin-top:39.75pt;margin-left:347.55pt;mso-height-relative:page;mso-width-relative:page;position:absolute;v-text-anchor:middle;z-index:251674624" coordsize="21600,21600" adj="-30473,6048" filled="f" stroked="t" strokecolor="yellow">
                <v:stroke joinstyle="miter"/>
                <o:lock v:ext="edit" aspectratio="f"/>
                <v:textbox>
                  <w:txbxContent>
                    <w:p w14:paraId="6D9FF765">
                      <w:pPr>
                        <w:jc w:val="center"/>
                        <w:rPr>
                          <w:rFonts w:eastAsia="宋体" w:hint="default"/>
                          <w:lang w:val="en-US" w:eastAsia="zh-CN"/>
                        </w:rPr>
                      </w:pPr>
                      <w:r>
                        <w:rPr>
                          <w:rFonts w:hint="eastAsia"/>
                          <w:lang w:val="en-US" w:eastAsia="zh-CN"/>
                        </w:rPr>
                        <w:t>地下水范围</w:t>
                      </w:r>
                    </w:p>
                  </w:txbxContent>
                </v:textbox>
              </v:shape>
            </w:pict>
          </mc:Fallback>
        </mc:AlternateContent>
      </w:r>
      <w:r>
        <w:rPr>
          <w:rFonts w:ascii="Times New Roman" w:eastAsia="宋体" w:hAnsi="Times New Roman" w:cs="Times New Roman" w:hint="default"/>
          <w:color w:val="auto"/>
        </w:rPr>
        <w:drawing>
          <wp:anchor distT="0" distB="0" distL="114300" distR="114300" simplePos="0" relativeHeight="251662336" behindDoc="0" locked="0" layoutInCell="1" allowOverlap="1">
            <wp:simplePos x="0" y="0"/>
            <wp:positionH relativeFrom="column">
              <wp:posOffset>207645</wp:posOffset>
            </wp:positionH>
            <wp:positionV relativeFrom="paragraph">
              <wp:posOffset>187325</wp:posOffset>
            </wp:positionV>
            <wp:extent cx="5273675" cy="3522345"/>
            <wp:effectExtent l="0" t="0" r="14605" b="13335"/>
            <wp:wrapNone/>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7293" name="图片 3"/>
                    <pic:cNvPicPr>
                      <a:picLocks noChangeAspect="1"/>
                    </pic:cNvPicPr>
                  </pic:nvPicPr>
                  <pic:blipFill>
                    <a:blip xmlns:r="http://schemas.openxmlformats.org/officeDocument/2006/relationships" r:embed="rId36"/>
                    <a:stretch>
                      <a:fillRect/>
                    </a:stretch>
                  </pic:blipFill>
                  <pic:spPr>
                    <a:xfrm>
                      <a:off x="0" y="0"/>
                      <a:ext cx="5273675" cy="3522345"/>
                    </a:xfrm>
                    <a:prstGeom prst="rect">
                      <a:avLst/>
                    </a:prstGeom>
                    <a:noFill/>
                    <a:ln>
                      <a:noFill/>
                    </a:ln>
                  </pic:spPr>
                </pic:pic>
              </a:graphicData>
            </a:graphic>
          </wp:anchor>
        </w:drawing>
      </w:r>
    </w:p>
    <w:p w14:paraId="59E31F22">
      <w:pPr>
        <w:spacing w:before="316" w:line="221" w:lineRule="auto"/>
        <w:ind w:left="305"/>
        <w:jc w:val="center"/>
        <w:outlineLvl w:val="2"/>
        <w:rPr>
          <w:rFonts w:ascii="Times New Roman" w:eastAsia="宋体" w:hAnsi="Times New Roman" w:cs="Times New Roman" w:hint="default"/>
          <w:b/>
          <w:bCs/>
          <w:color w:val="auto"/>
          <w:spacing w:val="-1"/>
          <w:sz w:val="28"/>
          <w:szCs w:val="28"/>
        </w:rPr>
      </w:pPr>
      <w:r>
        <w:rPr>
          <w:rFonts w:ascii="Times New Roman" w:eastAsia="宋体" w:hAnsi="Times New Roman" w:cs="Times New Roman" w:hint="default"/>
          <w:b/>
          <w:bCs/>
          <w:color w:val="auto"/>
          <w:spacing w:val="-1"/>
          <w:sz w:val="28"/>
          <w:szCs w:val="28"/>
        </w:rPr>
        <w:t>图 2  本项目环境</w:t>
      </w:r>
      <w:r>
        <w:rPr>
          <w:rFonts w:ascii="Times New Roman" w:eastAsia="宋体" w:hAnsi="Times New Roman" w:cs="Times New Roman" w:hint="default"/>
          <w:b/>
          <w:bCs/>
          <w:color w:val="auto"/>
          <w:spacing w:val="-1"/>
          <w:sz w:val="28"/>
          <w:szCs w:val="28"/>
          <w:lang w:val="en-US" w:eastAsia="zh-CN"/>
        </w:rPr>
        <w:t>风险敏感</w:t>
      </w:r>
      <w:r>
        <w:rPr>
          <w:rFonts w:ascii="Times New Roman" w:eastAsia="宋体" w:hAnsi="Times New Roman" w:cs="Times New Roman" w:hint="default"/>
          <w:b/>
          <w:bCs/>
          <w:color w:val="auto"/>
          <w:spacing w:val="-1"/>
          <w:sz w:val="28"/>
          <w:szCs w:val="28"/>
        </w:rPr>
        <w:t>目标分布图</w:t>
      </w:r>
    </w:p>
    <w:p w14:paraId="03953B64">
      <w:pPr>
        <w:spacing w:before="316" w:line="221" w:lineRule="auto"/>
        <w:ind w:left="305"/>
        <w:outlineLvl w:val="2"/>
        <w:rPr>
          <w:rFonts w:ascii="Times New Roman" w:eastAsia="宋体" w:hAnsi="Times New Roman" w:cs="Times New Roman" w:hint="default"/>
          <w:color w:val="auto"/>
          <w:sz w:val="28"/>
          <w:szCs w:val="28"/>
        </w:rPr>
      </w:pPr>
      <w:r>
        <w:rPr>
          <w:rFonts w:ascii="Times New Roman" w:eastAsia="宋体" w:hAnsi="Times New Roman" w:cs="Times New Roman" w:hint="default"/>
          <w:b/>
          <w:bCs/>
          <w:color w:val="auto"/>
          <w:spacing w:val="-1"/>
          <w:sz w:val="28"/>
          <w:szCs w:val="28"/>
        </w:rPr>
        <w:t xml:space="preserve">4 </w:t>
      </w:r>
      <w:r>
        <w:rPr>
          <w:rFonts w:ascii="Times New Roman" w:eastAsia="宋体" w:hAnsi="Times New Roman" w:cs="Times New Roman" w:hint="default"/>
          <w:color w:val="auto"/>
          <w:spacing w:val="-1"/>
          <w:sz w:val="28"/>
          <w:szCs w:val="28"/>
          <w14:textOutline w14:w="5103" w14:cap="sq">
            <w14:solidFill>
              <w14:srgbClr w14:val="000000"/>
            </w14:solidFill>
            <w14:bevel/>
          </w14:textOutline>
        </w:rPr>
        <w:t>环境风险识别</w:t>
      </w:r>
    </w:p>
    <w:p w14:paraId="20F1A02A">
      <w:pPr>
        <w:spacing w:before="199" w:line="221" w:lineRule="auto"/>
        <w:ind w:left="304"/>
        <w:rPr>
          <w:rFonts w:ascii="Times New Roman" w:eastAsia="宋体" w:hAnsi="Times New Roman" w:cs="Times New Roman" w:hint="default"/>
          <w:color w:val="auto"/>
          <w:sz w:val="24"/>
          <w:szCs w:val="24"/>
        </w:rPr>
      </w:pPr>
      <w:r>
        <w:rPr>
          <w:rFonts w:ascii="Times New Roman" w:eastAsia="宋体" w:hAnsi="Times New Roman" w:cs="Times New Roman" w:hint="default"/>
          <w:b/>
          <w:bCs/>
          <w:color w:val="auto"/>
          <w:spacing w:val="-1"/>
          <w:sz w:val="24"/>
          <w:szCs w:val="24"/>
        </w:rPr>
        <w:t xml:space="preserve">4.1  </w:t>
      </w:r>
      <w:r>
        <w:rPr>
          <w:rFonts w:ascii="Times New Roman" w:eastAsia="宋体" w:hAnsi="Times New Roman" w:cs="Times New Roman" w:hint="default"/>
          <w:color w:val="auto"/>
          <w:spacing w:val="-1"/>
          <w:sz w:val="24"/>
          <w:szCs w:val="24"/>
          <w14:textOutline w14:w="4358" w14:cap="sq">
            <w14:solidFill>
              <w14:srgbClr w14:val="000000"/>
            </w14:solidFill>
            <w14:bevel/>
          </w14:textOutline>
        </w:rPr>
        <w:t>物质危险性识别</w:t>
      </w:r>
    </w:p>
    <w:p w14:paraId="0CAE5582">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根据《建设项目环境风险评价技术导则》（HJ169-2018）的要求，本次评价环境风险识别内容应包括物质危险性识别、生产系统危险性识别、危险物质向环境转移的途径识别三方面。</w:t>
      </w:r>
    </w:p>
    <w:p w14:paraId="5E27F013">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（1）物质危险性识别</w:t>
      </w:r>
    </w:p>
    <w:p w14:paraId="0629C921">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rPr>
        <w:t>根据导则要求对风险源调查中识别出的危险物质有毒有害危险性进行判定，明确危险物质分布。全钒液流电池是一种以钒为活性物质呈循环流动液态的氧化还原电池，钒离子为钒电解液的重要组分，根据《建设项目环境风险评价技术导则》（HJ169-2018），钒及其化合物（以钒计）</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lang w:val="en-US" w:eastAsia="zh-CN"/>
        </w:rPr>
        <w:t>硫酸、变压器油属于矿物油类，</w:t>
      </w:r>
      <w:r>
        <w:rPr>
          <w:rFonts w:ascii="Times New Roman" w:eastAsia="宋体" w:hAnsi="Times New Roman" w:cs="Times New Roman" w:hint="default"/>
          <w:color w:val="auto"/>
        </w:rPr>
        <w:t>为突发环境事件</w:t>
      </w:r>
      <w:r>
        <w:rPr>
          <w:rFonts w:ascii="Times New Roman" w:eastAsia="宋体" w:hAnsi="Times New Roman" w:cs="Times New Roman" w:hint="default"/>
          <w:color w:val="auto"/>
          <w:lang w:val="en-US" w:eastAsia="zh-CN"/>
        </w:rPr>
        <w:t>危险</w:t>
      </w:r>
      <w:r>
        <w:rPr>
          <w:rFonts w:ascii="Times New Roman" w:eastAsia="宋体" w:hAnsi="Times New Roman" w:cs="Times New Roman" w:hint="default"/>
          <w:color w:val="auto"/>
        </w:rPr>
        <w:t>物质</w:t>
      </w:r>
      <w:r>
        <w:rPr>
          <w:rFonts w:ascii="Times New Roman" w:eastAsia="宋体" w:hAnsi="Times New Roman" w:cs="Times New Roman" w:hint="default"/>
          <w:color w:val="auto"/>
          <w:lang w:eastAsia="zh-CN"/>
        </w:rPr>
        <w:t>。</w:t>
      </w:r>
    </w:p>
    <w:p w14:paraId="13AA8A15">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（2）生产系统危险性识别</w:t>
      </w:r>
    </w:p>
    <w:p w14:paraId="3E1EEB63">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①危险性识别</w:t>
      </w:r>
    </w:p>
    <w:p w14:paraId="5C59243A">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本项目涉及的危险品为电解液、变压器油，其主要成分为钒离子、硫酸、矿物油，其存在的风险识别见表18。</w:t>
      </w:r>
    </w:p>
    <w:p w14:paraId="15F648F2">
      <w:pPr>
        <w:spacing w:before="188" w:line="228" w:lineRule="auto"/>
        <w:ind w:left="2498"/>
        <w:rPr>
          <w:rFonts w:ascii="Times New Roman" w:eastAsia="宋体" w:hAnsi="Times New Roman" w:cs="Times New Roman" w:hint="default"/>
          <w:color w:val="auto"/>
          <w:sz w:val="22"/>
          <w:szCs w:val="22"/>
        </w:rPr>
      </w:pPr>
      <w:r>
        <w:rPr>
          <w:rFonts w:ascii="Times New Roman" w:eastAsia="宋体" w:hAnsi="Times New Roman" w:cs="Times New Roman" w:hint="default"/>
          <w:color w:val="auto"/>
          <w:spacing w:val="5"/>
          <w:sz w:val="22"/>
          <w:szCs w:val="22"/>
          <w14:textOutline w14:w="3795" w14:cap="sq">
            <w14:solidFill>
              <w14:srgbClr w14:val="000000"/>
            </w14:solidFill>
            <w14:bevel/>
          </w14:textOutline>
        </w:rPr>
        <w:t>表</w:t>
      </w:r>
      <w:r>
        <w:rPr>
          <w:rFonts w:ascii="Times New Roman" w:eastAsia="宋体" w:hAnsi="Times New Roman" w:cs="Times New Roman" w:hint="default"/>
          <w:color w:val="auto"/>
          <w:spacing w:val="-28"/>
          <w:sz w:val="22"/>
          <w:szCs w:val="22"/>
        </w:rPr>
        <w:t xml:space="preserve"> </w:t>
      </w:r>
      <w:r>
        <w:rPr>
          <w:rFonts w:ascii="Times New Roman" w:eastAsia="宋体" w:hAnsi="Times New Roman" w:cs="Times New Roman" w:hint="default"/>
          <w:b/>
          <w:bCs/>
          <w:color w:val="auto"/>
          <w:spacing w:val="5"/>
          <w:sz w:val="22"/>
          <w:szCs w:val="22"/>
        </w:rPr>
        <w:t xml:space="preserve">17   </w:t>
      </w:r>
      <w:r>
        <w:rPr>
          <w:rFonts w:ascii="Times New Roman" w:eastAsia="宋体" w:hAnsi="Times New Roman" w:cs="Times New Roman" w:hint="default"/>
          <w:color w:val="auto"/>
          <w:spacing w:val="5"/>
          <w:sz w:val="22"/>
          <w:szCs w:val="22"/>
          <w14:textOutline w14:w="3795" w14:cap="sq">
            <w14:solidFill>
              <w14:srgbClr w14:val="000000"/>
            </w14:solidFill>
            <w14:bevel/>
          </w14:textOutline>
        </w:rPr>
        <w:t>生产系统风险识别一览表</w:t>
      </w:r>
    </w:p>
    <w:p w14:paraId="5F3136B5">
      <w:pPr>
        <w:spacing w:line="137" w:lineRule="exact"/>
        <w:rPr>
          <w:rFonts w:ascii="Times New Roman" w:eastAsia="宋体" w:hAnsi="Times New Roman" w:cs="Times New Roman" w:hint="default"/>
          <w:color w:val="auto"/>
        </w:rPr>
      </w:pPr>
    </w:p>
    <w:tbl>
      <w:tblPr>
        <w:tblStyle w:val="TableNormal0"/>
        <w:tblW w:w="8415"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
      <w:tblGrid>
        <w:gridCol w:w="1057"/>
        <w:gridCol w:w="1271"/>
        <w:gridCol w:w="707"/>
        <w:gridCol w:w="852"/>
        <w:gridCol w:w="807"/>
        <w:gridCol w:w="1309"/>
        <w:gridCol w:w="2412"/>
      </w:tblGrid>
      <w:tr w14:paraId="6F3AA36F">
        <w:tblPrEx>
          <w:tblW w:w="8415"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Ex>
        <w:trPr>
          <w:trHeight w:val="626"/>
        </w:trPr>
        <w:tc>
          <w:tcPr>
            <w:tcW w:w="1057" w:type="dxa"/>
            <w:tcBorders>
              <w:top w:val="single" w:sz="10" w:space="0" w:color="000000"/>
              <w:left w:val="single" w:sz="10" w:space="0" w:color="000000"/>
            </w:tcBorders>
            <w:vAlign w:val="center"/>
          </w:tcPr>
          <w:p w14:paraId="538834BB">
            <w:pPr>
              <w:pStyle w:val="a14"/>
              <w:bidi w:val="0"/>
              <w:rPr>
                <w:rFonts w:hint="default"/>
              </w:rPr>
            </w:pPr>
            <w:r>
              <w:rPr>
                <w:rFonts w:hint="default"/>
              </w:rPr>
              <w:t>主要危险工段</w:t>
            </w:r>
          </w:p>
        </w:tc>
        <w:tc>
          <w:tcPr>
            <w:tcW w:w="1271" w:type="dxa"/>
            <w:tcBorders>
              <w:top w:val="single" w:sz="10" w:space="0" w:color="000000"/>
            </w:tcBorders>
            <w:vAlign w:val="center"/>
          </w:tcPr>
          <w:p w14:paraId="6D9AC4BC">
            <w:pPr>
              <w:pStyle w:val="a14"/>
              <w:bidi w:val="0"/>
              <w:rPr>
                <w:rFonts w:hint="default"/>
              </w:rPr>
            </w:pPr>
            <w:r>
              <w:rPr>
                <w:rFonts w:hint="default"/>
              </w:rPr>
              <w:t>主要危险物质</w:t>
            </w:r>
          </w:p>
        </w:tc>
        <w:tc>
          <w:tcPr>
            <w:tcW w:w="707" w:type="dxa"/>
            <w:tcBorders>
              <w:top w:val="single" w:sz="10" w:space="0" w:color="000000"/>
            </w:tcBorders>
            <w:vAlign w:val="center"/>
          </w:tcPr>
          <w:p w14:paraId="483D10B6">
            <w:pPr>
              <w:pStyle w:val="a14"/>
              <w:bidi w:val="0"/>
              <w:rPr>
                <w:rFonts w:hint="default"/>
              </w:rPr>
            </w:pPr>
            <w:r>
              <w:rPr>
                <w:rFonts w:hint="default"/>
              </w:rPr>
              <w:t>状态</w:t>
            </w:r>
          </w:p>
        </w:tc>
        <w:tc>
          <w:tcPr>
            <w:tcW w:w="852" w:type="dxa"/>
            <w:tcBorders>
              <w:top w:val="single" w:sz="10" w:space="0" w:color="000000"/>
            </w:tcBorders>
            <w:vAlign w:val="center"/>
          </w:tcPr>
          <w:p w14:paraId="3490EBE5">
            <w:pPr>
              <w:pStyle w:val="a14"/>
              <w:bidi w:val="0"/>
              <w:rPr>
                <w:rFonts w:hint="default"/>
              </w:rPr>
            </w:pPr>
            <w:r>
              <w:rPr>
                <w:rFonts w:hint="default"/>
              </w:rPr>
              <w:t>风险类型</w:t>
            </w:r>
          </w:p>
        </w:tc>
        <w:tc>
          <w:tcPr>
            <w:tcW w:w="807" w:type="dxa"/>
            <w:tcBorders>
              <w:top w:val="single" w:sz="10" w:space="0" w:color="000000"/>
            </w:tcBorders>
            <w:vAlign w:val="center"/>
          </w:tcPr>
          <w:p w14:paraId="3EDD04D5">
            <w:pPr>
              <w:pStyle w:val="a14"/>
              <w:bidi w:val="0"/>
              <w:rPr>
                <w:rFonts w:hint="default"/>
              </w:rPr>
            </w:pPr>
            <w:r>
              <w:rPr>
                <w:rFonts w:hint="default"/>
              </w:rPr>
              <w:t>影响途径</w:t>
            </w:r>
          </w:p>
        </w:tc>
        <w:tc>
          <w:tcPr>
            <w:tcW w:w="1309" w:type="dxa"/>
            <w:tcBorders>
              <w:top w:val="single" w:sz="10" w:space="0" w:color="000000"/>
            </w:tcBorders>
            <w:vAlign w:val="center"/>
          </w:tcPr>
          <w:p w14:paraId="1BF695C4">
            <w:pPr>
              <w:pStyle w:val="a14"/>
              <w:bidi w:val="0"/>
              <w:rPr>
                <w:rFonts w:hint="default"/>
              </w:rPr>
            </w:pPr>
            <w:r>
              <w:rPr>
                <w:rFonts w:hint="default"/>
              </w:rPr>
              <w:t>可能受影响的环境目标</w:t>
            </w:r>
          </w:p>
        </w:tc>
        <w:tc>
          <w:tcPr>
            <w:tcW w:w="2412" w:type="dxa"/>
            <w:tcBorders>
              <w:top w:val="single" w:sz="10" w:space="0" w:color="000000"/>
              <w:right w:val="single" w:sz="10" w:space="0" w:color="000000"/>
            </w:tcBorders>
            <w:vAlign w:val="center"/>
          </w:tcPr>
          <w:p w14:paraId="35C6FE6D">
            <w:pPr>
              <w:pStyle w:val="a14"/>
              <w:bidi w:val="0"/>
              <w:rPr>
                <w:rFonts w:hint="default"/>
              </w:rPr>
            </w:pPr>
            <w:r>
              <w:rPr>
                <w:rFonts w:hint="default"/>
              </w:rPr>
              <w:t>触发因素</w:t>
            </w:r>
          </w:p>
        </w:tc>
      </w:tr>
      <w:tr w14:paraId="28EADBAE">
        <w:tblPrEx>
          <w:tblW w:w="8415" w:type="dxa"/>
          <w:tblInd w:w="67" w:type="dxa"/>
          <w:tblLayout w:type="fixed"/>
          <w:tblCellMar>
            <w:top w:w="0" w:type="dxa"/>
            <w:left w:w="0" w:type="dxa"/>
            <w:bottom w:w="0" w:type="dxa"/>
            <w:right w:w="0" w:type="dxa"/>
          </w:tblCellMar>
        </w:tblPrEx>
        <w:trPr>
          <w:trHeight w:val="947"/>
        </w:trPr>
        <w:tc>
          <w:tcPr>
            <w:tcW w:w="1057" w:type="dxa"/>
            <w:tcBorders>
              <w:left w:val="single" w:sz="10" w:space="0" w:color="000000"/>
            </w:tcBorders>
            <w:vAlign w:val="center"/>
          </w:tcPr>
          <w:p w14:paraId="00E60E86">
            <w:pPr>
              <w:pStyle w:val="a14"/>
              <w:bidi w:val="0"/>
              <w:rPr>
                <w:rFonts w:hint="default"/>
              </w:rPr>
            </w:pPr>
            <w:r>
              <w:rPr>
                <w:rFonts w:hint="default"/>
              </w:rPr>
              <w:t>电解液储罐</w:t>
            </w:r>
          </w:p>
        </w:tc>
        <w:tc>
          <w:tcPr>
            <w:tcW w:w="1271" w:type="dxa"/>
            <w:vAlign w:val="center"/>
          </w:tcPr>
          <w:p w14:paraId="23284CC1">
            <w:pPr>
              <w:pStyle w:val="a14"/>
              <w:bidi w:val="0"/>
              <w:rPr>
                <w:rFonts w:hint="default"/>
              </w:rPr>
            </w:pPr>
            <w:r>
              <w:rPr>
                <w:rFonts w:hint="default"/>
              </w:rPr>
              <w:t>钒及其化合物、硫酸</w:t>
            </w:r>
          </w:p>
        </w:tc>
        <w:tc>
          <w:tcPr>
            <w:tcW w:w="707" w:type="dxa"/>
            <w:vAlign w:val="center"/>
          </w:tcPr>
          <w:p w14:paraId="624EFE90">
            <w:pPr>
              <w:pStyle w:val="a14"/>
              <w:bidi w:val="0"/>
              <w:rPr>
                <w:rFonts w:hint="default"/>
              </w:rPr>
            </w:pPr>
            <w:r>
              <w:rPr>
                <w:rFonts w:hint="default"/>
              </w:rPr>
              <w:t>液态</w:t>
            </w:r>
          </w:p>
        </w:tc>
        <w:tc>
          <w:tcPr>
            <w:tcW w:w="852" w:type="dxa"/>
            <w:vAlign w:val="center"/>
          </w:tcPr>
          <w:p w14:paraId="064A2D75">
            <w:pPr>
              <w:pStyle w:val="a14"/>
              <w:bidi w:val="0"/>
              <w:rPr>
                <w:rFonts w:hint="default"/>
              </w:rPr>
            </w:pPr>
            <w:r>
              <w:rPr>
                <w:rFonts w:hint="default"/>
              </w:rPr>
              <w:t>泄漏</w:t>
            </w:r>
          </w:p>
        </w:tc>
        <w:tc>
          <w:tcPr>
            <w:tcW w:w="807" w:type="dxa"/>
            <w:vAlign w:val="center"/>
          </w:tcPr>
          <w:p w14:paraId="1BD84AF1">
            <w:pPr>
              <w:pStyle w:val="a14"/>
              <w:bidi w:val="0"/>
              <w:rPr>
                <w:rFonts w:hint="default"/>
              </w:rPr>
            </w:pPr>
            <w:r>
              <w:rPr>
                <w:rFonts w:hint="default"/>
              </w:rPr>
              <w:t>地下水</w:t>
            </w:r>
          </w:p>
        </w:tc>
        <w:tc>
          <w:tcPr>
            <w:tcW w:w="1309" w:type="dxa"/>
            <w:vMerge w:val="restart"/>
            <w:vAlign w:val="center"/>
          </w:tcPr>
          <w:p w14:paraId="6CE958DB">
            <w:pPr>
              <w:pStyle w:val="a14"/>
              <w:bidi w:val="0"/>
              <w:rPr>
                <w:rFonts w:hint="default"/>
              </w:rPr>
            </w:pPr>
            <w:r>
              <w:rPr>
                <w:rFonts w:hint="default"/>
              </w:rPr>
              <w:t>周边居民、学校、企事业单位等</w:t>
            </w:r>
          </w:p>
        </w:tc>
        <w:tc>
          <w:tcPr>
            <w:tcW w:w="2412" w:type="dxa"/>
            <w:tcBorders>
              <w:right w:val="single" w:sz="10" w:space="0" w:color="000000"/>
            </w:tcBorders>
            <w:vAlign w:val="center"/>
          </w:tcPr>
          <w:p w14:paraId="6B864E2D">
            <w:pPr>
              <w:pStyle w:val="a14"/>
              <w:bidi w:val="0"/>
              <w:rPr>
                <w:rFonts w:hint="default"/>
              </w:rPr>
            </w:pPr>
            <w:r>
              <w:rPr>
                <w:rFonts w:hint="default"/>
              </w:rPr>
              <w:t>设备</w:t>
            </w:r>
            <w:r>
              <w:rPr>
                <w:rFonts w:hint="default"/>
                <w:lang w:val="en-US" w:eastAsia="zh-CN"/>
              </w:rPr>
              <w:t>故障</w:t>
            </w:r>
            <w:r>
              <w:rPr>
                <w:rFonts w:hint="default"/>
              </w:rPr>
              <w:t>、储罐循环管道泄漏、操作失误等导致钒电解液泄漏。</w:t>
            </w:r>
          </w:p>
        </w:tc>
      </w:tr>
      <w:tr w14:paraId="1E808185">
        <w:tblPrEx>
          <w:tblW w:w="8415" w:type="dxa"/>
          <w:tblInd w:w="67" w:type="dxa"/>
          <w:tblLayout w:type="fixed"/>
          <w:tblCellMar>
            <w:top w:w="0" w:type="dxa"/>
            <w:left w:w="0" w:type="dxa"/>
            <w:bottom w:w="0" w:type="dxa"/>
            <w:right w:w="0" w:type="dxa"/>
          </w:tblCellMar>
        </w:tblPrEx>
        <w:trPr>
          <w:trHeight w:val="947"/>
        </w:trPr>
        <w:tc>
          <w:tcPr>
            <w:tcW w:w="1057" w:type="dxa"/>
            <w:tcBorders>
              <w:left w:val="single" w:sz="10" w:space="0" w:color="000000"/>
              <w:bottom w:val="single" w:sz="10" w:space="0" w:color="000000"/>
            </w:tcBorders>
            <w:vAlign w:val="center"/>
          </w:tcPr>
          <w:p w14:paraId="1E918CD3">
            <w:pPr>
              <w:pStyle w:val="a14"/>
              <w:bidi w:val="0"/>
              <w:rPr>
                <w:rFonts w:hint="default"/>
                <w:lang w:val="en-US" w:eastAsia="zh-CN"/>
              </w:rPr>
            </w:pPr>
            <w:r>
              <w:rPr>
                <w:rFonts w:hint="default"/>
                <w:lang w:val="en-US" w:eastAsia="zh-CN"/>
              </w:rPr>
              <w:t>变压器油</w:t>
            </w:r>
          </w:p>
        </w:tc>
        <w:tc>
          <w:tcPr>
            <w:tcW w:w="1271" w:type="dxa"/>
            <w:tcBorders>
              <w:bottom w:val="single" w:sz="10" w:space="0" w:color="000000"/>
            </w:tcBorders>
            <w:vAlign w:val="center"/>
          </w:tcPr>
          <w:p w14:paraId="367B7775">
            <w:pPr>
              <w:pStyle w:val="a14"/>
              <w:bidi w:val="0"/>
              <w:rPr>
                <w:rFonts w:hint="default"/>
                <w:lang w:val="en-US" w:eastAsia="zh-CN"/>
              </w:rPr>
            </w:pPr>
            <w:r>
              <w:rPr>
                <w:rFonts w:hint="default"/>
                <w:lang w:val="en-US" w:eastAsia="zh-CN"/>
              </w:rPr>
              <w:t>矿物油</w:t>
            </w:r>
          </w:p>
        </w:tc>
        <w:tc>
          <w:tcPr>
            <w:tcW w:w="707" w:type="dxa"/>
            <w:tcBorders>
              <w:bottom w:val="single" w:sz="10" w:space="0" w:color="000000"/>
            </w:tcBorders>
            <w:vAlign w:val="center"/>
          </w:tcPr>
          <w:p w14:paraId="2BB93B16">
            <w:pPr>
              <w:pStyle w:val="a14"/>
              <w:bidi w:val="0"/>
              <w:rPr>
                <w:rFonts w:hint="default"/>
              </w:rPr>
            </w:pPr>
            <w:r>
              <w:rPr>
                <w:rFonts w:hint="default"/>
              </w:rPr>
              <w:t>液态</w:t>
            </w:r>
          </w:p>
        </w:tc>
        <w:tc>
          <w:tcPr>
            <w:tcW w:w="852" w:type="dxa"/>
            <w:tcBorders>
              <w:bottom w:val="single" w:sz="10" w:space="0" w:color="000000"/>
            </w:tcBorders>
            <w:vAlign w:val="center"/>
          </w:tcPr>
          <w:p w14:paraId="5929EC3C">
            <w:pPr>
              <w:pStyle w:val="a14"/>
              <w:bidi w:val="0"/>
              <w:rPr>
                <w:rFonts w:hint="default"/>
                <w:lang w:val="en-US" w:eastAsia="zh-CN"/>
              </w:rPr>
            </w:pPr>
            <w:r>
              <w:rPr>
                <w:rFonts w:hint="default"/>
              </w:rPr>
              <w:t>泄漏</w:t>
            </w:r>
            <w:r>
              <w:rPr>
                <w:rFonts w:hint="default"/>
                <w:lang w:eastAsia="zh-CN"/>
              </w:rPr>
              <w:t>、</w:t>
            </w:r>
            <w:r>
              <w:rPr>
                <w:rFonts w:hint="default"/>
                <w:lang w:val="en-US" w:eastAsia="zh-CN"/>
              </w:rPr>
              <w:t>火灾</w:t>
            </w:r>
          </w:p>
        </w:tc>
        <w:tc>
          <w:tcPr>
            <w:tcW w:w="807" w:type="dxa"/>
            <w:tcBorders>
              <w:bottom w:val="single" w:sz="10" w:space="0" w:color="000000"/>
            </w:tcBorders>
            <w:vAlign w:val="center"/>
          </w:tcPr>
          <w:p w14:paraId="63B4C638">
            <w:pPr>
              <w:pStyle w:val="a14"/>
              <w:bidi w:val="0"/>
              <w:rPr>
                <w:rFonts w:hint="default"/>
              </w:rPr>
            </w:pPr>
            <w:r>
              <w:rPr>
                <w:rFonts w:hint="default"/>
                <w:lang w:val="en-US" w:eastAsia="zh-CN"/>
              </w:rPr>
              <w:t>大气、</w:t>
            </w:r>
            <w:r>
              <w:rPr>
                <w:rFonts w:hint="default"/>
              </w:rPr>
              <w:t>地下水</w:t>
            </w:r>
          </w:p>
        </w:tc>
        <w:tc>
          <w:tcPr>
            <w:tcW w:w="1309" w:type="dxa"/>
            <w:vMerge/>
            <w:tcBorders>
              <w:bottom w:val="single" w:sz="10" w:space="0" w:color="000000"/>
            </w:tcBorders>
            <w:vAlign w:val="center"/>
          </w:tcPr>
          <w:p w14:paraId="1BF6BF1C">
            <w:pPr>
              <w:pStyle w:val="a14"/>
              <w:bidi w:val="0"/>
              <w:rPr>
                <w:rFonts w:hint="default"/>
              </w:rPr>
            </w:pPr>
          </w:p>
        </w:tc>
        <w:tc>
          <w:tcPr>
            <w:tcW w:w="2412" w:type="dxa"/>
            <w:tcBorders>
              <w:bottom w:val="single" w:sz="10" w:space="0" w:color="000000"/>
              <w:right w:val="single" w:sz="10" w:space="0" w:color="000000"/>
            </w:tcBorders>
            <w:vAlign w:val="center"/>
          </w:tcPr>
          <w:p w14:paraId="5E635701">
            <w:pPr>
              <w:pStyle w:val="a14"/>
              <w:bidi w:val="0"/>
              <w:rPr>
                <w:rFonts w:hint="default"/>
              </w:rPr>
            </w:pPr>
            <w:r>
              <w:rPr>
                <w:rFonts w:hint="default"/>
              </w:rPr>
              <w:t>设备</w:t>
            </w:r>
            <w:r>
              <w:rPr>
                <w:rFonts w:hint="default"/>
                <w:lang w:val="en-US" w:eastAsia="zh-CN"/>
              </w:rPr>
              <w:t>故障</w:t>
            </w:r>
            <w:r>
              <w:rPr>
                <w:rFonts w:hint="default"/>
              </w:rPr>
              <w:t>、</w:t>
            </w:r>
            <w:r>
              <w:rPr>
                <w:rFonts w:hint="default"/>
                <w:lang w:val="en-US" w:eastAsia="zh-CN"/>
              </w:rPr>
              <w:t>变压器油</w:t>
            </w:r>
            <w:r>
              <w:rPr>
                <w:rFonts w:hint="default"/>
              </w:rPr>
              <w:t>泄漏</w:t>
            </w:r>
            <w:r>
              <w:rPr>
                <w:rFonts w:hint="default"/>
                <w:lang w:val="en-US" w:eastAsia="zh-CN"/>
              </w:rPr>
              <w:t>遇明火或高温发生</w:t>
            </w:r>
            <w:r>
              <w:rPr>
                <w:rFonts w:hint="default"/>
              </w:rPr>
              <w:t>火灾</w:t>
            </w:r>
          </w:p>
        </w:tc>
      </w:tr>
    </w:tbl>
    <w:p w14:paraId="3D0ACE2D">
      <w:pPr>
        <w:spacing w:before="225" w:line="218" w:lineRule="auto"/>
        <w:ind w:left="609"/>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1"/>
          <w:sz w:val="24"/>
          <w:szCs w:val="24"/>
        </w:rPr>
        <w:t>②重点风险源确定</w:t>
      </w:r>
    </w:p>
    <w:p w14:paraId="373EBE89">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根据《建设项目环境风险评价技术导则》（HJ169-2018）的要求，采用定性或定量分析方法筛选确定</w:t>
      </w:r>
      <w:r>
        <w:rPr>
          <w:rFonts w:ascii="Times New Roman" w:eastAsia="宋体" w:hAnsi="Times New Roman" w:cs="Times New Roman" w:hint="default"/>
          <w:color w:val="auto"/>
          <w:lang w:eastAsia="zh-CN"/>
        </w:rPr>
        <w:t>重大危险源</w:t>
      </w:r>
      <w:r>
        <w:rPr>
          <w:rFonts w:ascii="Times New Roman" w:eastAsia="宋体" w:hAnsi="Times New Roman" w:cs="Times New Roman" w:hint="default"/>
          <w:color w:val="auto"/>
        </w:rPr>
        <w:t>。本项目涉及的危险物质为</w:t>
      </w:r>
      <w:r>
        <w:rPr>
          <w:rFonts w:cs="Times New Roman" w:hint="eastAsia"/>
          <w:color w:val="auto"/>
          <w:lang w:val="en-US" w:eastAsia="zh-CN"/>
        </w:rPr>
        <w:t>电解液</w:t>
      </w:r>
      <w:r>
        <w:rPr>
          <w:rFonts w:ascii="Times New Roman" w:eastAsia="宋体" w:hAnsi="Times New Roman" w:cs="Times New Roman" w:hint="default"/>
          <w:color w:val="auto"/>
        </w:rPr>
        <w:t>，主要贮存单元为电解液储罐</w:t>
      </w:r>
      <w:r>
        <w:rPr>
          <w:rFonts w:ascii="Times New Roman" w:eastAsia="宋体" w:hAnsi="Times New Roman" w:cs="Times New Roman" w:hint="default"/>
          <w:color w:val="auto"/>
          <w:lang w:eastAsia="zh-CN"/>
        </w:rPr>
        <w:t>，</w:t>
      </w:r>
      <w:r>
        <w:rPr>
          <w:rFonts w:cs="Times New Roman" w:hint="eastAsia"/>
          <w:color w:val="auto"/>
          <w:lang w:val="en-US" w:eastAsia="zh-CN"/>
        </w:rPr>
        <w:t>储罐数量多，发生泄漏的频率相对较高，环境影响较大，</w:t>
      </w:r>
      <w:r>
        <w:rPr>
          <w:rFonts w:ascii="Times New Roman" w:eastAsia="宋体" w:hAnsi="Times New Roman" w:cs="Times New Roman" w:hint="default"/>
          <w:color w:val="auto"/>
        </w:rPr>
        <w:t>因此本项目重点风险源为的电解液储罐区。</w:t>
      </w:r>
    </w:p>
    <w:p w14:paraId="3E669BED">
      <w:pPr>
        <w:spacing w:before="215" w:line="220" w:lineRule="auto"/>
        <w:ind w:left="693"/>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3"/>
          <w:sz w:val="24"/>
          <w:szCs w:val="24"/>
        </w:rPr>
        <w:t>（3）环境影响途径</w:t>
      </w:r>
    </w:p>
    <w:p w14:paraId="3C0E18E2">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危险物质向环境转移的途径识别，包括分析危险物质特性及可能的环境风险类别，识别危险物质影响环境的途径，分析可能影响的环境敏感目标。</w:t>
      </w:r>
    </w:p>
    <w:p w14:paraId="26F61839">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本项目</w:t>
      </w:r>
      <w:r>
        <w:rPr>
          <w:rFonts w:ascii="Times New Roman" w:eastAsia="宋体" w:hAnsi="Times New Roman" w:cs="Times New Roman" w:hint="default"/>
          <w:color w:val="auto"/>
          <w:lang w:val="en-US" w:eastAsia="zh-CN"/>
        </w:rPr>
        <w:t>变压器油、</w:t>
      </w:r>
      <w:r>
        <w:rPr>
          <w:rFonts w:ascii="Times New Roman" w:eastAsia="宋体" w:hAnsi="Times New Roman" w:cs="Times New Roman" w:hint="default"/>
          <w:color w:val="auto"/>
        </w:rPr>
        <w:t>钒及其化合物和硫酸向环境转移的方式和途径主要为泄漏物料进入土壤</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lang w:val="en-US" w:eastAsia="zh-CN"/>
        </w:rPr>
        <w:t>地下水</w:t>
      </w:r>
      <w:r>
        <w:rPr>
          <w:rFonts w:ascii="Times New Roman" w:eastAsia="宋体" w:hAnsi="Times New Roman" w:cs="Times New Roman" w:hint="default"/>
          <w:color w:val="auto"/>
        </w:rPr>
        <w:t>。</w:t>
      </w:r>
    </w:p>
    <w:p w14:paraId="5D4113EA">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泄出物质造成的环境危害类型主要有：土壤、地下水：泄漏进入周围土壤，污染周围土壤地下水、环境。</w:t>
      </w:r>
    </w:p>
    <w:p w14:paraId="72E3833E">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本项目变压器油泄漏后遇到明火或高温发生火灾或爆炸，在火场中，受热的容器有爆炸危险。泄漏物料不完全燃烧产生颗粒物、CO和其他次生污染物，会造成大气污染。事故消防水未及时进行围堵，</w:t>
      </w:r>
      <w:r>
        <w:rPr>
          <w:rFonts w:ascii="Times New Roman" w:eastAsia="宋体" w:hAnsi="Times New Roman" w:cs="Times New Roman" w:hint="default"/>
          <w:color w:val="auto"/>
        </w:rPr>
        <w:t>进入附近</w:t>
      </w:r>
      <w:r>
        <w:rPr>
          <w:rFonts w:ascii="Times New Roman" w:eastAsia="宋体" w:hAnsi="Times New Roman" w:cs="Times New Roman" w:hint="default"/>
          <w:color w:val="auto"/>
          <w:lang w:val="en-US" w:eastAsia="zh-CN"/>
        </w:rPr>
        <w:t>地表水</w:t>
      </w:r>
      <w:r>
        <w:rPr>
          <w:rFonts w:ascii="Times New Roman" w:eastAsia="宋体" w:hAnsi="Times New Roman" w:cs="Times New Roman" w:hint="default"/>
          <w:color w:val="auto"/>
        </w:rPr>
        <w:t>和土壤</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lang w:val="en-US" w:eastAsia="zh-CN"/>
        </w:rPr>
        <w:t>地下水。</w:t>
      </w:r>
    </w:p>
    <w:p w14:paraId="06BD2D70">
      <w:pPr>
        <w:spacing w:before="170" w:line="221" w:lineRule="auto"/>
        <w:ind w:left="198"/>
        <w:rPr>
          <w:rFonts w:ascii="Times New Roman" w:eastAsia="宋体" w:hAnsi="Times New Roman" w:cs="Times New Roman" w:hint="default"/>
          <w:color w:val="auto"/>
          <w:sz w:val="24"/>
          <w:szCs w:val="24"/>
        </w:rPr>
      </w:pPr>
      <w:r>
        <w:rPr>
          <w:rFonts w:ascii="Times New Roman" w:eastAsia="宋体" w:hAnsi="Times New Roman" w:cs="Times New Roman" w:hint="default"/>
          <w:b/>
          <w:bCs/>
          <w:color w:val="auto"/>
          <w:spacing w:val="-1"/>
          <w:sz w:val="24"/>
          <w:szCs w:val="24"/>
        </w:rPr>
        <w:t xml:space="preserve">4.2  </w:t>
      </w:r>
      <w:r>
        <w:rPr>
          <w:rFonts w:ascii="Times New Roman" w:eastAsia="宋体" w:hAnsi="Times New Roman" w:cs="Times New Roman" w:hint="default"/>
          <w:color w:val="auto"/>
          <w:spacing w:val="-1"/>
          <w:sz w:val="24"/>
          <w:szCs w:val="24"/>
          <w14:textOutline w14:w="4358" w14:cap="sq">
            <w14:solidFill>
              <w14:srgbClr w14:val="000000"/>
            </w14:solidFill>
            <w14:bevel/>
          </w14:textOutline>
        </w:rPr>
        <w:t>风险识别结果</w:t>
      </w:r>
    </w:p>
    <w:p w14:paraId="79C1CFBD">
      <w:pPr>
        <w:spacing w:before="209" w:line="220" w:lineRule="auto"/>
        <w:ind w:left="684"/>
        <w:rPr>
          <w:rFonts w:ascii="Times New Roman" w:eastAsia="宋体" w:hAnsi="Times New Roman" w:cs="Times New Roman" w:hint="default"/>
          <w:color w:val="auto"/>
          <w:sz w:val="24"/>
          <w:szCs w:val="24"/>
          <w:vertAlign w:val="baseline"/>
        </w:rPr>
      </w:pPr>
      <w:r>
        <w:rPr>
          <w:rFonts w:ascii="Times New Roman" w:eastAsia="宋体" w:hAnsi="Times New Roman" w:cs="Times New Roman" w:hint="default"/>
          <w:color w:val="auto"/>
          <w:spacing w:val="-3"/>
          <w:sz w:val="24"/>
          <w:szCs w:val="24"/>
        </w:rPr>
        <w:t>建设项目风险识别结果见表</w:t>
      </w:r>
      <w:r>
        <w:rPr>
          <w:rFonts w:ascii="Times New Roman" w:eastAsia="宋体" w:hAnsi="Times New Roman" w:cs="Times New Roman" w:hint="default"/>
          <w:color w:val="auto"/>
          <w:spacing w:val="-29"/>
          <w:sz w:val="24"/>
          <w:szCs w:val="24"/>
        </w:rPr>
        <w:t xml:space="preserve"> </w:t>
      </w:r>
      <w:r>
        <w:rPr>
          <w:rFonts w:ascii="Times New Roman" w:eastAsia="宋体" w:hAnsi="Times New Roman" w:cs="Times New Roman" w:hint="default"/>
          <w:color w:val="auto"/>
          <w:spacing w:val="-3"/>
          <w:sz w:val="24"/>
          <w:szCs w:val="24"/>
        </w:rPr>
        <w:t>18。</w:t>
      </w:r>
    </w:p>
    <w:p w14:paraId="14C262AD">
      <w:pPr>
        <w:spacing w:before="188" w:line="229" w:lineRule="auto"/>
        <w:ind w:left="2671"/>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5"/>
          <w:sz w:val="24"/>
          <w:szCs w:val="24"/>
          <w14:textOutline w14:w="3795" w14:cap="sq">
            <w14:solidFill>
              <w14:srgbClr w14:val="000000"/>
            </w14:solidFill>
            <w14:bevel/>
          </w14:textOutline>
        </w:rPr>
        <w:t>表</w:t>
      </w:r>
      <w:r>
        <w:rPr>
          <w:rFonts w:ascii="Times New Roman" w:eastAsia="宋体" w:hAnsi="Times New Roman" w:cs="Times New Roman" w:hint="default"/>
          <w:color w:val="auto"/>
          <w:spacing w:val="-32"/>
          <w:sz w:val="24"/>
          <w:szCs w:val="24"/>
        </w:rPr>
        <w:t xml:space="preserve"> </w:t>
      </w:r>
      <w:r>
        <w:rPr>
          <w:rFonts w:ascii="Times New Roman" w:eastAsia="宋体" w:hAnsi="Times New Roman" w:cs="Times New Roman" w:hint="default"/>
          <w:b/>
          <w:bCs/>
          <w:color w:val="auto"/>
          <w:spacing w:val="5"/>
          <w:sz w:val="24"/>
          <w:szCs w:val="24"/>
        </w:rPr>
        <w:t xml:space="preserve">18    </w:t>
      </w:r>
      <w:r>
        <w:rPr>
          <w:rFonts w:ascii="Times New Roman" w:eastAsia="宋体" w:hAnsi="Times New Roman" w:cs="Times New Roman" w:hint="default"/>
          <w:color w:val="auto"/>
          <w:spacing w:val="5"/>
          <w:sz w:val="24"/>
          <w:szCs w:val="24"/>
          <w14:textOutline w14:w="3795" w14:cap="sq">
            <w14:solidFill>
              <w14:srgbClr w14:val="000000"/>
            </w14:solidFill>
            <w14:bevel/>
          </w14:textOutline>
        </w:rPr>
        <w:t>建设项目风险识别结果</w:t>
      </w:r>
    </w:p>
    <w:tbl>
      <w:tblPr>
        <w:tblStyle w:val="TableNormal0"/>
        <w:tblpPr w:leftFromText="180" w:rightFromText="180" w:vertAnchor="text" w:horzAnchor="page" w:tblpX="1817" w:tblpY="98"/>
        <w:tblOverlap w:val="never"/>
        <w:tblW w:w="4997"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blGrid>
        <w:gridCol w:w="483"/>
        <w:gridCol w:w="1276"/>
        <w:gridCol w:w="1591"/>
        <w:gridCol w:w="992"/>
        <w:gridCol w:w="1148"/>
        <w:gridCol w:w="1070"/>
        <w:gridCol w:w="1767"/>
      </w:tblGrid>
      <w:tr w14:paraId="1A89C0A9">
        <w:tblPrEx>
          <w:tblW w:w="4997"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Ex>
        <w:trPr>
          <w:trHeight w:val="482"/>
        </w:trPr>
        <w:tc>
          <w:tcPr>
            <w:tcW w:w="290" w:type="pct"/>
            <w:tcBorders>
              <w:tl2br w:val="nil"/>
              <w:tr2bl w:val="nil"/>
            </w:tcBorders>
            <w:vAlign w:val="center"/>
          </w:tcPr>
          <w:p w14:paraId="1EC8E5A2">
            <w:pPr>
              <w:pStyle w:val="a10"/>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序</w:t>
            </w:r>
          </w:p>
          <w:p w14:paraId="105B7417">
            <w:pPr>
              <w:pStyle w:val="a10"/>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号</w:t>
            </w:r>
          </w:p>
        </w:tc>
        <w:tc>
          <w:tcPr>
            <w:tcW w:w="766" w:type="pct"/>
            <w:tcBorders>
              <w:tl2br w:val="nil"/>
              <w:tr2bl w:val="nil"/>
            </w:tcBorders>
            <w:vAlign w:val="center"/>
          </w:tcPr>
          <w:p w14:paraId="7ACA903F">
            <w:pPr>
              <w:pStyle w:val="a10"/>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危险单元</w:t>
            </w:r>
          </w:p>
        </w:tc>
        <w:tc>
          <w:tcPr>
            <w:tcW w:w="955" w:type="pct"/>
            <w:tcBorders>
              <w:tl2br w:val="nil"/>
              <w:tr2bl w:val="nil"/>
            </w:tcBorders>
            <w:vAlign w:val="center"/>
          </w:tcPr>
          <w:p w14:paraId="16D79E4D">
            <w:pPr>
              <w:pStyle w:val="a10"/>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风险源</w:t>
            </w:r>
          </w:p>
        </w:tc>
        <w:tc>
          <w:tcPr>
            <w:tcW w:w="595" w:type="pct"/>
            <w:tcBorders>
              <w:tl2br w:val="nil"/>
              <w:tr2bl w:val="nil"/>
            </w:tcBorders>
            <w:vAlign w:val="center"/>
          </w:tcPr>
          <w:p w14:paraId="485C7608">
            <w:pPr>
              <w:pStyle w:val="a10"/>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存在危险物质</w:t>
            </w:r>
          </w:p>
        </w:tc>
        <w:tc>
          <w:tcPr>
            <w:tcW w:w="689" w:type="pct"/>
            <w:tcBorders>
              <w:tl2br w:val="nil"/>
              <w:tr2bl w:val="nil"/>
            </w:tcBorders>
            <w:vAlign w:val="center"/>
          </w:tcPr>
          <w:p w14:paraId="3CC7E5A4">
            <w:pPr>
              <w:pStyle w:val="a10"/>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环境风险类型</w:t>
            </w:r>
          </w:p>
        </w:tc>
        <w:tc>
          <w:tcPr>
            <w:tcW w:w="642" w:type="pct"/>
            <w:tcBorders>
              <w:tl2br w:val="nil"/>
              <w:tr2bl w:val="nil"/>
            </w:tcBorders>
            <w:vAlign w:val="center"/>
          </w:tcPr>
          <w:p w14:paraId="256B9DDF">
            <w:pPr>
              <w:pStyle w:val="a10"/>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环境影响途径</w:t>
            </w:r>
          </w:p>
        </w:tc>
        <w:tc>
          <w:tcPr>
            <w:tcW w:w="1060" w:type="pct"/>
            <w:tcBorders>
              <w:tl2br w:val="nil"/>
              <w:tr2bl w:val="nil"/>
            </w:tcBorders>
            <w:vAlign w:val="center"/>
          </w:tcPr>
          <w:p w14:paraId="0DD4FA6A">
            <w:pPr>
              <w:pStyle w:val="a10"/>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可能受影响的环境敏感目标</w:t>
            </w:r>
          </w:p>
        </w:tc>
      </w:tr>
      <w:tr w14:paraId="6035E747">
        <w:tblPrEx>
          <w:tblW w:w="4997" w:type="pct"/>
          <w:tblInd w:w="0" w:type="dxa"/>
          <w:tblCellMar>
            <w:top w:w="0" w:type="dxa"/>
            <w:left w:w="0" w:type="dxa"/>
            <w:bottom w:w="0" w:type="dxa"/>
            <w:right w:w="0" w:type="dxa"/>
          </w:tblCellMar>
        </w:tblPrEx>
        <w:trPr>
          <w:trHeight w:val="1031"/>
        </w:trPr>
        <w:tc>
          <w:tcPr>
            <w:tcW w:w="290" w:type="pct"/>
            <w:tcBorders>
              <w:tl2br w:val="nil"/>
              <w:tr2bl w:val="nil"/>
            </w:tcBorders>
            <w:vAlign w:val="center"/>
          </w:tcPr>
          <w:p w14:paraId="630E89A6">
            <w:pPr>
              <w:pStyle w:val="a10"/>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1</w:t>
            </w:r>
          </w:p>
        </w:tc>
        <w:tc>
          <w:tcPr>
            <w:tcW w:w="766" w:type="pct"/>
            <w:tcBorders>
              <w:tl2br w:val="nil"/>
              <w:tr2bl w:val="nil"/>
            </w:tcBorders>
            <w:vAlign w:val="center"/>
          </w:tcPr>
          <w:p w14:paraId="769518EB">
            <w:pPr>
              <w:pStyle w:val="a10"/>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全钒液流电池储能区域</w:t>
            </w:r>
          </w:p>
        </w:tc>
        <w:tc>
          <w:tcPr>
            <w:tcW w:w="955" w:type="pct"/>
            <w:tcBorders>
              <w:tl2br w:val="nil"/>
              <w:tr2bl w:val="nil"/>
            </w:tcBorders>
            <w:vAlign w:val="center"/>
          </w:tcPr>
          <w:p w14:paraId="5FB28ED0">
            <w:pPr>
              <w:pStyle w:val="a10"/>
              <w:bidi w:val="0"/>
              <w:jc w:val="center"/>
              <w:rPr>
                <w:rFonts w:ascii="Times New Roman" w:eastAsia="宋体" w:hAnsi="Times New Roman" w:cs="Times New Roman" w:hint="default"/>
                <w:color w:val="auto"/>
                <w:lang w:eastAsia="zh-CN"/>
              </w:rPr>
            </w:pPr>
            <w:r>
              <w:rPr>
                <w:rFonts w:ascii="Times New Roman" w:eastAsia="宋体" w:hAnsi="Times New Roman" w:cs="Times New Roman" w:hint="default"/>
                <w:color w:val="auto"/>
              </w:rPr>
              <w:t>液流电池</w:t>
            </w:r>
            <w:r>
              <w:rPr>
                <w:rFonts w:ascii="Times New Roman" w:eastAsia="宋体" w:hAnsi="Times New Roman" w:cs="Times New Roman" w:hint="default"/>
                <w:color w:val="auto"/>
                <w:lang w:val="en-US" w:eastAsia="zh-CN"/>
              </w:rPr>
              <w:t>储罐</w:t>
            </w:r>
          </w:p>
        </w:tc>
        <w:tc>
          <w:tcPr>
            <w:tcW w:w="595" w:type="pct"/>
            <w:tcBorders>
              <w:tl2br w:val="nil"/>
              <w:tr2bl w:val="nil"/>
            </w:tcBorders>
            <w:vAlign w:val="center"/>
          </w:tcPr>
          <w:p w14:paraId="0E0CD50B">
            <w:pPr>
              <w:pStyle w:val="a10"/>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钒及其化合物和硫酸</w:t>
            </w:r>
          </w:p>
        </w:tc>
        <w:tc>
          <w:tcPr>
            <w:tcW w:w="689" w:type="pct"/>
            <w:tcBorders>
              <w:tl2br w:val="nil"/>
              <w:tr2bl w:val="nil"/>
            </w:tcBorders>
            <w:vAlign w:val="center"/>
          </w:tcPr>
          <w:p w14:paraId="5601D16A">
            <w:pPr>
              <w:pStyle w:val="a10"/>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泄漏</w:t>
            </w:r>
          </w:p>
        </w:tc>
        <w:tc>
          <w:tcPr>
            <w:tcW w:w="642" w:type="pct"/>
            <w:tcBorders>
              <w:tl2br w:val="nil"/>
              <w:tr2bl w:val="nil"/>
            </w:tcBorders>
            <w:vAlign w:val="center"/>
          </w:tcPr>
          <w:p w14:paraId="3C817C66">
            <w:pPr>
              <w:pStyle w:val="a10"/>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土壤</w:t>
            </w:r>
            <w:r>
              <w:rPr>
                <w:rFonts w:cs="Times New Roman" w:hint="eastAsia"/>
                <w:color w:val="auto"/>
                <w:lang w:eastAsia="zh-CN"/>
              </w:rPr>
              <w:t>、</w:t>
            </w:r>
            <w:r>
              <w:rPr>
                <w:rFonts w:ascii="Times New Roman" w:eastAsia="宋体" w:hAnsi="Times New Roman" w:cs="Times New Roman" w:hint="default"/>
                <w:color w:val="auto"/>
                <w:lang w:val="en-US" w:eastAsia="zh-CN"/>
              </w:rPr>
              <w:t>地下水</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rPr>
              <w:t>地表水</w:t>
            </w:r>
          </w:p>
        </w:tc>
        <w:tc>
          <w:tcPr>
            <w:tcW w:w="1060" w:type="pct"/>
            <w:tcBorders>
              <w:tl2br w:val="nil"/>
              <w:tr2bl w:val="nil"/>
            </w:tcBorders>
            <w:vAlign w:val="center"/>
          </w:tcPr>
          <w:p w14:paraId="00411A64">
            <w:pPr>
              <w:pStyle w:val="a10"/>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周边环境敏感点</w:t>
            </w:r>
          </w:p>
        </w:tc>
      </w:tr>
      <w:tr w14:paraId="5F7FE1D2">
        <w:tblPrEx>
          <w:tblW w:w="4997" w:type="pct"/>
          <w:tblInd w:w="0" w:type="dxa"/>
          <w:tblCellMar>
            <w:top w:w="0" w:type="dxa"/>
            <w:left w:w="0" w:type="dxa"/>
            <w:bottom w:w="0" w:type="dxa"/>
            <w:right w:w="0" w:type="dxa"/>
          </w:tblCellMar>
        </w:tblPrEx>
        <w:trPr>
          <w:trHeight w:val="641"/>
        </w:trPr>
        <w:tc>
          <w:tcPr>
            <w:tcW w:w="290" w:type="pct"/>
            <w:tcBorders>
              <w:tl2br w:val="nil"/>
              <w:tr2bl w:val="nil"/>
            </w:tcBorders>
            <w:vAlign w:val="center"/>
          </w:tcPr>
          <w:p w14:paraId="4A296930">
            <w:pPr>
              <w:pStyle w:val="a10"/>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2</w:t>
            </w:r>
          </w:p>
        </w:tc>
        <w:tc>
          <w:tcPr>
            <w:tcW w:w="766" w:type="pct"/>
            <w:tcBorders>
              <w:tl2br w:val="nil"/>
              <w:tr2bl w:val="nil"/>
            </w:tcBorders>
            <w:vAlign w:val="center"/>
          </w:tcPr>
          <w:p w14:paraId="2CAA8CDD">
            <w:pPr>
              <w:pStyle w:val="a10"/>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升压站</w:t>
            </w:r>
          </w:p>
        </w:tc>
        <w:tc>
          <w:tcPr>
            <w:tcW w:w="955" w:type="pct"/>
            <w:tcBorders>
              <w:tl2br w:val="nil"/>
              <w:tr2bl w:val="nil"/>
            </w:tcBorders>
            <w:vAlign w:val="center"/>
          </w:tcPr>
          <w:p w14:paraId="4147E3A1">
            <w:pPr>
              <w:pStyle w:val="a10"/>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变压器</w:t>
            </w:r>
          </w:p>
        </w:tc>
        <w:tc>
          <w:tcPr>
            <w:tcW w:w="595" w:type="pct"/>
            <w:tcBorders>
              <w:tl2br w:val="nil"/>
              <w:tr2bl w:val="nil"/>
            </w:tcBorders>
            <w:vAlign w:val="center"/>
          </w:tcPr>
          <w:p w14:paraId="03BDF688">
            <w:pPr>
              <w:pStyle w:val="a10"/>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变压器油</w:t>
            </w:r>
          </w:p>
        </w:tc>
        <w:tc>
          <w:tcPr>
            <w:tcW w:w="689" w:type="pct"/>
            <w:tcBorders>
              <w:tl2br w:val="nil"/>
              <w:tr2bl w:val="nil"/>
            </w:tcBorders>
            <w:vAlign w:val="center"/>
          </w:tcPr>
          <w:p w14:paraId="4BAF7C46">
            <w:pPr>
              <w:pStyle w:val="a10"/>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rPr>
              <w:t>泄漏</w:t>
            </w:r>
            <w:r>
              <w:rPr>
                <w:rFonts w:cs="Times New Roman" w:hint="eastAsia"/>
                <w:color w:val="auto"/>
                <w:lang w:eastAsia="zh-CN"/>
              </w:rPr>
              <w:t>、</w:t>
            </w:r>
            <w:r>
              <w:rPr>
                <w:rFonts w:cs="Times New Roman" w:hint="eastAsia"/>
                <w:color w:val="auto"/>
                <w:lang w:val="en-US" w:eastAsia="zh-CN"/>
              </w:rPr>
              <w:t>火灾</w:t>
            </w:r>
          </w:p>
        </w:tc>
        <w:tc>
          <w:tcPr>
            <w:tcW w:w="642" w:type="pct"/>
            <w:tcBorders>
              <w:tl2br w:val="nil"/>
              <w:tr2bl w:val="nil"/>
            </w:tcBorders>
            <w:vAlign w:val="center"/>
          </w:tcPr>
          <w:p w14:paraId="2CAEED11">
            <w:pPr>
              <w:pStyle w:val="a10"/>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rPr>
              <w:t>土壤</w:t>
            </w:r>
            <w:r>
              <w:rPr>
                <w:rFonts w:ascii="Times New Roman" w:eastAsia="宋体" w:hAnsi="Times New Roman" w:cs="Times New Roman" w:hint="default"/>
                <w:color w:val="auto"/>
                <w:lang w:val="en-US" w:eastAsia="zh-CN"/>
              </w:rPr>
              <w:t>地下水</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lang w:val="en-US" w:eastAsia="zh-CN"/>
              </w:rPr>
              <w:t>大气</w:t>
            </w:r>
          </w:p>
        </w:tc>
        <w:tc>
          <w:tcPr>
            <w:tcW w:w="1060" w:type="pct"/>
            <w:tcBorders>
              <w:tl2br w:val="nil"/>
              <w:tr2bl w:val="nil"/>
            </w:tcBorders>
            <w:vAlign w:val="center"/>
          </w:tcPr>
          <w:p w14:paraId="05DB592E">
            <w:pPr>
              <w:pStyle w:val="a10"/>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周边环境敏感 点</w:t>
            </w:r>
          </w:p>
        </w:tc>
      </w:tr>
    </w:tbl>
    <w:p w14:paraId="29219FB6">
      <w:pPr>
        <w:spacing w:line="135" w:lineRule="exact"/>
        <w:rPr>
          <w:rFonts w:ascii="Times New Roman" w:eastAsia="宋体" w:hAnsi="Times New Roman" w:cs="Times New Roman" w:hint="default"/>
          <w:color w:val="auto"/>
        </w:rPr>
      </w:pPr>
    </w:p>
    <w:p w14:paraId="64BF2E41">
      <w:pPr>
        <w:numPr>
          <w:ilvl w:val="0"/>
          <w:numId w:val="11"/>
        </w:numPr>
        <w:spacing w:before="195" w:line="220" w:lineRule="auto"/>
        <w:ind w:left="200"/>
        <w:rPr>
          <w:rFonts w:ascii="Times New Roman" w:eastAsia="宋体" w:hAnsi="Times New Roman" w:cs="Times New Roman" w:hint="default"/>
          <w:b/>
          <w:bCs/>
          <w:color w:val="auto"/>
          <w:spacing w:val="-2"/>
          <w:sz w:val="24"/>
          <w:szCs w:val="24"/>
          <w:lang w:val="en-US" w:eastAsia="zh-CN"/>
        </w:rPr>
      </w:pPr>
      <w:r>
        <w:rPr>
          <w:rFonts w:ascii="Times New Roman" w:eastAsia="宋体" w:hAnsi="Times New Roman" w:cs="Times New Roman" w:hint="default"/>
          <w:b/>
          <w:bCs/>
          <w:color w:val="auto"/>
          <w:spacing w:val="-2"/>
          <w:sz w:val="24"/>
          <w:szCs w:val="24"/>
          <w:lang w:val="en-US" w:eastAsia="zh-CN"/>
        </w:rPr>
        <w:t>源项分析</w:t>
      </w:r>
    </w:p>
    <w:p w14:paraId="285A5832">
      <w:pPr>
        <w:pStyle w:val="NormalIndent"/>
        <w:keepNext w:val="0"/>
        <w:keepLines w:val="0"/>
        <w:pageBreakBefore w:val="0"/>
        <w:widowControl/>
        <w:numPr>
          <w:ilvl w:val="0"/>
          <w:numId w:val="9"/>
        </w:numPr>
        <w:kinsoku/>
        <w:wordWrap/>
        <w:overflowPunct/>
        <w:topLinePunct w:val="0"/>
        <w:autoSpaceDE/>
        <w:autoSpaceDN/>
        <w:bidi w:val="0"/>
        <w:adjustRightInd/>
        <w:snapToGrid/>
        <w:spacing w:line="360" w:lineRule="auto"/>
        <w:ind w:firstLine="420"/>
        <w:textAlignment w:val="auto"/>
        <w:rPr>
          <w:rFonts w:ascii="Times New Roman" w:eastAsia="宋体" w:hAnsi="Times New Roman" w:cs="Times New Roman" w:hint="default"/>
          <w:b/>
          <w:bCs/>
          <w:color w:val="auto"/>
          <w:sz w:val="24"/>
          <w:szCs w:val="24"/>
          <w:highlight w:val="none"/>
          <w:lang w:val="en-US" w:eastAsia="zh-CN"/>
        </w:rPr>
      </w:pPr>
      <w:r>
        <w:rPr>
          <w:rFonts w:ascii="Times New Roman" w:eastAsia="宋体" w:hAnsi="Times New Roman" w:cs="Times New Roman" w:hint="default"/>
          <w:b/>
          <w:bCs/>
          <w:color w:val="auto"/>
          <w:sz w:val="24"/>
          <w:szCs w:val="24"/>
          <w:highlight w:val="none"/>
          <w:lang w:val="en-US" w:eastAsia="zh-CN"/>
        </w:rPr>
        <w:t>事故源强</w:t>
      </w:r>
    </w:p>
    <w:p w14:paraId="1446C7EF">
      <w:pPr>
        <w:snapToGrid w:val="0"/>
        <w:spacing w:line="360" w:lineRule="auto"/>
        <w:ind w:firstLine="480" w:firstLineChars="200"/>
        <w:rPr>
          <w:rFonts w:ascii="Times New Roman" w:eastAsia="宋体" w:hAnsi="Times New Roman" w:cs="Times New Roman" w:hint="default"/>
          <w:color w:val="auto"/>
          <w:sz w:val="24"/>
          <w:szCs w:val="24"/>
          <w:highlight w:val="none"/>
          <w:vertAlign w:val="baseline"/>
          <w:lang w:val="en-US" w:eastAsia="zh-CN"/>
        </w:rPr>
      </w:pPr>
      <w:r>
        <w:rPr>
          <w:rFonts w:ascii="Times New Roman" w:eastAsia="宋体" w:hAnsi="Times New Roman" w:cs="Times New Roman" w:hint="default"/>
          <w:color w:val="auto"/>
          <w:sz w:val="24"/>
          <w:szCs w:val="24"/>
          <w:highlight w:val="none"/>
          <w:lang w:val="en-US" w:eastAsia="zh-CN"/>
        </w:rPr>
        <w:t>全钒液流电池</w:t>
      </w:r>
      <w:r>
        <w:rPr>
          <w:rFonts w:cs="Times New Roman" w:hint="eastAsia"/>
          <w:color w:val="auto"/>
          <w:sz w:val="24"/>
          <w:szCs w:val="24"/>
          <w:highlight w:val="none"/>
          <w:lang w:val="en-US" w:eastAsia="zh-CN"/>
        </w:rPr>
        <w:t>电解液</w:t>
      </w:r>
      <w:r>
        <w:rPr>
          <w:rFonts w:ascii="Times New Roman" w:eastAsia="宋体" w:hAnsi="Times New Roman" w:cs="Times New Roman" w:hint="default"/>
          <w:color w:val="auto"/>
          <w:sz w:val="24"/>
          <w:szCs w:val="24"/>
          <w:highlight w:val="none"/>
          <w:lang w:val="en-US" w:eastAsia="zh-CN"/>
        </w:rPr>
        <w:t>储罐单个容积31.25m</w:t>
      </w:r>
      <w:r>
        <w:rPr>
          <w:rFonts w:ascii="Times New Roman" w:eastAsia="宋体" w:hAnsi="Times New Roman" w:cs="Times New Roman" w:hint="default"/>
          <w:color w:val="auto"/>
          <w:sz w:val="24"/>
          <w:szCs w:val="24"/>
          <w:highlight w:val="none"/>
          <w:vertAlign w:val="superscript"/>
          <w:lang w:val="en-US" w:eastAsia="zh-CN"/>
        </w:rPr>
        <w:t>3，</w:t>
      </w:r>
      <w:r>
        <w:rPr>
          <w:rFonts w:ascii="Times New Roman" w:eastAsia="宋体" w:hAnsi="Times New Roman" w:cs="Times New Roman" w:hint="default"/>
          <w:color w:val="auto"/>
          <w:sz w:val="24"/>
          <w:szCs w:val="24"/>
          <w:highlight w:val="none"/>
          <w:vertAlign w:val="baseline"/>
          <w:lang w:val="en-US" w:eastAsia="zh-CN"/>
        </w:rPr>
        <w:t>本次事故源强情形选择单个</w:t>
      </w:r>
      <w:r>
        <w:rPr>
          <w:rFonts w:cs="Times New Roman" w:hint="eastAsia"/>
          <w:color w:val="auto"/>
          <w:sz w:val="24"/>
          <w:szCs w:val="24"/>
          <w:highlight w:val="none"/>
          <w:lang w:val="en-US" w:eastAsia="zh-CN"/>
        </w:rPr>
        <w:t>电解液</w:t>
      </w:r>
      <w:r>
        <w:rPr>
          <w:rFonts w:ascii="Times New Roman" w:eastAsia="宋体" w:hAnsi="Times New Roman" w:cs="Times New Roman" w:hint="default"/>
          <w:color w:val="auto"/>
          <w:sz w:val="24"/>
          <w:szCs w:val="24"/>
          <w:highlight w:val="none"/>
          <w:lang w:val="en-US" w:eastAsia="zh-CN"/>
        </w:rPr>
        <w:t>储罐</w:t>
      </w:r>
      <w:r>
        <w:rPr>
          <w:rFonts w:ascii="Times New Roman" w:eastAsia="宋体" w:hAnsi="Times New Roman" w:cs="Times New Roman" w:hint="default"/>
          <w:color w:val="auto"/>
          <w:sz w:val="24"/>
          <w:szCs w:val="24"/>
          <w:highlight w:val="none"/>
          <w:vertAlign w:val="baseline"/>
          <w:lang w:val="en-US" w:eastAsia="zh-CN"/>
        </w:rPr>
        <w:t>发生</w:t>
      </w:r>
      <w:r>
        <w:rPr>
          <w:rFonts w:cs="Times New Roman" w:hint="eastAsia"/>
          <w:color w:val="auto"/>
          <w:sz w:val="24"/>
          <w:szCs w:val="24"/>
          <w:highlight w:val="none"/>
          <w:vertAlign w:val="baseline"/>
          <w:lang w:val="en-US" w:eastAsia="zh-CN"/>
        </w:rPr>
        <w:t>全部</w:t>
      </w:r>
      <w:r>
        <w:rPr>
          <w:rFonts w:ascii="Times New Roman" w:eastAsia="宋体" w:hAnsi="Times New Roman" w:cs="Times New Roman" w:hint="default"/>
          <w:color w:val="auto"/>
          <w:sz w:val="24"/>
          <w:szCs w:val="24"/>
          <w:highlight w:val="none"/>
          <w:vertAlign w:val="baseline"/>
          <w:lang w:val="en-US" w:eastAsia="zh-CN"/>
        </w:rPr>
        <w:t>泄漏的情形。</w:t>
      </w:r>
    </w:p>
    <w:p w14:paraId="331E8E9B">
      <w:pPr>
        <w:pStyle w:val="NormalIndent"/>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eastAsia="宋体" w:hAnsi="Times New Roman" w:cs="Times New Roman" w:hint="default"/>
          <w:b/>
          <w:bCs/>
          <w:color w:val="auto"/>
          <w:sz w:val="24"/>
          <w:szCs w:val="24"/>
          <w:highlight w:val="none"/>
          <w:lang w:val="en-US" w:eastAsia="zh-CN"/>
        </w:rPr>
      </w:pPr>
      <w:r>
        <w:rPr>
          <w:rFonts w:ascii="Times New Roman" w:eastAsia="宋体" w:hAnsi="Times New Roman" w:cs="Times New Roman" w:hint="default"/>
          <w:b/>
          <w:bCs/>
          <w:color w:val="auto"/>
          <w:sz w:val="24"/>
          <w:szCs w:val="24"/>
          <w:highlight w:val="none"/>
          <w:lang w:val="en-US" w:eastAsia="zh-CN"/>
        </w:rPr>
        <w:t>①泄漏频率</w:t>
      </w:r>
    </w:p>
    <w:p w14:paraId="40CEB8A9">
      <w:pPr>
        <w:snapToGrid w:val="0"/>
        <w:spacing w:line="360" w:lineRule="auto"/>
        <w:ind w:firstLine="480" w:firstLineChars="200"/>
        <w:rPr>
          <w:rFonts w:ascii="Times New Roman" w:eastAsia="宋体" w:hAnsi="Times New Roman" w:cs="Times New Roman" w:hint="default"/>
          <w:color w:val="auto"/>
          <w:sz w:val="24"/>
          <w:szCs w:val="24"/>
          <w:highlight w:val="none"/>
          <w:lang w:val="en-US" w:eastAsia="zh-CN"/>
        </w:rPr>
      </w:pPr>
      <w:r>
        <w:rPr>
          <w:rFonts w:ascii="Times New Roman" w:eastAsia="宋体" w:hAnsi="Times New Roman" w:cs="Times New Roman" w:hint="default"/>
          <w:color w:val="auto"/>
          <w:sz w:val="24"/>
          <w:szCs w:val="24"/>
          <w:highlight w:val="none"/>
          <w:lang w:val="en-US" w:eastAsia="zh-CN"/>
        </w:rPr>
        <w:t>本项目的</w:t>
      </w:r>
      <w:r>
        <w:rPr>
          <w:rFonts w:cs="Times New Roman" w:hint="eastAsia"/>
          <w:color w:val="auto"/>
          <w:sz w:val="24"/>
          <w:szCs w:val="24"/>
          <w:highlight w:val="none"/>
          <w:lang w:val="en-US" w:eastAsia="zh-CN"/>
        </w:rPr>
        <w:t>电解液</w:t>
      </w:r>
      <w:r>
        <w:rPr>
          <w:rFonts w:ascii="Times New Roman" w:eastAsia="宋体" w:hAnsi="Times New Roman" w:cs="Times New Roman" w:hint="default"/>
          <w:color w:val="auto"/>
          <w:sz w:val="24"/>
          <w:szCs w:val="24"/>
          <w:highlight w:val="none"/>
          <w:lang w:val="en-US" w:eastAsia="zh-CN"/>
        </w:rPr>
        <w:t>储罐情况，参考《建设项目环境风险评 价技术导则》（HJ169-2018）附录E表E.1泄漏频率表，</w:t>
      </w:r>
      <w:r>
        <w:rPr>
          <w:rFonts w:ascii="Times New Roman" w:eastAsia="宋体" w:hAnsi="Times New Roman" w:cs="Times New Roman" w:hint="default"/>
          <w:color w:val="auto"/>
          <w:spacing w:val="7"/>
          <w:sz w:val="24"/>
          <w:szCs w:val="24"/>
          <w:lang w:val="en-US" w:eastAsia="zh-CN"/>
        </w:rPr>
        <w:t>常压单包容储罐泄漏</w:t>
      </w:r>
      <w:r>
        <w:rPr>
          <w:rFonts w:cs="Times New Roman" w:hint="eastAsia"/>
          <w:color w:val="auto"/>
          <w:spacing w:val="7"/>
          <w:sz w:val="24"/>
          <w:szCs w:val="24"/>
          <w:lang w:val="en-US" w:eastAsia="zh-CN"/>
        </w:rPr>
        <w:t>全部破裂</w:t>
      </w:r>
      <w:r>
        <w:rPr>
          <w:rFonts w:ascii="Times New Roman" w:eastAsia="宋体" w:hAnsi="Times New Roman" w:cs="Times New Roman" w:hint="default"/>
          <w:color w:val="auto"/>
          <w:sz w:val="24"/>
          <w:szCs w:val="24"/>
          <w:highlight w:val="none"/>
          <w:lang w:val="en-US" w:eastAsia="zh-CN"/>
        </w:rPr>
        <w:t>泄漏频率为</w:t>
      </w:r>
      <w:r>
        <w:rPr>
          <w:rFonts w:cs="Times New Roman" w:hint="eastAsia"/>
          <w:color w:val="auto"/>
          <w:sz w:val="24"/>
          <w:szCs w:val="24"/>
          <w:highlight w:val="none"/>
          <w:lang w:val="en-US" w:eastAsia="zh-CN"/>
        </w:rPr>
        <w:t>5</w:t>
      </w:r>
      <w:r>
        <w:rPr>
          <w:rFonts w:ascii="Times New Roman" w:eastAsia="宋体" w:hAnsi="Times New Roman" w:cs="Times New Roman" w:hint="default"/>
          <w:color w:val="auto"/>
          <w:sz w:val="24"/>
          <w:szCs w:val="24"/>
          <w:highlight w:val="none"/>
          <w:lang w:val="en-US" w:eastAsia="zh-CN"/>
        </w:rPr>
        <w:t>.0×10</w:t>
      </w:r>
      <w:r>
        <w:rPr>
          <w:rFonts w:ascii="Times New Roman" w:eastAsia="宋体" w:hAnsi="Times New Roman" w:cs="Times New Roman" w:hint="default"/>
          <w:color w:val="auto"/>
          <w:sz w:val="24"/>
          <w:szCs w:val="24"/>
          <w:highlight w:val="none"/>
          <w:vertAlign w:val="superscript"/>
          <w:lang w:val="en-US" w:eastAsia="zh-CN"/>
        </w:rPr>
        <w:t>-</w:t>
      </w:r>
      <w:r>
        <w:rPr>
          <w:rFonts w:cs="Times New Roman" w:hint="eastAsia"/>
          <w:color w:val="auto"/>
          <w:sz w:val="24"/>
          <w:szCs w:val="24"/>
          <w:highlight w:val="none"/>
          <w:vertAlign w:val="superscript"/>
          <w:lang w:val="en-US" w:eastAsia="zh-CN"/>
        </w:rPr>
        <w:t>6</w:t>
      </w:r>
      <w:r>
        <w:rPr>
          <w:rFonts w:ascii="Times New Roman" w:eastAsia="宋体" w:hAnsi="Times New Roman" w:cs="Times New Roman" w:hint="default"/>
          <w:color w:val="auto"/>
          <w:sz w:val="24"/>
          <w:szCs w:val="24"/>
          <w:highlight w:val="none"/>
          <w:lang w:val="en-US" w:eastAsia="zh-CN"/>
        </w:rPr>
        <w:t>a</w:t>
      </w:r>
      <w:r>
        <w:rPr>
          <w:rFonts w:cs="Times New Roman" w:hint="eastAsia"/>
          <w:color w:val="auto"/>
          <w:sz w:val="24"/>
          <w:szCs w:val="24"/>
          <w:highlight w:val="none"/>
          <w:lang w:val="en-US" w:eastAsia="zh-CN"/>
        </w:rPr>
        <w:t>，本项目共400个储罐，泄漏概率为2.0</w:t>
      </w:r>
      <w:r>
        <w:rPr>
          <w:rFonts w:ascii="Times New Roman" w:eastAsia="宋体" w:hAnsi="Times New Roman" w:cs="Times New Roman" w:hint="default"/>
          <w:color w:val="auto"/>
          <w:sz w:val="24"/>
          <w:szCs w:val="24"/>
          <w:highlight w:val="none"/>
          <w:lang w:val="en-US" w:eastAsia="zh-CN"/>
        </w:rPr>
        <w:t>×10</w:t>
      </w:r>
      <w:r>
        <w:rPr>
          <w:rFonts w:ascii="Times New Roman" w:eastAsia="宋体" w:hAnsi="Times New Roman" w:cs="Times New Roman" w:hint="default"/>
          <w:color w:val="auto"/>
          <w:sz w:val="24"/>
          <w:szCs w:val="24"/>
          <w:highlight w:val="none"/>
          <w:vertAlign w:val="superscript"/>
          <w:lang w:val="en-US" w:eastAsia="zh-CN"/>
        </w:rPr>
        <w:t>-</w:t>
      </w:r>
      <w:r>
        <w:rPr>
          <w:rFonts w:cs="Times New Roman" w:hint="eastAsia"/>
          <w:color w:val="auto"/>
          <w:sz w:val="24"/>
          <w:szCs w:val="24"/>
          <w:highlight w:val="none"/>
          <w:vertAlign w:val="superscript"/>
          <w:lang w:val="en-US" w:eastAsia="zh-CN"/>
        </w:rPr>
        <w:t>3</w:t>
      </w:r>
      <w:r>
        <w:rPr>
          <w:rFonts w:ascii="Times New Roman" w:eastAsia="宋体" w:hAnsi="Times New Roman" w:cs="Times New Roman" w:hint="default"/>
          <w:color w:val="auto"/>
          <w:sz w:val="24"/>
          <w:szCs w:val="24"/>
          <w:highlight w:val="none"/>
          <w:lang w:val="en-US" w:eastAsia="zh-CN"/>
        </w:rPr>
        <w:t>a。</w:t>
      </w:r>
    </w:p>
    <w:p w14:paraId="3B75F946">
      <w:pPr>
        <w:pStyle w:val="NormalIndent"/>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eastAsia="宋体" w:hAnsi="Times New Roman" w:cs="Times New Roman" w:hint="default"/>
          <w:b/>
          <w:bCs/>
          <w:color w:val="auto"/>
          <w:sz w:val="24"/>
          <w:szCs w:val="24"/>
          <w:highlight w:val="none"/>
          <w:lang w:val="en-US" w:eastAsia="zh-CN"/>
        </w:rPr>
      </w:pPr>
      <w:r>
        <w:rPr>
          <w:rFonts w:ascii="Times New Roman" w:eastAsia="宋体" w:hAnsi="Times New Roman" w:cs="Times New Roman" w:hint="default"/>
          <w:b/>
          <w:bCs/>
          <w:color w:val="auto"/>
          <w:sz w:val="24"/>
          <w:szCs w:val="24"/>
          <w:highlight w:val="none"/>
          <w:lang w:val="en-US" w:eastAsia="zh-CN"/>
        </w:rPr>
        <w:t>②泄漏量</w:t>
      </w:r>
    </w:p>
    <w:p w14:paraId="4420F3A4">
      <w:pPr>
        <w:pStyle w:val="00005"/>
        <w:bidi w:val="0"/>
        <w:rPr>
          <w:rFonts w:ascii="Times New Roman" w:eastAsia="宋体" w:hAnsi="Times New Roman" w:cs="Times New Roman" w:hint="default"/>
          <w:color w:val="auto"/>
          <w:lang w:val="en-US" w:eastAsia="zh-CN"/>
        </w:rPr>
      </w:pPr>
      <w:r>
        <w:rPr>
          <w:rFonts w:cs="Times New Roman" w:hint="eastAsia"/>
          <w:color w:val="auto"/>
          <w:sz w:val="24"/>
          <w:szCs w:val="24"/>
          <w:highlight w:val="none"/>
          <w:lang w:val="en-US" w:eastAsia="zh-CN"/>
        </w:rPr>
        <w:t>电解液</w:t>
      </w:r>
      <w:r>
        <w:rPr>
          <w:rFonts w:ascii="Times New Roman" w:eastAsia="宋体" w:hAnsi="Times New Roman" w:cs="Times New Roman" w:hint="default"/>
          <w:color w:val="auto"/>
          <w:sz w:val="24"/>
          <w:szCs w:val="24"/>
          <w:highlight w:val="none"/>
          <w:lang w:val="en-US" w:eastAsia="zh-CN"/>
        </w:rPr>
        <w:t>储罐</w:t>
      </w:r>
      <w:r>
        <w:rPr>
          <w:rFonts w:ascii="Times New Roman" w:eastAsia="宋体" w:hAnsi="Times New Roman" w:cs="Times New Roman" w:hint="default"/>
          <w:color w:val="auto"/>
          <w:lang w:val="en-US" w:eastAsia="zh-CN"/>
        </w:rPr>
        <w:t>泄漏源强的</w:t>
      </w:r>
      <w:r>
        <w:rPr>
          <w:rFonts w:cs="Times New Roman" w:hint="eastAsia"/>
          <w:color w:val="auto"/>
          <w:lang w:val="en-US" w:eastAsia="zh-CN"/>
        </w:rPr>
        <w:t>按照最大容积</w:t>
      </w:r>
      <w:r>
        <w:rPr>
          <w:rFonts w:ascii="Times New Roman" w:eastAsia="宋体" w:hAnsi="Times New Roman" w:cs="Times New Roman" w:hint="default"/>
          <w:color w:val="auto"/>
          <w:sz w:val="24"/>
          <w:szCs w:val="24"/>
          <w:highlight w:val="none"/>
          <w:lang w:val="en-US" w:eastAsia="zh-CN"/>
        </w:rPr>
        <w:t>31.25m</w:t>
      </w:r>
      <w:r>
        <w:rPr>
          <w:rFonts w:ascii="Times New Roman" w:eastAsia="宋体" w:hAnsi="Times New Roman" w:cs="Times New Roman" w:hint="default"/>
          <w:color w:val="auto"/>
          <w:sz w:val="24"/>
          <w:szCs w:val="24"/>
          <w:highlight w:val="none"/>
          <w:vertAlign w:val="superscript"/>
          <w:lang w:val="en-US" w:eastAsia="zh-CN"/>
        </w:rPr>
        <w:t>3</w:t>
      </w:r>
      <w:r>
        <w:rPr>
          <w:rFonts w:ascii="Times New Roman" w:eastAsia="宋体" w:hAnsi="Times New Roman" w:cs="Times New Roman" w:hint="eastAsia"/>
          <w:color w:val="auto"/>
          <w:sz w:val="24"/>
          <w:szCs w:val="24"/>
          <w:highlight w:val="none"/>
          <w:vertAlign w:val="baseline"/>
          <w:lang w:val="en-US" w:eastAsia="zh-CN"/>
        </w:rPr>
        <w:t>计算</w:t>
      </w:r>
      <w:r>
        <w:rPr>
          <w:rFonts w:ascii="Times New Roman" w:eastAsia="宋体" w:hAnsi="Times New Roman" w:cs="Times New Roman" w:hint="default"/>
          <w:color w:val="auto"/>
          <w:lang w:val="en-US" w:eastAsia="zh-CN"/>
        </w:rPr>
        <w:t>。</w:t>
      </w:r>
    </w:p>
    <w:p w14:paraId="41AD2E37">
      <w:pPr>
        <w:spacing w:before="195" w:line="220" w:lineRule="auto"/>
        <w:ind w:left="200" w:firstLine="480" w:firstLineChars="200"/>
        <w:rPr>
          <w:rFonts w:ascii="Times New Roman" w:eastAsia="宋体" w:hAnsi="Times New Roman" w:cs="Times New Roman" w:hint="default"/>
          <w:color w:val="auto"/>
          <w:spacing w:val="-2"/>
          <w:sz w:val="24"/>
          <w:szCs w:val="24"/>
          <w:lang w:val="en-US" w:eastAsia="zh-CN"/>
          <w14:textOutline w14:w="4358" w14:cap="sq">
            <w14:solidFill>
              <w14:srgbClr w14:val="000000"/>
            </w14:solidFill>
            <w14:bevel/>
          </w14:textOutline>
        </w:rPr>
      </w:pPr>
      <w:r>
        <w:rPr>
          <w:rFonts w:ascii="Times New Roman" w:eastAsia="宋体" w:hAnsi="Times New Roman" w:cs="Times New Roman" w:hint="default"/>
          <w:b/>
          <w:bCs/>
          <w:color w:val="auto"/>
          <w:spacing w:val="-2"/>
          <w:sz w:val="24"/>
          <w:szCs w:val="24"/>
        </w:rPr>
        <w:t>5</w:t>
      </w:r>
      <w:r>
        <w:rPr>
          <w:rFonts w:ascii="Times New Roman" w:eastAsia="宋体" w:hAnsi="Times New Roman" w:cs="Times New Roman" w:hint="default"/>
          <w:b/>
          <w:bCs/>
          <w:color w:val="auto"/>
          <w:spacing w:val="26"/>
          <w:sz w:val="24"/>
          <w:szCs w:val="24"/>
        </w:rPr>
        <w:t xml:space="preserve"> </w:t>
      </w:r>
      <w:r>
        <w:rPr>
          <w:rFonts w:ascii="Times New Roman" w:eastAsia="宋体" w:hAnsi="Times New Roman" w:cs="Times New Roman" w:hint="default"/>
          <w:color w:val="auto"/>
          <w:spacing w:val="-2"/>
          <w:sz w:val="24"/>
          <w:szCs w:val="24"/>
          <w:lang w:val="en-US" w:eastAsia="zh-CN"/>
          <w14:textOutline w14:w="4358" w14:cap="sq">
            <w14:solidFill>
              <w14:srgbClr w14:val="000000"/>
            </w14:solidFill>
            <w14:bevel/>
          </w14:textOutline>
        </w:rPr>
        <w:t>风险预测分析</w:t>
      </w:r>
    </w:p>
    <w:p w14:paraId="118299E9">
      <w:pPr>
        <w:pStyle w:val="TOC2"/>
        <w:rPr>
          <w:rFonts w:ascii="Times New Roman" w:eastAsia="宋体" w:hAnsi="Times New Roman" w:cs="Times New Roman" w:hint="default"/>
          <w:color w:val="auto"/>
          <w:lang w:val="en-US" w:eastAsia="zh-CN"/>
        </w:rPr>
      </w:pPr>
    </w:p>
    <w:p w14:paraId="4D39B0CE">
      <w:pPr>
        <w:pStyle w:val="00005"/>
        <w:bidi w:val="0"/>
        <w:rPr>
          <w:rFonts w:ascii="Times New Roman" w:eastAsia="宋体" w:hAnsi="Times New Roman" w:cs="Times New Roman" w:hint="default"/>
          <w:b/>
          <w:bCs/>
          <w:color w:val="auto"/>
          <w:lang w:val="en-US" w:eastAsia="zh-CN"/>
        </w:rPr>
      </w:pPr>
      <w:r>
        <w:rPr>
          <w:rFonts w:ascii="Times New Roman" w:eastAsia="宋体" w:hAnsi="Times New Roman" w:cs="Times New Roman" w:hint="default"/>
          <w:b/>
          <w:bCs/>
          <w:color w:val="auto"/>
          <w:lang w:val="en-US" w:eastAsia="zh-CN"/>
        </w:rPr>
        <w:t>5.1泄漏风险影响分析：</w:t>
      </w:r>
    </w:p>
    <w:p w14:paraId="66C4FF87">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本项目</w:t>
      </w:r>
      <w:r>
        <w:rPr>
          <w:rFonts w:cs="Times New Roman" w:hint="eastAsia"/>
          <w:color w:val="auto"/>
          <w:sz w:val="24"/>
          <w:szCs w:val="24"/>
          <w:highlight w:val="none"/>
          <w:lang w:val="en-US" w:eastAsia="zh-CN"/>
        </w:rPr>
        <w:t>电解液</w:t>
      </w:r>
      <w:r>
        <w:rPr>
          <w:rFonts w:ascii="Times New Roman" w:eastAsia="宋体" w:hAnsi="Times New Roman" w:cs="Times New Roman" w:hint="default"/>
          <w:color w:val="auto"/>
          <w:lang w:val="en-US" w:eastAsia="zh-CN"/>
        </w:rPr>
        <w:t>进入</w:t>
      </w:r>
      <w:r>
        <w:rPr>
          <w:rFonts w:ascii="Times New Roman" w:eastAsia="宋体" w:hAnsi="Times New Roman" w:cs="Times New Roman" w:hint="default"/>
          <w:color w:val="auto"/>
        </w:rPr>
        <w:t>环境中，可对</w:t>
      </w:r>
      <w:r>
        <w:rPr>
          <w:rFonts w:ascii="Times New Roman" w:eastAsia="宋体" w:hAnsi="Times New Roman" w:cs="Times New Roman" w:hint="default"/>
          <w:color w:val="auto"/>
          <w:lang w:val="en-US" w:eastAsia="zh-CN"/>
        </w:rPr>
        <w:t>土壤、</w:t>
      </w:r>
      <w:r>
        <w:rPr>
          <w:rFonts w:ascii="Times New Roman" w:eastAsia="宋体" w:hAnsi="Times New Roman" w:cs="Times New Roman" w:hint="default"/>
          <w:color w:val="auto"/>
        </w:rPr>
        <w:t>地表水、地下水环境及其人员健康造成威胁。泄漏污染物在土壤中可发生吸附一解吸附、生物降解、淋溶及下渗等迁移转化；泄漏污染物若漫流出厂，对周边水体及土壤产生污染影响，导致植物枯萎、动物死亡等严重后果。</w:t>
      </w:r>
    </w:p>
    <w:p w14:paraId="325C53B1">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因此，</w:t>
      </w:r>
      <w:r>
        <w:rPr>
          <w:rFonts w:ascii="Times New Roman" w:eastAsia="宋体" w:hAnsi="Times New Roman" w:cs="Times New Roman" w:hint="default"/>
          <w:color w:val="auto"/>
          <w:lang w:val="en-US" w:eastAsia="zh-CN"/>
        </w:rPr>
        <w:t>企业</w:t>
      </w:r>
      <w:r>
        <w:rPr>
          <w:rFonts w:ascii="Times New Roman" w:eastAsia="宋体" w:hAnsi="Times New Roman" w:cs="Times New Roman" w:hint="default"/>
          <w:color w:val="auto"/>
        </w:rPr>
        <w:t>建立</w:t>
      </w:r>
      <w:r>
        <w:rPr>
          <w:rFonts w:ascii="Times New Roman" w:eastAsia="宋体" w:hAnsi="Times New Roman" w:cs="Times New Roman" w:hint="default"/>
          <w:color w:val="auto"/>
          <w:lang w:val="en-US" w:eastAsia="zh-CN"/>
        </w:rPr>
        <w:t>相应</w:t>
      </w:r>
      <w:r>
        <w:rPr>
          <w:rFonts w:ascii="Times New Roman" w:eastAsia="宋体" w:hAnsi="Times New Roman" w:cs="Times New Roman" w:hint="default"/>
          <w:color w:val="auto"/>
        </w:rPr>
        <w:t>防控</w:t>
      </w:r>
      <w:r>
        <w:rPr>
          <w:rFonts w:ascii="Times New Roman" w:eastAsia="宋体" w:hAnsi="Times New Roman" w:cs="Times New Roman" w:hint="default"/>
          <w:color w:val="auto"/>
          <w:lang w:val="en-US" w:eastAsia="zh-CN"/>
        </w:rPr>
        <w:t>措施</w:t>
      </w:r>
      <w:r>
        <w:rPr>
          <w:rFonts w:ascii="Times New Roman" w:eastAsia="宋体" w:hAnsi="Times New Roman" w:cs="Times New Roman" w:hint="default"/>
          <w:color w:val="auto"/>
          <w:lang w:eastAsia="zh-CN"/>
        </w:rPr>
        <w:t>，</w:t>
      </w:r>
      <w:r>
        <w:rPr>
          <w:rFonts w:cs="Times New Roman" w:hint="eastAsia"/>
          <w:color w:val="auto"/>
          <w:sz w:val="24"/>
          <w:szCs w:val="24"/>
          <w:highlight w:val="none"/>
          <w:lang w:val="en-US" w:eastAsia="zh-CN"/>
        </w:rPr>
        <w:t>电解液储罐设位于</w:t>
      </w:r>
      <w:r>
        <w:rPr>
          <w:rFonts w:ascii="Times New Roman" w:eastAsia="宋体" w:hAnsi="Times New Roman" w:cs="Times New Roman" w:hint="default"/>
          <w:color w:val="auto"/>
          <w:lang w:val="en-US" w:eastAsia="zh-CN"/>
        </w:rPr>
        <w:t>，并通过</w:t>
      </w:r>
      <w:r>
        <w:rPr>
          <w:rFonts w:cs="Times New Roman" w:hint="eastAsia"/>
          <w:color w:val="auto"/>
          <w:lang w:val="en-US" w:eastAsia="zh-CN"/>
        </w:rPr>
        <w:t>导流槽</w:t>
      </w:r>
      <w:r>
        <w:rPr>
          <w:rFonts w:ascii="Times New Roman" w:eastAsia="宋体" w:hAnsi="Times New Roman" w:cs="Times New Roman" w:hint="default"/>
          <w:color w:val="auto"/>
          <w:lang w:val="en-US" w:eastAsia="zh-CN"/>
        </w:rPr>
        <w:t>连接事故池，事故池容积为</w:t>
      </w:r>
      <w:r>
        <w:rPr>
          <w:rFonts w:cs="Times New Roman" w:hint="eastAsia"/>
          <w:color w:val="auto"/>
          <w:lang w:val="en-US" w:eastAsia="zh-CN"/>
        </w:rPr>
        <w:t>62.5</w:t>
      </w:r>
      <w:r>
        <w:rPr>
          <w:rFonts w:ascii="Times New Roman" w:eastAsia="宋体" w:hAnsi="Times New Roman" w:cs="Times New Roman" w:hint="default"/>
          <w:color w:val="auto"/>
          <w:sz w:val="24"/>
          <w:szCs w:val="24"/>
          <w:highlight w:val="none"/>
          <w:lang w:val="en-US" w:eastAsia="zh-CN"/>
        </w:rPr>
        <w:t>m</w:t>
      </w:r>
      <w:r>
        <w:rPr>
          <w:rFonts w:ascii="Times New Roman" w:eastAsia="宋体" w:hAnsi="Times New Roman" w:cs="Times New Roman" w:hint="default"/>
          <w:color w:val="auto"/>
          <w:sz w:val="24"/>
          <w:szCs w:val="24"/>
          <w:highlight w:val="none"/>
          <w:vertAlign w:val="superscript"/>
          <w:lang w:val="en-US" w:eastAsia="zh-CN"/>
        </w:rPr>
        <w:t>3</w:t>
      </w:r>
      <w:r>
        <w:rPr>
          <w:rFonts w:ascii="Times New Roman" w:eastAsia="宋体" w:hAnsi="Times New Roman" w:cs="Times New Roman" w:hint="default"/>
          <w:color w:val="auto"/>
          <w:sz w:val="24"/>
          <w:szCs w:val="24"/>
          <w:highlight w:val="none"/>
          <w:vertAlign w:val="baseline"/>
          <w:lang w:val="en-US" w:eastAsia="zh-CN"/>
        </w:rPr>
        <w:t>，满足应急收集需要，不会导致</w:t>
      </w:r>
      <w:r>
        <w:rPr>
          <w:rFonts w:cs="Times New Roman" w:hint="eastAsia"/>
          <w:color w:val="auto"/>
          <w:sz w:val="24"/>
          <w:szCs w:val="24"/>
          <w:highlight w:val="none"/>
          <w:vertAlign w:val="baseline"/>
          <w:lang w:val="en-US" w:eastAsia="zh-CN"/>
        </w:rPr>
        <w:t>电解液</w:t>
      </w:r>
      <w:r>
        <w:rPr>
          <w:rFonts w:ascii="Times New Roman" w:eastAsia="宋体" w:hAnsi="Times New Roman" w:cs="Times New Roman" w:hint="default"/>
          <w:color w:val="auto"/>
          <w:sz w:val="24"/>
          <w:szCs w:val="24"/>
          <w:highlight w:val="none"/>
          <w:vertAlign w:val="baseline"/>
          <w:lang w:val="en-US" w:eastAsia="zh-CN"/>
        </w:rPr>
        <w:t>外流。</w:t>
      </w:r>
      <w:r>
        <w:rPr>
          <w:rFonts w:ascii="Times New Roman" w:eastAsia="宋体" w:hAnsi="Times New Roman" w:cs="Times New Roman" w:hint="default"/>
          <w:color w:val="auto"/>
          <w:lang w:val="en-US" w:eastAsia="zh-CN"/>
        </w:rPr>
        <w:t>同时</w:t>
      </w:r>
      <w:r>
        <w:rPr>
          <w:rFonts w:ascii="Times New Roman" w:eastAsia="宋体" w:hAnsi="Times New Roman" w:cs="Times New Roman" w:hint="default"/>
          <w:color w:val="auto"/>
        </w:rPr>
        <w:t>企业严格管理，减少事故发生概率，完善事故处理措施，确保事故发生时能够快速有效处理</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lang w:val="en-US" w:eastAsia="zh-CN"/>
        </w:rPr>
        <w:t>及时将</w:t>
      </w:r>
      <w:r>
        <w:rPr>
          <w:rFonts w:cs="Times New Roman" w:hint="eastAsia"/>
          <w:color w:val="auto"/>
          <w:lang w:val="en-US" w:eastAsia="zh-CN"/>
        </w:rPr>
        <w:t>电解液</w:t>
      </w:r>
      <w:r>
        <w:rPr>
          <w:rFonts w:ascii="Times New Roman" w:eastAsia="宋体" w:hAnsi="Times New Roman" w:cs="Times New Roman" w:hint="default"/>
          <w:color w:val="auto"/>
          <w:lang w:val="en-US" w:eastAsia="zh-CN"/>
        </w:rPr>
        <w:t>收集委托资质单位处理</w:t>
      </w:r>
      <w:r>
        <w:rPr>
          <w:rFonts w:ascii="Times New Roman" w:eastAsia="宋体" w:hAnsi="Times New Roman" w:cs="Times New Roman" w:hint="default"/>
          <w:color w:val="auto"/>
        </w:rPr>
        <w:t>，确保将事故影响控制在厂区内，不对周围</w:t>
      </w:r>
      <w:r>
        <w:rPr>
          <w:rFonts w:ascii="Times New Roman" w:eastAsia="宋体" w:hAnsi="Times New Roman" w:cs="Times New Roman" w:hint="default"/>
          <w:color w:val="auto"/>
          <w:lang w:val="en-US" w:eastAsia="zh-CN"/>
        </w:rPr>
        <w:t>土壤、</w:t>
      </w:r>
      <w:r>
        <w:rPr>
          <w:rFonts w:ascii="Times New Roman" w:eastAsia="宋体" w:hAnsi="Times New Roman" w:cs="Times New Roman" w:hint="default"/>
          <w:color w:val="auto"/>
        </w:rPr>
        <w:t>地表水、地下水环境造成影响。</w:t>
      </w:r>
    </w:p>
    <w:p w14:paraId="403B49A1">
      <w:pPr>
        <w:pStyle w:val="00005"/>
        <w:bidi w:val="0"/>
        <w:rPr>
          <w:rFonts w:ascii="Times New Roman" w:eastAsia="宋体" w:hAnsi="Times New Roman" w:cs="Times New Roman" w:hint="default"/>
          <w:b/>
          <w:bCs/>
          <w:color w:val="auto"/>
          <w:lang w:val="en-US" w:eastAsia="zh-CN"/>
        </w:rPr>
      </w:pPr>
      <w:r>
        <w:rPr>
          <w:rFonts w:ascii="Times New Roman" w:eastAsia="宋体" w:hAnsi="Times New Roman" w:cs="Times New Roman" w:hint="default"/>
          <w:b/>
          <w:bCs/>
          <w:color w:val="auto"/>
          <w:lang w:val="en-US" w:eastAsia="zh-CN"/>
        </w:rPr>
        <w:t>5.2火灾、爆炸风险影响分析：</w:t>
      </w:r>
    </w:p>
    <w:p w14:paraId="529F13BC">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本企业的</w:t>
      </w:r>
      <w:r>
        <w:rPr>
          <w:rFonts w:cs="Times New Roman" w:hint="eastAsia"/>
          <w:color w:val="auto"/>
          <w:lang w:val="en-US" w:eastAsia="zh-CN"/>
        </w:rPr>
        <w:t>电解液</w:t>
      </w:r>
      <w:r>
        <w:rPr>
          <w:rFonts w:ascii="Times New Roman" w:eastAsia="宋体" w:hAnsi="Times New Roman" w:cs="Times New Roman" w:hint="default"/>
          <w:color w:val="auto"/>
          <w:lang w:val="en-US" w:eastAsia="zh-CN"/>
        </w:rPr>
        <w:t>属于</w:t>
      </w:r>
      <w:r>
        <w:rPr>
          <w:rFonts w:cs="Times New Roman" w:hint="eastAsia"/>
          <w:color w:val="auto"/>
          <w:lang w:val="en-US" w:eastAsia="zh-CN"/>
        </w:rPr>
        <w:t>不</w:t>
      </w:r>
      <w:r>
        <w:rPr>
          <w:rFonts w:ascii="Times New Roman" w:eastAsia="宋体" w:hAnsi="Times New Roman" w:cs="Times New Roman" w:hint="default"/>
          <w:color w:val="auto"/>
          <w:lang w:val="en-US" w:eastAsia="zh-CN"/>
        </w:rPr>
        <w:t>可燃物料。</w:t>
      </w:r>
      <w:r>
        <w:rPr>
          <w:rFonts w:cs="Times New Roman" w:hint="eastAsia"/>
          <w:color w:val="auto"/>
          <w:lang w:val="en-US" w:eastAsia="zh-CN"/>
        </w:rPr>
        <w:t>变压器油在变压器内部故障可能导致变压器内部温度过高，遇高温燃烧发生火灾事故，单个变压器内油品最大存在量较少，火灾事故产生的大气污染物不会对周围大气环境产生明显影响。</w:t>
      </w:r>
    </w:p>
    <w:p w14:paraId="164CB2BE">
      <w:pPr>
        <w:pStyle w:val="00005"/>
        <w:bidi w:val="0"/>
        <w:rPr>
          <w:rFonts w:cs="Times New Roman" w:hint="eastAsia"/>
          <w:b w:val="0"/>
          <w:bCs w:val="0"/>
          <w:color w:val="auto"/>
          <w:spacing w:val="0"/>
          <w:sz w:val="24"/>
          <w:szCs w:val="24"/>
          <w:lang w:val="en-US" w:eastAsia="zh-CN"/>
        </w:rPr>
      </w:pPr>
      <w:r>
        <w:rPr>
          <w:rFonts w:cs="Times New Roman" w:hint="eastAsia"/>
          <w:b w:val="0"/>
          <w:bCs w:val="0"/>
          <w:color w:val="auto"/>
          <w:spacing w:val="0"/>
          <w:sz w:val="24"/>
          <w:szCs w:val="24"/>
          <w:lang w:val="en-US" w:eastAsia="zh-CN"/>
        </w:rPr>
        <w:t>5.3危险物质在地下水环境的运移扩散</w:t>
      </w:r>
    </w:p>
    <w:p w14:paraId="315FB73E">
      <w:pPr>
        <w:pStyle w:val="00005"/>
        <w:bidi w:val="0"/>
        <w:rPr>
          <w:rFonts w:cs="Times New Roman" w:hint="eastAsia"/>
          <w:b w:val="0"/>
          <w:bCs w:val="0"/>
          <w:color w:val="auto"/>
          <w:spacing w:val="0"/>
          <w:sz w:val="24"/>
          <w:szCs w:val="24"/>
          <w:lang w:val="en-US" w:eastAsia="zh-CN"/>
        </w:rPr>
      </w:pPr>
      <w:r>
        <w:rPr>
          <w:rFonts w:cs="Times New Roman" w:hint="eastAsia"/>
          <w:b w:val="0"/>
          <w:bCs w:val="0"/>
          <w:color w:val="auto"/>
          <w:spacing w:val="0"/>
          <w:sz w:val="24"/>
          <w:szCs w:val="24"/>
          <w:lang w:val="en-US" w:eastAsia="zh-CN"/>
        </w:rPr>
        <w:t>本项目对地下水环境存在潜在风险的危险物质为电解液，储罐中的电解液发生泄漏后通过导流槽进入事故池，事故池防渗措施如发生破损，泄漏的电解液通过包气带进入地下水环境。</w:t>
      </w:r>
    </w:p>
    <w:p w14:paraId="7E9A7233">
      <w:pPr>
        <w:pStyle w:val="00005"/>
        <w:bidi w:val="0"/>
        <w:rPr>
          <w:rFonts w:cs="Times New Roman" w:hint="eastAsia"/>
          <w:b w:val="0"/>
          <w:bCs w:val="0"/>
          <w:color w:val="auto"/>
          <w:spacing w:val="0"/>
          <w:sz w:val="24"/>
          <w:szCs w:val="24"/>
          <w:lang w:val="en-US" w:eastAsia="zh-CN"/>
        </w:rPr>
      </w:pPr>
      <w:r>
        <w:rPr>
          <w:rFonts w:ascii="Times New Roman" w:eastAsia="宋体" w:hAnsi="Times New Roman" w:cs="Times New Roman" w:hint="default"/>
          <w:b w:val="0"/>
          <w:bCs w:val="0"/>
          <w:color w:val="auto"/>
          <w:spacing w:val="0"/>
          <w:sz w:val="24"/>
          <w:szCs w:val="24"/>
          <w:lang w:val="en-US" w:eastAsia="zh-CN"/>
        </w:rPr>
        <w:t>①</w:t>
      </w:r>
      <w:r>
        <w:rPr>
          <w:rFonts w:cs="Times New Roman" w:hint="eastAsia"/>
          <w:b w:val="0"/>
          <w:bCs w:val="0"/>
          <w:color w:val="auto"/>
          <w:spacing w:val="0"/>
          <w:sz w:val="24"/>
          <w:szCs w:val="24"/>
          <w:lang w:val="en-US" w:eastAsia="zh-CN"/>
        </w:rPr>
        <w:t>预测因子：钒及其化合物。</w:t>
      </w:r>
    </w:p>
    <w:p w14:paraId="5FAF2CB0">
      <w:pPr>
        <w:pStyle w:val="00005"/>
        <w:bidi w:val="0"/>
        <w:rPr>
          <w:rFonts w:cs="Times New Roman" w:hint="eastAsia"/>
          <w:b w:val="0"/>
          <w:bCs w:val="0"/>
          <w:color w:val="auto"/>
          <w:spacing w:val="0"/>
          <w:sz w:val="24"/>
          <w:szCs w:val="24"/>
          <w:lang w:val="en-US" w:eastAsia="zh-CN"/>
        </w:rPr>
      </w:pPr>
      <w:r>
        <w:rPr>
          <w:rFonts w:ascii="Times New Roman" w:eastAsia="宋体" w:hAnsi="Times New Roman" w:cs="Times New Roman" w:hint="default"/>
          <w:b w:val="0"/>
          <w:bCs w:val="0"/>
          <w:color w:val="auto"/>
          <w:spacing w:val="0"/>
          <w:sz w:val="24"/>
          <w:szCs w:val="24"/>
          <w:lang w:val="en-US" w:eastAsia="zh-CN"/>
        </w:rPr>
        <w:t>②</w:t>
      </w:r>
      <w:r>
        <w:rPr>
          <w:rFonts w:cs="Times New Roman" w:hint="eastAsia"/>
          <w:b w:val="0"/>
          <w:bCs w:val="0"/>
          <w:color w:val="auto"/>
          <w:spacing w:val="0"/>
          <w:sz w:val="24"/>
          <w:szCs w:val="24"/>
          <w:lang w:val="en-US" w:eastAsia="zh-CN"/>
        </w:rPr>
        <w:t>预测模型：</w:t>
      </w:r>
    </w:p>
    <w:p w14:paraId="242B586D">
      <w:pPr>
        <w:pStyle w:val="00005"/>
        <w:bidi w:val="0"/>
        <w:rPr>
          <w:rFonts w:ascii="Times New Roman" w:hAnsi="Times New Roman" w:cs="Times New Roman" w:hint="default"/>
          <w:color w:val="auto"/>
          <w:lang w:val="en-US" w:eastAsia="zh-CN"/>
        </w:rPr>
      </w:pPr>
      <w:r>
        <w:rPr>
          <w:rFonts w:ascii="Times New Roman" w:hAnsi="Times New Roman" w:cs="Times New Roman" w:hint="default"/>
          <w:color w:val="auto"/>
          <w:lang w:val="en-US" w:eastAsia="zh-CN"/>
        </w:rPr>
        <w:t>本项目</w:t>
      </w:r>
      <w:r>
        <w:rPr>
          <w:rFonts w:cs="Times New Roman" w:hint="eastAsia"/>
          <w:color w:val="auto"/>
          <w:lang w:val="en-US" w:eastAsia="zh-CN"/>
        </w:rPr>
        <w:t>事故池</w:t>
      </w:r>
      <w:r>
        <w:rPr>
          <w:rFonts w:ascii="Times New Roman" w:hAnsi="Times New Roman" w:cs="Times New Roman" w:hint="default"/>
          <w:color w:val="auto"/>
          <w:lang w:val="en-US" w:eastAsia="zh-CN"/>
        </w:rPr>
        <w:t>非正常状况下发生渗漏后无法及时发现。假设在发生渗漏后一直未被发现，本次预测中最长的预测时间为20年，因此可以将污染物看作长时间内的连续恒定入渗污染，并且假设泄漏的污染物全部通进入含水层。污染物在潜水含水层中的迁移，可概化为一维半无限长多孔介质柱体，一端为定浓度边界。 计算公式：</w:t>
      </w:r>
    </w:p>
    <w:p w14:paraId="5A08499E">
      <w:pPr>
        <w:jc w:val="center"/>
        <w:rPr>
          <w:rFonts w:ascii="Times New Roman" w:eastAsia="宋体" w:hAnsi="Times New Roman" w:cs="Times New Roman" w:hint="default"/>
          <w:color w:val="auto"/>
          <w:sz w:val="24"/>
          <w:highlight w:val="none"/>
          <w:u w:val="none"/>
        </w:rPr>
      </w:pPr>
      <w:r>
        <w:rPr>
          <w:rFonts w:ascii="Times New Roman" w:eastAsia="宋体" w:hAnsi="Times New Roman" w:cs="Times New Roman" w:hint="default"/>
          <w:color w:val="auto"/>
          <w:sz w:val="24"/>
          <w:highlight w:val="none"/>
          <w:u w:val="none"/>
        </w:rPr>
        <w:object>
          <v:shape id="_x0000_i1036" type="#_x0000_t75" style="width:253.45pt;height:45pt" o:oleicon="f" o:ole="" coordsize="21600,21600" o:preferrelative="t" filled="f" stroked="f">
            <v:imagedata r:id="rId37" o:title=""/>
            <o:lock v:ext="edit" aspectratio="t"/>
            <w10:anchorlock/>
          </v:shape>
          <o:OLEObject Type="Embed" ProgID="Equation.3" ShapeID="_x0000_i1036" DrawAspect="Content" ObjectID="_1468075727" r:id="rId38"/>
        </w:object>
      </w:r>
    </w:p>
    <w:p w14:paraId="3CF90F1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eastAsia="宋体" w:hAnsi="Times New Roman" w:cs="Times New Roman" w:hint="default"/>
          <w:color w:val="auto"/>
          <w:sz w:val="24"/>
          <w:highlight w:val="none"/>
          <w:u w:val="none"/>
        </w:rPr>
      </w:pPr>
      <w:r>
        <w:rPr>
          <w:rFonts w:ascii="Times New Roman" w:eastAsia="宋体" w:hAnsi="Times New Roman" w:cs="Times New Roman" w:hint="default"/>
          <w:color w:val="auto"/>
          <w:sz w:val="24"/>
          <w:highlight w:val="none"/>
          <w:u w:val="none"/>
        </w:rPr>
        <w:t>式中：</w:t>
      </w:r>
    </w:p>
    <w:p w14:paraId="6755901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eastAsia="宋体" w:hAnsi="Times New Roman" w:cs="Times New Roman" w:hint="default"/>
          <w:color w:val="auto"/>
          <w:sz w:val="24"/>
          <w:highlight w:val="none"/>
          <w:u w:val="none"/>
        </w:rPr>
      </w:pPr>
      <w:r>
        <w:rPr>
          <w:rFonts w:ascii="Times New Roman" w:eastAsia="宋体" w:hAnsi="Times New Roman" w:cs="Times New Roman" w:hint="default"/>
          <w:color w:val="auto"/>
          <w:sz w:val="24"/>
          <w:highlight w:val="none"/>
          <w:u w:val="none"/>
        </w:rPr>
        <w:t>x－距渗漏点的距离，m；</w:t>
      </w:r>
    </w:p>
    <w:p w14:paraId="667C4F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eastAsia="宋体" w:hAnsi="Times New Roman" w:cs="Times New Roman" w:hint="default"/>
          <w:color w:val="auto"/>
          <w:sz w:val="24"/>
          <w:highlight w:val="none"/>
          <w:u w:val="none"/>
        </w:rPr>
      </w:pPr>
      <w:r>
        <w:rPr>
          <w:rFonts w:ascii="Times New Roman" w:eastAsia="宋体" w:hAnsi="Times New Roman" w:cs="Times New Roman" w:hint="default"/>
          <w:color w:val="auto"/>
          <w:sz w:val="24"/>
          <w:highlight w:val="none"/>
          <w:u w:val="none"/>
        </w:rPr>
        <w:t xml:space="preserve">t－时间，d；     </w:t>
      </w:r>
    </w:p>
    <w:p w14:paraId="5BCC15C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eastAsia="宋体" w:hAnsi="Times New Roman" w:cs="Times New Roman" w:hint="default"/>
          <w:color w:val="auto"/>
          <w:sz w:val="24"/>
          <w:highlight w:val="none"/>
          <w:u w:val="none"/>
        </w:rPr>
      </w:pPr>
      <w:r>
        <w:rPr>
          <w:rFonts w:ascii="Times New Roman" w:eastAsia="宋体" w:hAnsi="Times New Roman" w:cs="Times New Roman" w:hint="default"/>
          <w:color w:val="auto"/>
          <w:sz w:val="24"/>
          <w:highlight w:val="none"/>
          <w:u w:val="none"/>
        </w:rPr>
        <w:t>C(x,t)－t 时刻x处污染物的浓度，mg/L；</w:t>
      </w:r>
    </w:p>
    <w:p w14:paraId="5BFDA3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eastAsia="宋体" w:hAnsi="Times New Roman" w:cs="Times New Roman" w:hint="default"/>
          <w:color w:val="auto"/>
          <w:sz w:val="24"/>
          <w:highlight w:val="none"/>
          <w:u w:val="none"/>
        </w:rPr>
      </w:pPr>
      <w:r>
        <w:rPr>
          <w:rFonts w:ascii="Times New Roman" w:eastAsia="宋体" w:hAnsi="Times New Roman" w:cs="Times New Roman" w:hint="default"/>
          <w:color w:val="auto"/>
          <w:sz w:val="24"/>
          <w:highlight w:val="none"/>
          <w:u w:val="none"/>
        </w:rPr>
        <w:t>C0－渗漏的污染物质量浓度，mg/L；</w:t>
      </w:r>
    </w:p>
    <w:p w14:paraId="405AA54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eastAsia="宋体" w:hAnsi="Times New Roman" w:cs="Times New Roman" w:hint="default"/>
          <w:color w:val="auto"/>
          <w:sz w:val="24"/>
          <w:highlight w:val="none"/>
          <w:u w:val="none"/>
        </w:rPr>
      </w:pPr>
      <w:r>
        <w:rPr>
          <w:rFonts w:ascii="Times New Roman" w:eastAsia="宋体" w:hAnsi="Times New Roman" w:cs="Times New Roman" w:hint="default"/>
          <w:color w:val="auto"/>
          <w:sz w:val="24"/>
          <w:highlight w:val="none"/>
          <w:u w:val="none"/>
        </w:rPr>
        <w:t xml:space="preserve">u－水流速度，m/d；   </w:t>
      </w:r>
    </w:p>
    <w:p w14:paraId="30C334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eastAsia="宋体" w:hAnsi="Times New Roman" w:cs="Times New Roman" w:hint="default"/>
          <w:color w:val="auto"/>
          <w:sz w:val="24"/>
          <w:highlight w:val="none"/>
          <w:u w:val="none"/>
        </w:rPr>
      </w:pPr>
      <w:r>
        <w:rPr>
          <w:rFonts w:ascii="Times New Roman" w:eastAsia="宋体" w:hAnsi="Times New Roman" w:cs="Times New Roman" w:hint="default"/>
          <w:color w:val="auto"/>
          <w:sz w:val="24"/>
          <w:highlight w:val="none"/>
          <w:u w:val="none"/>
        </w:rPr>
        <w:t>DL－纵向弥散系数，m</w:t>
      </w:r>
      <w:r>
        <w:rPr>
          <w:rFonts w:ascii="Times New Roman" w:eastAsia="宋体" w:hAnsi="Times New Roman" w:cs="Times New Roman" w:hint="default"/>
          <w:color w:val="auto"/>
          <w:sz w:val="24"/>
          <w:highlight w:val="none"/>
          <w:u w:val="none"/>
          <w:vertAlign w:val="superscript"/>
        </w:rPr>
        <w:t>2</w:t>
      </w:r>
      <w:r>
        <w:rPr>
          <w:rFonts w:ascii="Times New Roman" w:eastAsia="宋体" w:hAnsi="Times New Roman" w:cs="Times New Roman" w:hint="default"/>
          <w:color w:val="auto"/>
          <w:sz w:val="24"/>
          <w:highlight w:val="none"/>
          <w:u w:val="none"/>
        </w:rPr>
        <w:t>/d；</w:t>
      </w:r>
    </w:p>
    <w:p w14:paraId="23D4BF1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eastAsia="宋体" w:hAnsi="Times New Roman" w:cs="Times New Roman" w:hint="default"/>
          <w:color w:val="auto"/>
          <w:sz w:val="24"/>
          <w:highlight w:val="none"/>
          <w:u w:val="none"/>
        </w:rPr>
      </w:pPr>
      <w:r>
        <w:rPr>
          <w:rFonts w:ascii="Times New Roman" w:eastAsia="宋体" w:hAnsi="Times New Roman" w:cs="Times New Roman" w:hint="default"/>
          <w:color w:val="auto"/>
          <w:sz w:val="24"/>
          <w:highlight w:val="none"/>
          <w:u w:val="none"/>
        </w:rPr>
        <w:t>erfc（）－余误差函数。</w:t>
      </w:r>
    </w:p>
    <w:p w14:paraId="37A68446">
      <w:pPr>
        <w:pStyle w:val="00005"/>
        <w:bidi w:val="0"/>
        <w:rPr>
          <w:rFonts w:ascii="Times New Roman" w:hAnsi="Times New Roman" w:cs="Times New Roman" w:hint="default"/>
          <w:b w:val="0"/>
          <w:bCs w:val="0"/>
          <w:color w:val="auto"/>
          <w:spacing w:val="0"/>
          <w:sz w:val="24"/>
          <w:szCs w:val="24"/>
          <w:lang w:val="en-US" w:eastAsia="zh-CN"/>
        </w:rPr>
      </w:pPr>
      <w:r>
        <w:rPr>
          <w:rFonts w:ascii="Times New Roman" w:hAnsi="Times New Roman" w:cs="Times New Roman" w:hint="default"/>
          <w:b w:val="0"/>
          <w:bCs w:val="0"/>
          <w:color w:val="auto"/>
          <w:spacing w:val="0"/>
          <w:sz w:val="24"/>
          <w:szCs w:val="24"/>
          <w:lang w:val="en-US" w:eastAsia="zh-CN"/>
        </w:rPr>
        <w:t>③预测结果：</w:t>
      </w:r>
    </w:p>
    <w:p w14:paraId="09FFE7AD">
      <w:pPr>
        <w:pStyle w:val="00005"/>
        <w:bidi w:val="0"/>
        <w:rPr>
          <w:rFonts w:ascii="Times New Roman" w:eastAsia="宋体" w:hAnsi="Times New Roman" w:cs="Times New Roman" w:hint="default"/>
          <w:b w:val="0"/>
          <w:bCs w:val="0"/>
          <w:color w:val="auto"/>
          <w:spacing w:val="0"/>
          <w:sz w:val="24"/>
          <w:szCs w:val="24"/>
          <w:lang w:val="en-US" w:eastAsia="zh-CN"/>
        </w:rPr>
      </w:pPr>
      <w:r>
        <w:rPr>
          <w:rFonts w:ascii="Times New Roman" w:hAnsi="Times New Roman" w:cs="Times New Roman" w:hint="default"/>
          <w:b w:val="0"/>
          <w:bCs w:val="0"/>
          <w:color w:val="auto"/>
          <w:spacing w:val="0"/>
          <w:sz w:val="24"/>
          <w:szCs w:val="24"/>
          <w:lang w:val="en-US" w:eastAsia="zh-CN"/>
        </w:rPr>
        <w:t>本次保守考虑，泄漏事故发生10天后得到彻底修复。影响距离为距泄漏点14m，距离泄漏点14m以外的范围基本无贡献浓度，事故池距厂区边界</w:t>
      </w:r>
      <w:r>
        <w:rPr>
          <w:rFonts w:ascii="Times New Roman" w:hAnsi="Times New Roman" w:cs="Times New Roman" w:hint="eastAsia"/>
          <w:b w:val="0"/>
          <w:bCs w:val="0"/>
          <w:color w:val="auto"/>
          <w:spacing w:val="0"/>
          <w:sz w:val="24"/>
          <w:szCs w:val="24"/>
          <w:lang w:val="en-US" w:eastAsia="zh-CN"/>
        </w:rPr>
        <w:t>最近距离</w:t>
      </w:r>
      <w:r>
        <w:rPr>
          <w:rFonts w:ascii="Times New Roman" w:hAnsi="Times New Roman" w:cs="Times New Roman" w:hint="default"/>
          <w:b w:val="0"/>
          <w:bCs w:val="0"/>
          <w:color w:val="auto"/>
          <w:spacing w:val="0"/>
          <w:sz w:val="24"/>
          <w:szCs w:val="24"/>
          <w:lang w:val="en-US" w:eastAsia="zh-CN"/>
        </w:rPr>
        <w:t>107m，泄漏事故发生时地下水的事故影响可控制在厂区范围内。</w:t>
      </w:r>
    </w:p>
    <w:p w14:paraId="7CE198D3">
      <w:pPr>
        <w:pStyle w:val="00005"/>
        <w:bidi w:val="0"/>
        <w:rPr>
          <w:rFonts w:ascii="Times New Roman" w:eastAsia="宋体" w:hAnsi="Times New Roman" w:cs="Times New Roman" w:hint="eastAsia"/>
          <w:b/>
          <w:bCs/>
          <w:color w:val="auto"/>
          <w:spacing w:val="8"/>
          <w:sz w:val="28"/>
          <w:szCs w:val="28"/>
          <w:lang w:eastAsia="zh-CN"/>
        </w:rPr>
      </w:pPr>
      <w:r>
        <w:rPr>
          <w:rFonts w:ascii="Times New Roman" w:eastAsia="宋体" w:hAnsi="Times New Roman" w:cs="Times New Roman" w:hint="eastAsia"/>
          <w:b/>
          <w:bCs/>
          <w:color w:val="auto"/>
          <w:spacing w:val="8"/>
          <w:sz w:val="28"/>
          <w:szCs w:val="28"/>
          <w:lang w:eastAsia="zh-CN"/>
        </w:rPr>
        <w:drawing>
          <wp:inline distT="0" distB="0" distL="114300" distR="114300">
            <wp:extent cx="4838700" cy="2838450"/>
            <wp:effectExtent l="0" t="0" r="7620" b="11430"/>
            <wp:docPr id="15" name="图片 15" descr="2d157c086c3e85ceb4d7eb3c680c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91475" name="图片 15" descr="2d157c086c3e85ceb4d7eb3c680c095"/>
                    <pic:cNvPicPr>
                      <a:picLocks noChangeAspect="1"/>
                    </pic:cNvPicPr>
                  </pic:nvPicPr>
                  <pic:blipFill>
                    <a:blip xmlns:r="http://schemas.openxmlformats.org/officeDocument/2006/relationships" r:embed="rId39"/>
                    <a:stretch>
                      <a:fillRect/>
                    </a:stretch>
                  </pic:blipFill>
                  <pic:spPr>
                    <a:xfrm>
                      <a:off x="0" y="0"/>
                      <a:ext cx="4838700" cy="2838450"/>
                    </a:xfrm>
                    <a:prstGeom prst="rect">
                      <a:avLst/>
                    </a:prstGeom>
                  </pic:spPr>
                </pic:pic>
              </a:graphicData>
            </a:graphic>
          </wp:inline>
        </w:drawing>
      </w:r>
    </w:p>
    <w:p w14:paraId="6A0EB682">
      <w:pPr>
        <w:pStyle w:val="00005"/>
        <w:bidi w:val="0"/>
        <w:rPr>
          <w:rFonts w:ascii="Times New Roman" w:eastAsia="宋体" w:hAnsi="Times New Roman" w:cs="Times New Roman" w:hint="default"/>
          <w:color w:val="auto"/>
          <w:sz w:val="28"/>
          <w:szCs w:val="28"/>
        </w:rPr>
      </w:pPr>
      <w:r>
        <w:rPr>
          <w:rFonts w:ascii="Times New Roman" w:eastAsia="宋体" w:hAnsi="Times New Roman" w:cs="Times New Roman" w:hint="default"/>
          <w:b/>
          <w:bCs/>
          <w:color w:val="auto"/>
          <w:spacing w:val="8"/>
          <w:sz w:val="28"/>
          <w:szCs w:val="28"/>
        </w:rPr>
        <w:t xml:space="preserve">6 </w:t>
      </w:r>
      <w:r>
        <w:rPr>
          <w:rFonts w:ascii="Times New Roman" w:eastAsia="宋体" w:hAnsi="Times New Roman" w:cs="Times New Roman" w:hint="default"/>
          <w:color w:val="auto"/>
          <w:spacing w:val="8"/>
          <w:sz w:val="28"/>
          <w:szCs w:val="28"/>
          <w14:textOutline w14:w="5103" w14:cap="sq">
            <w14:solidFill>
              <w14:srgbClr w14:val="000000"/>
            </w14:solidFill>
            <w14:bevel/>
          </w14:textOutline>
        </w:rPr>
        <w:t>环境风险防范措施</w:t>
      </w:r>
    </w:p>
    <w:p w14:paraId="155B8A7B">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（1）电解液泄漏风险防范措施：</w:t>
      </w:r>
    </w:p>
    <w:p w14:paraId="48503BD7">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①对罐区进行日常巡视，如发现异常</w:t>
      </w:r>
      <w:r>
        <w:rPr>
          <w:rFonts w:ascii="Times New Roman" w:eastAsia="宋体" w:hAnsi="Times New Roman" w:cs="Times New Roman" w:hint="default"/>
          <w:color w:val="auto"/>
          <w:lang w:val="en-US" w:eastAsia="zh-CN"/>
        </w:rPr>
        <w:t>情况</w:t>
      </w:r>
      <w:r>
        <w:rPr>
          <w:rFonts w:ascii="Times New Roman" w:eastAsia="宋体" w:hAnsi="Times New Roman" w:cs="Times New Roman" w:hint="default"/>
          <w:color w:val="auto"/>
        </w:rPr>
        <w:t>应及时对罐区进行整改；</w:t>
      </w:r>
    </w:p>
    <w:p w14:paraId="7AAB2232">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②对罐壁的接管等开口，检验试压合格后使用；</w:t>
      </w:r>
    </w:p>
    <w:p w14:paraId="28E49790">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③储罐液位超高报警，防止储罐充装过量导致钒电解液外溢；钒电解液装罐 过程中应安排专人进行现场看护，未完成装罐作业不得离开，防止报警系统故障，导致储罐充装过量，钒电解液外溢；</w:t>
      </w:r>
    </w:p>
    <w:p w14:paraId="31745719">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④钒电解液循环管道，特别是法兰或阀门连接处因内部空气热胀冷缩压力过 大，导致管道出现渗漏</w:t>
      </w:r>
      <w:r>
        <w:rPr>
          <w:rFonts w:ascii="Times New Roman" w:eastAsia="宋体" w:hAnsi="Times New Roman" w:cs="Times New Roman" w:hint="default"/>
          <w:color w:val="auto"/>
          <w:lang w:eastAsia="zh-CN"/>
        </w:rPr>
        <w:t>，甚至</w:t>
      </w:r>
      <w:r>
        <w:rPr>
          <w:rFonts w:ascii="Times New Roman" w:eastAsia="宋体" w:hAnsi="Times New Roman" w:cs="Times New Roman" w:hint="default"/>
          <w:color w:val="auto"/>
        </w:rPr>
        <w:t>爆裂，运营期应定期对管道、法兰、阀门等进行检</w:t>
      </w:r>
    </w:p>
    <w:p w14:paraId="01E24AE7">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查、维护，如出现不明渗漏情况，需立即检修。</w:t>
      </w:r>
    </w:p>
    <w:p w14:paraId="00C71EE1">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⑤钒电解液罐区设置围堰，围堰</w:t>
      </w:r>
      <w:r>
        <w:rPr>
          <w:rFonts w:cs="Times New Roman" w:hint="eastAsia"/>
          <w:color w:val="auto"/>
          <w:lang w:val="en-US" w:eastAsia="zh-CN"/>
        </w:rPr>
        <w:t>内设导流槽，通过导流槽排入事故池62.5m</w:t>
      </w:r>
      <w:r>
        <w:rPr>
          <w:rFonts w:cs="Times New Roman" w:hint="eastAsia"/>
          <w:color w:val="auto"/>
          <w:vertAlign w:val="superscript"/>
          <w:lang w:val="en-US" w:eastAsia="zh-CN"/>
        </w:rPr>
        <w:t>3</w:t>
      </w:r>
      <w:r>
        <w:rPr>
          <w:rFonts w:ascii="Times New Roman" w:eastAsia="宋体" w:hAnsi="Times New Roman" w:cs="Times New Roman" w:hint="default"/>
          <w:color w:val="auto"/>
        </w:rPr>
        <w:t>，围堰</w:t>
      </w:r>
      <w:r>
        <w:rPr>
          <w:rFonts w:cs="Times New Roman" w:hint="eastAsia"/>
          <w:color w:val="auto"/>
          <w:lang w:val="en-US" w:eastAsia="zh-CN"/>
        </w:rPr>
        <w:t>及事故池</w:t>
      </w:r>
      <w:r>
        <w:rPr>
          <w:rFonts w:ascii="Times New Roman" w:eastAsia="宋体" w:hAnsi="Times New Roman" w:cs="Times New Roman" w:hint="default"/>
          <w:color w:val="auto"/>
        </w:rPr>
        <w:t>内地面进行重点防渗。</w:t>
      </w:r>
    </w:p>
    <w:p w14:paraId="7CEF98EF">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（2）环境风险事故应急处理措施</w:t>
      </w:r>
    </w:p>
    <w:p w14:paraId="33D9B9AE">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①钒电解液泄漏应急处理：疏散泄漏污染区人员至安全区，禁止无关人员进入污染区，</w:t>
      </w:r>
    </w:p>
    <w:p w14:paraId="0FECF54D">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建议应急处理人员戴好面罩，穿化学防护服。合理通风，不要直接接触泄漏物，勿使泄漏物与可燃物质</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rPr>
        <w:t>木材、纸、油等)接触，在确保安全情况下堵漏。用沙土、干燥石灰或苏打灰混合，然后收集运至废物处理场所处置。如大量泄漏，利用</w:t>
      </w:r>
      <w:r>
        <w:rPr>
          <w:rFonts w:ascii="Times New Roman" w:eastAsia="宋体" w:hAnsi="Times New Roman" w:cs="Times New Roman" w:hint="default"/>
          <w:color w:val="auto"/>
          <w:lang w:val="en-US" w:eastAsia="zh-CN"/>
        </w:rPr>
        <w:t>围堰</w:t>
      </w:r>
      <w:r>
        <w:rPr>
          <w:rFonts w:ascii="Times New Roman" w:eastAsia="宋体" w:hAnsi="Times New Roman" w:cs="Times New Roman" w:hint="default"/>
          <w:color w:val="auto"/>
        </w:rPr>
        <w:t>收容，然后</w:t>
      </w:r>
      <w:r>
        <w:rPr>
          <w:rFonts w:ascii="Times New Roman" w:eastAsia="宋体" w:hAnsi="Times New Roman" w:cs="Times New Roman" w:hint="default"/>
          <w:color w:val="auto"/>
          <w:lang w:val="en-US" w:eastAsia="zh-CN"/>
        </w:rPr>
        <w:t>委托资质单位</w:t>
      </w:r>
      <w:r>
        <w:rPr>
          <w:rFonts w:ascii="Times New Roman" w:eastAsia="宋体" w:hAnsi="Times New Roman" w:cs="Times New Roman" w:hint="default"/>
          <w:color w:val="auto"/>
        </w:rPr>
        <w:t>收集、转移、回收或无害处理后废弃。</w:t>
      </w:r>
    </w:p>
    <w:p w14:paraId="3FDE5DFC">
      <w:pPr>
        <w:pStyle w:val="00005"/>
        <w:numPr>
          <w:ilvl w:val="0"/>
          <w:numId w:val="9"/>
        </w:numPr>
        <w:bidi w:val="0"/>
        <w:ind w:left="0" w:firstLine="480" w:leftChars="0" w:firstLineChars="200"/>
        <w:rPr>
          <w:rFonts w:ascii="Times New Roman" w:eastAsia="宋体" w:hAnsi="Times New Roman" w:cs="Times New Roman" w:hint="default"/>
          <w:color w:val="auto"/>
        </w:rPr>
      </w:pPr>
      <w:r>
        <w:rPr>
          <w:rFonts w:ascii="Times New Roman" w:eastAsia="宋体" w:hAnsi="Times New Roman" w:cs="Times New Roman" w:hint="default"/>
          <w:color w:val="auto"/>
          <w:lang w:val="en-US" w:eastAsia="zh-CN"/>
        </w:rPr>
        <w:t>变压器</w:t>
      </w:r>
      <w:r>
        <w:rPr>
          <w:rFonts w:ascii="Times New Roman" w:eastAsia="宋体" w:hAnsi="Times New Roman" w:cs="Times New Roman" w:hint="default"/>
          <w:color w:val="auto"/>
        </w:rPr>
        <w:t>泄漏</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lang w:val="en-US" w:eastAsia="zh-CN"/>
        </w:rPr>
        <w:t>火灾爆炸</w:t>
      </w:r>
      <w:r>
        <w:rPr>
          <w:rFonts w:ascii="Times New Roman" w:eastAsia="宋体" w:hAnsi="Times New Roman" w:cs="Times New Roman" w:hint="default"/>
          <w:color w:val="auto"/>
        </w:rPr>
        <w:t>风险防范措施：</w:t>
      </w:r>
    </w:p>
    <w:p w14:paraId="4819AAF3">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①对</w:t>
      </w:r>
      <w:r>
        <w:rPr>
          <w:rFonts w:ascii="Times New Roman" w:eastAsia="宋体" w:hAnsi="Times New Roman" w:cs="Times New Roman" w:hint="default"/>
          <w:color w:val="auto"/>
          <w:lang w:val="en-US" w:eastAsia="zh-CN"/>
        </w:rPr>
        <w:t>变压器区域</w:t>
      </w:r>
      <w:r>
        <w:rPr>
          <w:rFonts w:ascii="Times New Roman" w:eastAsia="宋体" w:hAnsi="Times New Roman" w:cs="Times New Roman" w:hint="default"/>
          <w:color w:val="auto"/>
        </w:rPr>
        <w:t>进行日常巡视，如发现异常应及时进行整改；</w:t>
      </w:r>
    </w:p>
    <w:p w14:paraId="100A2B9A">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②</w:t>
      </w:r>
      <w:r>
        <w:rPr>
          <w:rFonts w:ascii="Times New Roman" w:eastAsia="宋体" w:hAnsi="Times New Roman" w:cs="Times New Roman" w:hint="default"/>
          <w:color w:val="auto"/>
          <w:lang w:val="en-US" w:eastAsia="zh-CN"/>
        </w:rPr>
        <w:t>变压器</w:t>
      </w:r>
      <w:r>
        <w:rPr>
          <w:rFonts w:ascii="Times New Roman" w:eastAsia="宋体" w:hAnsi="Times New Roman" w:cs="Times New Roman" w:hint="default"/>
          <w:color w:val="auto"/>
        </w:rPr>
        <w:t>液位</w:t>
      </w:r>
      <w:r>
        <w:rPr>
          <w:rFonts w:ascii="Times New Roman" w:eastAsia="宋体" w:hAnsi="Times New Roman" w:cs="Times New Roman" w:hint="default"/>
          <w:color w:val="auto"/>
          <w:lang w:val="en-US" w:eastAsia="zh-CN"/>
        </w:rPr>
        <w:t>异常</w:t>
      </w:r>
      <w:r>
        <w:rPr>
          <w:rFonts w:ascii="Times New Roman" w:eastAsia="宋体" w:hAnsi="Times New Roman" w:cs="Times New Roman" w:hint="default"/>
          <w:color w:val="auto"/>
        </w:rPr>
        <w:t>报警，防止</w:t>
      </w:r>
      <w:r>
        <w:rPr>
          <w:rFonts w:ascii="Times New Roman" w:eastAsia="宋体" w:hAnsi="Times New Roman" w:cs="Times New Roman" w:hint="default"/>
          <w:color w:val="auto"/>
          <w:lang w:val="en-US" w:eastAsia="zh-CN"/>
        </w:rPr>
        <w:t>变压器温度过高变压器油</w:t>
      </w:r>
      <w:r>
        <w:rPr>
          <w:rFonts w:ascii="Times New Roman" w:eastAsia="宋体" w:hAnsi="Times New Roman" w:cs="Times New Roman" w:hint="default"/>
          <w:color w:val="auto"/>
        </w:rPr>
        <w:t>外溢；</w:t>
      </w:r>
    </w:p>
    <w:p w14:paraId="7201897D">
      <w:pPr>
        <w:pStyle w:val="00005"/>
        <w:bidi w:val="0"/>
        <w:rPr>
          <w:rFonts w:ascii="Times New Roman" w:eastAsia="宋体" w:hAnsi="Times New Roman" w:cs="Times New Roman" w:hint="default"/>
          <w:color w:val="auto"/>
        </w:rPr>
      </w:pPr>
      <w:r>
        <w:rPr>
          <w:rFonts w:ascii="Times New Roman" w:eastAsia="宋体" w:hAnsi="Times New Roman" w:cs="Times New Roman" w:hint="default"/>
          <w:color w:val="auto"/>
        </w:rPr>
        <w:t>④</w:t>
      </w:r>
      <w:r>
        <w:rPr>
          <w:rFonts w:ascii="Times New Roman" w:eastAsia="宋体" w:hAnsi="Times New Roman" w:cs="Times New Roman" w:hint="default"/>
          <w:color w:val="auto"/>
          <w:lang w:val="en-US" w:eastAsia="zh-CN"/>
        </w:rPr>
        <w:t>变压器</w:t>
      </w:r>
      <w:r>
        <w:rPr>
          <w:rFonts w:ascii="Times New Roman" w:eastAsia="宋体" w:hAnsi="Times New Roman" w:cs="Times New Roman" w:hint="default"/>
          <w:color w:val="auto"/>
        </w:rPr>
        <w:t>区</w:t>
      </w:r>
      <w:r>
        <w:rPr>
          <w:rFonts w:ascii="Times New Roman" w:eastAsia="宋体" w:hAnsi="Times New Roman" w:cs="Times New Roman" w:hint="default"/>
          <w:color w:val="auto"/>
          <w:lang w:val="en-US" w:eastAsia="zh-CN"/>
        </w:rPr>
        <w:t>下方</w:t>
      </w:r>
      <w:r>
        <w:rPr>
          <w:rFonts w:ascii="Times New Roman" w:eastAsia="宋体" w:hAnsi="Times New Roman" w:cs="Times New Roman" w:hint="default"/>
          <w:color w:val="auto"/>
        </w:rPr>
        <w:t>设置</w:t>
      </w:r>
      <w:r>
        <w:rPr>
          <w:rFonts w:ascii="Times New Roman" w:eastAsia="宋体" w:hAnsi="Times New Roman" w:cs="Times New Roman" w:hint="default"/>
          <w:color w:val="auto"/>
          <w:lang w:val="en-US" w:eastAsia="zh-CN"/>
        </w:rPr>
        <w:t>收油池</w:t>
      </w:r>
      <w:r>
        <w:rPr>
          <w:rFonts w:ascii="Times New Roman" w:eastAsia="宋体" w:hAnsi="Times New Roman" w:cs="Times New Roman" w:hint="default"/>
          <w:color w:val="auto"/>
        </w:rPr>
        <w:t>，</w:t>
      </w:r>
      <w:r>
        <w:rPr>
          <w:rFonts w:ascii="Times New Roman" w:eastAsia="宋体" w:hAnsi="Times New Roman" w:cs="Times New Roman" w:hint="default"/>
          <w:color w:val="auto"/>
          <w:lang w:val="en-US" w:eastAsia="zh-CN"/>
        </w:rPr>
        <w:t>并通过管道连接120</w:t>
      </w:r>
      <w:r>
        <w:rPr>
          <w:rFonts w:cs="Times New Roman" w:hint="eastAsia"/>
          <w:color w:val="auto"/>
          <w:lang w:val="en-US" w:eastAsia="zh-CN"/>
        </w:rPr>
        <w:t>m</w:t>
      </w:r>
      <w:r>
        <w:rPr>
          <w:rFonts w:cs="Times New Roman" w:hint="eastAsia"/>
          <w:color w:val="auto"/>
          <w:vertAlign w:val="superscript"/>
          <w:lang w:val="en-US" w:eastAsia="zh-CN"/>
        </w:rPr>
        <w:t>3</w:t>
      </w:r>
      <w:r>
        <w:rPr>
          <w:rFonts w:ascii="Times New Roman" w:eastAsia="宋体" w:hAnsi="Times New Roman" w:cs="Times New Roman" w:hint="default"/>
          <w:color w:val="auto"/>
          <w:lang w:val="en-US" w:eastAsia="zh-CN"/>
        </w:rPr>
        <w:t>事故池</w:t>
      </w:r>
      <w:r>
        <w:rPr>
          <w:rFonts w:ascii="Times New Roman" w:eastAsia="宋体" w:hAnsi="Times New Roman" w:cs="Times New Roman" w:hint="default"/>
          <w:color w:val="auto"/>
        </w:rPr>
        <w:t>，</w:t>
      </w:r>
      <w:r>
        <w:rPr>
          <w:rFonts w:ascii="Times New Roman" w:eastAsia="宋体" w:hAnsi="Times New Roman" w:cs="Times New Roman" w:hint="default"/>
          <w:color w:val="auto"/>
          <w:lang w:val="en-US" w:eastAsia="zh-CN"/>
        </w:rPr>
        <w:t>事故池</w:t>
      </w:r>
      <w:r>
        <w:rPr>
          <w:rFonts w:ascii="Times New Roman" w:eastAsia="宋体" w:hAnsi="Times New Roman" w:cs="Times New Roman" w:hint="default"/>
          <w:color w:val="auto"/>
        </w:rPr>
        <w:t>进行重点防渗。可满足事故状态下</w:t>
      </w:r>
      <w:r>
        <w:rPr>
          <w:rFonts w:ascii="Times New Roman" w:eastAsia="宋体" w:hAnsi="Times New Roman" w:cs="Times New Roman" w:hint="default"/>
          <w:color w:val="auto"/>
          <w:lang w:val="en-US" w:eastAsia="zh-CN"/>
        </w:rPr>
        <w:t>变压器油</w:t>
      </w:r>
      <w:r>
        <w:rPr>
          <w:rFonts w:ascii="Times New Roman" w:eastAsia="宋体" w:hAnsi="Times New Roman" w:cs="Times New Roman" w:hint="default"/>
          <w:color w:val="auto"/>
        </w:rPr>
        <w:t>收集需要。</w:t>
      </w:r>
    </w:p>
    <w:p w14:paraId="2B20666C">
      <w:pPr>
        <w:pStyle w:val="00005"/>
        <w:bidi w:val="0"/>
        <w:rPr>
          <w:rFonts w:ascii="Times New Roman" w:eastAsia="宋体" w:hAnsi="Times New Roman" w:cs="Times New Roman" w:hint="default"/>
          <w:color w:val="auto"/>
          <w:spacing w:val="-2"/>
          <w:sz w:val="24"/>
          <w:szCs w:val="24"/>
        </w:rPr>
      </w:pPr>
      <w:r>
        <w:rPr>
          <w:rFonts w:ascii="Times New Roman" w:eastAsia="宋体" w:hAnsi="Times New Roman" w:cs="Times New Roman" w:hint="default"/>
          <w:color w:val="auto"/>
        </w:rPr>
        <w:t>事故池采用</w:t>
      </w:r>
      <w:r>
        <w:rPr>
          <w:rFonts w:ascii="Times New Roman" w:eastAsia="宋体" w:hAnsi="Times New Roman" w:cs="Times New Roman" w:hint="default"/>
          <w:color w:val="auto"/>
          <w:lang w:val="en-US" w:eastAsia="zh-CN"/>
        </w:rPr>
        <w:t>防渗混凝土及</w:t>
      </w:r>
      <w:r>
        <w:rPr>
          <w:rFonts w:ascii="Times New Roman" w:eastAsia="宋体" w:hAnsi="Times New Roman" w:cs="Times New Roman" w:hint="default"/>
          <w:color w:val="auto"/>
        </w:rPr>
        <w:t>HDPE土工膜防渗材料，渗透系数≤1×10</w:t>
      </w:r>
      <w:r>
        <w:rPr>
          <w:rFonts w:ascii="Times New Roman" w:eastAsia="宋体" w:hAnsi="Times New Roman" w:cs="Times New Roman" w:hint="default"/>
          <w:color w:val="auto"/>
          <w:vertAlign w:val="superscript"/>
        </w:rPr>
        <w:t>-10</w:t>
      </w:r>
      <w:r>
        <w:rPr>
          <w:rFonts w:ascii="Times New Roman" w:eastAsia="宋体" w:hAnsi="Times New Roman" w:cs="Times New Roman" w:hint="default"/>
          <w:color w:val="auto"/>
        </w:rPr>
        <w:t>cm/s。并制定可靠的</w:t>
      </w:r>
      <w:r>
        <w:rPr>
          <w:rFonts w:ascii="Times New Roman" w:eastAsia="宋体" w:hAnsi="Times New Roman" w:cs="Times New Roman" w:hint="default"/>
          <w:color w:val="auto"/>
          <w:lang w:val="en-US" w:eastAsia="zh-CN"/>
        </w:rPr>
        <w:t>废变压器油</w:t>
      </w:r>
      <w:r>
        <w:rPr>
          <w:rFonts w:ascii="Times New Roman" w:eastAsia="宋体" w:hAnsi="Times New Roman" w:cs="Times New Roman" w:hint="default"/>
          <w:color w:val="auto"/>
        </w:rPr>
        <w:t>送资质单位处置。综上，本项目事故状态下的</w:t>
      </w:r>
      <w:r>
        <w:rPr>
          <w:rFonts w:ascii="Times New Roman" w:eastAsia="宋体" w:hAnsi="Times New Roman" w:cs="Times New Roman" w:hint="default"/>
          <w:color w:val="auto"/>
          <w:lang w:val="en-US" w:eastAsia="zh-CN"/>
        </w:rPr>
        <w:t>废液压油</w:t>
      </w:r>
      <w:r>
        <w:rPr>
          <w:rFonts w:ascii="Times New Roman" w:eastAsia="宋体" w:hAnsi="Times New Roman" w:cs="Times New Roman" w:hint="default"/>
          <w:color w:val="auto"/>
        </w:rPr>
        <w:t>均可以得到有效处置，对周围</w:t>
      </w:r>
      <w:r>
        <w:rPr>
          <w:rFonts w:ascii="Times New Roman" w:eastAsia="宋体" w:hAnsi="Times New Roman" w:cs="Times New Roman" w:hint="default"/>
          <w:color w:val="auto"/>
          <w:spacing w:val="-2"/>
          <w:sz w:val="24"/>
          <w:szCs w:val="24"/>
        </w:rPr>
        <w:t>环境影响不大。</w:t>
      </w:r>
    </w:p>
    <w:p w14:paraId="17DE7B1E">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⑤升压站等部位杜绝明火，厂区内禁止吸烟。</w:t>
      </w:r>
    </w:p>
    <w:p w14:paraId="24A4C62A">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⑥企业应编制或修订突发环境事件应急预案，并定期进行演练，在加强风险源监控和防范措施，有效减少突发环境事件发生概率的同时，规定应急响应措施，对实际发生的环境污染事件和紧急情况做出响应，及时组织有效的应急处置，控制事故危害的蔓延，最大限度地减少伴随的环境影响。</w:t>
      </w:r>
    </w:p>
    <w:p w14:paraId="0E505CA6">
      <w:pPr>
        <w:pStyle w:val="00005"/>
        <w:bidi w:val="0"/>
        <w:rPr>
          <w:rFonts w:ascii="Times New Roman" w:eastAsia="宋体" w:hAnsi="Times New Roman" w:cs="Times New Roman" w:hint="default"/>
          <w:color w:val="auto"/>
          <w:sz w:val="28"/>
          <w:szCs w:val="28"/>
          <w:lang w:val="en-US" w:eastAsia="zh-CN"/>
        </w:rPr>
      </w:pPr>
      <w:r>
        <w:rPr>
          <w:rFonts w:ascii="Times New Roman" w:eastAsia="宋体" w:hAnsi="Times New Roman" w:cs="Times New Roman" w:hint="default"/>
          <w:b/>
          <w:bCs/>
          <w:color w:val="auto"/>
          <w:spacing w:val="8"/>
          <w:sz w:val="28"/>
          <w:szCs w:val="28"/>
          <w:lang w:val="en-US" w:eastAsia="zh-CN"/>
        </w:rPr>
        <w:t>7</w:t>
      </w:r>
      <w:r>
        <w:rPr>
          <w:rFonts w:ascii="Times New Roman" w:eastAsia="宋体" w:hAnsi="Times New Roman" w:cs="Times New Roman" w:hint="default"/>
          <w:b/>
          <w:bCs/>
          <w:color w:val="auto"/>
          <w:spacing w:val="8"/>
          <w:sz w:val="28"/>
          <w:szCs w:val="28"/>
        </w:rPr>
        <w:t xml:space="preserve"> </w:t>
      </w:r>
      <w:r>
        <w:rPr>
          <w:rFonts w:ascii="Times New Roman" w:eastAsia="宋体" w:hAnsi="Times New Roman" w:cs="Times New Roman" w:hint="default"/>
          <w:color w:val="auto"/>
          <w:spacing w:val="8"/>
          <w:sz w:val="28"/>
          <w:szCs w:val="28"/>
          <w14:textOutline w14:w="5103" w14:cap="sq">
            <w14:solidFill>
              <w14:srgbClr w14:val="000000"/>
            </w14:solidFill>
            <w14:bevel/>
          </w14:textOutline>
        </w:rPr>
        <w:t>环境风险</w:t>
      </w:r>
      <w:r>
        <w:rPr>
          <w:rFonts w:ascii="Times New Roman" w:eastAsia="宋体" w:hAnsi="Times New Roman" w:cs="Times New Roman" w:hint="default"/>
          <w:color w:val="auto"/>
          <w:spacing w:val="8"/>
          <w:sz w:val="28"/>
          <w:szCs w:val="28"/>
          <w:lang w:val="en-US" w:eastAsia="zh-CN"/>
          <w14:textOutline w14:w="5103" w14:cap="sq">
            <w14:solidFill>
              <w14:srgbClr w14:val="000000"/>
            </w14:solidFill>
            <w14:bevel/>
          </w14:textOutline>
        </w:rPr>
        <w:t>应急措施</w:t>
      </w:r>
    </w:p>
    <w:p w14:paraId="47DAFFF9">
      <w:pPr>
        <w:pStyle w:val="000"/>
        <w:bidi w:val="0"/>
        <w:rPr>
          <w:rFonts w:ascii="Times New Roman" w:eastAsia="宋体" w:hAnsi="Times New Roman" w:cs="Times New Roman" w:hint="default"/>
          <w:color w:val="auto"/>
        </w:rPr>
      </w:pPr>
      <w:r>
        <w:rPr>
          <w:rFonts w:ascii="Times New Roman" w:eastAsia="宋体" w:hAnsi="Times New Roman" w:cs="Times New Roman" w:hint="default"/>
          <w:color w:val="auto"/>
        </w:rPr>
        <w:t>表 20   企业环境应急措施</w:t>
      </w:r>
    </w:p>
    <w:tbl>
      <w:tblPr>
        <w:tblStyle w:val="TableNormal0"/>
        <w:tblpPr w:leftFromText="180" w:rightFromText="180" w:vertAnchor="text" w:horzAnchor="page" w:tblpX="1817" w:tblpY="92"/>
        <w:tblOverlap w:val="never"/>
        <w:tblW w:w="8525"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923"/>
        <w:gridCol w:w="1033"/>
        <w:gridCol w:w="6569"/>
      </w:tblGrid>
      <w:tr w14:paraId="2F9FABDB">
        <w:tblPrEx>
          <w:tblW w:w="8525"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691"/>
        </w:trPr>
        <w:tc>
          <w:tcPr>
            <w:tcW w:w="1956" w:type="dxa"/>
            <w:gridSpan w:val="2"/>
            <w:tcBorders>
              <w:tl2br w:val="nil"/>
              <w:tr2bl w:val="nil"/>
            </w:tcBorders>
            <w:vAlign w:val="center"/>
          </w:tcPr>
          <w:p w14:paraId="3595C785">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风险防控类型</w:t>
            </w:r>
          </w:p>
        </w:tc>
        <w:tc>
          <w:tcPr>
            <w:tcW w:w="6569" w:type="dxa"/>
            <w:tcBorders>
              <w:tl2br w:val="nil"/>
              <w:tr2bl w:val="nil"/>
            </w:tcBorders>
            <w:vAlign w:val="center"/>
          </w:tcPr>
          <w:p w14:paraId="07851638">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应急措施</w:t>
            </w:r>
          </w:p>
        </w:tc>
      </w:tr>
      <w:tr w14:paraId="3B395F57">
        <w:tblPrEx>
          <w:tblW w:w="8525" w:type="dxa"/>
          <w:tblInd w:w="0" w:type="dxa"/>
          <w:tblLayout w:type="fixed"/>
          <w:tblCellMar>
            <w:top w:w="0" w:type="dxa"/>
            <w:left w:w="0" w:type="dxa"/>
            <w:bottom w:w="0" w:type="dxa"/>
            <w:right w:w="0" w:type="dxa"/>
          </w:tblCellMar>
        </w:tblPrEx>
        <w:trPr>
          <w:trHeight w:val="90"/>
        </w:trPr>
        <w:tc>
          <w:tcPr>
            <w:tcW w:w="923" w:type="dxa"/>
            <w:vMerge w:val="restart"/>
            <w:tcBorders>
              <w:tl2br w:val="nil"/>
              <w:tr2bl w:val="nil"/>
            </w:tcBorders>
            <w:vAlign w:val="center"/>
          </w:tcPr>
          <w:p w14:paraId="45E27B74">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lang w:val="en-US" w:eastAsia="zh-CN"/>
              </w:rPr>
              <w:t>地表水、地下水</w:t>
            </w:r>
            <w:r>
              <w:rPr>
                <w:rFonts w:ascii="Times New Roman" w:eastAsia="宋体" w:hAnsi="Times New Roman" w:cs="Times New Roman" w:hint="default"/>
                <w:color w:val="auto"/>
              </w:rPr>
              <w:t>环境风险防 控措施</w:t>
            </w:r>
          </w:p>
        </w:tc>
        <w:tc>
          <w:tcPr>
            <w:tcW w:w="1033" w:type="dxa"/>
            <w:tcBorders>
              <w:tl2br w:val="nil"/>
              <w:tr2bl w:val="nil"/>
            </w:tcBorders>
            <w:vAlign w:val="center"/>
          </w:tcPr>
          <w:p w14:paraId="24652DF5">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截流措施</w:t>
            </w:r>
          </w:p>
        </w:tc>
        <w:tc>
          <w:tcPr>
            <w:tcW w:w="6569" w:type="dxa"/>
            <w:tcBorders>
              <w:tl2br w:val="nil"/>
              <w:tr2bl w:val="nil"/>
            </w:tcBorders>
            <w:vAlign w:val="center"/>
          </w:tcPr>
          <w:p w14:paraId="3E29399C">
            <w:pPr>
              <w:pStyle w:val="R-"/>
              <w:bidi w:val="0"/>
              <w:jc w:val="left"/>
              <w:rPr>
                <w:rFonts w:ascii="Times New Roman" w:eastAsia="宋体" w:hAnsi="Times New Roman" w:cs="Times New Roman" w:hint="default"/>
                <w:color w:val="auto"/>
              </w:rPr>
            </w:pP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rPr>
              <w:t>1)各个环境风险单元（全钒液流电池储能区域）设防渗漏、防腐蚀、防淋溶、防流失</w:t>
            </w:r>
            <w:r>
              <w:rPr>
                <w:rFonts w:ascii="Times New Roman" w:eastAsia="宋体" w:hAnsi="Times New Roman" w:cs="Times New Roman" w:hint="default"/>
                <w:color w:val="auto"/>
                <w:lang w:eastAsia="zh-CN"/>
              </w:rPr>
              <w:t>措施（</w:t>
            </w:r>
            <w:r>
              <w:rPr>
                <w:rFonts w:ascii="Times New Roman" w:eastAsia="宋体" w:hAnsi="Times New Roman" w:cs="Times New Roman" w:hint="default"/>
                <w:color w:val="auto"/>
                <w:lang w:val="en-US" w:eastAsia="zh-CN"/>
              </w:rPr>
              <w:t>如</w:t>
            </w:r>
            <w:r>
              <w:rPr>
                <w:rFonts w:ascii="Times New Roman" w:eastAsia="宋体" w:hAnsi="Times New Roman" w:cs="Times New Roman" w:hint="default"/>
                <w:color w:val="auto"/>
              </w:rPr>
              <w:t>围堰</w:t>
            </w:r>
            <w:r>
              <w:rPr>
                <w:rFonts w:cs="Times New Roman" w:hint="eastAsia"/>
                <w:color w:val="auto"/>
                <w:lang w:eastAsia="zh-CN"/>
              </w:rPr>
              <w:t>、</w:t>
            </w:r>
            <w:r>
              <w:rPr>
                <w:rFonts w:cs="Times New Roman" w:hint="eastAsia"/>
                <w:color w:val="auto"/>
                <w:lang w:val="en-US" w:eastAsia="zh-CN"/>
              </w:rPr>
              <w:t>事故池</w:t>
            </w:r>
            <w:r>
              <w:rPr>
                <w:rFonts w:ascii="Times New Roman" w:eastAsia="宋体" w:hAnsi="Times New Roman" w:cs="Times New Roman" w:hint="default"/>
                <w:color w:val="auto"/>
              </w:rPr>
              <w:t>等），且相关措施符合设计规范；</w:t>
            </w:r>
          </w:p>
          <w:p w14:paraId="1B75086C">
            <w:pPr>
              <w:pStyle w:val="R-"/>
              <w:bidi w:val="0"/>
              <w:jc w:val="left"/>
              <w:rPr>
                <w:rFonts w:ascii="Times New Roman" w:eastAsia="宋体" w:hAnsi="Times New Roman" w:cs="Times New Roman" w:hint="default"/>
                <w:color w:val="auto"/>
              </w:rPr>
            </w:pP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rPr>
              <w:t>2)</w:t>
            </w:r>
            <w:r>
              <w:rPr>
                <w:rFonts w:ascii="Times New Roman" w:eastAsia="宋体" w:hAnsi="Times New Roman" w:cs="Times New Roman" w:hint="default"/>
                <w:color w:val="auto"/>
                <w:lang w:val="en-US" w:eastAsia="zh-CN"/>
              </w:rPr>
              <w:t>变压器下收集池</w:t>
            </w:r>
            <w:r>
              <w:rPr>
                <w:rFonts w:ascii="Times New Roman" w:eastAsia="宋体" w:hAnsi="Times New Roman" w:cs="Times New Roman" w:hint="default"/>
                <w:color w:val="auto"/>
              </w:rPr>
              <w:t>排水切换阀，</w:t>
            </w:r>
            <w:r>
              <w:rPr>
                <w:rFonts w:ascii="Times New Roman" w:eastAsia="宋体" w:hAnsi="Times New Roman" w:cs="Times New Roman" w:hint="default"/>
                <w:color w:val="auto"/>
                <w:lang w:val="en-US" w:eastAsia="zh-CN"/>
              </w:rPr>
              <w:t>事故状态下</w:t>
            </w:r>
            <w:r>
              <w:rPr>
                <w:rFonts w:ascii="Times New Roman" w:eastAsia="宋体" w:hAnsi="Times New Roman" w:cs="Times New Roman" w:hint="default"/>
                <w:color w:val="auto"/>
              </w:rPr>
              <w:t>系统的阀门打开；</w:t>
            </w:r>
          </w:p>
          <w:p w14:paraId="2317300D">
            <w:pPr>
              <w:pStyle w:val="R-"/>
              <w:bidi w:val="0"/>
              <w:jc w:val="left"/>
              <w:rPr>
                <w:rFonts w:ascii="Times New Roman" w:eastAsia="宋体" w:hAnsi="Times New Roman" w:cs="Times New Roman" w:hint="default"/>
                <w:color w:val="auto"/>
              </w:rPr>
            </w:pP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rPr>
              <w:t>3)前述措施日常管理及维护良好，有专人负责阀门切换，保证初期雨 水、泄漏</w:t>
            </w:r>
            <w:r>
              <w:rPr>
                <w:rFonts w:ascii="Times New Roman" w:eastAsia="宋体" w:hAnsi="Times New Roman" w:cs="Times New Roman" w:hint="default"/>
                <w:color w:val="auto"/>
                <w:lang w:val="en-US" w:eastAsia="zh-CN"/>
              </w:rPr>
              <w:t>油</w:t>
            </w:r>
            <w:r>
              <w:rPr>
                <w:rFonts w:ascii="Times New Roman" w:eastAsia="宋体" w:hAnsi="Times New Roman" w:cs="Times New Roman" w:hint="default"/>
                <w:color w:val="auto"/>
              </w:rPr>
              <w:t>和受污染的消防水排入</w:t>
            </w:r>
            <w:r>
              <w:rPr>
                <w:rFonts w:ascii="Times New Roman" w:eastAsia="宋体" w:hAnsi="Times New Roman" w:cs="Times New Roman" w:hint="default"/>
                <w:color w:val="auto"/>
                <w:lang w:val="en-US" w:eastAsia="zh-CN"/>
              </w:rPr>
              <w:t>事故池</w:t>
            </w:r>
            <w:r>
              <w:rPr>
                <w:rFonts w:ascii="Times New Roman" w:eastAsia="宋体" w:hAnsi="Times New Roman" w:cs="Times New Roman" w:hint="default"/>
                <w:color w:val="auto"/>
              </w:rPr>
              <w:t>。</w:t>
            </w:r>
          </w:p>
        </w:tc>
      </w:tr>
      <w:tr w14:paraId="753B181D">
        <w:tblPrEx>
          <w:tblW w:w="8525" w:type="dxa"/>
          <w:tblInd w:w="0" w:type="dxa"/>
          <w:tblLayout w:type="fixed"/>
          <w:tblCellMar>
            <w:top w:w="0" w:type="dxa"/>
            <w:left w:w="0" w:type="dxa"/>
            <w:bottom w:w="0" w:type="dxa"/>
            <w:right w:w="0" w:type="dxa"/>
          </w:tblCellMar>
        </w:tblPrEx>
        <w:trPr>
          <w:trHeight w:val="1115"/>
        </w:trPr>
        <w:tc>
          <w:tcPr>
            <w:tcW w:w="923" w:type="dxa"/>
            <w:vMerge/>
            <w:tcBorders>
              <w:tl2br w:val="nil"/>
              <w:tr2bl w:val="nil"/>
            </w:tcBorders>
            <w:vAlign w:val="center"/>
          </w:tcPr>
          <w:p w14:paraId="34167BF4">
            <w:pPr>
              <w:pStyle w:val="R-"/>
              <w:bidi w:val="0"/>
              <w:jc w:val="center"/>
              <w:rPr>
                <w:rFonts w:ascii="Times New Roman" w:eastAsia="宋体" w:hAnsi="Times New Roman" w:cs="Times New Roman" w:hint="default"/>
                <w:color w:val="auto"/>
              </w:rPr>
            </w:pPr>
          </w:p>
        </w:tc>
        <w:tc>
          <w:tcPr>
            <w:tcW w:w="1033" w:type="dxa"/>
            <w:tcBorders>
              <w:tl2br w:val="nil"/>
              <w:tr2bl w:val="nil"/>
            </w:tcBorders>
            <w:vAlign w:val="center"/>
          </w:tcPr>
          <w:p w14:paraId="5D634DE8">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事故排水收集措施</w:t>
            </w:r>
          </w:p>
        </w:tc>
        <w:tc>
          <w:tcPr>
            <w:tcW w:w="6569" w:type="dxa"/>
            <w:tcBorders>
              <w:tl2br w:val="nil"/>
              <w:tr2bl w:val="nil"/>
            </w:tcBorders>
            <w:vAlign w:val="center"/>
          </w:tcPr>
          <w:p w14:paraId="03A9EC3E">
            <w:pPr>
              <w:pStyle w:val="R-"/>
              <w:bidi w:val="0"/>
              <w:jc w:val="left"/>
              <w:rPr>
                <w:rFonts w:ascii="Times New Roman" w:eastAsia="宋体" w:hAnsi="Times New Roman" w:cs="Times New Roman" w:hint="default"/>
                <w:color w:val="auto"/>
                <w:lang w:val="en-US"/>
              </w:rPr>
            </w:pPr>
            <w:r>
              <w:rPr>
                <w:rFonts w:ascii="Times New Roman" w:eastAsia="宋体" w:hAnsi="Times New Roman" w:cs="Times New Roman" w:hint="default"/>
                <w:color w:val="auto"/>
              </w:rPr>
              <w:t>按相关设计规范设置事故池、</w:t>
            </w:r>
            <w:r>
              <w:rPr>
                <w:rFonts w:cs="Times New Roman" w:hint="eastAsia"/>
                <w:color w:val="auto"/>
                <w:lang w:val="en-US" w:eastAsia="zh-CN"/>
              </w:rPr>
              <w:t>电解液事故池容量62.5</w:t>
            </w:r>
            <w:r>
              <w:rPr>
                <w:rFonts w:ascii="Times New Roman" w:eastAsia="宋体" w:hAnsi="Times New Roman" w:cs="Times New Roman" w:hint="default"/>
                <w:color w:val="auto"/>
                <w:lang w:val="en-US" w:eastAsia="zh-CN"/>
              </w:rPr>
              <w:t>m</w:t>
            </w:r>
            <w:r>
              <w:rPr>
                <w:rFonts w:ascii="Times New Roman" w:eastAsia="宋体" w:hAnsi="Times New Roman" w:cs="Times New Roman" w:hint="default"/>
                <w:color w:val="auto"/>
                <w:vertAlign w:val="superscript"/>
                <w:lang w:val="en-US" w:eastAsia="zh-CN"/>
              </w:rPr>
              <w:t>3</w:t>
            </w:r>
            <w:r>
              <w:rPr>
                <w:rFonts w:cs="Times New Roman" w:hint="eastAsia"/>
                <w:color w:val="auto"/>
                <w:vertAlign w:val="baseline"/>
                <w:lang w:val="en-US" w:eastAsia="zh-CN"/>
              </w:rPr>
              <w:t>，变压器油</w:t>
            </w:r>
            <w:r>
              <w:rPr>
                <w:rFonts w:ascii="Times New Roman" w:eastAsia="宋体" w:hAnsi="Times New Roman" w:cs="Times New Roman" w:hint="default"/>
                <w:color w:val="auto"/>
                <w:lang w:val="en-US" w:eastAsia="zh-CN"/>
              </w:rPr>
              <w:t>事故</w:t>
            </w:r>
            <w:r>
              <w:rPr>
                <w:rFonts w:cs="Times New Roman" w:hint="eastAsia"/>
                <w:color w:val="auto"/>
                <w:lang w:val="en-US" w:eastAsia="zh-CN"/>
              </w:rPr>
              <w:t>油</w:t>
            </w:r>
            <w:r>
              <w:rPr>
                <w:rFonts w:ascii="Times New Roman" w:eastAsia="宋体" w:hAnsi="Times New Roman" w:cs="Times New Roman" w:hint="default"/>
                <w:color w:val="auto"/>
                <w:lang w:val="en-US" w:eastAsia="zh-CN"/>
              </w:rPr>
              <w:t>池</w:t>
            </w:r>
            <w:r>
              <w:rPr>
                <w:rFonts w:ascii="Times New Roman" w:eastAsia="宋体" w:hAnsi="Times New Roman" w:cs="Times New Roman" w:hint="default"/>
                <w:color w:val="auto"/>
              </w:rPr>
              <w:t>收集设施的容量</w:t>
            </w:r>
            <w:r>
              <w:rPr>
                <w:rFonts w:ascii="Times New Roman" w:eastAsia="宋体" w:hAnsi="Times New Roman" w:cs="Times New Roman" w:hint="default"/>
                <w:color w:val="auto"/>
                <w:lang w:val="en-US" w:eastAsia="zh-CN"/>
              </w:rPr>
              <w:t>120m</w:t>
            </w:r>
            <w:r>
              <w:rPr>
                <w:rFonts w:ascii="Times New Roman" w:eastAsia="宋体" w:hAnsi="Times New Roman" w:cs="Times New Roman" w:hint="default"/>
                <w:color w:val="auto"/>
                <w:vertAlign w:val="superscript"/>
                <w:lang w:val="en-US" w:eastAsia="zh-CN"/>
              </w:rPr>
              <w:t>3</w:t>
            </w:r>
            <w:r>
              <w:rPr>
                <w:rFonts w:cs="Times New Roman" w:hint="eastAsia"/>
                <w:color w:val="auto"/>
                <w:vertAlign w:val="superscript"/>
                <w:lang w:val="en-US" w:eastAsia="zh-CN"/>
              </w:rPr>
              <w:t>，</w:t>
            </w:r>
            <w:r>
              <w:rPr>
                <w:rFonts w:cs="Times New Roman" w:hint="eastAsia"/>
                <w:color w:val="auto"/>
                <w:vertAlign w:val="baseline"/>
                <w:lang w:val="en-US" w:eastAsia="zh-CN"/>
              </w:rPr>
              <w:t>满足事故收集需要。</w:t>
            </w:r>
          </w:p>
          <w:p w14:paraId="6B31EFA2">
            <w:pPr>
              <w:pStyle w:val="R-"/>
              <w:bidi w:val="0"/>
              <w:jc w:val="left"/>
              <w:rPr>
                <w:rFonts w:ascii="Times New Roman" w:eastAsia="宋体" w:hAnsi="Times New Roman" w:cs="Times New Roman" w:hint="default"/>
                <w:color w:val="auto"/>
              </w:rPr>
            </w:pP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rPr>
              <w:t>2)事故池等事故排水收集设施位置合理，能自流式或确保事故状态下 顺利收集泄漏物</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rPr>
              <w:t>日常保持足够的事故排水缓冲容量；</w:t>
            </w:r>
          </w:p>
        </w:tc>
      </w:tr>
      <w:tr w14:paraId="0F1F625C">
        <w:tblPrEx>
          <w:tblW w:w="8525" w:type="dxa"/>
          <w:tblInd w:w="0" w:type="dxa"/>
          <w:tblLayout w:type="fixed"/>
          <w:tblCellMar>
            <w:top w:w="0" w:type="dxa"/>
            <w:left w:w="0" w:type="dxa"/>
            <w:bottom w:w="0" w:type="dxa"/>
            <w:right w:w="0" w:type="dxa"/>
          </w:tblCellMar>
        </w:tblPrEx>
        <w:trPr>
          <w:trHeight w:val="2603"/>
        </w:trPr>
        <w:tc>
          <w:tcPr>
            <w:tcW w:w="923" w:type="dxa"/>
            <w:tcBorders>
              <w:tl2br w:val="nil"/>
              <w:tr2bl w:val="nil"/>
            </w:tcBorders>
            <w:vAlign w:val="center"/>
          </w:tcPr>
          <w:p w14:paraId="2E0071CE">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lang w:val="en-US" w:eastAsia="zh-CN"/>
              </w:rPr>
              <w:t>大气环境</w:t>
            </w:r>
          </w:p>
        </w:tc>
        <w:tc>
          <w:tcPr>
            <w:tcW w:w="1033" w:type="dxa"/>
            <w:tcBorders>
              <w:tl2br w:val="nil"/>
              <w:tr2bl w:val="nil"/>
            </w:tcBorders>
            <w:vAlign w:val="center"/>
          </w:tcPr>
          <w:p w14:paraId="3EFFF8F5">
            <w:pPr>
              <w:pStyle w:val="R-"/>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lang w:val="en-US" w:eastAsia="zh-CN"/>
              </w:rPr>
              <w:t>应急措施</w:t>
            </w:r>
          </w:p>
        </w:tc>
        <w:tc>
          <w:tcPr>
            <w:tcW w:w="6569" w:type="dxa"/>
            <w:tcBorders>
              <w:tl2br w:val="nil"/>
              <w:tr2bl w:val="nil"/>
            </w:tcBorders>
            <w:vAlign w:val="center"/>
          </w:tcPr>
          <w:p w14:paraId="0D589147">
            <w:pPr>
              <w:pStyle w:val="R-"/>
              <w:bidi w:val="0"/>
              <w:jc w:val="left"/>
              <w:rPr>
                <w:rFonts w:ascii="Times New Roman" w:eastAsia="宋体" w:hAnsi="Times New Roman" w:cs="Times New Roman" w:hint="default"/>
                <w:color w:val="auto"/>
              </w:rPr>
            </w:pPr>
            <w:r>
              <w:rPr>
                <w:rFonts w:ascii="Times New Roman" w:eastAsia="宋体" w:hAnsi="Times New Roman" w:cs="Times New Roman" w:hint="default"/>
                <w:color w:val="auto"/>
                <w:lang w:val="en-US" w:eastAsia="zh-CN"/>
              </w:rPr>
              <w:t>①变压器</w:t>
            </w:r>
            <w:r>
              <w:rPr>
                <w:rFonts w:cs="Times New Roman" w:hint="eastAsia"/>
                <w:color w:val="auto"/>
                <w:lang w:val="en-US" w:eastAsia="zh-CN"/>
              </w:rPr>
              <w:t>油</w:t>
            </w:r>
            <w:r>
              <w:rPr>
                <w:rFonts w:ascii="Times New Roman" w:eastAsia="宋体" w:hAnsi="Times New Roman" w:cs="Times New Roman" w:hint="default"/>
                <w:color w:val="auto"/>
              </w:rPr>
              <w:t>发生泄漏时</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rPr>
              <w:t>并严禁附近有明火。及时通知无关人员远离</w:t>
            </w:r>
            <w:r>
              <w:rPr>
                <w:rFonts w:ascii="Times New Roman" w:eastAsia="宋体" w:hAnsi="Times New Roman" w:cs="Times New Roman" w:hint="default"/>
                <w:color w:val="auto"/>
                <w:lang w:eastAsia="zh-CN"/>
              </w:rPr>
              <w:t>泄漏</w:t>
            </w:r>
            <w:r>
              <w:rPr>
                <w:rFonts w:ascii="Times New Roman" w:eastAsia="宋体" w:hAnsi="Times New Roman" w:cs="Times New Roman" w:hint="default"/>
                <w:color w:val="auto"/>
              </w:rPr>
              <w:t>区域，专业人员做好个人防护后，及时对泄露点进行排查、堵漏。</w:t>
            </w:r>
          </w:p>
          <w:p w14:paraId="6D97AE7A">
            <w:pPr>
              <w:pStyle w:val="R-"/>
              <w:bidi w:val="0"/>
              <w:jc w:val="left"/>
              <w:rPr>
                <w:rFonts w:ascii="Times New Roman" w:eastAsia="宋体" w:hAnsi="Times New Roman" w:cs="Times New Roman" w:hint="default"/>
                <w:color w:val="auto"/>
              </w:rPr>
            </w:pPr>
            <w:r>
              <w:rPr>
                <w:rFonts w:ascii="Times New Roman" w:eastAsia="宋体" w:hAnsi="Times New Roman" w:cs="Times New Roman" w:hint="default"/>
                <w:color w:val="auto"/>
                <w:lang w:val="en-US" w:eastAsia="zh-CN"/>
              </w:rPr>
              <w:t>②</w:t>
            </w:r>
            <w:r>
              <w:rPr>
                <w:rFonts w:ascii="Times New Roman" w:eastAsia="宋体" w:hAnsi="Times New Roman" w:cs="Times New Roman" w:hint="default"/>
                <w:color w:val="auto"/>
              </w:rPr>
              <w:t>火灾</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lang w:val="en-US" w:eastAsia="zh-CN"/>
              </w:rPr>
              <w:t>爆炸</w:t>
            </w:r>
            <w:r>
              <w:rPr>
                <w:rFonts w:ascii="Times New Roman" w:eastAsia="宋体" w:hAnsi="Times New Roman" w:cs="Times New Roman" w:hint="default"/>
                <w:color w:val="auto"/>
              </w:rPr>
              <w:t>环境事故</w:t>
            </w:r>
          </w:p>
          <w:p w14:paraId="3E2F239C">
            <w:pPr>
              <w:pStyle w:val="R-"/>
              <w:bidi w:val="0"/>
              <w:jc w:val="left"/>
              <w:rPr>
                <w:rFonts w:ascii="Times New Roman" w:eastAsia="宋体" w:hAnsi="Times New Roman" w:cs="Times New Roman" w:hint="default"/>
                <w:color w:val="auto"/>
              </w:rPr>
            </w:pPr>
            <w:r>
              <w:rPr>
                <w:rFonts w:ascii="Times New Roman" w:eastAsia="宋体" w:hAnsi="Times New Roman" w:cs="Times New Roman" w:hint="default"/>
                <w:color w:val="auto"/>
              </w:rPr>
              <w:t>迅速撤离泄漏污染区人员至安全区，禁止无关人员进入污染区，并进行隔离，严格限制出入。救援人员佩戴防毒面具及防护服，使用应急救援物资</w:t>
            </w:r>
            <w:r>
              <w:rPr>
                <w:rFonts w:ascii="Times New Roman" w:eastAsia="宋体" w:hAnsi="Times New Roman" w:cs="Times New Roman" w:hint="default"/>
                <w:color w:val="auto"/>
                <w:lang w:eastAsia="zh-CN"/>
              </w:rPr>
              <w:t>进行</w:t>
            </w:r>
            <w:r>
              <w:rPr>
                <w:rFonts w:ascii="Times New Roman" w:eastAsia="宋体" w:hAnsi="Times New Roman" w:cs="Times New Roman" w:hint="default"/>
                <w:color w:val="auto"/>
              </w:rPr>
              <w:t>灭火。灭火过程中产生的消防废水妥善围挡收集，消防废水</w:t>
            </w:r>
            <w:r>
              <w:rPr>
                <w:rFonts w:ascii="Times New Roman" w:eastAsia="宋体" w:hAnsi="Times New Roman" w:cs="Times New Roman" w:hint="default"/>
                <w:color w:val="auto"/>
                <w:lang w:val="en-US" w:eastAsia="zh-CN"/>
              </w:rPr>
              <w:t>排入事故池</w:t>
            </w:r>
            <w:r>
              <w:rPr>
                <w:rFonts w:ascii="Times New Roman" w:eastAsia="宋体" w:hAnsi="Times New Roman" w:cs="Times New Roman" w:hint="default"/>
                <w:color w:val="auto"/>
              </w:rPr>
              <w:t>。</w:t>
            </w:r>
          </w:p>
          <w:p w14:paraId="0C65EBE5">
            <w:pPr>
              <w:pStyle w:val="R-"/>
              <w:bidi w:val="0"/>
              <w:jc w:val="left"/>
              <w:rPr>
                <w:rFonts w:ascii="Times New Roman" w:eastAsia="宋体" w:hAnsi="Times New Roman" w:cs="Times New Roman" w:hint="default"/>
                <w:color w:val="auto"/>
              </w:rPr>
            </w:pPr>
            <w:r>
              <w:rPr>
                <w:rFonts w:ascii="Times New Roman" w:eastAsia="宋体" w:hAnsi="Times New Roman" w:cs="Times New Roman" w:hint="default"/>
                <w:color w:val="auto"/>
              </w:rPr>
              <w:t>在事故结束后，委托有资质单位对暂存的消防废水水质进行检测，若水质不能满足排放要求，将消防废水委托有资质单位处理。</w:t>
            </w:r>
          </w:p>
        </w:tc>
      </w:tr>
    </w:tbl>
    <w:p w14:paraId="33FE4FC5">
      <w:pPr>
        <w:spacing w:before="178" w:line="219" w:lineRule="auto"/>
        <w:ind w:left="132"/>
        <w:rPr>
          <w:rFonts w:ascii="Times New Roman" w:eastAsia="宋体" w:hAnsi="Times New Roman" w:cs="Times New Roman" w:hint="default"/>
          <w:color w:val="auto"/>
          <w:sz w:val="28"/>
          <w:szCs w:val="28"/>
        </w:rPr>
      </w:pPr>
      <w:r>
        <w:rPr>
          <w:rFonts w:ascii="Times New Roman" w:eastAsia="宋体" w:hAnsi="Times New Roman" w:cs="Times New Roman" w:hint="default"/>
          <w:b/>
          <w:bCs/>
          <w:color w:val="auto"/>
          <w:sz w:val="28"/>
          <w:szCs w:val="28"/>
        </w:rPr>
        <w:t>8</w:t>
      </w:r>
      <w:r>
        <w:rPr>
          <w:rFonts w:cs="Times New Roman" w:hint="eastAsia"/>
          <w:b/>
          <w:bCs/>
          <w:color w:val="auto"/>
          <w:sz w:val="28"/>
          <w:szCs w:val="28"/>
          <w:lang w:eastAsia="zh-CN"/>
        </w:rPr>
        <w:t>、</w:t>
      </w:r>
      <w:r>
        <w:rPr>
          <w:rFonts w:ascii="Times New Roman" w:eastAsia="宋体" w:hAnsi="Times New Roman" w:cs="Times New Roman" w:hint="default"/>
          <w:b/>
          <w:bCs/>
          <w:color w:val="auto"/>
          <w:sz w:val="28"/>
          <w:szCs w:val="28"/>
        </w:rPr>
        <w:t xml:space="preserve">  </w:t>
      </w:r>
      <w:r>
        <w:rPr>
          <w:rFonts w:ascii="Times New Roman" w:eastAsia="宋体" w:hAnsi="Times New Roman" w:cs="Times New Roman" w:hint="default"/>
          <w:color w:val="auto"/>
          <w:sz w:val="28"/>
          <w:szCs w:val="28"/>
          <w14:textOutline w14:w="5103" w14:cap="sq">
            <w14:solidFill>
              <w14:srgbClr w14:val="000000"/>
            </w14:solidFill>
            <w14:bevel/>
          </w14:textOutline>
        </w:rPr>
        <w:t>风险事故应急设施及投资费用估算</w:t>
      </w:r>
    </w:p>
    <w:p w14:paraId="470C38EA">
      <w:pPr>
        <w:spacing w:before="204" w:line="219" w:lineRule="auto"/>
        <w:ind w:left="612"/>
        <w:rPr>
          <w:rFonts w:ascii="Times New Roman" w:eastAsia="宋体" w:hAnsi="Times New Roman" w:cs="Times New Roman" w:hint="default"/>
          <w:color w:val="auto"/>
          <w:sz w:val="24"/>
          <w:szCs w:val="24"/>
        </w:rPr>
      </w:pPr>
      <w:r>
        <w:rPr>
          <w:rFonts w:ascii="Times New Roman" w:eastAsia="宋体" w:hAnsi="Times New Roman" w:cs="Times New Roman" w:hint="default"/>
          <w:color w:val="auto"/>
          <w:spacing w:val="-1"/>
          <w:sz w:val="24"/>
          <w:szCs w:val="24"/>
        </w:rPr>
        <w:t>风险事故应急设施及投资费用估算见表</w:t>
      </w:r>
      <w:r>
        <w:rPr>
          <w:rFonts w:ascii="Times New Roman" w:eastAsia="宋体" w:hAnsi="Times New Roman" w:cs="Times New Roman" w:hint="default"/>
          <w:color w:val="auto"/>
          <w:spacing w:val="-52"/>
          <w:sz w:val="24"/>
          <w:szCs w:val="24"/>
        </w:rPr>
        <w:t xml:space="preserve"> </w:t>
      </w:r>
      <w:r>
        <w:rPr>
          <w:rFonts w:ascii="Times New Roman" w:eastAsia="宋体" w:hAnsi="Times New Roman" w:cs="Times New Roman" w:hint="default"/>
          <w:color w:val="auto"/>
          <w:spacing w:val="-1"/>
          <w:sz w:val="24"/>
          <w:szCs w:val="24"/>
        </w:rPr>
        <w:t>21。</w:t>
      </w:r>
    </w:p>
    <w:p w14:paraId="1A012BCD">
      <w:pPr>
        <w:pStyle w:val="000"/>
        <w:bidi w:val="0"/>
        <w:rPr>
          <w:rFonts w:ascii="Times New Roman" w:eastAsia="宋体" w:hAnsi="Times New Roman" w:cs="Times New Roman" w:hint="default"/>
          <w:color w:val="auto"/>
        </w:rPr>
      </w:pPr>
      <w:r>
        <w:rPr>
          <w:rFonts w:ascii="Times New Roman" w:eastAsia="宋体" w:hAnsi="Times New Roman" w:cs="Times New Roman" w:hint="default"/>
          <w:color w:val="auto"/>
        </w:rPr>
        <w:t>表 21  环境风险应急设施投资费用</w:t>
      </w:r>
    </w:p>
    <w:p w14:paraId="3BC41E07">
      <w:pPr>
        <w:spacing w:line="135" w:lineRule="exact"/>
        <w:rPr>
          <w:rFonts w:ascii="Times New Roman" w:eastAsia="宋体" w:hAnsi="Times New Roman" w:cs="Times New Roman" w:hint="default"/>
          <w:color w:val="auto"/>
        </w:rPr>
      </w:pPr>
    </w:p>
    <w:tbl>
      <w:tblPr>
        <w:tblStyle w:val="TableNormal0"/>
        <w:tblW w:w="8523" w:type="dxa"/>
        <w:tblInd w:w="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1253"/>
        <w:gridCol w:w="3251"/>
        <w:gridCol w:w="1881"/>
        <w:gridCol w:w="2138"/>
      </w:tblGrid>
      <w:tr w14:paraId="0ED27823">
        <w:tblPrEx>
          <w:tblW w:w="8523" w:type="dxa"/>
          <w:tblInd w:w="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309"/>
        </w:trPr>
        <w:tc>
          <w:tcPr>
            <w:tcW w:w="1253" w:type="dxa"/>
            <w:tcBorders>
              <w:tl2br w:val="nil"/>
              <w:tr2bl w:val="nil"/>
            </w:tcBorders>
            <w:vAlign w:val="center"/>
          </w:tcPr>
          <w:p w14:paraId="4DBAA88E">
            <w:pPr>
              <w:pStyle w:val="TableText"/>
              <w:spacing w:before="57" w:line="223" w:lineRule="auto"/>
              <w:jc w:val="center"/>
              <w:rPr>
                <w:rFonts w:ascii="Times New Roman" w:eastAsia="宋体" w:hAnsi="Times New Roman" w:cs="Times New Roman" w:hint="default"/>
                <w:color w:val="auto"/>
                <w:spacing w:val="6"/>
                <w:sz w:val="20"/>
                <w:szCs w:val="20"/>
                <w14:textOutline w14:w="3795" w14:cap="sq">
                  <w14:solidFill>
                    <w14:srgbClr w14:val="000000"/>
                  </w14:solidFill>
                  <w14:bevel/>
                </w14:textOutline>
              </w:rPr>
            </w:pPr>
            <w:r>
              <w:rPr>
                <w:rFonts w:ascii="Times New Roman" w:eastAsia="宋体" w:hAnsi="Times New Roman" w:cs="Times New Roman" w:hint="default"/>
                <w:color w:val="auto"/>
                <w:spacing w:val="6"/>
                <w:sz w:val="20"/>
                <w:szCs w:val="20"/>
                <w14:textOutline w14:w="3795" w14:cap="sq">
                  <w14:solidFill>
                    <w14:srgbClr w14:val="000000"/>
                  </w14:solidFill>
                  <w14:bevel/>
                </w14:textOutline>
              </w:rPr>
              <w:t>序号</w:t>
            </w:r>
          </w:p>
        </w:tc>
        <w:tc>
          <w:tcPr>
            <w:tcW w:w="3251" w:type="dxa"/>
            <w:tcBorders>
              <w:tl2br w:val="nil"/>
              <w:tr2bl w:val="nil"/>
            </w:tcBorders>
            <w:vAlign w:val="center"/>
          </w:tcPr>
          <w:p w14:paraId="534D0A22">
            <w:pPr>
              <w:pStyle w:val="TableText"/>
              <w:spacing w:before="57" w:line="223" w:lineRule="auto"/>
              <w:jc w:val="center"/>
              <w:rPr>
                <w:rFonts w:ascii="Times New Roman" w:eastAsia="宋体" w:hAnsi="Times New Roman" w:cs="Times New Roman" w:hint="default"/>
                <w:color w:val="auto"/>
                <w:spacing w:val="6"/>
                <w:sz w:val="20"/>
                <w:szCs w:val="20"/>
                <w14:textOutline w14:w="3795" w14:cap="sq">
                  <w14:solidFill>
                    <w14:srgbClr w14:val="000000"/>
                  </w14:solidFill>
                  <w14:bevel/>
                </w14:textOutline>
              </w:rPr>
            </w:pPr>
            <w:r>
              <w:rPr>
                <w:rFonts w:ascii="Times New Roman" w:eastAsia="宋体" w:hAnsi="Times New Roman" w:cs="Times New Roman" w:hint="default"/>
                <w:color w:val="auto"/>
                <w:spacing w:val="6"/>
                <w:sz w:val="20"/>
                <w:szCs w:val="20"/>
                <w14:textOutline w14:w="3795" w14:cap="sq">
                  <w14:solidFill>
                    <w14:srgbClr w14:val="000000"/>
                  </w14:solidFill>
                  <w14:bevel/>
                </w14:textOutline>
              </w:rPr>
              <w:t>名称</w:t>
            </w:r>
          </w:p>
        </w:tc>
        <w:tc>
          <w:tcPr>
            <w:tcW w:w="1881" w:type="dxa"/>
            <w:tcBorders>
              <w:tl2br w:val="nil"/>
              <w:tr2bl w:val="nil"/>
            </w:tcBorders>
            <w:vAlign w:val="center"/>
          </w:tcPr>
          <w:p w14:paraId="03C16CD7">
            <w:pPr>
              <w:pStyle w:val="TableText"/>
              <w:spacing w:before="57" w:line="223" w:lineRule="auto"/>
              <w:jc w:val="center"/>
              <w:rPr>
                <w:rFonts w:ascii="Times New Roman" w:eastAsia="宋体" w:hAnsi="Times New Roman" w:cs="Times New Roman" w:hint="default"/>
                <w:color w:val="auto"/>
                <w:spacing w:val="6"/>
                <w:sz w:val="20"/>
                <w:szCs w:val="20"/>
                <w14:textOutline w14:w="3795" w14:cap="sq">
                  <w14:solidFill>
                    <w14:srgbClr w14:val="000000"/>
                  </w14:solidFill>
                  <w14:bevel/>
                </w14:textOutline>
              </w:rPr>
            </w:pPr>
            <w:r>
              <w:rPr>
                <w:rFonts w:ascii="Times New Roman" w:eastAsia="宋体" w:hAnsi="Times New Roman" w:cs="Times New Roman" w:hint="default"/>
                <w:color w:val="auto"/>
                <w:spacing w:val="6"/>
                <w:sz w:val="20"/>
                <w:szCs w:val="20"/>
                <w14:textOutline w14:w="3795" w14:cap="sq">
                  <w14:solidFill>
                    <w14:srgbClr w14:val="000000"/>
                  </w14:solidFill>
                  <w14:bevel/>
                </w14:textOutline>
              </w:rPr>
              <w:t>数量</w:t>
            </w:r>
          </w:p>
        </w:tc>
        <w:tc>
          <w:tcPr>
            <w:tcW w:w="2138" w:type="dxa"/>
            <w:tcBorders>
              <w:tl2br w:val="nil"/>
              <w:tr2bl w:val="nil"/>
            </w:tcBorders>
            <w:vAlign w:val="center"/>
          </w:tcPr>
          <w:p w14:paraId="0CD2080E">
            <w:pPr>
              <w:pStyle w:val="TableText"/>
              <w:spacing w:before="57" w:line="223" w:lineRule="auto"/>
              <w:jc w:val="center"/>
              <w:rPr>
                <w:rFonts w:ascii="Times New Roman" w:eastAsia="宋体" w:hAnsi="Times New Roman" w:cs="Times New Roman" w:hint="default"/>
                <w:color w:val="auto"/>
                <w:spacing w:val="6"/>
                <w:sz w:val="20"/>
                <w:szCs w:val="20"/>
                <w14:textOutline w14:w="3795" w14:cap="sq">
                  <w14:solidFill>
                    <w14:srgbClr w14:val="000000"/>
                  </w14:solidFill>
                  <w14:bevel/>
                </w14:textOutline>
              </w:rPr>
            </w:pPr>
            <w:r>
              <w:rPr>
                <w:rFonts w:ascii="Times New Roman" w:eastAsia="宋体" w:hAnsi="Times New Roman" w:cs="Times New Roman" w:hint="default"/>
                <w:color w:val="auto"/>
                <w:spacing w:val="6"/>
                <w:sz w:val="20"/>
                <w:szCs w:val="20"/>
                <w14:textOutline w14:w="3795" w14:cap="sq">
                  <w14:solidFill>
                    <w14:srgbClr w14:val="000000"/>
                  </w14:solidFill>
                  <w14:bevel/>
                </w14:textOutline>
              </w:rPr>
              <w:t>投资/万元</w:t>
            </w:r>
          </w:p>
        </w:tc>
      </w:tr>
      <w:tr w14:paraId="72BAF3FF">
        <w:tblPrEx>
          <w:tblW w:w="8523" w:type="dxa"/>
          <w:tblInd w:w="12" w:type="dxa"/>
          <w:tblLayout w:type="fixed"/>
          <w:tblCellMar>
            <w:top w:w="0" w:type="dxa"/>
            <w:left w:w="0" w:type="dxa"/>
            <w:bottom w:w="0" w:type="dxa"/>
            <w:right w:w="0" w:type="dxa"/>
          </w:tblCellMar>
        </w:tblPrEx>
        <w:trPr>
          <w:trHeight w:val="326"/>
        </w:trPr>
        <w:tc>
          <w:tcPr>
            <w:tcW w:w="1253" w:type="dxa"/>
            <w:tcBorders>
              <w:tl2br w:val="nil"/>
              <w:tr2bl w:val="nil"/>
            </w:tcBorders>
            <w:vAlign w:val="center"/>
          </w:tcPr>
          <w:p w14:paraId="3795D448">
            <w:pPr>
              <w:pStyle w:val="a10"/>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1</w:t>
            </w:r>
          </w:p>
        </w:tc>
        <w:tc>
          <w:tcPr>
            <w:tcW w:w="3251" w:type="dxa"/>
            <w:tcBorders>
              <w:tl2br w:val="nil"/>
              <w:tr2bl w:val="nil"/>
            </w:tcBorders>
            <w:vAlign w:val="center"/>
          </w:tcPr>
          <w:p w14:paraId="79098EA0">
            <w:pPr>
              <w:pStyle w:val="a10"/>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rPr>
              <w:t>电解液储罐区围堰</w:t>
            </w:r>
          </w:p>
        </w:tc>
        <w:tc>
          <w:tcPr>
            <w:tcW w:w="1881" w:type="dxa"/>
            <w:tcBorders>
              <w:tl2br w:val="nil"/>
              <w:tr2bl w:val="nil"/>
            </w:tcBorders>
            <w:vAlign w:val="center"/>
          </w:tcPr>
          <w:p w14:paraId="1A06E3FB">
            <w:pPr>
              <w:pStyle w:val="a10"/>
              <w:bidi w:val="0"/>
              <w:jc w:val="center"/>
              <w:rPr>
                <w:rFonts w:ascii="Times New Roman" w:eastAsia="宋体" w:hAnsi="Times New Roman" w:cs="Times New Roman" w:hint="default"/>
                <w:color w:val="auto"/>
                <w:lang w:val="en-US" w:eastAsia="zh-CN"/>
              </w:rPr>
            </w:pPr>
            <w:r>
              <w:rPr>
                <w:rFonts w:cs="Times New Roman" w:hint="eastAsia"/>
                <w:color w:val="auto"/>
                <w:lang w:val="en-US" w:eastAsia="zh-CN"/>
              </w:rPr>
              <w:t>4</w:t>
            </w:r>
          </w:p>
        </w:tc>
        <w:tc>
          <w:tcPr>
            <w:tcW w:w="2138" w:type="dxa"/>
            <w:tcBorders>
              <w:tl2br w:val="nil"/>
              <w:tr2bl w:val="nil"/>
            </w:tcBorders>
            <w:vAlign w:val="center"/>
          </w:tcPr>
          <w:p w14:paraId="028A4FF2">
            <w:pPr>
              <w:pStyle w:val="a10"/>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60</w:t>
            </w:r>
          </w:p>
        </w:tc>
      </w:tr>
      <w:tr w14:paraId="135FDFA9">
        <w:tblPrEx>
          <w:tblW w:w="8523" w:type="dxa"/>
          <w:tblInd w:w="12" w:type="dxa"/>
          <w:tblLayout w:type="fixed"/>
          <w:tblCellMar>
            <w:top w:w="0" w:type="dxa"/>
            <w:left w:w="0" w:type="dxa"/>
            <w:bottom w:w="0" w:type="dxa"/>
            <w:right w:w="0" w:type="dxa"/>
          </w:tblCellMar>
        </w:tblPrEx>
        <w:trPr>
          <w:trHeight w:val="529"/>
        </w:trPr>
        <w:tc>
          <w:tcPr>
            <w:tcW w:w="1253" w:type="dxa"/>
            <w:tcBorders>
              <w:tl2br w:val="nil"/>
              <w:tr2bl w:val="nil"/>
            </w:tcBorders>
            <w:vAlign w:val="center"/>
          </w:tcPr>
          <w:p w14:paraId="00B9B6E3">
            <w:pPr>
              <w:pStyle w:val="a10"/>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2</w:t>
            </w:r>
          </w:p>
        </w:tc>
        <w:tc>
          <w:tcPr>
            <w:tcW w:w="3251" w:type="dxa"/>
            <w:tcBorders>
              <w:tl2br w:val="nil"/>
              <w:tr2bl w:val="nil"/>
            </w:tcBorders>
            <w:vAlign w:val="center"/>
          </w:tcPr>
          <w:p w14:paraId="3596DA3B">
            <w:pPr>
              <w:pStyle w:val="a10"/>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事故</w:t>
            </w:r>
            <w:r>
              <w:rPr>
                <w:rFonts w:cs="Times New Roman" w:hint="eastAsia"/>
                <w:color w:val="auto"/>
                <w:lang w:val="en-US" w:eastAsia="zh-CN"/>
              </w:rPr>
              <w:t>油</w:t>
            </w:r>
            <w:r>
              <w:rPr>
                <w:rFonts w:ascii="Times New Roman" w:eastAsia="宋体" w:hAnsi="Times New Roman" w:cs="Times New Roman" w:hint="default"/>
                <w:color w:val="auto"/>
                <w:lang w:val="en-US" w:eastAsia="zh-CN"/>
              </w:rPr>
              <w:t>池</w:t>
            </w:r>
            <w:r>
              <w:rPr>
                <w:rFonts w:cs="Times New Roman" w:hint="eastAsia"/>
                <w:color w:val="auto"/>
                <w:lang w:val="en-US" w:eastAsia="zh-CN"/>
              </w:rPr>
              <w:t>、电解液事故池</w:t>
            </w:r>
          </w:p>
        </w:tc>
        <w:tc>
          <w:tcPr>
            <w:tcW w:w="1881" w:type="dxa"/>
            <w:tcBorders>
              <w:tl2br w:val="nil"/>
              <w:tr2bl w:val="nil"/>
            </w:tcBorders>
            <w:vAlign w:val="center"/>
          </w:tcPr>
          <w:p w14:paraId="30BCCA83">
            <w:pPr>
              <w:pStyle w:val="a10"/>
              <w:bidi w:val="0"/>
              <w:jc w:val="center"/>
              <w:rPr>
                <w:rFonts w:ascii="Times New Roman" w:eastAsia="宋体" w:hAnsi="Times New Roman" w:cs="Times New Roman" w:hint="default"/>
                <w:color w:val="auto"/>
                <w:lang w:val="en-US" w:eastAsia="zh-CN"/>
              </w:rPr>
            </w:pPr>
            <w:r>
              <w:rPr>
                <w:rFonts w:cs="Times New Roman" w:hint="eastAsia"/>
                <w:color w:val="auto"/>
                <w:lang w:val="en-US" w:eastAsia="zh-CN"/>
              </w:rPr>
              <w:t>2</w:t>
            </w:r>
          </w:p>
        </w:tc>
        <w:tc>
          <w:tcPr>
            <w:tcW w:w="2138" w:type="dxa"/>
            <w:tcBorders>
              <w:tl2br w:val="nil"/>
              <w:tr2bl w:val="nil"/>
            </w:tcBorders>
            <w:vAlign w:val="center"/>
          </w:tcPr>
          <w:p w14:paraId="7F94F0C3">
            <w:pPr>
              <w:pStyle w:val="a10"/>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50</w:t>
            </w:r>
          </w:p>
        </w:tc>
      </w:tr>
      <w:tr w14:paraId="43211C74">
        <w:tblPrEx>
          <w:tblW w:w="8523" w:type="dxa"/>
          <w:tblInd w:w="12" w:type="dxa"/>
          <w:tblLayout w:type="fixed"/>
          <w:tblCellMar>
            <w:top w:w="0" w:type="dxa"/>
            <w:left w:w="0" w:type="dxa"/>
            <w:bottom w:w="0" w:type="dxa"/>
            <w:right w:w="0" w:type="dxa"/>
          </w:tblCellMar>
        </w:tblPrEx>
        <w:trPr>
          <w:trHeight w:val="330"/>
        </w:trPr>
        <w:tc>
          <w:tcPr>
            <w:tcW w:w="1253" w:type="dxa"/>
            <w:tcBorders>
              <w:tl2br w:val="nil"/>
              <w:tr2bl w:val="nil"/>
            </w:tcBorders>
            <w:vAlign w:val="center"/>
          </w:tcPr>
          <w:p w14:paraId="38FE1252">
            <w:pPr>
              <w:pStyle w:val="a10"/>
              <w:bidi w:val="0"/>
              <w:jc w:val="center"/>
              <w:rPr>
                <w:rFonts w:ascii="Times New Roman" w:eastAsia="宋体" w:hAnsi="Times New Roman" w:cs="Times New Roman" w:hint="default"/>
                <w:color w:val="auto"/>
                <w:lang w:eastAsia="zh-CN"/>
              </w:rPr>
            </w:pPr>
            <w:r>
              <w:rPr>
                <w:rFonts w:ascii="Times New Roman" w:eastAsia="宋体" w:hAnsi="Times New Roman" w:cs="Times New Roman" w:hint="default"/>
                <w:color w:val="auto"/>
                <w:lang w:val="en-US" w:eastAsia="zh-CN"/>
              </w:rPr>
              <w:t>3</w:t>
            </w:r>
          </w:p>
        </w:tc>
        <w:tc>
          <w:tcPr>
            <w:tcW w:w="3251" w:type="dxa"/>
            <w:tcBorders>
              <w:tl2br w:val="nil"/>
              <w:tr2bl w:val="nil"/>
            </w:tcBorders>
            <w:vAlign w:val="center"/>
          </w:tcPr>
          <w:p w14:paraId="287046B3">
            <w:pPr>
              <w:pStyle w:val="a10"/>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消防器具及防护用品</w:t>
            </w:r>
          </w:p>
        </w:tc>
        <w:tc>
          <w:tcPr>
            <w:tcW w:w="1881" w:type="dxa"/>
            <w:tcBorders>
              <w:tl2br w:val="nil"/>
              <w:tr2bl w:val="nil"/>
            </w:tcBorders>
            <w:vAlign w:val="center"/>
          </w:tcPr>
          <w:p w14:paraId="17F75607">
            <w:pPr>
              <w:pStyle w:val="a10"/>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若干</w:t>
            </w:r>
          </w:p>
        </w:tc>
        <w:tc>
          <w:tcPr>
            <w:tcW w:w="2138" w:type="dxa"/>
            <w:tcBorders>
              <w:tl2br w:val="nil"/>
              <w:tr2bl w:val="nil"/>
            </w:tcBorders>
            <w:vAlign w:val="center"/>
          </w:tcPr>
          <w:p w14:paraId="6EE1184F">
            <w:pPr>
              <w:pStyle w:val="a10"/>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10</w:t>
            </w:r>
          </w:p>
        </w:tc>
      </w:tr>
      <w:tr w14:paraId="61AC071A">
        <w:tblPrEx>
          <w:tblW w:w="8523" w:type="dxa"/>
          <w:tblInd w:w="12" w:type="dxa"/>
          <w:tblLayout w:type="fixed"/>
          <w:tblCellMar>
            <w:top w:w="0" w:type="dxa"/>
            <w:left w:w="0" w:type="dxa"/>
            <w:bottom w:w="0" w:type="dxa"/>
            <w:right w:w="0" w:type="dxa"/>
          </w:tblCellMar>
        </w:tblPrEx>
        <w:trPr>
          <w:trHeight w:val="338"/>
        </w:trPr>
        <w:tc>
          <w:tcPr>
            <w:tcW w:w="4504" w:type="dxa"/>
            <w:gridSpan w:val="2"/>
            <w:tcBorders>
              <w:tl2br w:val="nil"/>
              <w:tr2bl w:val="nil"/>
            </w:tcBorders>
            <w:vAlign w:val="center"/>
          </w:tcPr>
          <w:p w14:paraId="3CA1A0ED">
            <w:pPr>
              <w:pStyle w:val="a10"/>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合计</w:t>
            </w:r>
          </w:p>
        </w:tc>
        <w:tc>
          <w:tcPr>
            <w:tcW w:w="1881" w:type="dxa"/>
            <w:tcBorders>
              <w:tl2br w:val="nil"/>
              <w:tr2bl w:val="nil"/>
            </w:tcBorders>
            <w:vAlign w:val="center"/>
          </w:tcPr>
          <w:p w14:paraId="7DB5E9A3">
            <w:pPr>
              <w:pStyle w:val="a10"/>
              <w:bidi w:val="0"/>
              <w:jc w:val="center"/>
              <w:rPr>
                <w:rFonts w:ascii="Times New Roman" w:eastAsia="宋体" w:hAnsi="Times New Roman" w:cs="Times New Roman" w:hint="default"/>
                <w:color w:val="auto"/>
              </w:rPr>
            </w:pPr>
            <w:r>
              <w:rPr>
                <w:rFonts w:ascii="Times New Roman" w:eastAsia="宋体" w:hAnsi="Times New Roman" w:cs="Times New Roman" w:hint="default"/>
                <w:color w:val="auto"/>
              </w:rPr>
              <w:t>/</w:t>
            </w:r>
          </w:p>
        </w:tc>
        <w:tc>
          <w:tcPr>
            <w:tcW w:w="2138" w:type="dxa"/>
            <w:tcBorders>
              <w:tl2br w:val="nil"/>
              <w:tr2bl w:val="nil"/>
            </w:tcBorders>
            <w:vAlign w:val="center"/>
          </w:tcPr>
          <w:p w14:paraId="2D57CCF7">
            <w:pPr>
              <w:pStyle w:val="a10"/>
              <w:bidi w:val="0"/>
              <w:jc w:val="center"/>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120</w:t>
            </w:r>
          </w:p>
        </w:tc>
      </w:tr>
    </w:tbl>
    <w:p w14:paraId="0A2F3AF7">
      <w:pPr>
        <w:spacing w:before="178" w:line="219" w:lineRule="auto"/>
        <w:ind w:left="132"/>
        <w:rPr>
          <w:rFonts w:ascii="Times New Roman" w:eastAsia="宋体" w:hAnsi="Times New Roman" w:cs="Times New Roman" w:hint="default"/>
          <w:color w:val="auto"/>
          <w:sz w:val="28"/>
          <w:szCs w:val="28"/>
          <w14:textOutline w14:w="5103" w14:cap="sq">
            <w14:solidFill>
              <w14:srgbClr w14:val="000000"/>
            </w14:solidFill>
            <w14:bevel/>
          </w14:textOutline>
        </w:rPr>
      </w:pPr>
      <w:r>
        <w:rPr>
          <w:rFonts w:ascii="Times New Roman" w:eastAsia="宋体" w:hAnsi="Times New Roman" w:cs="Times New Roman" w:hint="default"/>
          <w:color w:val="auto"/>
          <w:sz w:val="28"/>
          <w:szCs w:val="28"/>
          <w:lang w:val="en-US" w:eastAsia="zh-CN"/>
          <w14:textOutline w14:w="5103" w14:cap="sq">
            <w14:solidFill>
              <w14:srgbClr w14:val="000000"/>
            </w14:solidFill>
            <w14:bevel/>
          </w14:textOutline>
        </w:rPr>
        <w:t>9</w:t>
      </w:r>
      <w:r>
        <w:rPr>
          <w:rFonts w:ascii="Times New Roman" w:eastAsia="宋体" w:hAnsi="Times New Roman" w:cs="Times New Roman" w:hint="default"/>
          <w:color w:val="auto"/>
          <w:sz w:val="28"/>
          <w:szCs w:val="28"/>
          <w14:textOutline w14:w="5103" w14:cap="sq">
            <w14:solidFill>
              <w14:srgbClr w14:val="000000"/>
            </w14:solidFill>
            <w14:bevel/>
          </w14:textOutline>
        </w:rPr>
        <w:t xml:space="preserve">  风险事故应急预案</w:t>
      </w:r>
    </w:p>
    <w:p w14:paraId="6BCDC744">
      <w:pPr>
        <w:pStyle w:val="00005"/>
        <w:bidi w:val="0"/>
        <w:rPr>
          <w:rFonts w:ascii="Times New Roman" w:eastAsia="宋体" w:hAnsi="Times New Roman" w:cs="Times New Roman" w:hint="default"/>
          <w:b/>
          <w:bCs/>
          <w:color w:val="auto"/>
          <w:spacing w:val="-1"/>
          <w:sz w:val="28"/>
          <w:szCs w:val="28"/>
        </w:rPr>
      </w:pPr>
      <w:r>
        <w:rPr>
          <w:rFonts w:ascii="Times New Roman" w:eastAsia="宋体" w:hAnsi="Times New Roman" w:cs="Times New Roman" w:hint="default"/>
          <w:color w:val="auto"/>
          <w:lang w:val="en-US" w:eastAsia="zh-CN"/>
        </w:rPr>
        <w:t>《企业事业单位突发环境事件应急预案备案管理办法（试行）》（环发〔2015〕4号）、《企业事业单位突发环境事件应急预案评审工作指南（试行）》（环办应急[2018]8号）的要求，各有关企业单位应制定防止重大环境污染事故发生的工作计划，消除事故隐患的设施及突发性事故应急处理办法等。有重大环境污染事故隐患的单位还应建立紧急救援组织，确定重大事故管理方案和应急计划，一旦发生重大事故，能有效地组织救援。根据导则要求，结合项目特点，编制突发环境事件应急预案并报生态环境部门备案。</w:t>
      </w:r>
    </w:p>
    <w:p w14:paraId="3016EEE6">
      <w:pPr>
        <w:spacing w:before="178" w:line="219" w:lineRule="auto"/>
        <w:ind w:left="132"/>
        <w:rPr>
          <w:rFonts w:ascii="Times New Roman" w:eastAsia="宋体" w:hAnsi="Times New Roman" w:cs="Times New Roman" w:hint="default"/>
          <w:color w:val="auto"/>
          <w:sz w:val="28"/>
          <w:szCs w:val="28"/>
          <w:lang w:val="en-US" w:eastAsia="zh-CN"/>
          <w14:textOutline w14:w="5103" w14:cap="sq">
            <w14:solidFill>
              <w14:srgbClr w14:val="000000"/>
            </w14:solidFill>
            <w14:bevel/>
          </w14:textOutline>
        </w:rPr>
      </w:pPr>
      <w:r>
        <w:rPr>
          <w:rFonts w:ascii="Times New Roman" w:eastAsia="宋体" w:hAnsi="Times New Roman" w:cs="Times New Roman" w:hint="default"/>
          <w:color w:val="auto"/>
          <w:sz w:val="28"/>
          <w:szCs w:val="28"/>
          <w:lang w:val="en-US" w:eastAsia="zh-CN"/>
          <w14:textOutline w14:w="5103" w14:cap="sq">
            <w14:solidFill>
              <w14:srgbClr w14:val="000000"/>
            </w14:solidFill>
            <w14:bevel/>
          </w14:textOutline>
        </w:rPr>
        <w:t>10  环境风险小结</w:t>
      </w:r>
    </w:p>
    <w:p w14:paraId="5FDF9062">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（1）根据《建设项目环境风险评价技术导则》（HJ169-2018），本项目环境风险潜势为Ⅱ级，本项目环境风险评价等级为三级。</w:t>
      </w:r>
    </w:p>
    <w:p w14:paraId="57D9F167">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（2）本项目所涉及的危险物质主要为变压器油、</w:t>
      </w:r>
      <w:r>
        <w:rPr>
          <w:rFonts w:cs="Times New Roman" w:hint="eastAsia"/>
          <w:color w:val="auto"/>
          <w:lang w:val="en-US" w:eastAsia="zh-CN"/>
        </w:rPr>
        <w:t>电解液</w:t>
      </w:r>
      <w:r>
        <w:rPr>
          <w:rFonts w:ascii="Times New Roman" w:eastAsia="宋体" w:hAnsi="Times New Roman" w:cs="Times New Roman" w:hint="default"/>
          <w:color w:val="auto"/>
          <w:lang w:val="en-US" w:eastAsia="zh-CN"/>
        </w:rPr>
        <w:t>等有毒有害物质，具有一定的潜在危险性，易发生泄漏事故。</w:t>
      </w:r>
    </w:p>
    <w:p w14:paraId="199A2317">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（3）本项目在厂区做好防渗工作，在一定程度上可防止地表水体及地下水体的污染。</w:t>
      </w:r>
    </w:p>
    <w:p w14:paraId="1C2DE7DF">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4）泄漏及火灾事故造成的危害通常情况下集中在项目地块内，其危害评价一般属于安全评价范围，且建设单位有较好的风险防范措施，本项目在切实采取相应风险防范措施和应急预案的前提下，本项目环境风险是可防控的。</w:t>
      </w:r>
    </w:p>
    <w:p w14:paraId="724739F2">
      <w:pPr>
        <w:pStyle w:val="00005"/>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综上所述，建设单位只要严格按照国家的有关技术标准进行设计、施工与生产，并落实本评价提出的防范措施，制定详细、可行的风险应急预案，事故风险在可接受范围之内。</w:t>
      </w:r>
    </w:p>
    <w:p w14:paraId="23E88152">
      <w:pPr>
        <w:spacing w:line="220" w:lineRule="auto"/>
        <w:rPr>
          <w:rFonts w:ascii="Times New Roman" w:eastAsia="宋体" w:hAnsi="Times New Roman" w:cs="Times New Roman" w:hint="default"/>
          <w:color w:val="auto"/>
          <w:sz w:val="24"/>
          <w:szCs w:val="24"/>
        </w:rPr>
        <w:sectPr>
          <w:footerReference w:type="default" r:id="rId40"/>
          <w:pgSz w:w="11906" w:h="16839"/>
          <w:pgMar w:top="1440" w:right="1797" w:bottom="1440" w:left="1797" w:header="0" w:footer="994" w:gutter="0"/>
          <w:pgBorders>
            <w:top w:val="none" w:sz="0" w:space="0" w:color="auto"/>
            <w:left w:val="none" w:sz="0" w:space="0" w:color="auto"/>
            <w:bottom w:val="none" w:sz="0" w:space="0" w:color="auto"/>
            <w:right w:val="none" w:sz="0" w:space="0" w:color="auto"/>
          </w:pgBorders>
          <w:pgNumType w:fmt="decimal"/>
          <w:cols w:num="1" w:space="720"/>
        </w:sectPr>
      </w:pPr>
    </w:p>
    <w:p w14:paraId="57DF2E34">
      <w:pPr>
        <w:pStyle w:val="000"/>
        <w:bidi w:val="0"/>
        <w:rPr>
          <w:rFonts w:ascii="Times New Roman" w:eastAsia="宋体" w:hAnsi="Times New Roman" w:cs="Times New Roman" w:hint="default"/>
          <w:color w:val="auto"/>
          <w:spacing w:val="5"/>
          <w:sz w:val="20"/>
          <w:szCs w:val="20"/>
          <w14:textOutline w14:w="3795" w14:cap="sq">
            <w14:solidFill>
              <w14:srgbClr w14:val="000000"/>
            </w14:solidFill>
            <w14:bevel/>
          </w14:textOutline>
        </w:rPr>
      </w:pPr>
      <w:r>
        <w:rPr>
          <w:rFonts w:ascii="Times New Roman" w:eastAsia="宋体" w:hAnsi="Times New Roman" w:cs="Times New Roman" w:hint="default"/>
          <w:color w:val="auto"/>
          <w:spacing w:val="6"/>
          <w:sz w:val="20"/>
          <w:szCs w:val="20"/>
          <w14:textOutline w14:w="3795" w14:cap="sq">
            <w14:solidFill>
              <w14:srgbClr w14:val="000000"/>
            </w14:solidFill>
            <w14:bevel/>
          </w14:textOutline>
        </w:rPr>
        <w:t>表</w:t>
      </w:r>
      <w:r>
        <w:rPr>
          <w:rFonts w:ascii="Times New Roman" w:eastAsia="宋体" w:hAnsi="Times New Roman" w:cs="Times New Roman" w:hint="default"/>
          <w:color w:val="auto"/>
          <w:spacing w:val="-40"/>
          <w:sz w:val="20"/>
          <w:szCs w:val="20"/>
        </w:rPr>
        <w:t xml:space="preserve"> </w:t>
      </w:r>
      <w:r>
        <w:rPr>
          <w:rFonts w:ascii="Times New Roman" w:eastAsia="宋体" w:hAnsi="Times New Roman" w:cs="Times New Roman" w:hint="default"/>
          <w:b/>
          <w:bCs/>
          <w:color w:val="auto"/>
          <w:spacing w:val="6"/>
          <w:sz w:val="20"/>
          <w:szCs w:val="20"/>
        </w:rPr>
        <w:t>2</w:t>
      </w:r>
      <w:r>
        <w:rPr>
          <w:rFonts w:ascii="Times New Roman" w:eastAsia="宋体" w:hAnsi="Times New Roman" w:cs="Times New Roman" w:hint="default"/>
          <w:b/>
          <w:bCs/>
          <w:color w:val="auto"/>
          <w:spacing w:val="6"/>
          <w:sz w:val="20"/>
          <w:szCs w:val="20"/>
          <w:lang w:val="en-US" w:eastAsia="zh-CN"/>
        </w:rPr>
        <w:t>2</w:t>
      </w:r>
      <w:r>
        <w:rPr>
          <w:rFonts w:ascii="Times New Roman" w:eastAsia="宋体" w:hAnsi="Times New Roman" w:cs="Times New Roman" w:hint="default"/>
          <w:b/>
          <w:bCs/>
          <w:color w:val="auto"/>
          <w:spacing w:val="6"/>
          <w:sz w:val="20"/>
          <w:szCs w:val="20"/>
        </w:rPr>
        <w:t xml:space="preserve">  </w:t>
      </w:r>
      <w:r>
        <w:rPr>
          <w:rFonts w:ascii="Times New Roman" w:eastAsia="宋体" w:hAnsi="Times New Roman" w:cs="Times New Roman" w:hint="default"/>
          <w:color w:val="auto"/>
          <w:spacing w:val="6"/>
          <w:sz w:val="20"/>
          <w:szCs w:val="20"/>
          <w14:textOutline w14:w="3795" w14:cap="sq">
            <w14:solidFill>
              <w14:srgbClr w14:val="000000"/>
            </w14:solidFill>
            <w14:bevel/>
          </w14:textOutline>
        </w:rPr>
        <w:t>建设项目环境风</w:t>
      </w:r>
      <w:r>
        <w:rPr>
          <w:rFonts w:ascii="Times New Roman" w:eastAsia="宋体" w:hAnsi="Times New Roman" w:cs="Times New Roman" w:hint="default"/>
          <w:color w:val="auto"/>
          <w:spacing w:val="5"/>
          <w:sz w:val="20"/>
          <w:szCs w:val="20"/>
          <w14:textOutline w14:w="3795" w14:cap="sq">
            <w14:solidFill>
              <w14:srgbClr w14:val="000000"/>
            </w14:solidFill>
            <w14:bevel/>
          </w14:textOutline>
        </w:rPr>
        <w:t>险评价自查表</w:t>
      </w:r>
    </w:p>
    <w:tbl>
      <w:tblPr>
        <w:tblStyle w:val="TableNormal"/>
        <w:tblW w:w="0" w:type="auto"/>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Pr>
      <w:tblGrid>
        <w:gridCol w:w="304"/>
        <w:gridCol w:w="901"/>
        <w:gridCol w:w="947"/>
        <w:gridCol w:w="240"/>
        <w:gridCol w:w="1421"/>
        <w:gridCol w:w="864"/>
        <w:gridCol w:w="310"/>
        <w:gridCol w:w="270"/>
        <w:gridCol w:w="87"/>
        <w:gridCol w:w="680"/>
        <w:gridCol w:w="216"/>
        <w:gridCol w:w="181"/>
        <w:gridCol w:w="1865"/>
      </w:tblGrid>
      <w:tr w14:paraId="56D905DB">
        <w:tblPrEx>
          <w:tblW w:w="0" w:type="auto"/>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PrEx>
        <w:trPr>
          <w:trHeight w:val="397"/>
        </w:trPr>
        <w:tc>
          <w:tcPr>
            <w:tcW w:w="1205" w:type="dxa"/>
            <w:gridSpan w:val="2"/>
            <w:tcBorders>
              <w:top w:val="single" w:sz="8" w:space="0" w:color="000000"/>
              <w:left w:val="single" w:sz="8" w:space="0" w:color="000000"/>
              <w:bottom w:val="single" w:sz="4" w:space="0" w:color="000000"/>
              <w:right w:val="single" w:sz="4" w:space="0" w:color="000000"/>
            </w:tcBorders>
            <w:noWrap w:val="0"/>
            <w:vAlign w:val="center"/>
          </w:tcPr>
          <w:p w14:paraId="7A4BBF97">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工作内容</w:t>
            </w:r>
          </w:p>
        </w:tc>
        <w:tc>
          <w:tcPr>
            <w:tcW w:w="7081" w:type="dxa"/>
            <w:gridSpan w:val="11"/>
            <w:tcBorders>
              <w:top w:val="single" w:sz="8" w:space="0" w:color="000000"/>
              <w:left w:val="nil"/>
              <w:bottom w:val="single" w:sz="4" w:space="0" w:color="000000"/>
              <w:right w:val="single" w:sz="8" w:space="0" w:color="000000"/>
            </w:tcBorders>
            <w:noWrap w:val="0"/>
            <w:vAlign w:val="center"/>
          </w:tcPr>
          <w:p w14:paraId="475C0212">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完成情况</w:t>
            </w:r>
          </w:p>
        </w:tc>
      </w:tr>
      <w:tr w14:paraId="01FA4CB9">
        <w:tblPrEx>
          <w:tblW w:w="0" w:type="auto"/>
          <w:tblInd w:w="0" w:type="dxa"/>
          <w:tblLayout w:type="fixed"/>
          <w:tblCellMar>
            <w:top w:w="0" w:type="dxa"/>
            <w:left w:w="0" w:type="dxa"/>
            <w:bottom w:w="0" w:type="dxa"/>
            <w:right w:w="0" w:type="dxa"/>
          </w:tblCellMar>
        </w:tblPrEx>
        <w:trPr>
          <w:trHeight w:val="397"/>
        </w:trPr>
        <w:tc>
          <w:tcPr>
            <w:tcW w:w="304" w:type="dxa"/>
            <w:vMerge w:val="restart"/>
            <w:tcBorders>
              <w:top w:val="nil"/>
              <w:left w:val="single" w:sz="8" w:space="0" w:color="000000"/>
              <w:bottom w:val="single" w:sz="4" w:space="0" w:color="000000"/>
              <w:right w:val="single" w:sz="4" w:space="0" w:color="000000"/>
            </w:tcBorders>
            <w:noWrap w:val="0"/>
            <w:vAlign w:val="center"/>
          </w:tcPr>
          <w:p w14:paraId="39334EF1">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风</w:t>
            </w:r>
          </w:p>
          <w:p w14:paraId="5B079EBD">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险</w:t>
            </w:r>
          </w:p>
          <w:p w14:paraId="7C348077">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调</w:t>
            </w:r>
          </w:p>
          <w:p w14:paraId="6473DF53">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查</w:t>
            </w:r>
          </w:p>
        </w:tc>
        <w:tc>
          <w:tcPr>
            <w:tcW w:w="901" w:type="dxa"/>
            <w:vMerge w:val="restart"/>
            <w:tcBorders>
              <w:top w:val="nil"/>
              <w:left w:val="nil"/>
              <w:bottom w:val="single" w:sz="4" w:space="0" w:color="000000"/>
              <w:right w:val="single" w:sz="4" w:space="0" w:color="000000"/>
            </w:tcBorders>
            <w:noWrap w:val="0"/>
            <w:vAlign w:val="center"/>
          </w:tcPr>
          <w:p w14:paraId="1C59AD5B">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危险物质</w:t>
            </w:r>
          </w:p>
        </w:tc>
        <w:tc>
          <w:tcPr>
            <w:tcW w:w="947" w:type="dxa"/>
            <w:tcBorders>
              <w:top w:val="single" w:sz="4" w:space="0" w:color="000000"/>
              <w:left w:val="nil"/>
              <w:bottom w:val="single" w:sz="4" w:space="0" w:color="000000"/>
              <w:right w:val="single" w:sz="4" w:space="0" w:color="000000"/>
            </w:tcBorders>
            <w:noWrap w:val="0"/>
            <w:vAlign w:val="center"/>
          </w:tcPr>
          <w:p w14:paraId="5D920378">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名称</w:t>
            </w:r>
          </w:p>
        </w:tc>
        <w:tc>
          <w:tcPr>
            <w:tcW w:w="4088" w:type="dxa"/>
            <w:gridSpan w:val="8"/>
            <w:tcBorders>
              <w:top w:val="single" w:sz="4" w:space="0" w:color="000000"/>
              <w:left w:val="nil"/>
              <w:bottom w:val="single" w:sz="4" w:space="0" w:color="000000"/>
            </w:tcBorders>
            <w:noWrap w:val="0"/>
            <w:vAlign w:val="center"/>
          </w:tcPr>
          <w:p w14:paraId="31A38A29">
            <w:pPr>
              <w:pStyle w:val="a4"/>
              <w:bidi w:val="0"/>
              <w:rPr>
                <w:rFonts w:ascii="Times New Roman" w:eastAsia="宋体" w:hAnsi="Times New Roman" w:cs="Times New Roman" w:hint="default"/>
                <w:color w:val="auto"/>
              </w:rPr>
            </w:pPr>
            <w:r>
              <w:rPr>
                <w:rFonts w:cs="Times New Roman" w:hint="eastAsia"/>
                <w:color w:val="auto"/>
                <w:lang w:val="en-US" w:eastAsia="zh-CN"/>
              </w:rPr>
              <w:t>电解液</w:t>
            </w:r>
          </w:p>
        </w:tc>
        <w:tc>
          <w:tcPr>
            <w:tcW w:w="2046" w:type="dxa"/>
            <w:gridSpan w:val="2"/>
            <w:tcBorders>
              <w:top w:val="single" w:sz="4" w:space="0" w:color="000000"/>
              <w:left w:val="nil"/>
              <w:bottom w:val="single" w:sz="4" w:space="0" w:color="000000"/>
            </w:tcBorders>
            <w:noWrap w:val="0"/>
            <w:vAlign w:val="center"/>
          </w:tcPr>
          <w:p w14:paraId="6F0688FC">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lang w:val="en-US" w:eastAsia="zh-CN"/>
              </w:rPr>
              <w:t>矿物油</w:t>
            </w:r>
          </w:p>
        </w:tc>
      </w:tr>
      <w:tr w14:paraId="00CFB5B0">
        <w:tblPrEx>
          <w:tblW w:w="0" w:type="auto"/>
          <w:tblInd w:w="0" w:type="dxa"/>
          <w:tblLayout w:type="fixed"/>
          <w:tblCellMar>
            <w:top w:w="0" w:type="dxa"/>
            <w:left w:w="0" w:type="dxa"/>
            <w:bottom w:w="0" w:type="dxa"/>
            <w:right w:w="0" w:type="dxa"/>
          </w:tblCellMar>
        </w:tblPrEx>
        <w:trPr>
          <w:trHeight w:val="397"/>
        </w:trPr>
        <w:tc>
          <w:tcPr>
            <w:tcW w:w="304" w:type="dxa"/>
            <w:vMerge/>
            <w:tcBorders>
              <w:top w:val="nil"/>
              <w:left w:val="single" w:sz="8" w:space="0" w:color="000000"/>
              <w:bottom w:val="single" w:sz="4" w:space="0" w:color="000000"/>
              <w:right w:val="single" w:sz="4" w:space="0" w:color="000000"/>
            </w:tcBorders>
            <w:noWrap w:val="0"/>
            <w:vAlign w:val="center"/>
          </w:tcPr>
          <w:p w14:paraId="00773F5D">
            <w:pPr>
              <w:pStyle w:val="a4"/>
              <w:bidi w:val="0"/>
              <w:rPr>
                <w:rFonts w:ascii="Times New Roman" w:eastAsia="宋体" w:hAnsi="Times New Roman" w:cs="Times New Roman" w:hint="default"/>
                <w:color w:val="auto"/>
              </w:rPr>
            </w:pPr>
          </w:p>
        </w:tc>
        <w:tc>
          <w:tcPr>
            <w:tcW w:w="901" w:type="dxa"/>
            <w:vMerge/>
            <w:tcBorders>
              <w:top w:val="nil"/>
              <w:left w:val="nil"/>
              <w:bottom w:val="single" w:sz="4" w:space="0" w:color="000000"/>
              <w:right w:val="single" w:sz="4" w:space="0" w:color="000000"/>
            </w:tcBorders>
            <w:noWrap w:val="0"/>
            <w:vAlign w:val="center"/>
          </w:tcPr>
          <w:p w14:paraId="38B255E8">
            <w:pPr>
              <w:pStyle w:val="a4"/>
              <w:bidi w:val="0"/>
              <w:rPr>
                <w:rFonts w:ascii="Times New Roman" w:eastAsia="宋体" w:hAnsi="Times New Roman" w:cs="Times New Roman" w:hint="default"/>
                <w:color w:val="auto"/>
              </w:rPr>
            </w:pPr>
          </w:p>
        </w:tc>
        <w:tc>
          <w:tcPr>
            <w:tcW w:w="947" w:type="dxa"/>
            <w:tcBorders>
              <w:top w:val="single" w:sz="4" w:space="0" w:color="000000"/>
              <w:left w:val="nil"/>
              <w:bottom w:val="single" w:sz="4" w:space="0" w:color="000000"/>
              <w:right w:val="single" w:sz="4" w:space="0" w:color="000000"/>
            </w:tcBorders>
            <w:noWrap w:val="0"/>
            <w:vAlign w:val="center"/>
          </w:tcPr>
          <w:p w14:paraId="2A84DB48">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存在总量/t</w:t>
            </w:r>
          </w:p>
        </w:tc>
        <w:tc>
          <w:tcPr>
            <w:tcW w:w="4088" w:type="dxa"/>
            <w:gridSpan w:val="8"/>
            <w:tcBorders>
              <w:top w:val="single" w:sz="4" w:space="0" w:color="000000"/>
              <w:left w:val="nil"/>
              <w:bottom w:val="single" w:sz="4" w:space="0" w:color="000000"/>
            </w:tcBorders>
            <w:noWrap w:val="0"/>
            <w:vAlign w:val="center"/>
          </w:tcPr>
          <w:p w14:paraId="3A4D7505">
            <w:pPr>
              <w:pStyle w:val="a4"/>
              <w:bidi w:val="0"/>
              <w:rPr>
                <w:rFonts w:ascii="Times New Roman" w:eastAsia="宋体" w:hAnsi="Times New Roman" w:cs="Times New Roman" w:hint="default"/>
                <w:color w:val="auto"/>
                <w:lang w:val="en-US" w:eastAsia="zh-CN"/>
              </w:rPr>
            </w:pPr>
            <w:r>
              <w:rPr>
                <w:rFonts w:cs="Times New Roman" w:hint="eastAsia"/>
                <w:color w:val="auto"/>
                <w:lang w:val="en-US" w:eastAsia="zh-CN"/>
              </w:rPr>
              <w:t>17500</w:t>
            </w:r>
          </w:p>
        </w:tc>
        <w:tc>
          <w:tcPr>
            <w:tcW w:w="2046" w:type="dxa"/>
            <w:gridSpan w:val="2"/>
            <w:tcBorders>
              <w:top w:val="single" w:sz="4" w:space="0" w:color="000000"/>
              <w:left w:val="nil"/>
              <w:bottom w:val="single" w:sz="4" w:space="0" w:color="000000"/>
            </w:tcBorders>
            <w:noWrap w:val="0"/>
            <w:vAlign w:val="center"/>
          </w:tcPr>
          <w:p w14:paraId="1D8BD3C3">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108</w:t>
            </w:r>
          </w:p>
        </w:tc>
      </w:tr>
      <w:tr w14:paraId="4E986198">
        <w:tblPrEx>
          <w:tblW w:w="0" w:type="auto"/>
          <w:tblInd w:w="0" w:type="dxa"/>
          <w:tblLayout w:type="fixed"/>
          <w:tblCellMar>
            <w:top w:w="0" w:type="dxa"/>
            <w:left w:w="0" w:type="dxa"/>
            <w:bottom w:w="0" w:type="dxa"/>
            <w:right w:w="0" w:type="dxa"/>
          </w:tblCellMar>
        </w:tblPrEx>
        <w:trPr>
          <w:trHeight w:val="397"/>
        </w:trPr>
        <w:tc>
          <w:tcPr>
            <w:tcW w:w="304" w:type="dxa"/>
            <w:vMerge/>
            <w:tcBorders>
              <w:top w:val="nil"/>
              <w:left w:val="single" w:sz="8" w:space="0" w:color="000000"/>
              <w:bottom w:val="single" w:sz="4" w:space="0" w:color="000000"/>
              <w:right w:val="single" w:sz="4" w:space="0" w:color="000000"/>
            </w:tcBorders>
            <w:noWrap w:val="0"/>
            <w:vAlign w:val="center"/>
          </w:tcPr>
          <w:p w14:paraId="5856ED91">
            <w:pPr>
              <w:pStyle w:val="a4"/>
              <w:bidi w:val="0"/>
              <w:rPr>
                <w:rFonts w:ascii="Times New Roman" w:eastAsia="宋体" w:hAnsi="Times New Roman" w:cs="Times New Roman" w:hint="default"/>
                <w:color w:val="auto"/>
              </w:rPr>
            </w:pPr>
          </w:p>
        </w:tc>
        <w:tc>
          <w:tcPr>
            <w:tcW w:w="901" w:type="dxa"/>
            <w:vMerge w:val="restart"/>
            <w:tcBorders>
              <w:top w:val="single" w:sz="4" w:space="0" w:color="000000"/>
              <w:left w:val="nil"/>
              <w:bottom w:val="single" w:sz="4" w:space="0" w:color="000000"/>
              <w:right w:val="single" w:sz="4" w:space="0" w:color="000000"/>
            </w:tcBorders>
            <w:noWrap w:val="0"/>
            <w:vAlign w:val="center"/>
          </w:tcPr>
          <w:p w14:paraId="0AEB04AC">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环境敏感性</w:t>
            </w:r>
          </w:p>
        </w:tc>
        <w:tc>
          <w:tcPr>
            <w:tcW w:w="947" w:type="dxa"/>
            <w:vMerge w:val="restart"/>
            <w:tcBorders>
              <w:top w:val="nil"/>
              <w:left w:val="nil"/>
              <w:bottom w:val="single" w:sz="4" w:space="0" w:color="000000"/>
              <w:right w:val="single" w:sz="4" w:space="0" w:color="000000"/>
            </w:tcBorders>
            <w:noWrap w:val="0"/>
            <w:vAlign w:val="center"/>
          </w:tcPr>
          <w:p w14:paraId="2F555C04">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大气</w:t>
            </w:r>
          </w:p>
        </w:tc>
        <w:tc>
          <w:tcPr>
            <w:tcW w:w="2525" w:type="dxa"/>
            <w:gridSpan w:val="3"/>
            <w:tcBorders>
              <w:top w:val="single" w:sz="4" w:space="0" w:color="000000"/>
              <w:left w:val="nil"/>
              <w:bottom w:val="single" w:sz="4" w:space="0" w:color="000000"/>
              <w:right w:val="single" w:sz="4" w:space="0" w:color="000000"/>
            </w:tcBorders>
            <w:noWrap w:val="0"/>
            <w:vAlign w:val="center"/>
          </w:tcPr>
          <w:p w14:paraId="517F2B62">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500m范围内人口数</w:t>
            </w:r>
            <w:r>
              <w:rPr>
                <w:rFonts w:ascii="Times New Roman" w:eastAsia="宋体" w:hAnsi="Times New Roman" w:cs="Times New Roman" w:hint="default"/>
                <w:color w:val="auto"/>
                <w:lang w:val="en-US" w:eastAsia="zh-CN"/>
              </w:rPr>
              <w:t>400</w:t>
            </w:r>
            <w:r>
              <w:rPr>
                <w:rFonts w:ascii="Times New Roman" w:eastAsia="宋体" w:hAnsi="Times New Roman" w:cs="Times New Roman" w:hint="default"/>
                <w:color w:val="auto"/>
              </w:rPr>
              <w:t>人</w:t>
            </w:r>
          </w:p>
        </w:tc>
        <w:tc>
          <w:tcPr>
            <w:tcW w:w="3609" w:type="dxa"/>
            <w:gridSpan w:val="7"/>
            <w:tcBorders>
              <w:top w:val="single" w:sz="4" w:space="0" w:color="000000"/>
              <w:left w:val="nil"/>
              <w:bottom w:val="single" w:sz="4" w:space="0" w:color="000000"/>
            </w:tcBorders>
            <w:noWrap w:val="0"/>
            <w:vAlign w:val="center"/>
          </w:tcPr>
          <w:p w14:paraId="3F6DDDAC">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5 km范围内人口数</w:t>
            </w:r>
            <w:r>
              <w:rPr>
                <w:rFonts w:ascii="Times New Roman" w:eastAsia="宋体" w:hAnsi="Times New Roman" w:cs="Times New Roman" w:hint="default"/>
                <w:color w:val="auto"/>
                <w:lang w:val="en-US" w:eastAsia="zh-CN"/>
              </w:rPr>
              <w:t>8000</w:t>
            </w:r>
            <w:r>
              <w:rPr>
                <w:rFonts w:ascii="Times New Roman" w:eastAsia="宋体" w:hAnsi="Times New Roman" w:cs="Times New Roman" w:hint="default"/>
                <w:color w:val="auto"/>
              </w:rPr>
              <w:t>人</w:t>
            </w:r>
          </w:p>
        </w:tc>
      </w:tr>
      <w:tr w14:paraId="726DBCD5">
        <w:tblPrEx>
          <w:tblW w:w="0" w:type="auto"/>
          <w:tblInd w:w="0" w:type="dxa"/>
          <w:tblLayout w:type="fixed"/>
          <w:tblCellMar>
            <w:top w:w="0" w:type="dxa"/>
            <w:left w:w="0" w:type="dxa"/>
            <w:bottom w:w="0" w:type="dxa"/>
            <w:right w:w="0" w:type="dxa"/>
          </w:tblCellMar>
        </w:tblPrEx>
        <w:trPr>
          <w:trHeight w:val="397"/>
        </w:trPr>
        <w:tc>
          <w:tcPr>
            <w:tcW w:w="304" w:type="dxa"/>
            <w:vMerge/>
            <w:tcBorders>
              <w:top w:val="nil"/>
              <w:left w:val="single" w:sz="8" w:space="0" w:color="000000"/>
              <w:bottom w:val="single" w:sz="4" w:space="0" w:color="000000"/>
              <w:right w:val="single" w:sz="4" w:space="0" w:color="000000"/>
            </w:tcBorders>
            <w:noWrap w:val="0"/>
            <w:vAlign w:val="center"/>
          </w:tcPr>
          <w:p w14:paraId="5C0DEF7D">
            <w:pPr>
              <w:pStyle w:val="a4"/>
              <w:bidi w:val="0"/>
              <w:rPr>
                <w:rFonts w:ascii="Times New Roman" w:eastAsia="宋体" w:hAnsi="Times New Roman" w:cs="Times New Roman" w:hint="default"/>
                <w:color w:val="auto"/>
              </w:rPr>
            </w:pPr>
          </w:p>
        </w:tc>
        <w:tc>
          <w:tcPr>
            <w:tcW w:w="901" w:type="dxa"/>
            <w:vMerge/>
            <w:tcBorders>
              <w:top w:val="single" w:sz="4" w:space="0" w:color="000000"/>
              <w:left w:val="nil"/>
              <w:bottom w:val="single" w:sz="4" w:space="0" w:color="000000"/>
              <w:right w:val="single" w:sz="4" w:space="0" w:color="000000"/>
            </w:tcBorders>
            <w:noWrap w:val="0"/>
            <w:vAlign w:val="center"/>
          </w:tcPr>
          <w:p w14:paraId="495F80A0">
            <w:pPr>
              <w:pStyle w:val="a4"/>
              <w:bidi w:val="0"/>
              <w:rPr>
                <w:rFonts w:ascii="Times New Roman" w:eastAsia="宋体" w:hAnsi="Times New Roman" w:cs="Times New Roman" w:hint="default"/>
                <w:color w:val="auto"/>
              </w:rPr>
            </w:pPr>
          </w:p>
        </w:tc>
        <w:tc>
          <w:tcPr>
            <w:tcW w:w="947" w:type="dxa"/>
            <w:vMerge/>
            <w:tcBorders>
              <w:top w:val="nil"/>
              <w:left w:val="nil"/>
              <w:bottom w:val="single" w:sz="4" w:space="0" w:color="000000"/>
              <w:right w:val="single" w:sz="4" w:space="0" w:color="000000"/>
            </w:tcBorders>
            <w:noWrap w:val="0"/>
            <w:vAlign w:val="center"/>
          </w:tcPr>
          <w:p w14:paraId="251CFD75">
            <w:pPr>
              <w:pStyle w:val="a4"/>
              <w:bidi w:val="0"/>
              <w:rPr>
                <w:rFonts w:ascii="Times New Roman" w:eastAsia="宋体" w:hAnsi="Times New Roman" w:cs="Times New Roman" w:hint="default"/>
                <w:color w:val="auto"/>
              </w:rPr>
            </w:pPr>
          </w:p>
        </w:tc>
        <w:tc>
          <w:tcPr>
            <w:tcW w:w="4269" w:type="dxa"/>
            <w:gridSpan w:val="9"/>
            <w:tcBorders>
              <w:top w:val="single" w:sz="4" w:space="0" w:color="000000"/>
              <w:left w:val="nil"/>
              <w:bottom w:val="single" w:sz="4" w:space="0" w:color="000000"/>
              <w:right w:val="single" w:sz="4" w:space="0" w:color="000000"/>
            </w:tcBorders>
            <w:noWrap w:val="0"/>
            <w:vAlign w:val="center"/>
          </w:tcPr>
          <w:p w14:paraId="20415876">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每公里管段周边200m范围内人口数（最大）</w:t>
            </w:r>
          </w:p>
        </w:tc>
        <w:tc>
          <w:tcPr>
            <w:tcW w:w="1865" w:type="dxa"/>
            <w:tcBorders>
              <w:top w:val="single" w:sz="4" w:space="0" w:color="000000"/>
              <w:left w:val="nil"/>
              <w:bottom w:val="single" w:sz="4" w:space="0" w:color="000000"/>
            </w:tcBorders>
            <w:noWrap w:val="0"/>
            <w:vAlign w:val="center"/>
          </w:tcPr>
          <w:p w14:paraId="116B0EAC">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人</w:t>
            </w:r>
          </w:p>
        </w:tc>
      </w:tr>
      <w:tr w14:paraId="31173313">
        <w:tblPrEx>
          <w:tblW w:w="0" w:type="auto"/>
          <w:tblInd w:w="0" w:type="dxa"/>
          <w:tblLayout w:type="fixed"/>
          <w:tblCellMar>
            <w:top w:w="0" w:type="dxa"/>
            <w:left w:w="0" w:type="dxa"/>
            <w:bottom w:w="0" w:type="dxa"/>
            <w:right w:w="0" w:type="dxa"/>
          </w:tblCellMar>
        </w:tblPrEx>
        <w:trPr>
          <w:trHeight w:val="397"/>
        </w:trPr>
        <w:tc>
          <w:tcPr>
            <w:tcW w:w="304" w:type="dxa"/>
            <w:vMerge/>
            <w:tcBorders>
              <w:top w:val="nil"/>
              <w:left w:val="single" w:sz="8" w:space="0" w:color="000000"/>
              <w:bottom w:val="single" w:sz="4" w:space="0" w:color="000000"/>
              <w:right w:val="single" w:sz="4" w:space="0" w:color="000000"/>
            </w:tcBorders>
            <w:noWrap w:val="0"/>
            <w:vAlign w:val="center"/>
          </w:tcPr>
          <w:p w14:paraId="68D394C6">
            <w:pPr>
              <w:pStyle w:val="a4"/>
              <w:bidi w:val="0"/>
              <w:rPr>
                <w:rFonts w:ascii="Times New Roman" w:eastAsia="宋体" w:hAnsi="Times New Roman" w:cs="Times New Roman" w:hint="default"/>
                <w:color w:val="auto"/>
              </w:rPr>
            </w:pPr>
          </w:p>
        </w:tc>
        <w:tc>
          <w:tcPr>
            <w:tcW w:w="901" w:type="dxa"/>
            <w:vMerge/>
            <w:tcBorders>
              <w:top w:val="single" w:sz="4" w:space="0" w:color="000000"/>
              <w:left w:val="nil"/>
              <w:bottom w:val="single" w:sz="4" w:space="0" w:color="000000"/>
              <w:right w:val="single" w:sz="4" w:space="0" w:color="000000"/>
            </w:tcBorders>
            <w:noWrap w:val="0"/>
            <w:vAlign w:val="center"/>
          </w:tcPr>
          <w:p w14:paraId="64BC39A1">
            <w:pPr>
              <w:pStyle w:val="a4"/>
              <w:bidi w:val="0"/>
              <w:rPr>
                <w:rFonts w:ascii="Times New Roman" w:eastAsia="宋体" w:hAnsi="Times New Roman" w:cs="Times New Roman" w:hint="default"/>
                <w:color w:val="auto"/>
              </w:rPr>
            </w:pPr>
          </w:p>
        </w:tc>
        <w:tc>
          <w:tcPr>
            <w:tcW w:w="947" w:type="dxa"/>
            <w:vMerge w:val="restart"/>
            <w:tcBorders>
              <w:top w:val="nil"/>
              <w:left w:val="nil"/>
              <w:bottom w:val="single" w:sz="4" w:space="0" w:color="000000"/>
              <w:right w:val="single" w:sz="4" w:space="0" w:color="000000"/>
            </w:tcBorders>
            <w:noWrap w:val="0"/>
            <w:vAlign w:val="center"/>
          </w:tcPr>
          <w:p w14:paraId="47CD24A7">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地表水</w:t>
            </w:r>
          </w:p>
        </w:tc>
        <w:tc>
          <w:tcPr>
            <w:tcW w:w="1661" w:type="dxa"/>
            <w:gridSpan w:val="2"/>
            <w:tcBorders>
              <w:top w:val="single" w:sz="4" w:space="0" w:color="000000"/>
              <w:left w:val="nil"/>
              <w:bottom w:val="single" w:sz="4" w:space="0" w:color="000000"/>
              <w:right w:val="single" w:sz="4" w:space="0" w:color="000000"/>
            </w:tcBorders>
            <w:noWrap w:val="0"/>
            <w:vAlign w:val="center"/>
          </w:tcPr>
          <w:p w14:paraId="61916EA0">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地表水功能敏感性</w:t>
            </w:r>
          </w:p>
        </w:tc>
        <w:tc>
          <w:tcPr>
            <w:tcW w:w="1174" w:type="dxa"/>
            <w:gridSpan w:val="2"/>
            <w:tcBorders>
              <w:top w:val="single" w:sz="4" w:space="0" w:color="000000"/>
              <w:left w:val="nil"/>
              <w:bottom w:val="single" w:sz="4" w:space="0" w:color="000000"/>
              <w:right w:val="single" w:sz="4" w:space="0" w:color="000000"/>
            </w:tcBorders>
            <w:noWrap w:val="0"/>
            <w:vAlign w:val="center"/>
          </w:tcPr>
          <w:p w14:paraId="20F49F49">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F1 □</w:t>
            </w:r>
          </w:p>
        </w:tc>
        <w:tc>
          <w:tcPr>
            <w:tcW w:w="1434" w:type="dxa"/>
            <w:gridSpan w:val="5"/>
            <w:tcBorders>
              <w:top w:val="single" w:sz="4" w:space="0" w:color="000000"/>
              <w:left w:val="nil"/>
              <w:bottom w:val="single" w:sz="4" w:space="0" w:color="000000"/>
              <w:right w:val="single" w:sz="4" w:space="0" w:color="000000"/>
            </w:tcBorders>
            <w:noWrap w:val="0"/>
            <w:vAlign w:val="center"/>
          </w:tcPr>
          <w:p w14:paraId="5439BE27">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F2 □</w:t>
            </w:r>
          </w:p>
        </w:tc>
        <w:tc>
          <w:tcPr>
            <w:tcW w:w="1865" w:type="dxa"/>
            <w:tcBorders>
              <w:top w:val="single" w:sz="4" w:space="0" w:color="000000"/>
              <w:left w:val="nil"/>
              <w:bottom w:val="single" w:sz="4" w:space="0" w:color="000000"/>
            </w:tcBorders>
            <w:noWrap w:val="0"/>
            <w:vAlign w:val="center"/>
          </w:tcPr>
          <w:p w14:paraId="5B7DE9E8">
            <w:pPr>
              <w:pStyle w:val="a4"/>
              <w:bidi w:val="0"/>
              <w:rPr>
                <w:rFonts w:ascii="Times New Roman" w:eastAsia="宋体" w:hAnsi="Times New Roman" w:cs="Times New Roman" w:hint="default"/>
                <w:color w:val="auto"/>
                <w:lang w:eastAsia="zh-CN"/>
              </w:rPr>
            </w:pPr>
            <w:r>
              <w:rPr>
                <w:rFonts w:ascii="Times New Roman" w:eastAsia="宋体" w:hAnsi="Times New Roman" w:cs="Times New Roman" w:hint="default"/>
                <w:color w:val="auto"/>
              </w:rPr>
              <w:t>F3</w:t>
            </w:r>
            <w:r>
              <w:rPr>
                <w:rFonts w:ascii="Times New Roman" w:eastAsia="宋体" w:hAnsi="Times New Roman" w:cs="Times New Roman" w:hint="default"/>
                <w:color w:val="auto"/>
                <w:lang w:eastAsia="zh-CN"/>
              </w:rPr>
              <w:t>☑</w:t>
            </w:r>
          </w:p>
        </w:tc>
      </w:tr>
      <w:tr w14:paraId="37DF7378">
        <w:tblPrEx>
          <w:tblW w:w="0" w:type="auto"/>
          <w:tblInd w:w="0" w:type="dxa"/>
          <w:tblLayout w:type="fixed"/>
          <w:tblCellMar>
            <w:top w:w="0" w:type="dxa"/>
            <w:left w:w="0" w:type="dxa"/>
            <w:bottom w:w="0" w:type="dxa"/>
            <w:right w:w="0" w:type="dxa"/>
          </w:tblCellMar>
        </w:tblPrEx>
        <w:trPr>
          <w:trHeight w:val="397"/>
        </w:trPr>
        <w:tc>
          <w:tcPr>
            <w:tcW w:w="304" w:type="dxa"/>
            <w:vMerge/>
            <w:tcBorders>
              <w:top w:val="nil"/>
              <w:left w:val="single" w:sz="8" w:space="0" w:color="000000"/>
              <w:bottom w:val="single" w:sz="4" w:space="0" w:color="000000"/>
              <w:right w:val="single" w:sz="4" w:space="0" w:color="000000"/>
            </w:tcBorders>
            <w:noWrap w:val="0"/>
            <w:vAlign w:val="center"/>
          </w:tcPr>
          <w:p w14:paraId="7D2E0A7F">
            <w:pPr>
              <w:pStyle w:val="a4"/>
              <w:bidi w:val="0"/>
              <w:rPr>
                <w:rFonts w:ascii="Times New Roman" w:eastAsia="宋体" w:hAnsi="Times New Roman" w:cs="Times New Roman" w:hint="default"/>
                <w:color w:val="auto"/>
              </w:rPr>
            </w:pPr>
          </w:p>
        </w:tc>
        <w:tc>
          <w:tcPr>
            <w:tcW w:w="901" w:type="dxa"/>
            <w:vMerge/>
            <w:tcBorders>
              <w:top w:val="single" w:sz="4" w:space="0" w:color="000000"/>
              <w:left w:val="nil"/>
              <w:bottom w:val="single" w:sz="4" w:space="0" w:color="000000"/>
              <w:right w:val="single" w:sz="4" w:space="0" w:color="000000"/>
            </w:tcBorders>
            <w:noWrap w:val="0"/>
            <w:vAlign w:val="center"/>
          </w:tcPr>
          <w:p w14:paraId="47782295">
            <w:pPr>
              <w:pStyle w:val="a4"/>
              <w:bidi w:val="0"/>
              <w:rPr>
                <w:rFonts w:ascii="Times New Roman" w:eastAsia="宋体" w:hAnsi="Times New Roman" w:cs="Times New Roman" w:hint="default"/>
                <w:color w:val="auto"/>
              </w:rPr>
            </w:pPr>
          </w:p>
        </w:tc>
        <w:tc>
          <w:tcPr>
            <w:tcW w:w="947" w:type="dxa"/>
            <w:vMerge/>
            <w:tcBorders>
              <w:top w:val="nil"/>
              <w:left w:val="nil"/>
              <w:bottom w:val="single" w:sz="4" w:space="0" w:color="000000"/>
              <w:right w:val="single" w:sz="4" w:space="0" w:color="000000"/>
            </w:tcBorders>
            <w:noWrap w:val="0"/>
            <w:vAlign w:val="center"/>
          </w:tcPr>
          <w:p w14:paraId="717BD12E">
            <w:pPr>
              <w:pStyle w:val="a4"/>
              <w:bidi w:val="0"/>
              <w:rPr>
                <w:rFonts w:ascii="Times New Roman" w:eastAsia="宋体" w:hAnsi="Times New Roman" w:cs="Times New Roman" w:hint="default"/>
                <w:color w:val="auto"/>
              </w:rPr>
            </w:pPr>
          </w:p>
        </w:tc>
        <w:tc>
          <w:tcPr>
            <w:tcW w:w="1661" w:type="dxa"/>
            <w:gridSpan w:val="2"/>
            <w:tcBorders>
              <w:top w:val="single" w:sz="4" w:space="0" w:color="000000"/>
              <w:left w:val="nil"/>
              <w:bottom w:val="single" w:sz="4" w:space="0" w:color="000000"/>
              <w:right w:val="single" w:sz="4" w:space="0" w:color="000000"/>
            </w:tcBorders>
            <w:noWrap w:val="0"/>
            <w:vAlign w:val="center"/>
          </w:tcPr>
          <w:p w14:paraId="5134CE65">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环境敏感目标分级</w:t>
            </w:r>
          </w:p>
        </w:tc>
        <w:tc>
          <w:tcPr>
            <w:tcW w:w="1174" w:type="dxa"/>
            <w:gridSpan w:val="2"/>
            <w:tcBorders>
              <w:top w:val="single" w:sz="4" w:space="0" w:color="000000"/>
              <w:left w:val="nil"/>
              <w:bottom w:val="single" w:sz="4" w:space="0" w:color="000000"/>
              <w:right w:val="single" w:sz="4" w:space="0" w:color="000000"/>
            </w:tcBorders>
            <w:noWrap w:val="0"/>
            <w:vAlign w:val="center"/>
          </w:tcPr>
          <w:p w14:paraId="596A3D59">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S1 □</w:t>
            </w:r>
          </w:p>
        </w:tc>
        <w:tc>
          <w:tcPr>
            <w:tcW w:w="1434" w:type="dxa"/>
            <w:gridSpan w:val="5"/>
            <w:tcBorders>
              <w:top w:val="single" w:sz="4" w:space="0" w:color="000000"/>
              <w:left w:val="nil"/>
              <w:bottom w:val="single" w:sz="4" w:space="0" w:color="000000"/>
              <w:right w:val="single" w:sz="4" w:space="0" w:color="000000"/>
            </w:tcBorders>
            <w:noWrap w:val="0"/>
            <w:vAlign w:val="center"/>
          </w:tcPr>
          <w:p w14:paraId="18C2C04A">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S2 □</w:t>
            </w:r>
          </w:p>
        </w:tc>
        <w:tc>
          <w:tcPr>
            <w:tcW w:w="1865" w:type="dxa"/>
            <w:tcBorders>
              <w:top w:val="single" w:sz="4" w:space="0" w:color="000000"/>
              <w:left w:val="nil"/>
              <w:bottom w:val="single" w:sz="4" w:space="0" w:color="000000"/>
            </w:tcBorders>
            <w:noWrap w:val="0"/>
            <w:vAlign w:val="center"/>
          </w:tcPr>
          <w:p w14:paraId="1B1A078A">
            <w:pPr>
              <w:pStyle w:val="a4"/>
              <w:bidi w:val="0"/>
              <w:rPr>
                <w:rFonts w:ascii="Times New Roman" w:eastAsia="宋体" w:hAnsi="Times New Roman" w:cs="Times New Roman" w:hint="default"/>
                <w:color w:val="auto"/>
                <w:lang w:eastAsia="zh-CN"/>
              </w:rPr>
            </w:pPr>
            <w:r>
              <w:rPr>
                <w:rFonts w:ascii="Times New Roman" w:eastAsia="宋体" w:hAnsi="Times New Roman" w:cs="Times New Roman" w:hint="default"/>
                <w:color w:val="auto"/>
              </w:rPr>
              <w:t xml:space="preserve">S3 </w:t>
            </w:r>
            <w:r>
              <w:rPr>
                <w:rFonts w:ascii="Times New Roman" w:eastAsia="宋体" w:hAnsi="Times New Roman" w:cs="Times New Roman" w:hint="default"/>
                <w:color w:val="auto"/>
                <w:lang w:eastAsia="zh-CN"/>
              </w:rPr>
              <w:t>☑</w:t>
            </w:r>
          </w:p>
        </w:tc>
      </w:tr>
      <w:tr w14:paraId="310428F4">
        <w:tblPrEx>
          <w:tblW w:w="0" w:type="auto"/>
          <w:tblInd w:w="0" w:type="dxa"/>
          <w:tblLayout w:type="fixed"/>
          <w:tblCellMar>
            <w:top w:w="0" w:type="dxa"/>
            <w:left w:w="0" w:type="dxa"/>
            <w:bottom w:w="0" w:type="dxa"/>
            <w:right w:w="0" w:type="dxa"/>
          </w:tblCellMar>
        </w:tblPrEx>
        <w:trPr>
          <w:trHeight w:val="397"/>
        </w:trPr>
        <w:tc>
          <w:tcPr>
            <w:tcW w:w="304" w:type="dxa"/>
            <w:vMerge/>
            <w:tcBorders>
              <w:top w:val="nil"/>
              <w:left w:val="single" w:sz="8" w:space="0" w:color="000000"/>
              <w:bottom w:val="single" w:sz="4" w:space="0" w:color="000000"/>
              <w:right w:val="single" w:sz="4" w:space="0" w:color="000000"/>
            </w:tcBorders>
            <w:noWrap w:val="0"/>
            <w:vAlign w:val="center"/>
          </w:tcPr>
          <w:p w14:paraId="63248974">
            <w:pPr>
              <w:pStyle w:val="a4"/>
              <w:bidi w:val="0"/>
              <w:rPr>
                <w:rFonts w:ascii="Times New Roman" w:eastAsia="宋体" w:hAnsi="Times New Roman" w:cs="Times New Roman" w:hint="default"/>
                <w:color w:val="auto"/>
              </w:rPr>
            </w:pPr>
          </w:p>
        </w:tc>
        <w:tc>
          <w:tcPr>
            <w:tcW w:w="901" w:type="dxa"/>
            <w:vMerge/>
            <w:tcBorders>
              <w:top w:val="single" w:sz="4" w:space="0" w:color="000000"/>
              <w:left w:val="nil"/>
              <w:bottom w:val="single" w:sz="4" w:space="0" w:color="000000"/>
              <w:right w:val="single" w:sz="4" w:space="0" w:color="000000"/>
            </w:tcBorders>
            <w:noWrap w:val="0"/>
            <w:vAlign w:val="center"/>
          </w:tcPr>
          <w:p w14:paraId="25F44D88">
            <w:pPr>
              <w:pStyle w:val="a4"/>
              <w:bidi w:val="0"/>
              <w:rPr>
                <w:rFonts w:ascii="Times New Roman" w:eastAsia="宋体" w:hAnsi="Times New Roman" w:cs="Times New Roman" w:hint="default"/>
                <w:color w:val="auto"/>
              </w:rPr>
            </w:pPr>
          </w:p>
        </w:tc>
        <w:tc>
          <w:tcPr>
            <w:tcW w:w="947" w:type="dxa"/>
            <w:vMerge w:val="restart"/>
            <w:tcBorders>
              <w:top w:val="nil"/>
              <w:left w:val="nil"/>
              <w:bottom w:val="single" w:sz="4" w:space="0" w:color="000000"/>
              <w:right w:val="single" w:sz="4" w:space="0" w:color="000000"/>
            </w:tcBorders>
            <w:noWrap w:val="0"/>
            <w:vAlign w:val="center"/>
          </w:tcPr>
          <w:p w14:paraId="66C536EA">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地下水</w:t>
            </w:r>
          </w:p>
        </w:tc>
        <w:tc>
          <w:tcPr>
            <w:tcW w:w="1661" w:type="dxa"/>
            <w:gridSpan w:val="2"/>
            <w:tcBorders>
              <w:top w:val="single" w:sz="4" w:space="0" w:color="000000"/>
              <w:left w:val="nil"/>
              <w:bottom w:val="single" w:sz="4" w:space="0" w:color="000000"/>
              <w:right w:val="single" w:sz="4" w:space="0" w:color="000000"/>
            </w:tcBorders>
            <w:noWrap w:val="0"/>
            <w:vAlign w:val="center"/>
          </w:tcPr>
          <w:p w14:paraId="20D1D893">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地下水功能敏感性</w:t>
            </w:r>
          </w:p>
        </w:tc>
        <w:tc>
          <w:tcPr>
            <w:tcW w:w="1174" w:type="dxa"/>
            <w:gridSpan w:val="2"/>
            <w:tcBorders>
              <w:top w:val="single" w:sz="4" w:space="0" w:color="000000"/>
              <w:left w:val="nil"/>
              <w:bottom w:val="single" w:sz="4" w:space="0" w:color="000000"/>
              <w:right w:val="single" w:sz="4" w:space="0" w:color="000000"/>
            </w:tcBorders>
            <w:noWrap w:val="0"/>
            <w:vAlign w:val="center"/>
          </w:tcPr>
          <w:p w14:paraId="567F2C16">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G1 □</w:t>
            </w:r>
          </w:p>
        </w:tc>
        <w:tc>
          <w:tcPr>
            <w:tcW w:w="1434" w:type="dxa"/>
            <w:gridSpan w:val="5"/>
            <w:tcBorders>
              <w:top w:val="single" w:sz="4" w:space="0" w:color="000000"/>
              <w:left w:val="nil"/>
              <w:bottom w:val="single" w:sz="4" w:space="0" w:color="000000"/>
              <w:right w:val="single" w:sz="4" w:space="0" w:color="000000"/>
            </w:tcBorders>
            <w:noWrap w:val="0"/>
            <w:vAlign w:val="center"/>
          </w:tcPr>
          <w:p w14:paraId="300C0A44">
            <w:pPr>
              <w:pStyle w:val="a4"/>
              <w:bidi w:val="0"/>
              <w:rPr>
                <w:rFonts w:ascii="Times New Roman" w:eastAsia="宋体" w:hAnsi="Times New Roman" w:cs="Times New Roman" w:hint="eastAsia"/>
                <w:color w:val="auto"/>
                <w:lang w:eastAsia="zh-CN"/>
              </w:rPr>
            </w:pPr>
            <w:r>
              <w:rPr>
                <w:rFonts w:ascii="Times New Roman" w:eastAsia="宋体" w:hAnsi="Times New Roman" w:cs="Times New Roman" w:hint="default"/>
                <w:color w:val="auto"/>
              </w:rPr>
              <w:t xml:space="preserve">G2 </w:t>
            </w:r>
            <w:r>
              <w:rPr>
                <w:rFonts w:cs="Times New Roman" w:hint="eastAsia"/>
                <w:color w:val="auto"/>
                <w:lang w:eastAsia="zh-CN"/>
              </w:rPr>
              <w:t>□</w:t>
            </w:r>
          </w:p>
        </w:tc>
        <w:tc>
          <w:tcPr>
            <w:tcW w:w="1865" w:type="dxa"/>
            <w:tcBorders>
              <w:top w:val="single" w:sz="4" w:space="0" w:color="000000"/>
              <w:left w:val="nil"/>
              <w:bottom w:val="single" w:sz="4" w:space="0" w:color="000000"/>
            </w:tcBorders>
            <w:noWrap w:val="0"/>
            <w:vAlign w:val="center"/>
          </w:tcPr>
          <w:p w14:paraId="0E571075">
            <w:pPr>
              <w:pStyle w:val="a4"/>
              <w:bidi w:val="0"/>
              <w:rPr>
                <w:rFonts w:ascii="Times New Roman" w:eastAsia="宋体" w:hAnsi="Times New Roman" w:cs="Times New Roman" w:hint="default"/>
                <w:color w:val="auto"/>
                <w:lang w:eastAsia="zh-CN"/>
              </w:rPr>
            </w:pPr>
            <w:r>
              <w:rPr>
                <w:rFonts w:ascii="Times New Roman" w:eastAsia="宋体" w:hAnsi="Times New Roman" w:cs="Times New Roman" w:hint="default"/>
                <w:color w:val="auto"/>
              </w:rPr>
              <w:t xml:space="preserve">G3 </w:t>
            </w:r>
            <w:r>
              <w:rPr>
                <w:rFonts w:ascii="Times New Roman" w:eastAsia="宋体" w:hAnsi="Times New Roman" w:cs="Times New Roman" w:hint="default"/>
                <w:color w:val="auto"/>
                <w:lang w:eastAsia="zh-CN"/>
              </w:rPr>
              <w:t>☑</w:t>
            </w:r>
          </w:p>
        </w:tc>
      </w:tr>
      <w:tr w14:paraId="38BF3550">
        <w:tblPrEx>
          <w:tblW w:w="0" w:type="auto"/>
          <w:tblInd w:w="0" w:type="dxa"/>
          <w:tblLayout w:type="fixed"/>
          <w:tblCellMar>
            <w:top w:w="0" w:type="dxa"/>
            <w:left w:w="0" w:type="dxa"/>
            <w:bottom w:w="0" w:type="dxa"/>
            <w:right w:w="0" w:type="dxa"/>
          </w:tblCellMar>
        </w:tblPrEx>
        <w:trPr>
          <w:trHeight w:val="397"/>
        </w:trPr>
        <w:tc>
          <w:tcPr>
            <w:tcW w:w="304" w:type="dxa"/>
            <w:vMerge/>
            <w:tcBorders>
              <w:top w:val="nil"/>
              <w:left w:val="single" w:sz="8" w:space="0" w:color="000000"/>
              <w:bottom w:val="single" w:sz="4" w:space="0" w:color="000000"/>
              <w:right w:val="single" w:sz="4" w:space="0" w:color="000000"/>
            </w:tcBorders>
            <w:noWrap w:val="0"/>
            <w:vAlign w:val="center"/>
          </w:tcPr>
          <w:p w14:paraId="44583CF4">
            <w:pPr>
              <w:pStyle w:val="a4"/>
              <w:bidi w:val="0"/>
              <w:rPr>
                <w:rFonts w:ascii="Times New Roman" w:eastAsia="宋体" w:hAnsi="Times New Roman" w:cs="Times New Roman" w:hint="default"/>
                <w:color w:val="auto"/>
              </w:rPr>
            </w:pPr>
          </w:p>
        </w:tc>
        <w:tc>
          <w:tcPr>
            <w:tcW w:w="901" w:type="dxa"/>
            <w:vMerge/>
            <w:tcBorders>
              <w:top w:val="single" w:sz="4" w:space="0" w:color="000000"/>
              <w:left w:val="nil"/>
              <w:bottom w:val="single" w:sz="4" w:space="0" w:color="000000"/>
              <w:right w:val="single" w:sz="4" w:space="0" w:color="000000"/>
            </w:tcBorders>
            <w:noWrap w:val="0"/>
            <w:vAlign w:val="center"/>
          </w:tcPr>
          <w:p w14:paraId="297957CB">
            <w:pPr>
              <w:pStyle w:val="a4"/>
              <w:bidi w:val="0"/>
              <w:rPr>
                <w:rFonts w:ascii="Times New Roman" w:eastAsia="宋体" w:hAnsi="Times New Roman" w:cs="Times New Roman" w:hint="default"/>
                <w:color w:val="auto"/>
              </w:rPr>
            </w:pPr>
          </w:p>
        </w:tc>
        <w:tc>
          <w:tcPr>
            <w:tcW w:w="947" w:type="dxa"/>
            <w:vMerge/>
            <w:tcBorders>
              <w:top w:val="nil"/>
              <w:left w:val="nil"/>
              <w:bottom w:val="single" w:sz="4" w:space="0" w:color="000000"/>
              <w:right w:val="single" w:sz="4" w:space="0" w:color="000000"/>
            </w:tcBorders>
            <w:noWrap w:val="0"/>
            <w:vAlign w:val="center"/>
          </w:tcPr>
          <w:p w14:paraId="2FB8B8B6">
            <w:pPr>
              <w:pStyle w:val="a4"/>
              <w:bidi w:val="0"/>
              <w:rPr>
                <w:rFonts w:ascii="Times New Roman" w:eastAsia="宋体" w:hAnsi="Times New Roman" w:cs="Times New Roman" w:hint="default"/>
                <w:color w:val="auto"/>
              </w:rPr>
            </w:pPr>
          </w:p>
        </w:tc>
        <w:tc>
          <w:tcPr>
            <w:tcW w:w="1661" w:type="dxa"/>
            <w:gridSpan w:val="2"/>
            <w:tcBorders>
              <w:top w:val="single" w:sz="4" w:space="0" w:color="000000"/>
              <w:left w:val="nil"/>
              <w:bottom w:val="single" w:sz="4" w:space="0" w:color="000000"/>
              <w:right w:val="single" w:sz="4" w:space="0" w:color="000000"/>
            </w:tcBorders>
            <w:noWrap w:val="0"/>
            <w:vAlign w:val="center"/>
          </w:tcPr>
          <w:p w14:paraId="04C218D9">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包气带防污性能</w:t>
            </w:r>
          </w:p>
        </w:tc>
        <w:tc>
          <w:tcPr>
            <w:tcW w:w="1174" w:type="dxa"/>
            <w:gridSpan w:val="2"/>
            <w:tcBorders>
              <w:top w:val="single" w:sz="4" w:space="0" w:color="000000"/>
              <w:left w:val="nil"/>
              <w:bottom w:val="single" w:sz="4" w:space="0" w:color="000000"/>
              <w:right w:val="single" w:sz="4" w:space="0" w:color="000000"/>
            </w:tcBorders>
            <w:noWrap w:val="0"/>
            <w:vAlign w:val="center"/>
          </w:tcPr>
          <w:p w14:paraId="385B0E2C">
            <w:pPr>
              <w:pStyle w:val="a4"/>
              <w:bidi w:val="0"/>
              <w:rPr>
                <w:rFonts w:ascii="Times New Roman" w:eastAsia="宋体" w:hAnsi="Times New Roman" w:cs="Times New Roman" w:hint="eastAsia"/>
                <w:color w:val="auto"/>
                <w:lang w:eastAsia="zh-CN"/>
              </w:rPr>
            </w:pPr>
            <w:r>
              <w:rPr>
                <w:rFonts w:ascii="Times New Roman" w:eastAsia="宋体" w:hAnsi="Times New Roman" w:cs="Times New Roman" w:hint="default"/>
                <w:color w:val="auto"/>
              </w:rPr>
              <w:t xml:space="preserve">D1 </w:t>
            </w:r>
            <w:r>
              <w:rPr>
                <w:rFonts w:cs="Times New Roman" w:hint="eastAsia"/>
                <w:color w:val="auto"/>
                <w:lang w:eastAsia="zh-CN"/>
              </w:rPr>
              <w:t>☑</w:t>
            </w:r>
          </w:p>
        </w:tc>
        <w:tc>
          <w:tcPr>
            <w:tcW w:w="1434" w:type="dxa"/>
            <w:gridSpan w:val="5"/>
            <w:tcBorders>
              <w:top w:val="single" w:sz="4" w:space="0" w:color="000000"/>
              <w:left w:val="nil"/>
              <w:bottom w:val="single" w:sz="4" w:space="0" w:color="000000"/>
              <w:right w:val="single" w:sz="4" w:space="0" w:color="000000"/>
            </w:tcBorders>
            <w:noWrap w:val="0"/>
            <w:vAlign w:val="center"/>
          </w:tcPr>
          <w:p w14:paraId="2C6CB46F">
            <w:pPr>
              <w:pStyle w:val="a4"/>
              <w:bidi w:val="0"/>
              <w:rPr>
                <w:rFonts w:ascii="Times New Roman" w:eastAsia="宋体" w:hAnsi="Times New Roman" w:cs="Times New Roman" w:hint="default"/>
                <w:color w:val="auto"/>
                <w:lang w:eastAsia="zh-CN"/>
              </w:rPr>
            </w:pPr>
            <w:r>
              <w:rPr>
                <w:rFonts w:ascii="Times New Roman" w:eastAsia="宋体" w:hAnsi="Times New Roman" w:cs="Times New Roman" w:hint="default"/>
                <w:color w:val="auto"/>
              </w:rPr>
              <w:t xml:space="preserve">D2 </w:t>
            </w:r>
            <w:r>
              <w:rPr>
                <w:rFonts w:cs="Times New Roman" w:hint="eastAsia"/>
                <w:color w:val="auto"/>
                <w:lang w:eastAsia="zh-CN"/>
              </w:rPr>
              <w:t>□</w:t>
            </w:r>
          </w:p>
        </w:tc>
        <w:tc>
          <w:tcPr>
            <w:tcW w:w="1865" w:type="dxa"/>
            <w:tcBorders>
              <w:top w:val="single" w:sz="4" w:space="0" w:color="000000"/>
              <w:left w:val="nil"/>
              <w:bottom w:val="single" w:sz="4" w:space="0" w:color="000000"/>
            </w:tcBorders>
            <w:noWrap w:val="0"/>
            <w:vAlign w:val="center"/>
          </w:tcPr>
          <w:p w14:paraId="13531411">
            <w:pPr>
              <w:pStyle w:val="a4"/>
              <w:bidi w:val="0"/>
              <w:rPr>
                <w:rFonts w:ascii="Times New Roman" w:eastAsia="宋体" w:hAnsi="Times New Roman" w:cs="Times New Roman" w:hint="eastAsia"/>
                <w:color w:val="auto"/>
                <w:lang w:eastAsia="zh-CN"/>
              </w:rPr>
            </w:pPr>
            <w:r>
              <w:rPr>
                <w:rFonts w:ascii="Times New Roman" w:eastAsia="宋体" w:hAnsi="Times New Roman" w:cs="Times New Roman" w:hint="default"/>
                <w:color w:val="auto"/>
              </w:rPr>
              <w:t xml:space="preserve">D3 </w:t>
            </w:r>
            <w:r>
              <w:rPr>
                <w:rFonts w:cs="Times New Roman" w:hint="eastAsia"/>
                <w:color w:val="auto"/>
                <w:lang w:eastAsia="zh-CN"/>
              </w:rPr>
              <w:t>□</w:t>
            </w:r>
          </w:p>
        </w:tc>
      </w:tr>
      <w:tr w14:paraId="117FAEF8">
        <w:tblPrEx>
          <w:tblW w:w="0" w:type="auto"/>
          <w:tblInd w:w="0" w:type="dxa"/>
          <w:tblLayout w:type="fixed"/>
          <w:tblCellMar>
            <w:top w:w="0" w:type="dxa"/>
            <w:left w:w="0" w:type="dxa"/>
            <w:bottom w:w="0" w:type="dxa"/>
            <w:right w:w="0" w:type="dxa"/>
          </w:tblCellMar>
        </w:tblPrEx>
        <w:trPr>
          <w:trHeight w:val="397"/>
        </w:trPr>
        <w:tc>
          <w:tcPr>
            <w:tcW w:w="1205" w:type="dxa"/>
            <w:gridSpan w:val="2"/>
            <w:vMerge w:val="restart"/>
            <w:tcBorders>
              <w:top w:val="nil"/>
              <w:left w:val="single" w:sz="4" w:space="0" w:color="000000"/>
              <w:bottom w:val="single" w:sz="4" w:space="0" w:color="000000"/>
              <w:right w:val="single" w:sz="4" w:space="0" w:color="000000"/>
            </w:tcBorders>
            <w:noWrap w:val="0"/>
            <w:vAlign w:val="center"/>
          </w:tcPr>
          <w:p w14:paraId="4995278A">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物质及工艺系统危险性</w:t>
            </w:r>
          </w:p>
        </w:tc>
        <w:tc>
          <w:tcPr>
            <w:tcW w:w="947" w:type="dxa"/>
            <w:tcBorders>
              <w:top w:val="single" w:sz="4" w:space="0" w:color="000000"/>
              <w:left w:val="nil"/>
              <w:bottom w:val="single" w:sz="4" w:space="0" w:color="000000"/>
              <w:right w:val="single" w:sz="4" w:space="0" w:color="000000"/>
            </w:tcBorders>
            <w:noWrap w:val="0"/>
            <w:vAlign w:val="center"/>
          </w:tcPr>
          <w:p w14:paraId="19FF175D">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Q 值</w:t>
            </w:r>
          </w:p>
        </w:tc>
        <w:tc>
          <w:tcPr>
            <w:tcW w:w="1661" w:type="dxa"/>
            <w:gridSpan w:val="2"/>
            <w:tcBorders>
              <w:top w:val="single" w:sz="4" w:space="0" w:color="000000"/>
              <w:left w:val="nil"/>
              <w:bottom w:val="single" w:sz="4" w:space="0" w:color="000000"/>
              <w:right w:val="single" w:sz="4" w:space="0" w:color="000000"/>
            </w:tcBorders>
            <w:noWrap w:val="0"/>
            <w:vAlign w:val="center"/>
          </w:tcPr>
          <w:p w14:paraId="082C3DCD">
            <w:pPr>
              <w:pStyle w:val="a4"/>
              <w:bidi w:val="0"/>
              <w:rPr>
                <w:rFonts w:ascii="Times New Roman" w:eastAsia="宋体" w:hAnsi="Times New Roman" w:cs="Times New Roman" w:hint="default"/>
                <w:color w:val="auto"/>
                <w:lang w:eastAsia="zh-CN"/>
              </w:rPr>
            </w:pPr>
            <w:r>
              <w:rPr>
                <w:rFonts w:ascii="Times New Roman" w:eastAsia="宋体" w:hAnsi="Times New Roman" w:cs="Times New Roman" w:hint="default"/>
                <w:color w:val="auto"/>
              </w:rPr>
              <w:t xml:space="preserve">Q＜1 </w:t>
            </w:r>
            <w:r>
              <w:rPr>
                <w:rFonts w:ascii="Times New Roman" w:eastAsia="宋体" w:hAnsi="Times New Roman" w:cs="Times New Roman" w:hint="default"/>
                <w:color w:val="auto"/>
                <w:lang w:eastAsia="zh-CN"/>
              </w:rPr>
              <w:t>□</w:t>
            </w:r>
          </w:p>
        </w:tc>
        <w:tc>
          <w:tcPr>
            <w:tcW w:w="1174" w:type="dxa"/>
            <w:gridSpan w:val="2"/>
            <w:tcBorders>
              <w:top w:val="single" w:sz="4" w:space="0" w:color="000000"/>
              <w:left w:val="nil"/>
              <w:bottom w:val="single" w:sz="4" w:space="0" w:color="000000"/>
              <w:right w:val="single" w:sz="4" w:space="0" w:color="000000"/>
            </w:tcBorders>
            <w:noWrap w:val="0"/>
            <w:vAlign w:val="center"/>
          </w:tcPr>
          <w:p w14:paraId="0C8F670F">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1≤Q＜10 □</w:t>
            </w:r>
          </w:p>
        </w:tc>
        <w:tc>
          <w:tcPr>
            <w:tcW w:w="1434" w:type="dxa"/>
            <w:gridSpan w:val="5"/>
            <w:tcBorders>
              <w:top w:val="single" w:sz="4" w:space="0" w:color="000000"/>
              <w:left w:val="nil"/>
              <w:bottom w:val="single" w:sz="4" w:space="0" w:color="000000"/>
              <w:right w:val="single" w:sz="4" w:space="0" w:color="000000"/>
            </w:tcBorders>
            <w:noWrap w:val="0"/>
            <w:vAlign w:val="center"/>
          </w:tcPr>
          <w:p w14:paraId="3B9092BB">
            <w:pPr>
              <w:pStyle w:val="a4"/>
              <w:bidi w:val="0"/>
              <w:rPr>
                <w:rFonts w:ascii="Times New Roman" w:eastAsia="宋体" w:hAnsi="Times New Roman" w:cs="Times New Roman" w:hint="default"/>
                <w:color w:val="auto"/>
                <w:lang w:eastAsia="zh-CN"/>
              </w:rPr>
            </w:pPr>
            <w:r>
              <w:rPr>
                <w:rFonts w:ascii="Times New Roman" w:eastAsia="宋体" w:hAnsi="Times New Roman" w:cs="Times New Roman" w:hint="default"/>
                <w:color w:val="auto"/>
              </w:rPr>
              <w:t xml:space="preserve">10≤Q＜100 </w:t>
            </w:r>
            <w:r>
              <w:rPr>
                <w:rFonts w:ascii="Times New Roman" w:eastAsia="宋体" w:hAnsi="Times New Roman" w:cs="Times New Roman" w:hint="default"/>
                <w:color w:val="auto"/>
                <w:lang w:eastAsia="zh-CN"/>
              </w:rPr>
              <w:t>□</w:t>
            </w:r>
          </w:p>
        </w:tc>
        <w:tc>
          <w:tcPr>
            <w:tcW w:w="1865" w:type="dxa"/>
            <w:tcBorders>
              <w:top w:val="single" w:sz="4" w:space="0" w:color="000000"/>
              <w:left w:val="nil"/>
              <w:bottom w:val="single" w:sz="4" w:space="0" w:color="000000"/>
            </w:tcBorders>
            <w:noWrap w:val="0"/>
            <w:vAlign w:val="center"/>
          </w:tcPr>
          <w:p w14:paraId="5BF4F0AE">
            <w:pPr>
              <w:pStyle w:val="a4"/>
              <w:bidi w:val="0"/>
              <w:rPr>
                <w:rFonts w:ascii="Times New Roman" w:eastAsia="宋体" w:hAnsi="Times New Roman" w:cs="Times New Roman" w:hint="default"/>
                <w:color w:val="auto"/>
                <w:lang w:eastAsia="zh-CN"/>
              </w:rPr>
            </w:pPr>
            <w:r>
              <w:rPr>
                <w:rFonts w:ascii="Times New Roman" w:eastAsia="宋体" w:hAnsi="Times New Roman" w:cs="Times New Roman" w:hint="default"/>
                <w:color w:val="auto"/>
              </w:rPr>
              <w:t xml:space="preserve">Q＞100 </w:t>
            </w:r>
            <w:r>
              <w:rPr>
                <w:rFonts w:ascii="Times New Roman" w:eastAsia="宋体" w:hAnsi="Times New Roman" w:cs="Times New Roman" w:hint="default"/>
                <w:color w:val="auto"/>
                <w:lang w:eastAsia="zh-CN"/>
              </w:rPr>
              <w:t>☑</w:t>
            </w:r>
          </w:p>
        </w:tc>
      </w:tr>
      <w:tr w14:paraId="04A0CFEC">
        <w:tblPrEx>
          <w:tblW w:w="0" w:type="auto"/>
          <w:tblInd w:w="0" w:type="dxa"/>
          <w:tblLayout w:type="fixed"/>
          <w:tblCellMar>
            <w:top w:w="0" w:type="dxa"/>
            <w:left w:w="0" w:type="dxa"/>
            <w:bottom w:w="0" w:type="dxa"/>
            <w:right w:w="0" w:type="dxa"/>
          </w:tblCellMar>
        </w:tblPrEx>
        <w:trPr>
          <w:trHeight w:val="397"/>
        </w:trPr>
        <w:tc>
          <w:tcPr>
            <w:tcW w:w="1205" w:type="dxa"/>
            <w:gridSpan w:val="2"/>
            <w:vMerge/>
            <w:tcBorders>
              <w:top w:val="nil"/>
              <w:left w:val="single" w:sz="4" w:space="0" w:color="000000"/>
              <w:bottom w:val="single" w:sz="4" w:space="0" w:color="000000"/>
              <w:right w:val="single" w:sz="4" w:space="0" w:color="000000"/>
            </w:tcBorders>
            <w:noWrap w:val="0"/>
            <w:vAlign w:val="center"/>
          </w:tcPr>
          <w:p w14:paraId="0D3F9367">
            <w:pPr>
              <w:pStyle w:val="a4"/>
              <w:bidi w:val="0"/>
              <w:rPr>
                <w:rFonts w:ascii="Times New Roman" w:eastAsia="宋体" w:hAnsi="Times New Roman" w:cs="Times New Roman" w:hint="default"/>
                <w:color w:val="auto"/>
              </w:rPr>
            </w:pPr>
          </w:p>
        </w:tc>
        <w:tc>
          <w:tcPr>
            <w:tcW w:w="947" w:type="dxa"/>
            <w:tcBorders>
              <w:top w:val="single" w:sz="4" w:space="0" w:color="000000"/>
              <w:left w:val="nil"/>
              <w:bottom w:val="single" w:sz="4" w:space="0" w:color="000000"/>
              <w:right w:val="single" w:sz="4" w:space="0" w:color="000000"/>
            </w:tcBorders>
            <w:noWrap w:val="0"/>
            <w:vAlign w:val="center"/>
          </w:tcPr>
          <w:p w14:paraId="4A4453A2">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M 值</w:t>
            </w:r>
          </w:p>
        </w:tc>
        <w:tc>
          <w:tcPr>
            <w:tcW w:w="1661" w:type="dxa"/>
            <w:gridSpan w:val="2"/>
            <w:tcBorders>
              <w:top w:val="single" w:sz="4" w:space="0" w:color="000000"/>
              <w:left w:val="nil"/>
              <w:bottom w:val="single" w:sz="4" w:space="0" w:color="000000"/>
              <w:right w:val="single" w:sz="4" w:space="0" w:color="000000"/>
            </w:tcBorders>
            <w:noWrap w:val="0"/>
            <w:vAlign w:val="center"/>
          </w:tcPr>
          <w:p w14:paraId="545EC2EF">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M1 □</w:t>
            </w:r>
          </w:p>
        </w:tc>
        <w:tc>
          <w:tcPr>
            <w:tcW w:w="1174" w:type="dxa"/>
            <w:gridSpan w:val="2"/>
            <w:tcBorders>
              <w:top w:val="single" w:sz="4" w:space="0" w:color="000000"/>
              <w:left w:val="nil"/>
              <w:bottom w:val="single" w:sz="4" w:space="0" w:color="000000"/>
              <w:right w:val="single" w:sz="4" w:space="0" w:color="000000"/>
            </w:tcBorders>
            <w:noWrap w:val="0"/>
            <w:vAlign w:val="center"/>
          </w:tcPr>
          <w:p w14:paraId="7390CD7F">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M2 □</w:t>
            </w:r>
          </w:p>
        </w:tc>
        <w:tc>
          <w:tcPr>
            <w:tcW w:w="1434" w:type="dxa"/>
            <w:gridSpan w:val="5"/>
            <w:tcBorders>
              <w:top w:val="single" w:sz="4" w:space="0" w:color="000000"/>
              <w:left w:val="nil"/>
              <w:bottom w:val="single" w:sz="4" w:space="0" w:color="000000"/>
              <w:right w:val="single" w:sz="4" w:space="0" w:color="000000"/>
            </w:tcBorders>
            <w:noWrap w:val="0"/>
            <w:vAlign w:val="center"/>
          </w:tcPr>
          <w:p w14:paraId="35C36350">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M3 □</w:t>
            </w:r>
          </w:p>
        </w:tc>
        <w:tc>
          <w:tcPr>
            <w:tcW w:w="1865" w:type="dxa"/>
            <w:tcBorders>
              <w:top w:val="single" w:sz="4" w:space="0" w:color="000000"/>
              <w:left w:val="nil"/>
              <w:bottom w:val="single" w:sz="4" w:space="0" w:color="000000"/>
            </w:tcBorders>
            <w:noWrap w:val="0"/>
            <w:vAlign w:val="center"/>
          </w:tcPr>
          <w:p w14:paraId="2BCA5C33">
            <w:pPr>
              <w:pStyle w:val="a4"/>
              <w:bidi w:val="0"/>
              <w:rPr>
                <w:rFonts w:ascii="Times New Roman" w:eastAsia="宋体" w:hAnsi="Times New Roman" w:cs="Times New Roman" w:hint="default"/>
                <w:color w:val="auto"/>
                <w:lang w:eastAsia="zh-CN"/>
              </w:rPr>
            </w:pPr>
            <w:r>
              <w:rPr>
                <w:rFonts w:ascii="Times New Roman" w:eastAsia="宋体" w:hAnsi="Times New Roman" w:cs="Times New Roman" w:hint="default"/>
                <w:color w:val="auto"/>
              </w:rPr>
              <w:t xml:space="preserve">M4 </w:t>
            </w:r>
            <w:r>
              <w:rPr>
                <w:rFonts w:ascii="Times New Roman" w:eastAsia="宋体" w:hAnsi="Times New Roman" w:cs="Times New Roman" w:hint="default"/>
                <w:color w:val="auto"/>
                <w:lang w:eastAsia="zh-CN"/>
              </w:rPr>
              <w:t>☑</w:t>
            </w:r>
          </w:p>
        </w:tc>
      </w:tr>
      <w:tr w14:paraId="23D76324">
        <w:tblPrEx>
          <w:tblW w:w="0" w:type="auto"/>
          <w:tblInd w:w="0" w:type="dxa"/>
          <w:tblLayout w:type="fixed"/>
          <w:tblCellMar>
            <w:top w:w="0" w:type="dxa"/>
            <w:left w:w="0" w:type="dxa"/>
            <w:bottom w:w="0" w:type="dxa"/>
            <w:right w:w="0" w:type="dxa"/>
          </w:tblCellMar>
        </w:tblPrEx>
        <w:trPr>
          <w:trHeight w:val="397"/>
        </w:trPr>
        <w:tc>
          <w:tcPr>
            <w:tcW w:w="1205" w:type="dxa"/>
            <w:gridSpan w:val="2"/>
            <w:vMerge/>
            <w:tcBorders>
              <w:top w:val="nil"/>
              <w:left w:val="single" w:sz="4" w:space="0" w:color="000000"/>
              <w:bottom w:val="single" w:sz="4" w:space="0" w:color="000000"/>
              <w:right w:val="single" w:sz="4" w:space="0" w:color="000000"/>
            </w:tcBorders>
            <w:noWrap w:val="0"/>
            <w:vAlign w:val="center"/>
          </w:tcPr>
          <w:p w14:paraId="7DEF9690">
            <w:pPr>
              <w:pStyle w:val="a4"/>
              <w:bidi w:val="0"/>
              <w:rPr>
                <w:rFonts w:ascii="Times New Roman" w:eastAsia="宋体" w:hAnsi="Times New Roman" w:cs="Times New Roman" w:hint="default"/>
                <w:color w:val="auto"/>
              </w:rPr>
            </w:pPr>
          </w:p>
        </w:tc>
        <w:tc>
          <w:tcPr>
            <w:tcW w:w="947" w:type="dxa"/>
            <w:tcBorders>
              <w:top w:val="single" w:sz="4" w:space="0" w:color="000000"/>
              <w:left w:val="nil"/>
              <w:bottom w:val="single" w:sz="4" w:space="0" w:color="000000"/>
              <w:right w:val="single" w:sz="4" w:space="0" w:color="000000"/>
            </w:tcBorders>
            <w:noWrap w:val="0"/>
            <w:vAlign w:val="center"/>
          </w:tcPr>
          <w:p w14:paraId="432BBF58">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P 值</w:t>
            </w:r>
          </w:p>
        </w:tc>
        <w:tc>
          <w:tcPr>
            <w:tcW w:w="1661" w:type="dxa"/>
            <w:gridSpan w:val="2"/>
            <w:tcBorders>
              <w:top w:val="single" w:sz="4" w:space="0" w:color="000000"/>
              <w:left w:val="nil"/>
              <w:bottom w:val="single" w:sz="4" w:space="0" w:color="000000"/>
              <w:right w:val="single" w:sz="4" w:space="0" w:color="000000"/>
            </w:tcBorders>
            <w:noWrap w:val="0"/>
            <w:vAlign w:val="center"/>
          </w:tcPr>
          <w:p w14:paraId="7DC12A4F">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P1 □</w:t>
            </w:r>
          </w:p>
        </w:tc>
        <w:tc>
          <w:tcPr>
            <w:tcW w:w="1174" w:type="dxa"/>
            <w:gridSpan w:val="2"/>
            <w:tcBorders>
              <w:top w:val="single" w:sz="4" w:space="0" w:color="000000"/>
              <w:left w:val="nil"/>
              <w:bottom w:val="single" w:sz="4" w:space="0" w:color="000000"/>
              <w:right w:val="single" w:sz="4" w:space="0" w:color="000000"/>
            </w:tcBorders>
            <w:noWrap w:val="0"/>
            <w:vAlign w:val="center"/>
          </w:tcPr>
          <w:p w14:paraId="788802DE">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P2 □</w:t>
            </w:r>
          </w:p>
        </w:tc>
        <w:tc>
          <w:tcPr>
            <w:tcW w:w="1434" w:type="dxa"/>
            <w:gridSpan w:val="5"/>
            <w:tcBorders>
              <w:top w:val="single" w:sz="4" w:space="0" w:color="000000"/>
              <w:left w:val="nil"/>
              <w:bottom w:val="single" w:sz="4" w:space="0" w:color="000000"/>
              <w:right w:val="single" w:sz="4" w:space="0" w:color="000000"/>
            </w:tcBorders>
            <w:noWrap w:val="0"/>
            <w:vAlign w:val="center"/>
          </w:tcPr>
          <w:p w14:paraId="395D3E45">
            <w:pPr>
              <w:pStyle w:val="a4"/>
              <w:bidi w:val="0"/>
              <w:rPr>
                <w:rFonts w:ascii="Times New Roman" w:eastAsia="宋体" w:hAnsi="Times New Roman" w:cs="Times New Roman" w:hint="default"/>
                <w:color w:val="auto"/>
                <w:lang w:eastAsia="zh-CN"/>
              </w:rPr>
            </w:pPr>
            <w:r>
              <w:rPr>
                <w:rFonts w:ascii="Times New Roman" w:eastAsia="宋体" w:hAnsi="Times New Roman" w:cs="Times New Roman" w:hint="default"/>
                <w:color w:val="auto"/>
              </w:rPr>
              <w:t xml:space="preserve">P3 </w:t>
            </w:r>
            <w:r>
              <w:rPr>
                <w:rFonts w:ascii="Times New Roman" w:eastAsia="宋体" w:hAnsi="Times New Roman" w:cs="Times New Roman" w:hint="default"/>
                <w:color w:val="auto"/>
                <w:lang w:eastAsia="zh-CN"/>
              </w:rPr>
              <w:t>☑</w:t>
            </w:r>
          </w:p>
        </w:tc>
        <w:tc>
          <w:tcPr>
            <w:tcW w:w="1865" w:type="dxa"/>
            <w:tcBorders>
              <w:top w:val="single" w:sz="4" w:space="0" w:color="000000"/>
              <w:left w:val="nil"/>
              <w:bottom w:val="single" w:sz="4" w:space="0" w:color="000000"/>
            </w:tcBorders>
            <w:noWrap w:val="0"/>
            <w:vAlign w:val="center"/>
          </w:tcPr>
          <w:p w14:paraId="3ECC8A5C">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P4 □</w:t>
            </w:r>
          </w:p>
        </w:tc>
      </w:tr>
      <w:tr w14:paraId="481C1576">
        <w:tblPrEx>
          <w:tblW w:w="0" w:type="auto"/>
          <w:tblInd w:w="0" w:type="dxa"/>
          <w:tblLayout w:type="fixed"/>
          <w:tblCellMar>
            <w:top w:w="0" w:type="dxa"/>
            <w:left w:w="0" w:type="dxa"/>
            <w:bottom w:w="0" w:type="dxa"/>
            <w:right w:w="0" w:type="dxa"/>
          </w:tblCellMar>
        </w:tblPrEx>
        <w:trPr>
          <w:trHeight w:val="397"/>
        </w:trPr>
        <w:tc>
          <w:tcPr>
            <w:tcW w:w="1205" w:type="dxa"/>
            <w:gridSpan w:val="2"/>
            <w:vMerge w:val="restart"/>
            <w:tcBorders>
              <w:top w:val="nil"/>
              <w:left w:val="single" w:sz="4" w:space="0" w:color="000000"/>
              <w:bottom w:val="single" w:sz="4" w:space="0" w:color="000000"/>
              <w:right w:val="single" w:sz="4" w:space="0" w:color="000000"/>
            </w:tcBorders>
            <w:noWrap w:val="0"/>
            <w:vAlign w:val="center"/>
          </w:tcPr>
          <w:p w14:paraId="43B49335">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环境敏感程度</w:t>
            </w:r>
          </w:p>
        </w:tc>
        <w:tc>
          <w:tcPr>
            <w:tcW w:w="947" w:type="dxa"/>
            <w:tcBorders>
              <w:top w:val="single" w:sz="4" w:space="0" w:color="000000"/>
              <w:left w:val="nil"/>
              <w:bottom w:val="single" w:sz="4" w:space="0" w:color="000000"/>
              <w:right w:val="single" w:sz="4" w:space="0" w:color="000000"/>
            </w:tcBorders>
            <w:noWrap w:val="0"/>
            <w:vAlign w:val="center"/>
          </w:tcPr>
          <w:p w14:paraId="442767E0">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大气</w:t>
            </w:r>
          </w:p>
        </w:tc>
        <w:tc>
          <w:tcPr>
            <w:tcW w:w="1661" w:type="dxa"/>
            <w:gridSpan w:val="2"/>
            <w:tcBorders>
              <w:top w:val="single" w:sz="4" w:space="0" w:color="000000"/>
              <w:left w:val="nil"/>
              <w:bottom w:val="single" w:sz="4" w:space="0" w:color="000000"/>
              <w:right w:val="single" w:sz="4" w:space="0" w:color="000000"/>
            </w:tcBorders>
            <w:noWrap w:val="0"/>
            <w:vAlign w:val="center"/>
          </w:tcPr>
          <w:p w14:paraId="169CCB3A">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E1 □</w:t>
            </w:r>
          </w:p>
        </w:tc>
        <w:tc>
          <w:tcPr>
            <w:tcW w:w="1531" w:type="dxa"/>
            <w:gridSpan w:val="4"/>
            <w:tcBorders>
              <w:top w:val="single" w:sz="4" w:space="0" w:color="000000"/>
              <w:left w:val="nil"/>
              <w:bottom w:val="single" w:sz="4" w:space="0" w:color="000000"/>
              <w:right w:val="single" w:sz="4" w:space="0" w:color="000000"/>
            </w:tcBorders>
            <w:noWrap w:val="0"/>
            <w:vAlign w:val="center"/>
          </w:tcPr>
          <w:p w14:paraId="09A3043A">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E2 □</w:t>
            </w:r>
          </w:p>
        </w:tc>
        <w:tc>
          <w:tcPr>
            <w:tcW w:w="2942" w:type="dxa"/>
            <w:gridSpan w:val="4"/>
            <w:tcBorders>
              <w:top w:val="single" w:sz="4" w:space="0" w:color="000000"/>
              <w:left w:val="nil"/>
              <w:bottom w:val="single" w:sz="4" w:space="0" w:color="000000"/>
              <w:right w:val="single" w:sz="8" w:space="0" w:color="000000"/>
            </w:tcBorders>
            <w:noWrap w:val="0"/>
            <w:vAlign w:val="center"/>
          </w:tcPr>
          <w:p w14:paraId="3D1B848D">
            <w:pPr>
              <w:pStyle w:val="a4"/>
              <w:bidi w:val="0"/>
              <w:rPr>
                <w:rFonts w:ascii="Times New Roman" w:eastAsia="宋体" w:hAnsi="Times New Roman" w:cs="Times New Roman" w:hint="default"/>
                <w:color w:val="auto"/>
                <w:lang w:eastAsia="zh-CN"/>
              </w:rPr>
            </w:pPr>
            <w:r>
              <w:rPr>
                <w:rFonts w:ascii="Times New Roman" w:eastAsia="宋体" w:hAnsi="Times New Roman" w:cs="Times New Roman" w:hint="default"/>
                <w:color w:val="auto"/>
              </w:rPr>
              <w:t xml:space="preserve">E3 </w:t>
            </w:r>
            <w:r>
              <w:rPr>
                <w:rFonts w:ascii="Times New Roman" w:eastAsia="宋体" w:hAnsi="Times New Roman" w:cs="Times New Roman" w:hint="default"/>
                <w:color w:val="auto"/>
                <w:lang w:eastAsia="zh-CN"/>
              </w:rPr>
              <w:t>☑</w:t>
            </w:r>
          </w:p>
        </w:tc>
      </w:tr>
      <w:tr w14:paraId="0DEB4166">
        <w:tblPrEx>
          <w:tblW w:w="0" w:type="auto"/>
          <w:tblInd w:w="0" w:type="dxa"/>
          <w:tblLayout w:type="fixed"/>
          <w:tblCellMar>
            <w:top w:w="0" w:type="dxa"/>
            <w:left w:w="0" w:type="dxa"/>
            <w:bottom w:w="0" w:type="dxa"/>
            <w:right w:w="0" w:type="dxa"/>
          </w:tblCellMar>
        </w:tblPrEx>
        <w:trPr>
          <w:trHeight w:val="397"/>
        </w:trPr>
        <w:tc>
          <w:tcPr>
            <w:tcW w:w="1205" w:type="dxa"/>
            <w:gridSpan w:val="2"/>
            <w:vMerge/>
            <w:tcBorders>
              <w:top w:val="nil"/>
              <w:left w:val="single" w:sz="4" w:space="0" w:color="000000"/>
              <w:bottom w:val="single" w:sz="4" w:space="0" w:color="000000"/>
              <w:right w:val="single" w:sz="4" w:space="0" w:color="000000"/>
            </w:tcBorders>
            <w:noWrap w:val="0"/>
            <w:vAlign w:val="center"/>
          </w:tcPr>
          <w:p w14:paraId="5083A861">
            <w:pPr>
              <w:pStyle w:val="a4"/>
              <w:bidi w:val="0"/>
              <w:rPr>
                <w:rFonts w:ascii="Times New Roman" w:eastAsia="宋体" w:hAnsi="Times New Roman" w:cs="Times New Roman" w:hint="default"/>
                <w:color w:val="auto"/>
              </w:rPr>
            </w:pPr>
          </w:p>
        </w:tc>
        <w:tc>
          <w:tcPr>
            <w:tcW w:w="947" w:type="dxa"/>
            <w:tcBorders>
              <w:top w:val="single" w:sz="4" w:space="0" w:color="000000"/>
              <w:left w:val="nil"/>
              <w:bottom w:val="single" w:sz="4" w:space="0" w:color="000000"/>
              <w:right w:val="single" w:sz="4" w:space="0" w:color="000000"/>
            </w:tcBorders>
            <w:noWrap w:val="0"/>
            <w:vAlign w:val="center"/>
          </w:tcPr>
          <w:p w14:paraId="591EA413">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地表水</w:t>
            </w:r>
          </w:p>
        </w:tc>
        <w:tc>
          <w:tcPr>
            <w:tcW w:w="1661" w:type="dxa"/>
            <w:gridSpan w:val="2"/>
            <w:tcBorders>
              <w:top w:val="single" w:sz="4" w:space="0" w:color="000000"/>
              <w:left w:val="nil"/>
              <w:bottom w:val="single" w:sz="4" w:space="0" w:color="000000"/>
              <w:right w:val="single" w:sz="4" w:space="0" w:color="000000"/>
            </w:tcBorders>
            <w:noWrap w:val="0"/>
            <w:vAlign w:val="center"/>
          </w:tcPr>
          <w:p w14:paraId="12857091">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E1 □</w:t>
            </w:r>
          </w:p>
        </w:tc>
        <w:tc>
          <w:tcPr>
            <w:tcW w:w="1531" w:type="dxa"/>
            <w:gridSpan w:val="4"/>
            <w:tcBorders>
              <w:top w:val="single" w:sz="4" w:space="0" w:color="000000"/>
              <w:left w:val="nil"/>
              <w:bottom w:val="single" w:sz="4" w:space="0" w:color="000000"/>
              <w:right w:val="single" w:sz="4" w:space="0" w:color="000000"/>
            </w:tcBorders>
            <w:noWrap w:val="0"/>
            <w:vAlign w:val="center"/>
          </w:tcPr>
          <w:p w14:paraId="7D8CB434">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E2 □</w:t>
            </w:r>
          </w:p>
        </w:tc>
        <w:tc>
          <w:tcPr>
            <w:tcW w:w="2942" w:type="dxa"/>
            <w:gridSpan w:val="4"/>
            <w:tcBorders>
              <w:top w:val="single" w:sz="4" w:space="0" w:color="000000"/>
              <w:left w:val="nil"/>
              <w:bottom w:val="single" w:sz="4" w:space="0" w:color="000000"/>
              <w:right w:val="single" w:sz="8" w:space="0" w:color="000000"/>
            </w:tcBorders>
            <w:noWrap w:val="0"/>
            <w:vAlign w:val="center"/>
          </w:tcPr>
          <w:p w14:paraId="3FAD1EC7">
            <w:pPr>
              <w:pStyle w:val="a4"/>
              <w:bidi w:val="0"/>
              <w:rPr>
                <w:rFonts w:ascii="Times New Roman" w:eastAsia="宋体" w:hAnsi="Times New Roman" w:cs="Times New Roman" w:hint="default"/>
                <w:color w:val="auto"/>
                <w:lang w:eastAsia="zh-CN"/>
              </w:rPr>
            </w:pPr>
            <w:r>
              <w:rPr>
                <w:rFonts w:ascii="Times New Roman" w:eastAsia="宋体" w:hAnsi="Times New Roman" w:cs="Times New Roman" w:hint="default"/>
                <w:color w:val="auto"/>
              </w:rPr>
              <w:t xml:space="preserve">E3 </w:t>
            </w:r>
            <w:r>
              <w:rPr>
                <w:rFonts w:ascii="Times New Roman" w:eastAsia="宋体" w:hAnsi="Times New Roman" w:cs="Times New Roman" w:hint="default"/>
                <w:color w:val="auto"/>
                <w:lang w:eastAsia="zh-CN"/>
              </w:rPr>
              <w:t>☑</w:t>
            </w:r>
          </w:p>
        </w:tc>
      </w:tr>
      <w:tr w14:paraId="0A9B850F">
        <w:tblPrEx>
          <w:tblW w:w="0" w:type="auto"/>
          <w:tblInd w:w="0" w:type="dxa"/>
          <w:tblLayout w:type="fixed"/>
          <w:tblCellMar>
            <w:top w:w="0" w:type="dxa"/>
            <w:left w:w="0" w:type="dxa"/>
            <w:bottom w:w="0" w:type="dxa"/>
            <w:right w:w="0" w:type="dxa"/>
          </w:tblCellMar>
        </w:tblPrEx>
        <w:trPr>
          <w:trHeight w:val="397"/>
        </w:trPr>
        <w:tc>
          <w:tcPr>
            <w:tcW w:w="1205" w:type="dxa"/>
            <w:gridSpan w:val="2"/>
            <w:vMerge/>
            <w:tcBorders>
              <w:top w:val="nil"/>
              <w:left w:val="single" w:sz="4" w:space="0" w:color="000000"/>
              <w:bottom w:val="single" w:sz="4" w:space="0" w:color="000000"/>
              <w:right w:val="single" w:sz="4" w:space="0" w:color="000000"/>
            </w:tcBorders>
            <w:noWrap w:val="0"/>
            <w:vAlign w:val="center"/>
          </w:tcPr>
          <w:p w14:paraId="095ACAD3">
            <w:pPr>
              <w:pStyle w:val="a4"/>
              <w:bidi w:val="0"/>
              <w:rPr>
                <w:rFonts w:ascii="Times New Roman" w:eastAsia="宋体" w:hAnsi="Times New Roman" w:cs="Times New Roman" w:hint="default"/>
                <w:color w:val="auto"/>
              </w:rPr>
            </w:pPr>
          </w:p>
        </w:tc>
        <w:tc>
          <w:tcPr>
            <w:tcW w:w="947" w:type="dxa"/>
            <w:tcBorders>
              <w:top w:val="single" w:sz="4" w:space="0" w:color="000000"/>
              <w:left w:val="nil"/>
              <w:bottom w:val="single" w:sz="4" w:space="0" w:color="000000"/>
              <w:right w:val="single" w:sz="4" w:space="0" w:color="000000"/>
            </w:tcBorders>
            <w:noWrap w:val="0"/>
            <w:vAlign w:val="center"/>
          </w:tcPr>
          <w:p w14:paraId="6C565138">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地下水</w:t>
            </w:r>
          </w:p>
        </w:tc>
        <w:tc>
          <w:tcPr>
            <w:tcW w:w="1661" w:type="dxa"/>
            <w:gridSpan w:val="2"/>
            <w:tcBorders>
              <w:top w:val="single" w:sz="4" w:space="0" w:color="000000"/>
              <w:left w:val="nil"/>
              <w:bottom w:val="single" w:sz="4" w:space="0" w:color="000000"/>
              <w:right w:val="single" w:sz="4" w:space="0" w:color="000000"/>
            </w:tcBorders>
            <w:noWrap w:val="0"/>
            <w:vAlign w:val="center"/>
          </w:tcPr>
          <w:p w14:paraId="486CCBFB">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E1 □</w:t>
            </w:r>
          </w:p>
        </w:tc>
        <w:tc>
          <w:tcPr>
            <w:tcW w:w="1531" w:type="dxa"/>
            <w:gridSpan w:val="4"/>
            <w:tcBorders>
              <w:top w:val="single" w:sz="4" w:space="0" w:color="000000"/>
              <w:left w:val="nil"/>
              <w:bottom w:val="single" w:sz="4" w:space="0" w:color="000000"/>
              <w:right w:val="single" w:sz="4" w:space="0" w:color="000000"/>
            </w:tcBorders>
            <w:noWrap w:val="0"/>
            <w:vAlign w:val="center"/>
          </w:tcPr>
          <w:p w14:paraId="6FAD8539">
            <w:pPr>
              <w:pStyle w:val="a4"/>
              <w:bidi w:val="0"/>
              <w:rPr>
                <w:rFonts w:ascii="Times New Roman" w:eastAsia="宋体" w:hAnsi="Times New Roman" w:cs="Times New Roman" w:hint="eastAsia"/>
                <w:color w:val="auto"/>
                <w:lang w:eastAsia="zh-CN"/>
              </w:rPr>
            </w:pPr>
            <w:r>
              <w:rPr>
                <w:rFonts w:ascii="Times New Roman" w:eastAsia="宋体" w:hAnsi="Times New Roman" w:cs="Times New Roman" w:hint="default"/>
                <w:color w:val="auto"/>
              </w:rPr>
              <w:t xml:space="preserve">E2 </w:t>
            </w:r>
            <w:r>
              <w:rPr>
                <w:rFonts w:cs="Times New Roman" w:hint="eastAsia"/>
                <w:color w:val="auto"/>
                <w:lang w:eastAsia="zh-CN"/>
              </w:rPr>
              <w:t>☑</w:t>
            </w:r>
          </w:p>
        </w:tc>
        <w:tc>
          <w:tcPr>
            <w:tcW w:w="2942" w:type="dxa"/>
            <w:gridSpan w:val="4"/>
            <w:tcBorders>
              <w:top w:val="single" w:sz="4" w:space="0" w:color="000000"/>
              <w:left w:val="nil"/>
              <w:bottom w:val="single" w:sz="4" w:space="0" w:color="000000"/>
              <w:right w:val="single" w:sz="8" w:space="0" w:color="000000"/>
            </w:tcBorders>
            <w:noWrap w:val="0"/>
            <w:vAlign w:val="center"/>
          </w:tcPr>
          <w:p w14:paraId="3E6F62FD">
            <w:pPr>
              <w:pStyle w:val="a4"/>
              <w:bidi w:val="0"/>
              <w:rPr>
                <w:rFonts w:ascii="Times New Roman" w:eastAsia="宋体" w:hAnsi="Times New Roman" w:cs="Times New Roman" w:hint="default"/>
                <w:color w:val="auto"/>
                <w:lang w:eastAsia="zh-CN"/>
              </w:rPr>
            </w:pPr>
            <w:r>
              <w:rPr>
                <w:rFonts w:ascii="Times New Roman" w:eastAsia="宋体" w:hAnsi="Times New Roman" w:cs="Times New Roman" w:hint="default"/>
                <w:color w:val="auto"/>
              </w:rPr>
              <w:t xml:space="preserve">E3 </w:t>
            </w:r>
            <w:r>
              <w:rPr>
                <w:rFonts w:cs="Times New Roman" w:hint="eastAsia"/>
                <w:color w:val="auto"/>
                <w:lang w:eastAsia="zh-CN"/>
              </w:rPr>
              <w:t>□</w:t>
            </w:r>
          </w:p>
        </w:tc>
      </w:tr>
      <w:tr w14:paraId="10F28AFB">
        <w:tblPrEx>
          <w:tblW w:w="0" w:type="auto"/>
          <w:tblInd w:w="0" w:type="dxa"/>
          <w:tblLayout w:type="fixed"/>
          <w:tblCellMar>
            <w:top w:w="0" w:type="dxa"/>
            <w:left w:w="0" w:type="dxa"/>
            <w:bottom w:w="0" w:type="dxa"/>
            <w:right w:w="0" w:type="dxa"/>
          </w:tblCellMar>
        </w:tblPrEx>
        <w:trPr>
          <w:trHeight w:val="397"/>
        </w:trPr>
        <w:tc>
          <w:tcPr>
            <w:tcW w:w="1205" w:type="dxa"/>
            <w:gridSpan w:val="2"/>
            <w:tcBorders>
              <w:top w:val="single" w:sz="4" w:space="0" w:color="000000"/>
              <w:left w:val="single" w:sz="4" w:space="0" w:color="000000"/>
              <w:bottom w:val="single" w:sz="4" w:space="0" w:color="000000"/>
              <w:right w:val="single" w:sz="4" w:space="0" w:color="000000"/>
            </w:tcBorders>
            <w:noWrap w:val="0"/>
            <w:vAlign w:val="center"/>
          </w:tcPr>
          <w:p w14:paraId="43BF9B45">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环境风险</w:t>
            </w:r>
          </w:p>
          <w:p w14:paraId="7525DF40">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潜势</w:t>
            </w:r>
          </w:p>
        </w:tc>
        <w:tc>
          <w:tcPr>
            <w:tcW w:w="1187" w:type="dxa"/>
            <w:gridSpan w:val="2"/>
            <w:tcBorders>
              <w:top w:val="single" w:sz="4" w:space="0" w:color="000000"/>
              <w:left w:val="nil"/>
              <w:bottom w:val="single" w:sz="4" w:space="0" w:color="000000"/>
              <w:right w:val="single" w:sz="4" w:space="0" w:color="000000"/>
            </w:tcBorders>
            <w:noWrap w:val="0"/>
            <w:vAlign w:val="center"/>
          </w:tcPr>
          <w:p w14:paraId="2E09E9AC">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Ⅳ+ □</w:t>
            </w:r>
          </w:p>
        </w:tc>
        <w:tc>
          <w:tcPr>
            <w:tcW w:w="1421" w:type="dxa"/>
            <w:tcBorders>
              <w:top w:val="single" w:sz="4" w:space="0" w:color="000000"/>
              <w:left w:val="nil"/>
              <w:bottom w:val="single" w:sz="4" w:space="0" w:color="000000"/>
              <w:right w:val="single" w:sz="4" w:space="0" w:color="000000"/>
            </w:tcBorders>
            <w:noWrap w:val="0"/>
            <w:vAlign w:val="center"/>
          </w:tcPr>
          <w:p w14:paraId="3BF5494C">
            <w:pPr>
              <w:pStyle w:val="a4"/>
              <w:bidi w:val="0"/>
              <w:rPr>
                <w:rFonts w:ascii="Times New Roman" w:eastAsia="宋体" w:hAnsi="Times New Roman" w:cs="Times New Roman" w:hint="eastAsia"/>
                <w:color w:val="auto"/>
                <w:lang w:eastAsia="zh-CN"/>
              </w:rPr>
            </w:pPr>
            <w:r>
              <w:rPr>
                <w:rFonts w:ascii="Times New Roman" w:eastAsia="宋体" w:hAnsi="Times New Roman" w:cs="Times New Roman" w:hint="default"/>
                <w:color w:val="auto"/>
              </w:rPr>
              <w:t xml:space="preserve">Ⅳ </w:t>
            </w:r>
            <w:r>
              <w:rPr>
                <w:rFonts w:cs="Times New Roman" w:hint="eastAsia"/>
                <w:color w:val="auto"/>
                <w:lang w:eastAsia="zh-CN"/>
              </w:rPr>
              <w:t>□</w:t>
            </w:r>
          </w:p>
        </w:tc>
        <w:tc>
          <w:tcPr>
            <w:tcW w:w="864" w:type="dxa"/>
            <w:tcBorders>
              <w:top w:val="single" w:sz="4" w:space="0" w:color="000000"/>
              <w:left w:val="nil"/>
              <w:bottom w:val="single" w:sz="4" w:space="0" w:color="000000"/>
              <w:right w:val="single" w:sz="4" w:space="0" w:color="000000"/>
            </w:tcBorders>
            <w:noWrap w:val="0"/>
            <w:vAlign w:val="center"/>
          </w:tcPr>
          <w:p w14:paraId="4A74F01E">
            <w:pPr>
              <w:pStyle w:val="a4"/>
              <w:bidi w:val="0"/>
              <w:rPr>
                <w:rFonts w:ascii="Times New Roman" w:eastAsia="宋体" w:hAnsi="Times New Roman" w:cs="Times New Roman" w:hint="eastAsia"/>
                <w:color w:val="auto"/>
                <w:lang w:eastAsia="zh-CN"/>
              </w:rPr>
            </w:pPr>
            <w:r>
              <w:rPr>
                <w:rFonts w:ascii="Times New Roman" w:eastAsia="宋体" w:hAnsi="Times New Roman" w:cs="Times New Roman" w:hint="default"/>
                <w:color w:val="auto"/>
              </w:rPr>
              <w:t xml:space="preserve">Ⅲ </w:t>
            </w:r>
            <w:r>
              <w:rPr>
                <w:rFonts w:cs="Times New Roman" w:hint="eastAsia"/>
                <w:color w:val="auto"/>
                <w:lang w:eastAsia="zh-CN"/>
              </w:rPr>
              <w:t>☑</w:t>
            </w:r>
          </w:p>
        </w:tc>
        <w:tc>
          <w:tcPr>
            <w:tcW w:w="1347" w:type="dxa"/>
            <w:gridSpan w:val="4"/>
            <w:tcBorders>
              <w:top w:val="single" w:sz="4" w:space="0" w:color="000000"/>
              <w:left w:val="nil"/>
              <w:bottom w:val="single" w:sz="4" w:space="0" w:color="000000"/>
              <w:right w:val="single" w:sz="4" w:space="0" w:color="000000"/>
            </w:tcBorders>
            <w:noWrap w:val="0"/>
            <w:vAlign w:val="center"/>
          </w:tcPr>
          <w:p w14:paraId="04258666">
            <w:pPr>
              <w:pStyle w:val="a4"/>
              <w:bidi w:val="0"/>
              <w:rPr>
                <w:rFonts w:ascii="Times New Roman" w:eastAsia="宋体" w:hAnsi="Times New Roman" w:cs="Times New Roman" w:hint="default"/>
                <w:color w:val="auto"/>
                <w:lang w:eastAsia="zh-CN"/>
              </w:rPr>
            </w:pPr>
            <w:r>
              <w:rPr>
                <w:rFonts w:ascii="Times New Roman" w:eastAsia="宋体" w:hAnsi="Times New Roman" w:cs="Times New Roman" w:hint="default"/>
                <w:color w:val="auto"/>
              </w:rPr>
              <w:t xml:space="preserve">Ⅱ </w:t>
            </w:r>
            <w:r>
              <w:rPr>
                <w:rFonts w:cs="Times New Roman" w:hint="eastAsia"/>
                <w:color w:val="auto"/>
                <w:lang w:eastAsia="zh-CN"/>
              </w:rPr>
              <w:t>□</w:t>
            </w:r>
          </w:p>
        </w:tc>
        <w:tc>
          <w:tcPr>
            <w:tcW w:w="2262" w:type="dxa"/>
            <w:gridSpan w:val="3"/>
            <w:tcBorders>
              <w:top w:val="single" w:sz="4" w:space="0" w:color="000000"/>
              <w:left w:val="nil"/>
              <w:bottom w:val="single" w:sz="4" w:space="0" w:color="000000"/>
            </w:tcBorders>
            <w:noWrap w:val="0"/>
            <w:vAlign w:val="center"/>
          </w:tcPr>
          <w:p w14:paraId="1A3FE114">
            <w:pPr>
              <w:pStyle w:val="a4"/>
              <w:bidi w:val="0"/>
              <w:rPr>
                <w:rFonts w:ascii="Times New Roman" w:eastAsia="宋体" w:hAnsi="Times New Roman" w:cs="Times New Roman" w:hint="eastAsia"/>
                <w:color w:val="auto"/>
                <w:lang w:eastAsia="zh-CN"/>
              </w:rPr>
            </w:pPr>
            <w:r>
              <w:rPr>
                <w:rFonts w:ascii="Times New Roman" w:eastAsia="宋体" w:hAnsi="Times New Roman" w:cs="Times New Roman" w:hint="default"/>
                <w:color w:val="auto"/>
              </w:rPr>
              <w:t xml:space="preserve">I </w:t>
            </w:r>
            <w:r>
              <w:rPr>
                <w:rFonts w:cs="Times New Roman" w:hint="eastAsia"/>
                <w:color w:val="auto"/>
                <w:lang w:eastAsia="zh-CN"/>
              </w:rPr>
              <w:t>□</w:t>
            </w:r>
          </w:p>
        </w:tc>
      </w:tr>
      <w:tr w14:paraId="16D7E995">
        <w:tblPrEx>
          <w:tblW w:w="0" w:type="auto"/>
          <w:tblInd w:w="0" w:type="dxa"/>
          <w:tblLayout w:type="fixed"/>
          <w:tblCellMar>
            <w:top w:w="0" w:type="dxa"/>
            <w:left w:w="0" w:type="dxa"/>
            <w:bottom w:w="0" w:type="dxa"/>
            <w:right w:w="0" w:type="dxa"/>
          </w:tblCellMar>
        </w:tblPrEx>
        <w:trPr>
          <w:trHeight w:val="397"/>
        </w:trPr>
        <w:tc>
          <w:tcPr>
            <w:tcW w:w="1205" w:type="dxa"/>
            <w:gridSpan w:val="2"/>
            <w:tcBorders>
              <w:top w:val="single" w:sz="4" w:space="0" w:color="000000"/>
              <w:left w:val="single" w:sz="8" w:space="0" w:color="000000"/>
              <w:bottom w:val="single" w:sz="4" w:space="0" w:color="000000"/>
              <w:right w:val="single" w:sz="4" w:space="0" w:color="000000"/>
            </w:tcBorders>
            <w:noWrap w:val="0"/>
            <w:vAlign w:val="center"/>
          </w:tcPr>
          <w:p w14:paraId="53430DA0">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评价等级</w:t>
            </w:r>
          </w:p>
        </w:tc>
        <w:tc>
          <w:tcPr>
            <w:tcW w:w="2608" w:type="dxa"/>
            <w:gridSpan w:val="3"/>
            <w:tcBorders>
              <w:top w:val="single" w:sz="4" w:space="0" w:color="000000"/>
              <w:left w:val="nil"/>
              <w:bottom w:val="single" w:sz="4" w:space="0" w:color="000000"/>
              <w:right w:val="single" w:sz="4" w:space="0" w:color="000000"/>
            </w:tcBorders>
            <w:noWrap w:val="0"/>
            <w:vAlign w:val="center"/>
          </w:tcPr>
          <w:p w14:paraId="6439DC4A">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一级□</w:t>
            </w:r>
          </w:p>
        </w:tc>
        <w:tc>
          <w:tcPr>
            <w:tcW w:w="864" w:type="dxa"/>
            <w:tcBorders>
              <w:top w:val="single" w:sz="4" w:space="0" w:color="000000"/>
              <w:left w:val="nil"/>
              <w:bottom w:val="single" w:sz="4" w:space="0" w:color="000000"/>
              <w:right w:val="single" w:sz="4" w:space="0" w:color="000000"/>
            </w:tcBorders>
            <w:noWrap w:val="0"/>
            <w:vAlign w:val="center"/>
          </w:tcPr>
          <w:p w14:paraId="47C61864">
            <w:pPr>
              <w:pStyle w:val="a4"/>
              <w:bidi w:val="0"/>
              <w:rPr>
                <w:rFonts w:ascii="Times New Roman" w:eastAsia="宋体" w:hAnsi="Times New Roman" w:cs="Times New Roman" w:hint="eastAsia"/>
                <w:color w:val="auto"/>
                <w:lang w:eastAsia="zh-CN"/>
              </w:rPr>
            </w:pPr>
            <w:r>
              <w:rPr>
                <w:rFonts w:ascii="Times New Roman" w:eastAsia="宋体" w:hAnsi="Times New Roman" w:cs="Times New Roman" w:hint="default"/>
                <w:color w:val="auto"/>
              </w:rPr>
              <w:t xml:space="preserve">二级 </w:t>
            </w:r>
            <w:r>
              <w:rPr>
                <w:rFonts w:cs="Times New Roman" w:hint="eastAsia"/>
                <w:color w:val="auto"/>
                <w:lang w:eastAsia="zh-CN"/>
              </w:rPr>
              <w:t>☑</w:t>
            </w:r>
          </w:p>
        </w:tc>
        <w:tc>
          <w:tcPr>
            <w:tcW w:w="1347" w:type="dxa"/>
            <w:gridSpan w:val="4"/>
            <w:tcBorders>
              <w:top w:val="single" w:sz="4" w:space="0" w:color="000000"/>
              <w:left w:val="nil"/>
              <w:bottom w:val="single" w:sz="4" w:space="0" w:color="000000"/>
              <w:right w:val="single" w:sz="4" w:space="0" w:color="000000"/>
            </w:tcBorders>
            <w:noWrap w:val="0"/>
            <w:vAlign w:val="center"/>
          </w:tcPr>
          <w:p w14:paraId="5E18291A">
            <w:pPr>
              <w:pStyle w:val="a4"/>
              <w:bidi w:val="0"/>
              <w:rPr>
                <w:rFonts w:ascii="Times New Roman" w:eastAsia="宋体" w:hAnsi="Times New Roman" w:cs="Times New Roman" w:hint="default"/>
                <w:color w:val="auto"/>
                <w:lang w:eastAsia="zh-CN"/>
              </w:rPr>
            </w:pPr>
            <w:r>
              <w:rPr>
                <w:rFonts w:ascii="Times New Roman" w:eastAsia="宋体" w:hAnsi="Times New Roman" w:cs="Times New Roman" w:hint="default"/>
                <w:color w:val="auto"/>
              </w:rPr>
              <w:t xml:space="preserve">三级 </w:t>
            </w:r>
            <w:r>
              <w:rPr>
                <w:rFonts w:cs="Times New Roman" w:hint="eastAsia"/>
                <w:color w:val="auto"/>
                <w:lang w:eastAsia="zh-CN"/>
              </w:rPr>
              <w:t>□</w:t>
            </w:r>
          </w:p>
        </w:tc>
        <w:tc>
          <w:tcPr>
            <w:tcW w:w="2262" w:type="dxa"/>
            <w:gridSpan w:val="3"/>
            <w:tcBorders>
              <w:top w:val="single" w:sz="4" w:space="0" w:color="000000"/>
              <w:left w:val="nil"/>
              <w:bottom w:val="single" w:sz="4" w:space="0" w:color="000000"/>
            </w:tcBorders>
            <w:noWrap w:val="0"/>
            <w:vAlign w:val="center"/>
          </w:tcPr>
          <w:p w14:paraId="5BF32ABB">
            <w:pPr>
              <w:pStyle w:val="a4"/>
              <w:bidi w:val="0"/>
              <w:rPr>
                <w:rFonts w:ascii="Times New Roman" w:eastAsia="宋体" w:hAnsi="Times New Roman" w:cs="Times New Roman" w:hint="default"/>
                <w:color w:val="auto"/>
                <w:lang w:eastAsia="zh-CN"/>
              </w:rPr>
            </w:pPr>
            <w:r>
              <w:rPr>
                <w:rFonts w:ascii="Times New Roman" w:eastAsia="宋体" w:hAnsi="Times New Roman" w:cs="Times New Roman" w:hint="default"/>
                <w:color w:val="auto"/>
              </w:rPr>
              <w:t>简单分析 □</w:t>
            </w:r>
          </w:p>
        </w:tc>
      </w:tr>
      <w:tr w14:paraId="0DF4C245">
        <w:tblPrEx>
          <w:tblW w:w="0" w:type="auto"/>
          <w:tblInd w:w="0" w:type="dxa"/>
          <w:tblLayout w:type="fixed"/>
          <w:tblCellMar>
            <w:top w:w="0" w:type="dxa"/>
            <w:left w:w="0" w:type="dxa"/>
            <w:bottom w:w="0" w:type="dxa"/>
            <w:right w:w="0" w:type="dxa"/>
          </w:tblCellMar>
        </w:tblPrEx>
        <w:trPr>
          <w:trHeight w:val="397"/>
        </w:trPr>
        <w:tc>
          <w:tcPr>
            <w:tcW w:w="304" w:type="dxa"/>
            <w:vMerge w:val="restart"/>
            <w:tcBorders>
              <w:top w:val="nil"/>
              <w:left w:val="single" w:sz="8" w:space="0" w:color="000000"/>
              <w:bottom w:val="single" w:sz="4" w:space="0" w:color="000000"/>
              <w:right w:val="single" w:sz="4" w:space="0" w:color="000000"/>
            </w:tcBorders>
            <w:noWrap w:val="0"/>
            <w:vAlign w:val="center"/>
          </w:tcPr>
          <w:p w14:paraId="64806B41">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风险识别</w:t>
            </w:r>
          </w:p>
        </w:tc>
        <w:tc>
          <w:tcPr>
            <w:tcW w:w="901" w:type="dxa"/>
            <w:tcBorders>
              <w:top w:val="single" w:sz="4" w:space="0" w:color="000000"/>
              <w:left w:val="nil"/>
              <w:bottom w:val="single" w:sz="4" w:space="0" w:color="000000"/>
              <w:right w:val="single" w:sz="4" w:space="0" w:color="000000"/>
            </w:tcBorders>
            <w:noWrap w:val="0"/>
            <w:vAlign w:val="center"/>
          </w:tcPr>
          <w:p w14:paraId="5445EC00">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物质危险性</w:t>
            </w:r>
          </w:p>
        </w:tc>
        <w:tc>
          <w:tcPr>
            <w:tcW w:w="2608" w:type="dxa"/>
            <w:gridSpan w:val="3"/>
            <w:tcBorders>
              <w:top w:val="single" w:sz="4" w:space="0" w:color="000000"/>
              <w:left w:val="nil"/>
              <w:bottom w:val="single" w:sz="4" w:space="0" w:color="000000"/>
              <w:right w:val="single" w:sz="4" w:space="0" w:color="000000"/>
            </w:tcBorders>
            <w:noWrap w:val="0"/>
            <w:vAlign w:val="center"/>
          </w:tcPr>
          <w:p w14:paraId="781DA0DD">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有毒有害</w:t>
            </w:r>
            <w:r>
              <w:rPr>
                <w:rFonts w:ascii="Times New Roman" w:eastAsia="宋体" w:hAnsi="Times New Roman" w:cs="Times New Roman" w:hint="default"/>
                <w:color w:val="auto"/>
                <w:lang w:eastAsia="zh-CN"/>
              </w:rPr>
              <w:t>☑</w:t>
            </w:r>
          </w:p>
        </w:tc>
        <w:tc>
          <w:tcPr>
            <w:tcW w:w="4473" w:type="dxa"/>
            <w:gridSpan w:val="8"/>
            <w:tcBorders>
              <w:top w:val="single" w:sz="4" w:space="0" w:color="000000"/>
              <w:left w:val="nil"/>
              <w:bottom w:val="single" w:sz="4" w:space="0" w:color="000000"/>
              <w:right w:val="single" w:sz="8" w:space="0" w:color="000000"/>
            </w:tcBorders>
            <w:noWrap w:val="0"/>
            <w:vAlign w:val="center"/>
          </w:tcPr>
          <w:p w14:paraId="73DD9308">
            <w:pPr>
              <w:pStyle w:val="a4"/>
              <w:bidi w:val="0"/>
              <w:rPr>
                <w:rFonts w:ascii="Times New Roman" w:eastAsia="宋体" w:hAnsi="Times New Roman" w:cs="Times New Roman" w:hint="default"/>
                <w:color w:val="auto"/>
                <w:lang w:eastAsia="zh-CN"/>
              </w:rPr>
            </w:pPr>
            <w:r>
              <w:rPr>
                <w:rFonts w:ascii="Times New Roman" w:eastAsia="宋体" w:hAnsi="Times New Roman" w:cs="Times New Roman" w:hint="default"/>
                <w:color w:val="auto"/>
              </w:rPr>
              <w:t>易燃易爆</w:t>
            </w:r>
            <w:r>
              <w:rPr>
                <w:rFonts w:ascii="Times New Roman" w:eastAsia="宋体" w:hAnsi="Times New Roman" w:cs="Times New Roman" w:hint="default"/>
                <w:color w:val="auto"/>
                <w:lang w:eastAsia="zh-CN"/>
              </w:rPr>
              <w:t>☑</w:t>
            </w:r>
          </w:p>
        </w:tc>
      </w:tr>
      <w:tr w14:paraId="29F41FE8">
        <w:tblPrEx>
          <w:tblW w:w="0" w:type="auto"/>
          <w:tblInd w:w="0" w:type="dxa"/>
          <w:tblLayout w:type="fixed"/>
          <w:tblCellMar>
            <w:top w:w="0" w:type="dxa"/>
            <w:left w:w="0" w:type="dxa"/>
            <w:bottom w:w="0" w:type="dxa"/>
            <w:right w:w="0" w:type="dxa"/>
          </w:tblCellMar>
        </w:tblPrEx>
        <w:trPr>
          <w:trHeight w:val="397"/>
        </w:trPr>
        <w:tc>
          <w:tcPr>
            <w:tcW w:w="304" w:type="dxa"/>
            <w:vMerge/>
            <w:tcBorders>
              <w:top w:val="nil"/>
              <w:left w:val="single" w:sz="8" w:space="0" w:color="000000"/>
              <w:bottom w:val="single" w:sz="4" w:space="0" w:color="000000"/>
              <w:right w:val="single" w:sz="4" w:space="0" w:color="000000"/>
            </w:tcBorders>
            <w:noWrap w:val="0"/>
            <w:vAlign w:val="center"/>
          </w:tcPr>
          <w:p w14:paraId="32BB36EB">
            <w:pPr>
              <w:pStyle w:val="a4"/>
              <w:bidi w:val="0"/>
              <w:rPr>
                <w:rFonts w:ascii="Times New Roman" w:eastAsia="宋体" w:hAnsi="Times New Roman" w:cs="Times New Roman" w:hint="default"/>
                <w:color w:val="auto"/>
              </w:rPr>
            </w:pPr>
          </w:p>
        </w:tc>
        <w:tc>
          <w:tcPr>
            <w:tcW w:w="901" w:type="dxa"/>
            <w:tcBorders>
              <w:top w:val="single" w:sz="4" w:space="0" w:color="000000"/>
              <w:left w:val="nil"/>
              <w:bottom w:val="single" w:sz="4" w:space="0" w:color="000000"/>
              <w:right w:val="single" w:sz="4" w:space="0" w:color="000000"/>
            </w:tcBorders>
            <w:noWrap w:val="0"/>
            <w:vAlign w:val="center"/>
          </w:tcPr>
          <w:p w14:paraId="21714F72">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环境风险</w:t>
            </w:r>
          </w:p>
          <w:p w14:paraId="7E58CCCC">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类型</w:t>
            </w:r>
          </w:p>
        </w:tc>
        <w:tc>
          <w:tcPr>
            <w:tcW w:w="2608" w:type="dxa"/>
            <w:gridSpan w:val="3"/>
            <w:tcBorders>
              <w:top w:val="single" w:sz="4" w:space="0" w:color="000000"/>
              <w:left w:val="nil"/>
              <w:bottom w:val="single" w:sz="4" w:space="0" w:color="000000"/>
              <w:right w:val="single" w:sz="4" w:space="0" w:color="000000"/>
            </w:tcBorders>
            <w:noWrap w:val="0"/>
            <w:vAlign w:val="center"/>
          </w:tcPr>
          <w:p w14:paraId="1C4DB468">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泄漏☑</w:t>
            </w:r>
          </w:p>
        </w:tc>
        <w:tc>
          <w:tcPr>
            <w:tcW w:w="4473" w:type="dxa"/>
            <w:gridSpan w:val="8"/>
            <w:tcBorders>
              <w:top w:val="single" w:sz="4" w:space="0" w:color="000000"/>
              <w:left w:val="nil"/>
              <w:bottom w:val="single" w:sz="4" w:space="0" w:color="000000"/>
              <w:right w:val="single" w:sz="8" w:space="0" w:color="000000"/>
            </w:tcBorders>
            <w:noWrap w:val="0"/>
            <w:vAlign w:val="center"/>
          </w:tcPr>
          <w:p w14:paraId="7A729C9A">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火灾、爆炸引发伴生/次生污染物排放 ☑</w:t>
            </w:r>
          </w:p>
        </w:tc>
      </w:tr>
      <w:tr w14:paraId="12D9C562">
        <w:tblPrEx>
          <w:tblW w:w="0" w:type="auto"/>
          <w:tblInd w:w="0" w:type="dxa"/>
          <w:tblLayout w:type="fixed"/>
          <w:tblCellMar>
            <w:top w:w="0" w:type="dxa"/>
            <w:left w:w="0" w:type="dxa"/>
            <w:bottom w:w="0" w:type="dxa"/>
            <w:right w:w="0" w:type="dxa"/>
          </w:tblCellMar>
        </w:tblPrEx>
        <w:trPr>
          <w:trHeight w:val="397"/>
        </w:trPr>
        <w:tc>
          <w:tcPr>
            <w:tcW w:w="304" w:type="dxa"/>
            <w:vMerge/>
            <w:tcBorders>
              <w:top w:val="nil"/>
              <w:left w:val="single" w:sz="8" w:space="0" w:color="000000"/>
              <w:bottom w:val="single" w:sz="4" w:space="0" w:color="000000"/>
              <w:right w:val="single" w:sz="4" w:space="0" w:color="000000"/>
            </w:tcBorders>
            <w:noWrap w:val="0"/>
            <w:vAlign w:val="center"/>
          </w:tcPr>
          <w:p w14:paraId="3A93AEF2">
            <w:pPr>
              <w:pStyle w:val="a4"/>
              <w:bidi w:val="0"/>
              <w:rPr>
                <w:rFonts w:ascii="Times New Roman" w:eastAsia="宋体" w:hAnsi="Times New Roman" w:cs="Times New Roman" w:hint="default"/>
                <w:color w:val="auto"/>
              </w:rPr>
            </w:pPr>
          </w:p>
        </w:tc>
        <w:tc>
          <w:tcPr>
            <w:tcW w:w="901" w:type="dxa"/>
            <w:tcBorders>
              <w:top w:val="single" w:sz="4" w:space="0" w:color="000000"/>
              <w:left w:val="nil"/>
              <w:bottom w:val="single" w:sz="4" w:space="0" w:color="000000"/>
              <w:right w:val="single" w:sz="4" w:space="0" w:color="000000"/>
            </w:tcBorders>
            <w:noWrap w:val="0"/>
            <w:vAlign w:val="center"/>
          </w:tcPr>
          <w:p w14:paraId="73AF4A13">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影响途径</w:t>
            </w:r>
          </w:p>
        </w:tc>
        <w:tc>
          <w:tcPr>
            <w:tcW w:w="2608" w:type="dxa"/>
            <w:gridSpan w:val="3"/>
            <w:tcBorders>
              <w:top w:val="single" w:sz="4" w:space="0" w:color="000000"/>
              <w:left w:val="nil"/>
              <w:bottom w:val="single" w:sz="4" w:space="0" w:color="000000"/>
              <w:right w:val="single" w:sz="4" w:space="0" w:color="000000"/>
            </w:tcBorders>
            <w:noWrap w:val="0"/>
            <w:vAlign w:val="center"/>
          </w:tcPr>
          <w:p w14:paraId="17594EFF">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大气☑</w:t>
            </w:r>
          </w:p>
        </w:tc>
        <w:tc>
          <w:tcPr>
            <w:tcW w:w="1444" w:type="dxa"/>
            <w:gridSpan w:val="3"/>
            <w:tcBorders>
              <w:top w:val="single" w:sz="4" w:space="0" w:color="000000"/>
              <w:left w:val="nil"/>
              <w:bottom w:val="single" w:sz="4" w:space="0" w:color="000000"/>
              <w:right w:val="single" w:sz="4" w:space="0" w:color="000000"/>
            </w:tcBorders>
            <w:noWrap w:val="0"/>
            <w:vAlign w:val="center"/>
          </w:tcPr>
          <w:p w14:paraId="04D8B5BC">
            <w:pPr>
              <w:pStyle w:val="a4"/>
              <w:bidi w:val="0"/>
              <w:rPr>
                <w:rFonts w:ascii="Times New Roman" w:eastAsia="宋体" w:hAnsi="Times New Roman" w:cs="Times New Roman" w:hint="default"/>
                <w:color w:val="auto"/>
                <w:lang w:eastAsia="zh-CN"/>
              </w:rPr>
            </w:pPr>
            <w:r>
              <w:rPr>
                <w:rFonts w:ascii="Times New Roman" w:eastAsia="宋体" w:hAnsi="Times New Roman" w:cs="Times New Roman" w:hint="default"/>
                <w:color w:val="auto"/>
              </w:rPr>
              <w:t xml:space="preserve">地表水 </w:t>
            </w:r>
            <w:r>
              <w:rPr>
                <w:rFonts w:cs="Times New Roman" w:hint="eastAsia"/>
                <w:color w:val="auto"/>
                <w:lang w:eastAsia="zh-CN"/>
              </w:rPr>
              <w:t>□</w:t>
            </w:r>
          </w:p>
        </w:tc>
        <w:tc>
          <w:tcPr>
            <w:tcW w:w="3029" w:type="dxa"/>
            <w:gridSpan w:val="5"/>
            <w:tcBorders>
              <w:top w:val="single" w:sz="4" w:space="0" w:color="000000"/>
              <w:left w:val="nil"/>
              <w:bottom w:val="single" w:sz="4" w:space="0" w:color="000000"/>
              <w:right w:val="single" w:sz="8" w:space="0" w:color="000000"/>
            </w:tcBorders>
            <w:noWrap w:val="0"/>
            <w:vAlign w:val="center"/>
          </w:tcPr>
          <w:p w14:paraId="69A13E7A">
            <w:pPr>
              <w:pStyle w:val="a4"/>
              <w:bidi w:val="0"/>
              <w:rPr>
                <w:rFonts w:ascii="Times New Roman" w:eastAsia="宋体" w:hAnsi="Times New Roman" w:cs="Times New Roman" w:hint="default"/>
                <w:color w:val="auto"/>
                <w:lang w:eastAsia="zh-CN"/>
              </w:rPr>
            </w:pPr>
            <w:r>
              <w:rPr>
                <w:rFonts w:ascii="Times New Roman" w:eastAsia="宋体" w:hAnsi="Times New Roman" w:cs="Times New Roman" w:hint="default"/>
                <w:color w:val="auto"/>
              </w:rPr>
              <w:t>地下水</w:t>
            </w:r>
            <w:r>
              <w:rPr>
                <w:rFonts w:ascii="Times New Roman" w:eastAsia="宋体" w:hAnsi="Times New Roman" w:cs="Times New Roman" w:hint="default"/>
                <w:color w:val="auto"/>
                <w:lang w:eastAsia="zh-CN"/>
              </w:rPr>
              <w:t>☑</w:t>
            </w:r>
          </w:p>
        </w:tc>
      </w:tr>
      <w:tr w14:paraId="34D192A7">
        <w:tblPrEx>
          <w:tblW w:w="0" w:type="auto"/>
          <w:tblInd w:w="0" w:type="dxa"/>
          <w:tblLayout w:type="fixed"/>
          <w:tblCellMar>
            <w:top w:w="0" w:type="dxa"/>
            <w:left w:w="0" w:type="dxa"/>
            <w:bottom w:w="0" w:type="dxa"/>
            <w:right w:w="0" w:type="dxa"/>
          </w:tblCellMar>
        </w:tblPrEx>
        <w:trPr>
          <w:trHeight w:val="397"/>
        </w:trPr>
        <w:tc>
          <w:tcPr>
            <w:tcW w:w="1205" w:type="dxa"/>
            <w:gridSpan w:val="2"/>
            <w:tcBorders>
              <w:top w:val="single" w:sz="4" w:space="0" w:color="000000"/>
              <w:left w:val="single" w:sz="8" w:space="0" w:color="000000"/>
              <w:bottom w:val="single" w:sz="4" w:space="0" w:color="000000"/>
              <w:right w:val="single" w:sz="4" w:space="0" w:color="000000"/>
            </w:tcBorders>
            <w:noWrap w:val="0"/>
            <w:vAlign w:val="center"/>
          </w:tcPr>
          <w:p w14:paraId="0799CFCB">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事故情形分析</w:t>
            </w:r>
          </w:p>
        </w:tc>
        <w:tc>
          <w:tcPr>
            <w:tcW w:w="1187" w:type="dxa"/>
            <w:gridSpan w:val="2"/>
            <w:tcBorders>
              <w:top w:val="single" w:sz="4" w:space="0" w:color="000000"/>
              <w:left w:val="nil"/>
              <w:bottom w:val="single" w:sz="4" w:space="0" w:color="000000"/>
              <w:right w:val="single" w:sz="4" w:space="0" w:color="000000"/>
            </w:tcBorders>
            <w:noWrap w:val="0"/>
            <w:vAlign w:val="center"/>
          </w:tcPr>
          <w:p w14:paraId="6A6D8D80">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源强设定方法</w:t>
            </w:r>
          </w:p>
        </w:tc>
        <w:tc>
          <w:tcPr>
            <w:tcW w:w="1421" w:type="dxa"/>
            <w:tcBorders>
              <w:top w:val="single" w:sz="4" w:space="0" w:color="000000"/>
              <w:left w:val="nil"/>
              <w:bottom w:val="single" w:sz="4" w:space="0" w:color="000000"/>
              <w:right w:val="single" w:sz="4" w:space="0" w:color="000000"/>
            </w:tcBorders>
            <w:noWrap w:val="0"/>
            <w:vAlign w:val="center"/>
          </w:tcPr>
          <w:p w14:paraId="3717DFED">
            <w:pPr>
              <w:pStyle w:val="a4"/>
              <w:bidi w:val="0"/>
              <w:rPr>
                <w:rFonts w:ascii="Times New Roman" w:eastAsia="宋体" w:hAnsi="Times New Roman" w:cs="Times New Roman" w:hint="default"/>
                <w:color w:val="auto"/>
                <w:lang w:eastAsia="zh-CN"/>
              </w:rPr>
            </w:pPr>
            <w:r>
              <w:rPr>
                <w:rFonts w:ascii="Times New Roman" w:eastAsia="宋体" w:hAnsi="Times New Roman" w:cs="Times New Roman" w:hint="default"/>
                <w:color w:val="auto"/>
              </w:rPr>
              <w:t>计算法</w:t>
            </w:r>
            <w:r>
              <w:rPr>
                <w:rFonts w:ascii="Times New Roman" w:eastAsia="宋体" w:hAnsi="Times New Roman" w:cs="Times New Roman" w:hint="default"/>
                <w:color w:val="auto"/>
                <w:lang w:eastAsia="zh-CN"/>
              </w:rPr>
              <w:t>☑</w:t>
            </w:r>
          </w:p>
        </w:tc>
        <w:tc>
          <w:tcPr>
            <w:tcW w:w="1444" w:type="dxa"/>
            <w:gridSpan w:val="3"/>
            <w:tcBorders>
              <w:top w:val="single" w:sz="4" w:space="0" w:color="000000"/>
              <w:left w:val="nil"/>
              <w:bottom w:val="single" w:sz="4" w:space="0" w:color="000000"/>
              <w:right w:val="single" w:sz="4" w:space="0" w:color="000000"/>
            </w:tcBorders>
            <w:noWrap w:val="0"/>
            <w:vAlign w:val="center"/>
          </w:tcPr>
          <w:p w14:paraId="112A3622">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经验估算法□</w:t>
            </w:r>
          </w:p>
        </w:tc>
        <w:tc>
          <w:tcPr>
            <w:tcW w:w="3029" w:type="dxa"/>
            <w:gridSpan w:val="5"/>
            <w:tcBorders>
              <w:top w:val="single" w:sz="4" w:space="0" w:color="000000"/>
              <w:left w:val="nil"/>
              <w:bottom w:val="single" w:sz="4" w:space="0" w:color="000000"/>
              <w:right w:val="single" w:sz="8" w:space="0" w:color="000000"/>
            </w:tcBorders>
            <w:noWrap w:val="0"/>
            <w:vAlign w:val="center"/>
          </w:tcPr>
          <w:p w14:paraId="52342C1A">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其他估算法 □</w:t>
            </w:r>
          </w:p>
        </w:tc>
      </w:tr>
      <w:tr w14:paraId="626BF2BD">
        <w:tblPrEx>
          <w:tblW w:w="0" w:type="auto"/>
          <w:tblInd w:w="0" w:type="dxa"/>
          <w:tblLayout w:type="fixed"/>
          <w:tblCellMar>
            <w:top w:w="0" w:type="dxa"/>
            <w:left w:w="0" w:type="dxa"/>
            <w:bottom w:w="0" w:type="dxa"/>
            <w:right w:w="0" w:type="dxa"/>
          </w:tblCellMar>
        </w:tblPrEx>
        <w:trPr>
          <w:trHeight w:val="397"/>
        </w:trPr>
        <w:tc>
          <w:tcPr>
            <w:tcW w:w="304" w:type="dxa"/>
            <w:vMerge w:val="restart"/>
            <w:tcBorders>
              <w:top w:val="nil"/>
              <w:left w:val="single" w:sz="8" w:space="0" w:color="000000"/>
              <w:bottom w:val="single" w:sz="4" w:space="0" w:color="000000"/>
              <w:right w:val="single" w:sz="4" w:space="0" w:color="000000"/>
            </w:tcBorders>
            <w:noWrap w:val="0"/>
            <w:vAlign w:val="center"/>
          </w:tcPr>
          <w:p w14:paraId="58953F1C">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风险预测与评价</w:t>
            </w:r>
          </w:p>
        </w:tc>
        <w:tc>
          <w:tcPr>
            <w:tcW w:w="901" w:type="dxa"/>
            <w:vMerge w:val="restart"/>
            <w:tcBorders>
              <w:top w:val="nil"/>
              <w:left w:val="nil"/>
              <w:bottom w:val="single" w:sz="4" w:space="0" w:color="000000"/>
              <w:right w:val="single" w:sz="4" w:space="0" w:color="000000"/>
            </w:tcBorders>
            <w:noWrap w:val="0"/>
            <w:vAlign w:val="center"/>
          </w:tcPr>
          <w:p w14:paraId="397B1ED4">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大气</w:t>
            </w:r>
          </w:p>
        </w:tc>
        <w:tc>
          <w:tcPr>
            <w:tcW w:w="1187" w:type="dxa"/>
            <w:gridSpan w:val="2"/>
            <w:tcBorders>
              <w:top w:val="single" w:sz="4" w:space="0" w:color="000000"/>
              <w:left w:val="nil"/>
              <w:bottom w:val="single" w:sz="4" w:space="0" w:color="000000"/>
              <w:right w:val="single" w:sz="4" w:space="0" w:color="000000"/>
            </w:tcBorders>
            <w:noWrap w:val="0"/>
            <w:vAlign w:val="center"/>
          </w:tcPr>
          <w:p w14:paraId="0E270253">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预测模型</w:t>
            </w:r>
          </w:p>
        </w:tc>
        <w:tc>
          <w:tcPr>
            <w:tcW w:w="1421" w:type="dxa"/>
            <w:tcBorders>
              <w:top w:val="single" w:sz="4" w:space="0" w:color="000000"/>
              <w:left w:val="nil"/>
              <w:bottom w:val="single" w:sz="4" w:space="0" w:color="000000"/>
              <w:right w:val="single" w:sz="4" w:space="0" w:color="000000"/>
            </w:tcBorders>
            <w:noWrap w:val="0"/>
            <w:vAlign w:val="center"/>
          </w:tcPr>
          <w:p w14:paraId="5BA664DF">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SLAB □</w:t>
            </w:r>
          </w:p>
        </w:tc>
        <w:tc>
          <w:tcPr>
            <w:tcW w:w="1444" w:type="dxa"/>
            <w:gridSpan w:val="3"/>
            <w:tcBorders>
              <w:top w:val="single" w:sz="4" w:space="0" w:color="000000"/>
              <w:left w:val="nil"/>
              <w:bottom w:val="single" w:sz="4" w:space="0" w:color="000000"/>
              <w:right w:val="single" w:sz="4" w:space="0" w:color="000000"/>
            </w:tcBorders>
            <w:noWrap w:val="0"/>
            <w:vAlign w:val="center"/>
          </w:tcPr>
          <w:p w14:paraId="38B59763">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AFTOX □</w:t>
            </w:r>
          </w:p>
        </w:tc>
        <w:tc>
          <w:tcPr>
            <w:tcW w:w="3029" w:type="dxa"/>
            <w:gridSpan w:val="5"/>
            <w:tcBorders>
              <w:top w:val="single" w:sz="4" w:space="0" w:color="000000"/>
              <w:left w:val="nil"/>
              <w:bottom w:val="single" w:sz="4" w:space="0" w:color="000000"/>
              <w:right w:val="single" w:sz="8" w:space="0" w:color="000000"/>
            </w:tcBorders>
            <w:noWrap w:val="0"/>
            <w:vAlign w:val="center"/>
          </w:tcPr>
          <w:p w14:paraId="1DF7E34E">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其他 □</w:t>
            </w:r>
          </w:p>
        </w:tc>
      </w:tr>
      <w:tr w14:paraId="1F0D0D3F">
        <w:tblPrEx>
          <w:tblW w:w="0" w:type="auto"/>
          <w:tblInd w:w="0" w:type="dxa"/>
          <w:tblLayout w:type="fixed"/>
          <w:tblCellMar>
            <w:top w:w="0" w:type="dxa"/>
            <w:left w:w="0" w:type="dxa"/>
            <w:bottom w:w="0" w:type="dxa"/>
            <w:right w:w="0" w:type="dxa"/>
          </w:tblCellMar>
        </w:tblPrEx>
        <w:trPr>
          <w:trHeight w:val="397"/>
        </w:trPr>
        <w:tc>
          <w:tcPr>
            <w:tcW w:w="304" w:type="dxa"/>
            <w:vMerge/>
            <w:tcBorders>
              <w:top w:val="nil"/>
              <w:left w:val="single" w:sz="8" w:space="0" w:color="000000"/>
              <w:bottom w:val="single" w:sz="4" w:space="0" w:color="000000"/>
              <w:right w:val="single" w:sz="4" w:space="0" w:color="000000"/>
            </w:tcBorders>
            <w:noWrap w:val="0"/>
            <w:vAlign w:val="center"/>
          </w:tcPr>
          <w:p w14:paraId="27B5362B">
            <w:pPr>
              <w:pStyle w:val="a4"/>
              <w:bidi w:val="0"/>
              <w:rPr>
                <w:rFonts w:ascii="Times New Roman" w:eastAsia="宋体" w:hAnsi="Times New Roman" w:cs="Times New Roman" w:hint="default"/>
                <w:color w:val="auto"/>
              </w:rPr>
            </w:pPr>
          </w:p>
        </w:tc>
        <w:tc>
          <w:tcPr>
            <w:tcW w:w="901" w:type="dxa"/>
            <w:vMerge/>
            <w:tcBorders>
              <w:top w:val="nil"/>
              <w:left w:val="nil"/>
              <w:bottom w:val="single" w:sz="4" w:space="0" w:color="000000"/>
              <w:right w:val="single" w:sz="4" w:space="0" w:color="000000"/>
            </w:tcBorders>
            <w:noWrap w:val="0"/>
            <w:vAlign w:val="center"/>
          </w:tcPr>
          <w:p w14:paraId="3C723831">
            <w:pPr>
              <w:pStyle w:val="a4"/>
              <w:bidi w:val="0"/>
              <w:rPr>
                <w:rFonts w:ascii="Times New Roman" w:eastAsia="宋体" w:hAnsi="Times New Roman" w:cs="Times New Roman" w:hint="default"/>
                <w:color w:val="auto"/>
              </w:rPr>
            </w:pPr>
          </w:p>
        </w:tc>
        <w:tc>
          <w:tcPr>
            <w:tcW w:w="1187" w:type="dxa"/>
            <w:gridSpan w:val="2"/>
            <w:vMerge w:val="restart"/>
            <w:tcBorders>
              <w:top w:val="nil"/>
              <w:left w:val="nil"/>
              <w:bottom w:val="single" w:sz="4" w:space="0" w:color="000000"/>
              <w:right w:val="single" w:sz="4" w:space="0" w:color="000000"/>
            </w:tcBorders>
            <w:noWrap w:val="0"/>
            <w:vAlign w:val="center"/>
          </w:tcPr>
          <w:p w14:paraId="40C12BA9">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预测结果</w:t>
            </w:r>
          </w:p>
        </w:tc>
        <w:tc>
          <w:tcPr>
            <w:tcW w:w="5894" w:type="dxa"/>
            <w:gridSpan w:val="9"/>
            <w:tcBorders>
              <w:top w:val="single" w:sz="4" w:space="0" w:color="000000"/>
              <w:left w:val="nil"/>
              <w:bottom w:val="single" w:sz="4" w:space="0" w:color="000000"/>
              <w:right w:val="single" w:sz="8" w:space="0" w:color="000000"/>
            </w:tcBorders>
            <w:noWrap w:val="0"/>
            <w:vAlign w:val="center"/>
          </w:tcPr>
          <w:p w14:paraId="30570594">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大气毒性终点浓度-1 最大影响范围</w:t>
            </w:r>
            <w:r>
              <w:rPr>
                <w:rFonts w:ascii="Times New Roman" w:eastAsia="宋体" w:hAnsi="Times New Roman" w:cs="Times New Roman" w:hint="default"/>
                <w:color w:val="auto"/>
                <w:lang w:val="en-US" w:eastAsia="zh-CN"/>
              </w:rPr>
              <w:t xml:space="preserve"> </w:t>
            </w:r>
            <w:r>
              <w:rPr>
                <w:rFonts w:ascii="Times New Roman" w:eastAsia="宋体" w:hAnsi="Times New Roman" w:cs="Times New Roman" w:hint="default"/>
                <w:color w:val="auto"/>
              </w:rPr>
              <w:tab/>
            </w:r>
            <w:r>
              <w:rPr>
                <w:rFonts w:ascii="Times New Roman" w:eastAsia="宋体" w:hAnsi="Times New Roman" w:cs="Times New Roman" w:hint="default"/>
                <w:color w:val="auto"/>
              </w:rPr>
              <w:t>m</w:t>
            </w:r>
          </w:p>
        </w:tc>
      </w:tr>
      <w:tr w14:paraId="19F5897D">
        <w:tblPrEx>
          <w:tblW w:w="0" w:type="auto"/>
          <w:tblInd w:w="0" w:type="dxa"/>
          <w:tblLayout w:type="fixed"/>
          <w:tblCellMar>
            <w:top w:w="0" w:type="dxa"/>
            <w:left w:w="0" w:type="dxa"/>
            <w:bottom w:w="0" w:type="dxa"/>
            <w:right w:w="0" w:type="dxa"/>
          </w:tblCellMar>
        </w:tblPrEx>
        <w:trPr>
          <w:trHeight w:val="397"/>
        </w:trPr>
        <w:tc>
          <w:tcPr>
            <w:tcW w:w="304" w:type="dxa"/>
            <w:vMerge/>
            <w:tcBorders>
              <w:top w:val="nil"/>
              <w:left w:val="single" w:sz="8" w:space="0" w:color="000000"/>
              <w:bottom w:val="single" w:sz="4" w:space="0" w:color="000000"/>
              <w:right w:val="single" w:sz="4" w:space="0" w:color="000000"/>
            </w:tcBorders>
            <w:noWrap w:val="0"/>
            <w:vAlign w:val="center"/>
          </w:tcPr>
          <w:p w14:paraId="1C87D4C8">
            <w:pPr>
              <w:pStyle w:val="a4"/>
              <w:bidi w:val="0"/>
              <w:rPr>
                <w:rFonts w:ascii="Times New Roman" w:eastAsia="宋体" w:hAnsi="Times New Roman" w:cs="Times New Roman" w:hint="default"/>
                <w:color w:val="auto"/>
              </w:rPr>
            </w:pPr>
          </w:p>
        </w:tc>
        <w:tc>
          <w:tcPr>
            <w:tcW w:w="901" w:type="dxa"/>
            <w:vMerge/>
            <w:tcBorders>
              <w:top w:val="nil"/>
              <w:left w:val="nil"/>
              <w:bottom w:val="single" w:sz="4" w:space="0" w:color="000000"/>
              <w:right w:val="single" w:sz="4" w:space="0" w:color="000000"/>
            </w:tcBorders>
            <w:noWrap w:val="0"/>
            <w:vAlign w:val="center"/>
          </w:tcPr>
          <w:p w14:paraId="51207203">
            <w:pPr>
              <w:pStyle w:val="a4"/>
              <w:bidi w:val="0"/>
              <w:rPr>
                <w:rFonts w:ascii="Times New Roman" w:eastAsia="宋体" w:hAnsi="Times New Roman" w:cs="Times New Roman" w:hint="default"/>
                <w:color w:val="auto"/>
              </w:rPr>
            </w:pPr>
          </w:p>
        </w:tc>
        <w:tc>
          <w:tcPr>
            <w:tcW w:w="1187" w:type="dxa"/>
            <w:gridSpan w:val="2"/>
            <w:vMerge/>
            <w:tcBorders>
              <w:top w:val="nil"/>
              <w:left w:val="nil"/>
              <w:bottom w:val="single" w:sz="4" w:space="0" w:color="000000"/>
              <w:right w:val="single" w:sz="4" w:space="0" w:color="000000"/>
            </w:tcBorders>
            <w:noWrap w:val="0"/>
            <w:vAlign w:val="center"/>
          </w:tcPr>
          <w:p w14:paraId="3E8AB142">
            <w:pPr>
              <w:pStyle w:val="a4"/>
              <w:bidi w:val="0"/>
              <w:rPr>
                <w:rFonts w:ascii="Times New Roman" w:eastAsia="宋体" w:hAnsi="Times New Roman" w:cs="Times New Roman" w:hint="default"/>
                <w:color w:val="auto"/>
              </w:rPr>
            </w:pPr>
          </w:p>
        </w:tc>
        <w:tc>
          <w:tcPr>
            <w:tcW w:w="5894" w:type="dxa"/>
            <w:gridSpan w:val="9"/>
            <w:tcBorders>
              <w:top w:val="single" w:sz="4" w:space="0" w:color="000000"/>
              <w:left w:val="nil"/>
              <w:bottom w:val="single" w:sz="4" w:space="0" w:color="000000"/>
              <w:right w:val="single" w:sz="8" w:space="0" w:color="000000"/>
            </w:tcBorders>
            <w:noWrap w:val="0"/>
            <w:vAlign w:val="center"/>
          </w:tcPr>
          <w:p w14:paraId="35DF3BCE">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大气毒性终点浓度-2 最大影响范围</w:t>
            </w:r>
            <w:r>
              <w:rPr>
                <w:rFonts w:ascii="Times New Roman" w:eastAsia="宋体" w:hAnsi="Times New Roman" w:cs="Times New Roman" w:hint="default"/>
                <w:color w:val="auto"/>
                <w:lang w:val="en-US" w:eastAsia="zh-CN"/>
              </w:rPr>
              <w:t xml:space="preserve"> </w:t>
            </w:r>
            <w:r>
              <w:rPr>
                <w:rFonts w:ascii="Times New Roman" w:eastAsia="宋体" w:hAnsi="Times New Roman" w:cs="Times New Roman" w:hint="default"/>
                <w:color w:val="auto"/>
              </w:rPr>
              <w:tab/>
            </w:r>
            <w:r>
              <w:rPr>
                <w:rFonts w:ascii="Times New Roman" w:eastAsia="宋体" w:hAnsi="Times New Roman" w:cs="Times New Roman" w:hint="default"/>
                <w:color w:val="auto"/>
              </w:rPr>
              <w:t>m</w:t>
            </w:r>
          </w:p>
        </w:tc>
      </w:tr>
      <w:tr w14:paraId="52F4C22F">
        <w:tblPrEx>
          <w:tblW w:w="0" w:type="auto"/>
          <w:tblInd w:w="0" w:type="dxa"/>
          <w:tblLayout w:type="fixed"/>
          <w:tblCellMar>
            <w:top w:w="0" w:type="dxa"/>
            <w:left w:w="0" w:type="dxa"/>
            <w:bottom w:w="0" w:type="dxa"/>
            <w:right w:w="0" w:type="dxa"/>
          </w:tblCellMar>
        </w:tblPrEx>
        <w:trPr>
          <w:trHeight w:val="397"/>
        </w:trPr>
        <w:tc>
          <w:tcPr>
            <w:tcW w:w="304" w:type="dxa"/>
            <w:vMerge/>
            <w:tcBorders>
              <w:top w:val="nil"/>
              <w:left w:val="single" w:sz="8" w:space="0" w:color="000000"/>
              <w:bottom w:val="single" w:sz="4" w:space="0" w:color="000000"/>
              <w:right w:val="single" w:sz="4" w:space="0" w:color="000000"/>
            </w:tcBorders>
            <w:noWrap w:val="0"/>
            <w:vAlign w:val="center"/>
          </w:tcPr>
          <w:p w14:paraId="53359D08">
            <w:pPr>
              <w:pStyle w:val="a4"/>
              <w:bidi w:val="0"/>
              <w:rPr>
                <w:rFonts w:ascii="Times New Roman" w:eastAsia="宋体" w:hAnsi="Times New Roman" w:cs="Times New Roman" w:hint="default"/>
                <w:color w:val="auto"/>
              </w:rPr>
            </w:pPr>
          </w:p>
        </w:tc>
        <w:tc>
          <w:tcPr>
            <w:tcW w:w="901" w:type="dxa"/>
            <w:tcBorders>
              <w:top w:val="single" w:sz="4" w:space="0" w:color="000000"/>
              <w:left w:val="nil"/>
              <w:bottom w:val="single" w:sz="4" w:space="0" w:color="000000"/>
              <w:right w:val="single" w:sz="4" w:space="0" w:color="000000"/>
            </w:tcBorders>
            <w:noWrap w:val="0"/>
            <w:vAlign w:val="center"/>
          </w:tcPr>
          <w:p w14:paraId="27DD7CE8">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地表水</w:t>
            </w:r>
          </w:p>
        </w:tc>
        <w:tc>
          <w:tcPr>
            <w:tcW w:w="7081" w:type="dxa"/>
            <w:gridSpan w:val="11"/>
            <w:tcBorders>
              <w:top w:val="single" w:sz="4" w:space="0" w:color="000000"/>
              <w:left w:val="nil"/>
              <w:bottom w:val="single" w:sz="4" w:space="0" w:color="000000"/>
              <w:right w:val="single" w:sz="8" w:space="0" w:color="000000"/>
            </w:tcBorders>
            <w:noWrap w:val="0"/>
            <w:vAlign w:val="center"/>
          </w:tcPr>
          <w:p w14:paraId="5D85DE74">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最近环境敏感目标，到达时间 </w:t>
            </w:r>
            <w:r>
              <w:rPr>
                <w:rFonts w:ascii="Times New Roman" w:eastAsia="宋体" w:hAnsi="Times New Roman" w:cs="Times New Roman" w:hint="default"/>
                <w:color w:val="auto"/>
              </w:rPr>
              <w:tab/>
            </w:r>
            <w:r>
              <w:rPr>
                <w:rFonts w:ascii="Times New Roman" w:eastAsia="宋体" w:hAnsi="Times New Roman" w:cs="Times New Roman" w:hint="default"/>
                <w:color w:val="auto"/>
              </w:rPr>
              <w:t>h</w:t>
            </w:r>
          </w:p>
        </w:tc>
      </w:tr>
      <w:tr w14:paraId="1E0E2F0F">
        <w:tblPrEx>
          <w:tblW w:w="0" w:type="auto"/>
          <w:tblInd w:w="0" w:type="dxa"/>
          <w:tblLayout w:type="fixed"/>
          <w:tblCellMar>
            <w:top w:w="0" w:type="dxa"/>
            <w:left w:w="0" w:type="dxa"/>
            <w:bottom w:w="0" w:type="dxa"/>
            <w:right w:w="0" w:type="dxa"/>
          </w:tblCellMar>
        </w:tblPrEx>
        <w:trPr>
          <w:trHeight w:val="397"/>
        </w:trPr>
        <w:tc>
          <w:tcPr>
            <w:tcW w:w="304" w:type="dxa"/>
            <w:vMerge/>
            <w:tcBorders>
              <w:top w:val="nil"/>
              <w:left w:val="single" w:sz="8" w:space="0" w:color="000000"/>
              <w:bottom w:val="single" w:sz="4" w:space="0" w:color="000000"/>
              <w:right w:val="single" w:sz="4" w:space="0" w:color="000000"/>
            </w:tcBorders>
            <w:noWrap w:val="0"/>
            <w:vAlign w:val="center"/>
          </w:tcPr>
          <w:p w14:paraId="3EE053C2">
            <w:pPr>
              <w:pStyle w:val="a4"/>
              <w:bidi w:val="0"/>
              <w:rPr>
                <w:rFonts w:ascii="Times New Roman" w:eastAsia="宋体" w:hAnsi="Times New Roman" w:cs="Times New Roman" w:hint="default"/>
                <w:color w:val="auto"/>
              </w:rPr>
            </w:pPr>
          </w:p>
        </w:tc>
        <w:tc>
          <w:tcPr>
            <w:tcW w:w="901" w:type="dxa"/>
            <w:vMerge w:val="restart"/>
            <w:tcBorders>
              <w:top w:val="nil"/>
              <w:left w:val="nil"/>
              <w:bottom w:val="single" w:sz="4" w:space="0" w:color="000000"/>
              <w:right w:val="single" w:sz="4" w:space="0" w:color="000000"/>
            </w:tcBorders>
            <w:noWrap w:val="0"/>
            <w:vAlign w:val="center"/>
          </w:tcPr>
          <w:p w14:paraId="6F60A3E9">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地下水</w:t>
            </w:r>
          </w:p>
        </w:tc>
        <w:tc>
          <w:tcPr>
            <w:tcW w:w="7081" w:type="dxa"/>
            <w:gridSpan w:val="11"/>
            <w:tcBorders>
              <w:top w:val="single" w:sz="4" w:space="0" w:color="000000"/>
              <w:left w:val="nil"/>
              <w:bottom w:val="single" w:sz="4" w:space="0" w:color="000000"/>
              <w:right w:val="single" w:sz="8" w:space="0" w:color="000000"/>
            </w:tcBorders>
            <w:noWrap w:val="0"/>
            <w:vAlign w:val="center"/>
          </w:tcPr>
          <w:p w14:paraId="07206147">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rPr>
              <w:t>下游厂区边界到达时间d</w:t>
            </w:r>
            <w:r>
              <w:rPr>
                <w:rFonts w:cs="Times New Roman" w:hint="eastAsia"/>
                <w:color w:val="auto"/>
                <w:lang w:val="en-US" w:eastAsia="zh-CN"/>
              </w:rPr>
              <w:t>未超出厂界范围</w:t>
            </w:r>
          </w:p>
        </w:tc>
      </w:tr>
      <w:tr w14:paraId="0833EEE8">
        <w:tblPrEx>
          <w:tblW w:w="0" w:type="auto"/>
          <w:tblInd w:w="0" w:type="dxa"/>
          <w:tblLayout w:type="fixed"/>
          <w:tblCellMar>
            <w:top w:w="0" w:type="dxa"/>
            <w:left w:w="0" w:type="dxa"/>
            <w:bottom w:w="0" w:type="dxa"/>
            <w:right w:w="0" w:type="dxa"/>
          </w:tblCellMar>
        </w:tblPrEx>
        <w:trPr>
          <w:trHeight w:val="411"/>
        </w:trPr>
        <w:tc>
          <w:tcPr>
            <w:tcW w:w="304" w:type="dxa"/>
            <w:vMerge/>
            <w:tcBorders>
              <w:top w:val="nil"/>
              <w:left w:val="single" w:sz="8" w:space="0" w:color="000000"/>
              <w:bottom w:val="single" w:sz="4" w:space="0" w:color="000000"/>
              <w:right w:val="single" w:sz="4" w:space="0" w:color="000000"/>
            </w:tcBorders>
            <w:noWrap w:val="0"/>
            <w:vAlign w:val="center"/>
          </w:tcPr>
          <w:p w14:paraId="6D3CA426">
            <w:pPr>
              <w:pStyle w:val="a4"/>
              <w:bidi w:val="0"/>
              <w:rPr>
                <w:rFonts w:ascii="Times New Roman" w:eastAsia="宋体" w:hAnsi="Times New Roman" w:cs="Times New Roman" w:hint="default"/>
                <w:color w:val="auto"/>
              </w:rPr>
            </w:pPr>
          </w:p>
        </w:tc>
        <w:tc>
          <w:tcPr>
            <w:tcW w:w="901" w:type="dxa"/>
            <w:vMerge/>
            <w:tcBorders>
              <w:top w:val="nil"/>
              <w:left w:val="nil"/>
              <w:bottom w:val="single" w:sz="4" w:space="0" w:color="000000"/>
              <w:right w:val="single" w:sz="4" w:space="0" w:color="000000"/>
            </w:tcBorders>
            <w:noWrap w:val="0"/>
            <w:vAlign w:val="center"/>
          </w:tcPr>
          <w:p w14:paraId="5CF27FC4">
            <w:pPr>
              <w:pStyle w:val="a4"/>
              <w:bidi w:val="0"/>
              <w:rPr>
                <w:rFonts w:ascii="Times New Roman" w:eastAsia="宋体" w:hAnsi="Times New Roman" w:cs="Times New Roman" w:hint="default"/>
                <w:color w:val="auto"/>
              </w:rPr>
            </w:pPr>
          </w:p>
        </w:tc>
        <w:tc>
          <w:tcPr>
            <w:tcW w:w="7081" w:type="dxa"/>
            <w:gridSpan w:val="11"/>
            <w:tcBorders>
              <w:top w:val="single" w:sz="4" w:space="0" w:color="000000"/>
              <w:left w:val="nil"/>
              <w:bottom w:val="single" w:sz="4" w:space="0" w:color="000000"/>
              <w:right w:val="single" w:sz="8" w:space="0" w:color="000000"/>
            </w:tcBorders>
            <w:noWrap w:val="0"/>
            <w:vAlign w:val="center"/>
          </w:tcPr>
          <w:p w14:paraId="6D7AEC1D">
            <w:pPr>
              <w:pStyle w:val="a4"/>
              <w:bidi w:val="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rPr>
              <w:t>最近环境敏感目标 </w:t>
            </w:r>
            <w:r>
              <w:rPr>
                <w:rFonts w:ascii="Times New Roman" w:eastAsia="宋体" w:hAnsi="Times New Roman" w:cs="Times New Roman" w:hint="default"/>
                <w:color w:val="auto"/>
              </w:rPr>
              <w:tab/>
            </w:r>
            <w:r>
              <w:rPr>
                <w:rFonts w:ascii="Times New Roman" w:eastAsia="宋体" w:hAnsi="Times New Roman" w:cs="Times New Roman" w:hint="default"/>
                <w:color w:val="auto"/>
              </w:rPr>
              <w:t>，到达时间 </w:t>
            </w:r>
            <w:r>
              <w:rPr>
                <w:rFonts w:ascii="Times New Roman" w:eastAsia="宋体" w:hAnsi="Times New Roman" w:cs="Times New Roman" w:hint="default"/>
                <w:color w:val="auto"/>
              </w:rPr>
              <w:tab/>
            </w:r>
            <w:r>
              <w:rPr>
                <w:rFonts w:ascii="Times New Roman" w:eastAsia="宋体" w:hAnsi="Times New Roman" w:cs="Times New Roman" w:hint="default"/>
                <w:color w:val="auto"/>
              </w:rPr>
              <w:t>d</w:t>
            </w:r>
            <w:r>
              <w:rPr>
                <w:rFonts w:cs="Times New Roman" w:hint="eastAsia"/>
                <w:color w:val="auto"/>
                <w:lang w:val="en-US" w:eastAsia="zh-CN"/>
              </w:rPr>
              <w:t xml:space="preserve"> 位于</w:t>
            </w:r>
          </w:p>
        </w:tc>
      </w:tr>
      <w:tr w14:paraId="778BFC10">
        <w:tblPrEx>
          <w:tblW w:w="0" w:type="auto"/>
          <w:tblInd w:w="0" w:type="dxa"/>
          <w:tblLayout w:type="fixed"/>
          <w:tblCellMar>
            <w:top w:w="0" w:type="dxa"/>
            <w:left w:w="0" w:type="dxa"/>
            <w:bottom w:w="0" w:type="dxa"/>
            <w:right w:w="0" w:type="dxa"/>
          </w:tblCellMar>
        </w:tblPrEx>
        <w:trPr>
          <w:trHeight w:val="397"/>
        </w:trPr>
        <w:tc>
          <w:tcPr>
            <w:tcW w:w="1205" w:type="dxa"/>
            <w:gridSpan w:val="2"/>
            <w:tcBorders>
              <w:top w:val="single" w:sz="4" w:space="0" w:color="000000"/>
              <w:left w:val="single" w:sz="8" w:space="0" w:color="000000"/>
              <w:bottom w:val="single" w:sz="4" w:space="0" w:color="000000"/>
              <w:right w:val="single" w:sz="4" w:space="0" w:color="000000"/>
            </w:tcBorders>
            <w:noWrap w:val="0"/>
            <w:vAlign w:val="center"/>
          </w:tcPr>
          <w:p w14:paraId="604C919C">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重点风险防范措施</w:t>
            </w:r>
          </w:p>
        </w:tc>
        <w:tc>
          <w:tcPr>
            <w:tcW w:w="7081" w:type="dxa"/>
            <w:gridSpan w:val="11"/>
            <w:tcBorders>
              <w:top w:val="single" w:sz="4" w:space="0" w:color="000000"/>
              <w:left w:val="nil"/>
              <w:bottom w:val="single" w:sz="4" w:space="0" w:color="000000"/>
              <w:right w:val="single" w:sz="8" w:space="0" w:color="000000"/>
            </w:tcBorders>
            <w:noWrap w:val="0"/>
            <w:vAlign w:val="center"/>
          </w:tcPr>
          <w:p w14:paraId="12207EFA">
            <w:pPr>
              <w:pStyle w:val="a4"/>
              <w:bidi w:val="0"/>
              <w:jc w:val="left"/>
              <w:rPr>
                <w:rFonts w:ascii="Times New Roman" w:eastAsia="宋体" w:hAnsi="Times New Roman" w:cs="Times New Roman" w:hint="default"/>
                <w:color w:val="auto"/>
              </w:rPr>
            </w:pPr>
            <w:r>
              <w:rPr>
                <w:rFonts w:ascii="Times New Roman" w:eastAsia="宋体" w:hAnsi="Times New Roman" w:cs="Times New Roman" w:hint="default"/>
                <w:color w:val="auto"/>
              </w:rPr>
              <w:t>（1）电解液泄漏风险防范措施：</w:t>
            </w:r>
          </w:p>
          <w:p w14:paraId="6A78D50E">
            <w:pPr>
              <w:pStyle w:val="a4"/>
              <w:bidi w:val="0"/>
              <w:jc w:val="left"/>
              <w:rPr>
                <w:rFonts w:ascii="Times New Roman" w:eastAsia="宋体" w:hAnsi="Times New Roman" w:cs="Times New Roman" w:hint="default"/>
                <w:color w:val="auto"/>
              </w:rPr>
            </w:pPr>
            <w:r>
              <w:rPr>
                <w:rFonts w:ascii="Times New Roman" w:eastAsia="宋体" w:hAnsi="Times New Roman" w:cs="Times New Roman" w:hint="default"/>
                <w:color w:val="auto"/>
              </w:rPr>
              <w:t>①对罐区进行日常巡视，如发现异常情况应及时对罐区进行整改；</w:t>
            </w:r>
          </w:p>
          <w:p w14:paraId="7AFF5BC3">
            <w:pPr>
              <w:pStyle w:val="a4"/>
              <w:bidi w:val="0"/>
              <w:jc w:val="left"/>
              <w:rPr>
                <w:rFonts w:ascii="Times New Roman" w:eastAsia="宋体" w:hAnsi="Times New Roman" w:cs="Times New Roman" w:hint="default"/>
                <w:color w:val="auto"/>
              </w:rPr>
            </w:pPr>
            <w:r>
              <w:rPr>
                <w:rFonts w:ascii="Times New Roman" w:eastAsia="宋体" w:hAnsi="Times New Roman" w:cs="Times New Roman" w:hint="default"/>
                <w:color w:val="auto"/>
              </w:rPr>
              <w:t>②对罐壁的接管等开口，检验试压合格后使用；</w:t>
            </w:r>
          </w:p>
          <w:p w14:paraId="1DB2D457">
            <w:pPr>
              <w:pStyle w:val="a4"/>
              <w:bidi w:val="0"/>
              <w:jc w:val="left"/>
              <w:rPr>
                <w:rFonts w:ascii="Times New Roman" w:eastAsia="宋体" w:hAnsi="Times New Roman" w:cs="Times New Roman" w:hint="default"/>
                <w:color w:val="auto"/>
              </w:rPr>
            </w:pPr>
            <w:r>
              <w:rPr>
                <w:rFonts w:ascii="Times New Roman" w:eastAsia="宋体" w:hAnsi="Times New Roman" w:cs="Times New Roman" w:hint="default"/>
                <w:color w:val="auto"/>
              </w:rPr>
              <w:t>③储罐液位超高报警，防止储罐充装过量导致钒电解液外溢；钒电解液装罐 过程中应安排专人进行现场看护，未完成装罐作业不得离开，防止报警系统故障，导致储罐充装过量，钒电解液外溢；</w:t>
            </w:r>
          </w:p>
          <w:p w14:paraId="4EA061A6">
            <w:pPr>
              <w:pStyle w:val="a4"/>
              <w:bidi w:val="0"/>
              <w:jc w:val="left"/>
              <w:rPr>
                <w:rFonts w:ascii="Times New Roman" w:eastAsia="宋体" w:hAnsi="Times New Roman" w:cs="Times New Roman" w:hint="default"/>
                <w:color w:val="auto"/>
              </w:rPr>
            </w:pPr>
            <w:r>
              <w:rPr>
                <w:rFonts w:ascii="Times New Roman" w:eastAsia="宋体" w:hAnsi="Times New Roman" w:cs="Times New Roman" w:hint="default"/>
                <w:color w:val="auto"/>
              </w:rPr>
              <w:t>④钒电解液循环管道，特别是法兰或阀门连接处因内部空气热胀冷缩压力过 大，导致管道出现渗漏，甚至爆裂，运营期应定期对管道、法兰、阀门等进行检</w:t>
            </w:r>
          </w:p>
          <w:p w14:paraId="5EDF6AF0">
            <w:pPr>
              <w:pStyle w:val="a4"/>
              <w:bidi w:val="0"/>
              <w:jc w:val="left"/>
              <w:rPr>
                <w:rFonts w:ascii="Times New Roman" w:eastAsia="宋体" w:hAnsi="Times New Roman" w:cs="Times New Roman" w:hint="default"/>
                <w:color w:val="auto"/>
              </w:rPr>
            </w:pPr>
            <w:r>
              <w:rPr>
                <w:rFonts w:ascii="Times New Roman" w:eastAsia="宋体" w:hAnsi="Times New Roman" w:cs="Times New Roman" w:hint="default"/>
                <w:color w:val="auto"/>
              </w:rPr>
              <w:t>查、维护，如出现不明渗漏情况，需立即检修。</w:t>
            </w:r>
          </w:p>
          <w:p w14:paraId="567E5474">
            <w:pPr>
              <w:pStyle w:val="a4"/>
              <w:bidi w:val="0"/>
              <w:jc w:val="left"/>
              <w:rPr>
                <w:rFonts w:ascii="Times New Roman" w:eastAsia="宋体" w:hAnsi="Times New Roman" w:cs="Times New Roman" w:hint="default"/>
                <w:color w:val="auto"/>
              </w:rPr>
            </w:pPr>
            <w:r>
              <w:rPr>
                <w:rFonts w:ascii="Times New Roman" w:eastAsia="宋体" w:hAnsi="Times New Roman" w:cs="Times New Roman" w:hint="default"/>
                <w:color w:val="auto"/>
              </w:rPr>
              <w:t>⑤钒电解液罐区设置围堰，围堰内设导流槽，通过导流槽排入事故池62.5m3，围堰及事故池内地面进行重点防渗。</w:t>
            </w:r>
          </w:p>
          <w:p w14:paraId="7A3E721B">
            <w:pPr>
              <w:pStyle w:val="a4"/>
              <w:bidi w:val="0"/>
              <w:jc w:val="left"/>
              <w:rPr>
                <w:rFonts w:ascii="Times New Roman" w:eastAsia="宋体" w:hAnsi="Times New Roman" w:cs="Times New Roman" w:hint="default"/>
                <w:color w:val="auto"/>
              </w:rPr>
            </w:pPr>
            <w:r>
              <w:rPr>
                <w:rFonts w:ascii="Times New Roman" w:eastAsia="宋体" w:hAnsi="Times New Roman" w:cs="Times New Roman" w:hint="default"/>
                <w:color w:val="auto"/>
              </w:rPr>
              <w:t>（2）环境风险事故应急处理措施</w:t>
            </w:r>
          </w:p>
          <w:p w14:paraId="2FE69481">
            <w:pPr>
              <w:pStyle w:val="a4"/>
              <w:bidi w:val="0"/>
              <w:jc w:val="left"/>
              <w:rPr>
                <w:rFonts w:ascii="Times New Roman" w:eastAsia="宋体" w:hAnsi="Times New Roman" w:cs="Times New Roman" w:hint="default"/>
                <w:color w:val="auto"/>
              </w:rPr>
            </w:pPr>
            <w:r>
              <w:rPr>
                <w:rFonts w:ascii="Times New Roman" w:eastAsia="宋体" w:hAnsi="Times New Roman" w:cs="Times New Roman" w:hint="default"/>
                <w:color w:val="auto"/>
              </w:rPr>
              <w:t>①钒电解液泄漏应急处理：疏散泄漏污染区人员至安全区，禁止无关人员进入污染区，</w:t>
            </w:r>
          </w:p>
          <w:p w14:paraId="52563D6E">
            <w:pPr>
              <w:pStyle w:val="a4"/>
              <w:bidi w:val="0"/>
              <w:jc w:val="left"/>
              <w:rPr>
                <w:rFonts w:ascii="Times New Roman" w:eastAsia="宋体" w:hAnsi="Times New Roman" w:cs="Times New Roman" w:hint="default"/>
                <w:color w:val="auto"/>
              </w:rPr>
            </w:pPr>
            <w:r>
              <w:rPr>
                <w:rFonts w:ascii="Times New Roman" w:eastAsia="宋体" w:hAnsi="Times New Roman" w:cs="Times New Roman" w:hint="default"/>
                <w:color w:val="auto"/>
              </w:rPr>
              <w:t>建议应急处理人员戴好面罩，穿化学防护服。合理通风，不要直接接触泄漏物，勿使泄漏物与可燃物质（木材、纸、油等)接触，在确保安全情况下堵漏。用沙土、干燥石灰或苏打灰混合，然后收集运至废物处理场所处置。如大量泄漏，利用围堰收容，然后委托资质单位收集、转移、回收或无害处理后废弃。</w:t>
            </w:r>
          </w:p>
          <w:p w14:paraId="5B10E385">
            <w:pPr>
              <w:pStyle w:val="a4"/>
              <w:bidi w:val="0"/>
              <w:jc w:val="left"/>
              <w:rPr>
                <w:rFonts w:ascii="Times New Roman" w:eastAsia="宋体" w:hAnsi="Times New Roman" w:cs="Times New Roman" w:hint="default"/>
                <w:color w:val="auto"/>
              </w:rPr>
            </w:pPr>
            <w:r>
              <w:rPr>
                <w:rFonts w:ascii="Times New Roman" w:eastAsia="宋体" w:hAnsi="Times New Roman" w:cs="Times New Roman" w:hint="default"/>
                <w:color w:val="auto"/>
              </w:rPr>
              <w:t>（3）变压器泄漏、火灾爆炸风险防范措施：</w:t>
            </w:r>
          </w:p>
          <w:p w14:paraId="71F23C97">
            <w:pPr>
              <w:pStyle w:val="a4"/>
              <w:bidi w:val="0"/>
              <w:jc w:val="left"/>
              <w:rPr>
                <w:rFonts w:ascii="Times New Roman" w:eastAsia="宋体" w:hAnsi="Times New Roman" w:cs="Times New Roman" w:hint="default"/>
                <w:color w:val="auto"/>
              </w:rPr>
            </w:pPr>
            <w:r>
              <w:rPr>
                <w:rFonts w:ascii="Times New Roman" w:eastAsia="宋体" w:hAnsi="Times New Roman" w:cs="Times New Roman" w:hint="default"/>
                <w:color w:val="auto"/>
              </w:rPr>
              <w:t>①对变压器区域进行日常巡视，如发现异常应及时进行整改；</w:t>
            </w:r>
          </w:p>
          <w:p w14:paraId="2028D4E4">
            <w:pPr>
              <w:pStyle w:val="a4"/>
              <w:bidi w:val="0"/>
              <w:jc w:val="left"/>
              <w:rPr>
                <w:rFonts w:ascii="Times New Roman" w:eastAsia="宋体" w:hAnsi="Times New Roman" w:cs="Times New Roman" w:hint="default"/>
                <w:color w:val="auto"/>
              </w:rPr>
            </w:pPr>
            <w:r>
              <w:rPr>
                <w:rFonts w:ascii="Times New Roman" w:eastAsia="宋体" w:hAnsi="Times New Roman" w:cs="Times New Roman" w:hint="default"/>
                <w:color w:val="auto"/>
              </w:rPr>
              <w:t>②变压器液位异常报警，防止变压器温度过高变压器油外溢；</w:t>
            </w:r>
          </w:p>
          <w:p w14:paraId="520CA809">
            <w:pPr>
              <w:pStyle w:val="a4"/>
              <w:bidi w:val="0"/>
              <w:jc w:val="left"/>
              <w:rPr>
                <w:rFonts w:ascii="Times New Roman" w:eastAsia="宋体" w:hAnsi="Times New Roman" w:cs="Times New Roman" w:hint="default"/>
                <w:color w:val="auto"/>
              </w:rPr>
            </w:pPr>
            <w:r>
              <w:rPr>
                <w:rFonts w:ascii="Times New Roman" w:eastAsia="宋体" w:hAnsi="Times New Roman" w:cs="Times New Roman" w:hint="default"/>
                <w:color w:val="auto"/>
              </w:rPr>
              <w:t>④变压器区下方设置收油池，并通过管道连接120m3事故池，事故池进行重点防渗。可满足事故状态下变压器油收集需要。</w:t>
            </w:r>
          </w:p>
          <w:p w14:paraId="1D96EA7E">
            <w:pPr>
              <w:pStyle w:val="a4"/>
              <w:bidi w:val="0"/>
              <w:jc w:val="left"/>
              <w:rPr>
                <w:rFonts w:ascii="Times New Roman" w:eastAsia="宋体" w:hAnsi="Times New Roman" w:cs="Times New Roman" w:hint="default"/>
                <w:color w:val="auto"/>
              </w:rPr>
            </w:pPr>
            <w:r>
              <w:rPr>
                <w:rFonts w:ascii="Times New Roman" w:eastAsia="宋体" w:hAnsi="Times New Roman" w:cs="Times New Roman" w:hint="default"/>
                <w:color w:val="auto"/>
              </w:rPr>
              <w:t>事故池采用防渗混凝土及HDPE土工膜防渗材料，渗透系数≤1×10-10cm/s。并制定可靠的废变压器油送资质单位处置。综上，本项目事故状态下的废液压油均可以得到有效处置，对周围环境影响不大。</w:t>
            </w:r>
          </w:p>
          <w:p w14:paraId="18B22E6B">
            <w:pPr>
              <w:pStyle w:val="a4"/>
              <w:bidi w:val="0"/>
              <w:jc w:val="left"/>
              <w:rPr>
                <w:rFonts w:ascii="Times New Roman" w:eastAsia="宋体" w:hAnsi="Times New Roman" w:cs="Times New Roman" w:hint="default"/>
                <w:color w:val="auto"/>
              </w:rPr>
            </w:pPr>
            <w:r>
              <w:rPr>
                <w:rFonts w:ascii="Times New Roman" w:eastAsia="宋体" w:hAnsi="Times New Roman" w:cs="Times New Roman" w:hint="default"/>
                <w:color w:val="auto"/>
              </w:rPr>
              <w:t>⑤升压站等部位杜绝明火，厂区内禁止吸烟。</w:t>
            </w:r>
          </w:p>
          <w:p w14:paraId="32AC44D0">
            <w:pPr>
              <w:pStyle w:val="a4"/>
              <w:bidi w:val="0"/>
              <w:jc w:val="left"/>
              <w:rPr>
                <w:rFonts w:ascii="Times New Roman" w:eastAsia="宋体" w:hAnsi="Times New Roman" w:cs="Times New Roman" w:hint="default"/>
                <w:color w:val="auto"/>
              </w:rPr>
            </w:pPr>
            <w:r>
              <w:rPr>
                <w:rFonts w:ascii="Times New Roman" w:eastAsia="宋体" w:hAnsi="Times New Roman" w:cs="Times New Roman" w:hint="default"/>
                <w:color w:val="auto"/>
              </w:rPr>
              <w:t>⑥企业应编制或修订突发环境事件应急预案，并定期进行演练，在加强风险源监控和防范措施，有效减少突发环境事件发生概率的同时，规定应急响应措施，对实际发生的环境污染事件和紧急情况做出响应，及时组织有效的应急处置，控制事故危害的蔓延，最大限度地减少伴随的环境影响。</w:t>
            </w:r>
          </w:p>
        </w:tc>
      </w:tr>
      <w:tr w14:paraId="2F4B0B94">
        <w:tblPrEx>
          <w:tblW w:w="0" w:type="auto"/>
          <w:tblInd w:w="0" w:type="dxa"/>
          <w:tblLayout w:type="fixed"/>
          <w:tblCellMar>
            <w:top w:w="0" w:type="dxa"/>
            <w:left w:w="0" w:type="dxa"/>
            <w:bottom w:w="0" w:type="dxa"/>
            <w:right w:w="0" w:type="dxa"/>
          </w:tblCellMar>
        </w:tblPrEx>
        <w:trPr>
          <w:trHeight w:val="397"/>
        </w:trPr>
        <w:tc>
          <w:tcPr>
            <w:tcW w:w="1205" w:type="dxa"/>
            <w:gridSpan w:val="2"/>
            <w:tcBorders>
              <w:top w:val="single" w:sz="4" w:space="0" w:color="000000"/>
              <w:left w:val="single" w:sz="8" w:space="0" w:color="000000"/>
              <w:bottom w:val="single" w:sz="4" w:space="0" w:color="000000"/>
              <w:right w:val="single" w:sz="4" w:space="0" w:color="000000"/>
            </w:tcBorders>
            <w:noWrap w:val="0"/>
            <w:vAlign w:val="center"/>
          </w:tcPr>
          <w:p w14:paraId="55A1FDC2">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评价结论与建议</w:t>
            </w:r>
          </w:p>
        </w:tc>
        <w:tc>
          <w:tcPr>
            <w:tcW w:w="7081" w:type="dxa"/>
            <w:gridSpan w:val="11"/>
            <w:tcBorders>
              <w:top w:val="single" w:sz="4" w:space="0" w:color="000000"/>
              <w:left w:val="nil"/>
              <w:bottom w:val="single" w:sz="4" w:space="0" w:color="000000"/>
              <w:right w:val="single" w:sz="8" w:space="0" w:color="000000"/>
            </w:tcBorders>
            <w:noWrap w:val="0"/>
            <w:vAlign w:val="center"/>
          </w:tcPr>
          <w:p w14:paraId="2A5D7399">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本项目风险潜势为</w:t>
            </w:r>
            <w:r>
              <w:rPr>
                <w:rFonts w:cs="Times New Roman" w:hint="eastAsia"/>
                <w:color w:val="auto"/>
                <w:lang w:val="en-US" w:eastAsia="zh-CN"/>
              </w:rPr>
              <w:t>Ⅲ</w:t>
            </w:r>
            <w:r>
              <w:rPr>
                <w:rFonts w:ascii="Times New Roman" w:eastAsia="宋体" w:hAnsi="Times New Roman" w:cs="Times New Roman" w:hint="default"/>
                <w:color w:val="auto"/>
              </w:rPr>
              <w:t>，</w:t>
            </w:r>
            <w:r>
              <w:rPr>
                <w:rFonts w:ascii="Times New Roman" w:eastAsia="宋体" w:hAnsi="Times New Roman" w:cs="Times New Roman" w:hint="default"/>
                <w:color w:val="auto"/>
                <w:lang w:eastAsia="zh-CN"/>
              </w:rPr>
              <w:t>风险评价等级为</w:t>
            </w:r>
            <w:r>
              <w:rPr>
                <w:rFonts w:cs="Times New Roman" w:hint="eastAsia"/>
                <w:color w:val="auto"/>
                <w:lang w:val="en-US" w:eastAsia="zh-CN"/>
              </w:rPr>
              <w:t>二</w:t>
            </w:r>
            <w:r>
              <w:rPr>
                <w:rFonts w:ascii="Times New Roman" w:eastAsia="宋体" w:hAnsi="Times New Roman" w:cs="Times New Roman" w:hint="default"/>
                <w:color w:val="auto"/>
                <w:lang w:eastAsia="zh-CN"/>
              </w:rPr>
              <w:t>级</w:t>
            </w:r>
            <w:r>
              <w:rPr>
                <w:rFonts w:ascii="Times New Roman" w:eastAsia="宋体" w:hAnsi="Times New Roman" w:cs="Times New Roman" w:hint="default"/>
                <w:color w:val="auto"/>
              </w:rPr>
              <w:t>，在采取有效的防范措施、制定相应的应急预案的前提下，</w:t>
            </w:r>
            <w:r>
              <w:rPr>
                <w:rFonts w:ascii="Times New Roman" w:eastAsia="宋体" w:hAnsi="Times New Roman" w:cs="Times New Roman" w:hint="default"/>
                <w:color w:val="auto"/>
                <w:lang w:eastAsia="zh-CN"/>
              </w:rPr>
              <w:t>本项目环境风险是可控的</w:t>
            </w:r>
            <w:r>
              <w:rPr>
                <w:rFonts w:ascii="Times New Roman" w:eastAsia="宋体" w:hAnsi="Times New Roman" w:cs="Times New Roman" w:hint="default"/>
                <w:color w:val="auto"/>
              </w:rPr>
              <w:t>。</w:t>
            </w:r>
          </w:p>
        </w:tc>
      </w:tr>
      <w:tr w14:paraId="51F5054D">
        <w:tblPrEx>
          <w:tblW w:w="0" w:type="auto"/>
          <w:tblInd w:w="0" w:type="dxa"/>
          <w:tblLayout w:type="fixed"/>
          <w:tblCellMar>
            <w:top w:w="0" w:type="dxa"/>
            <w:left w:w="0" w:type="dxa"/>
            <w:bottom w:w="0" w:type="dxa"/>
            <w:right w:w="0" w:type="dxa"/>
          </w:tblCellMar>
        </w:tblPrEx>
        <w:trPr>
          <w:trHeight w:val="397"/>
        </w:trPr>
        <w:tc>
          <w:tcPr>
            <w:tcW w:w="8286" w:type="dxa"/>
            <w:gridSpan w:val="13"/>
            <w:tcBorders>
              <w:top w:val="single" w:sz="4" w:space="0" w:color="000000"/>
              <w:left w:val="single" w:sz="8" w:space="0" w:color="000000"/>
              <w:bottom w:val="single" w:sz="8" w:space="0" w:color="000000"/>
              <w:right w:val="single" w:sz="8" w:space="0" w:color="000000"/>
            </w:tcBorders>
            <w:noWrap w:val="0"/>
            <w:vAlign w:val="center"/>
          </w:tcPr>
          <w:p w14:paraId="2D187B13">
            <w:pPr>
              <w:pStyle w:val="a4"/>
              <w:bidi w:val="0"/>
              <w:rPr>
                <w:rFonts w:ascii="Times New Roman" w:eastAsia="宋体" w:hAnsi="Times New Roman" w:cs="Times New Roman" w:hint="default"/>
                <w:color w:val="auto"/>
              </w:rPr>
            </w:pPr>
            <w:r>
              <w:rPr>
                <w:rFonts w:ascii="Times New Roman" w:eastAsia="宋体" w:hAnsi="Times New Roman" w:cs="Times New Roman" w:hint="default"/>
                <w:color w:val="auto"/>
              </w:rPr>
              <w:t>注：“□”为勾选项，“ </w:t>
            </w:r>
            <w:r>
              <w:rPr>
                <w:rFonts w:ascii="Times New Roman" w:eastAsia="宋体" w:hAnsi="Times New Roman" w:cs="Times New Roman" w:hint="default"/>
                <w:color w:val="auto"/>
              </w:rPr>
              <w:tab/>
            </w:r>
            <w:r>
              <w:rPr>
                <w:rFonts w:ascii="Times New Roman" w:eastAsia="宋体" w:hAnsi="Times New Roman" w:cs="Times New Roman" w:hint="default"/>
                <w:color w:val="auto"/>
              </w:rPr>
              <w:t>”为填写项。</w:t>
            </w:r>
          </w:p>
        </w:tc>
      </w:tr>
    </w:tbl>
    <w:p w14:paraId="048E1D75">
      <w:pPr>
        <w:pStyle w:val="000"/>
        <w:bidi w:val="0"/>
        <w:rPr>
          <w:rFonts w:ascii="Times New Roman" w:eastAsia="宋体" w:hAnsi="Times New Roman" w:cs="Times New Roman" w:hint="default"/>
          <w:color w:val="auto"/>
          <w:spacing w:val="5"/>
          <w:sz w:val="20"/>
          <w:szCs w:val="20"/>
          <w14:textOutline w14:w="3795" w14:cap="sq">
            <w14:solidFill>
              <w14:srgbClr w14:val="000000"/>
            </w14:solidFill>
            <w14:bevel/>
          </w14:textOutline>
        </w:rPr>
      </w:pPr>
    </w:p>
    <w:p w14:paraId="54BE1F18">
      <w:pPr>
        <w:spacing w:before="182" w:line="359" w:lineRule="auto"/>
        <w:ind w:left="31" w:right="103" w:firstLine="459"/>
        <w:rPr>
          <w:rFonts w:ascii="Times New Roman" w:eastAsia="宋体" w:hAnsi="Times New Roman" w:cs="Times New Roman" w:hint="default"/>
          <w:color w:val="auto"/>
          <w:spacing w:val="-1"/>
          <w:sz w:val="24"/>
          <w:szCs w:val="24"/>
          <w:lang w:eastAsia="zh-CN"/>
        </w:rPr>
      </w:pPr>
    </w:p>
    <w:p w14:paraId="4F069EDF">
      <w:pPr>
        <w:rPr>
          <w:rFonts w:ascii="Times New Roman" w:eastAsia="宋体" w:hAnsi="Times New Roman" w:cs="Times New Roman" w:hint="default"/>
          <w:color w:val="auto"/>
        </w:rPr>
      </w:pPr>
    </w:p>
    <w:sectPr>
      <w:headerReference w:type="default" r:id="rId41"/>
      <w:footerReference w:type="default" r:id="rId42"/>
      <w:pgSz w:w="11906" w:h="16838"/>
      <w:pgMar w:top="1531" w:right="1701" w:bottom="1531" w:left="1701" w:header="851" w:footer="851" w:gutter="0"/>
      <w:pgBorders>
        <w:top w:val="none" w:sz="0" w:space="0" w:color="auto"/>
        <w:left w:val="none" w:sz="0" w:space="0" w:color="auto"/>
        <w:bottom w:val="none" w:sz="0" w:space="0" w:color="auto"/>
        <w:right w:val="none" w:sz="0" w:space="0" w:color="auto"/>
      </w:pgBorders>
      <w:pgNumType w:fmt="decimal"/>
      <w:cols w:num="1" w:space="72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5EF5D7F">
    <w:pPr>
      <w:rPr>
        <w:sz w:val="24"/>
      </w:rPr>
    </w:pPr>
    <w:r>
      <w:rPr>
        <w:sz w:val="24"/>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49" type="#_x0000_t202" style="width:2in;height:2in;margin-top:0;margin-left:0;mso-height-relative:page;mso-position-horizontal:center;mso-position-horizontal-relative:margin;mso-width-relative:page;mso-wrap-style:none;position:absolute;z-index:251659264" coordsize="21600,21600" filled="f" stroked="f">
              <o:lock v:ext="edit" aspectratio="f"/>
              <v:textbox style="mso-fit-shape-to-text:t" inset="0,0,0,0">
                <w:txbxContent>
                  <w:p w14:paraId="3202FF94">
                    <w:pPr>
                      <w:pStyle w:val="Footer"/>
                    </w:pPr>
                    <w:r>
                      <w:fldChar w:fldCharType="begin"/>
                    </w:r>
                    <w:r>
                      <w:instrText xml:space="preserve"> PAGE  \* MERGEFORMAT </w:instrText>
                    </w:r>
                    <w:r>
                      <w:fldChar w:fldCharType="separate"/>
                    </w:r>
                    <w:r>
                      <w:t>2</w:t>
                    </w:r>
                    <w:r>
                      <w:fldChar w:fldCharType="end"/>
                    </w:r>
                  </w:p>
                </w:txbxContent>
              </v:textbox>
              <w10:wrap anchorx="margin"/>
            </v:shape>
          </w:pict>
        </mc:Fallback>
      </mc:AlternateContent>
    </w:r>
  </w:p>
  <w:p w14:paraId="70369732">
    <w:pP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AAD4A8E">
    <w:pPr>
      <w:spacing w:line="176" w:lineRule="auto"/>
      <w:ind w:left="4238"/>
      <w:rPr>
        <w:rFonts w:ascii="Times New Roman" w:eastAsia="Times New Roman" w:hAnsi="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6" type="#_x0000_t202" style="width:2in;height:2in;margin-top:0;margin-left:0;mso-height-relative:page;mso-position-horizontal:center;mso-position-horizontal-relative:margin;mso-width-relative:page;mso-wrap-style:none;position:absolute;z-index:251673600" coordsize="21600,21600" filled="f" stroked="f">
              <o:lock v:ext="edit" aspectratio="f"/>
              <v:textbox style="mso-fit-shape-to-text:t" inset="0,0,0,0">
                <w:txbxContent>
                  <w:p w14:paraId="64CEAB17">
                    <w:pPr>
                      <w:pStyle w:val="Footer"/>
                    </w:pPr>
                    <w:r>
                      <w:fldChar w:fldCharType="begin"/>
                    </w:r>
                    <w:r>
                      <w:instrText xml:space="preserve"> PAGE  \* MERGEFORMAT </w:instrText>
                    </w:r>
                    <w:r>
                      <w:fldChar w:fldCharType="separate"/>
                    </w:r>
                    <w:r>
                      <w:t>3</w:t>
                    </w:r>
                    <w:r>
                      <w:fldChar w:fldCharType="end"/>
                    </w:r>
                  </w:p>
                </w:txbxContent>
              </v:textbox>
              <w10:wrap anchorx="margin"/>
            </v:shape>
          </w:pict>
        </mc:Fallback>
      </mc:AlternateContent>
    </w:r>
    <w:r>
      <w:rPr>
        <w:rFonts w:ascii="Times New Roman" w:eastAsia="Times New Roman" w:hAnsi="Times New Roman" w:cs="Times New Roman"/>
        <w:sz w:val="18"/>
        <w:szCs w:val="18"/>
      </w:rPr>
      <w:t>3</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F750DC4">
    <w:pPr>
      <w:spacing w:line="176" w:lineRule="auto"/>
      <w:ind w:left="4206"/>
      <w:rPr>
        <w:rFonts w:ascii="Times New Roman" w:eastAsia="Times New Roman" w:hAnsi="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7" type="#_x0000_t202" style="width:2in;height:2in;margin-top:0;margin-left:0;mso-height-relative:page;mso-position-horizontal:center;mso-position-horizontal-relative:margin;mso-width-relative:page;mso-wrap-style:none;position:absolute;z-index:251675648" coordsize="21600,21600" filled="f" stroked="f">
              <o:lock v:ext="edit" aspectratio="f"/>
              <v:textbox style="mso-fit-shape-to-text:t" inset="0,0,0,0">
                <w:txbxContent>
                  <w:p w14:paraId="2BBB8865">
                    <w:pPr>
                      <w:pStyle w:val="Footer"/>
                    </w:pPr>
                    <w:r>
                      <w:fldChar w:fldCharType="begin"/>
                    </w:r>
                    <w:r>
                      <w:instrText xml:space="preserve"> PAGE  \* MERGEFORMAT </w:instrText>
                    </w:r>
                    <w:r>
                      <w:fldChar w:fldCharType="separate"/>
                    </w:r>
                    <w:r>
                      <w:t>7</w:t>
                    </w:r>
                    <w:r>
                      <w:fldChar w:fldCharType="end"/>
                    </w:r>
                  </w:p>
                </w:txbxContent>
              </v:textbox>
              <w10:wrap anchorx="margin"/>
            </v:shape>
          </w:pict>
        </mc:Fallback>
      </mc:AlternateContent>
    </w:r>
    <w:r>
      <w:rPr>
        <w:rFonts w:ascii="Times New Roman" w:eastAsia="Times New Roman" w:hAnsi="Times New Roman" w:cs="Times New Roman"/>
        <w:spacing w:val="-10"/>
        <w:sz w:val="18"/>
        <w:szCs w:val="18"/>
      </w:rPr>
      <w:t>19</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380280F">
    <w:pPr>
      <w:spacing w:line="173" w:lineRule="auto"/>
      <w:ind w:left="4497"/>
      <w:rPr>
        <w:rFonts w:ascii="Times New Roman" w:eastAsia="Times New Roman" w:hAnsi="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8" type="#_x0000_t202" style="width:2in;height:2in;margin-top:0;margin-left:0;mso-height-relative:page;mso-position-horizontal:center;mso-position-horizontal-relative:margin;mso-width-relative:page;mso-wrap-style:none;position:absolute;z-index:251677696" coordsize="21600,21600" filled="f" stroked="f">
              <o:lock v:ext="edit" aspectratio="f"/>
              <v:textbox style="mso-fit-shape-to-text:t" inset="0,0,0,0">
                <w:txbxContent>
                  <w:p w14:paraId="0AD53187">
                    <w:pPr>
                      <w:pStyle w:val="Footer"/>
                    </w:pPr>
                    <w:r>
                      <w:fldChar w:fldCharType="begin"/>
                    </w:r>
                    <w:r>
                      <w:instrText xml:space="preserve"> PAGE  \* MERGEFORMAT </w:instrText>
                    </w:r>
                    <w:r>
                      <w:fldChar w:fldCharType="separate"/>
                    </w:r>
                    <w:r>
                      <w:t>19</w:t>
                    </w:r>
                    <w:r>
                      <w:fldChar w:fldCharType="end"/>
                    </w:r>
                  </w:p>
                </w:txbxContent>
              </v:textbox>
              <w10:wrap anchorx="margin"/>
            </v:shape>
          </w:pict>
        </mc:Fallback>
      </mc:AlternateContent>
    </w:r>
    <w:r>
      <w:rPr>
        <w:rFonts w:ascii="Times New Roman" w:eastAsia="Times New Roman" w:hAnsi="Times New Roman" w:cs="Times New Roman"/>
        <w:sz w:val="18"/>
        <w:szCs w:val="18"/>
      </w:rPr>
      <w:t>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38B88DE">
    <w:pPr>
      <w:wordWrap w:val="0"/>
      <w:ind w:left="360" w:right="240"/>
      <w:jc w:val="right"/>
      <w:rPr>
        <w:sz w:val="24"/>
      </w:rPr>
    </w:pPr>
  </w:p>
  <w:p w14:paraId="5712B070">
    <w:pPr>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AC868D9">
    <w:pPr>
      <w:wordWrap w:val="0"/>
      <w:ind w:left="360" w:right="240"/>
      <w:jc w:val="right"/>
      <w:rPr>
        <w:sz w:val="24"/>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0" type="#_x0000_t202" style="width:2in;height:2in;margin-top:0;margin-left:0;mso-height-relative:page;mso-position-horizontal:center;mso-position-horizontal-relative:margin;mso-width-relative:page;mso-wrap-style:none;position:absolute;z-index:251663360" coordsize="21600,21600" filled="f" stroked="f">
              <o:lock v:ext="edit" aspectratio="f"/>
              <v:textbox style="mso-fit-shape-to-text:t" inset="0,0,0,0">
                <w:txbxContent>
                  <w:p w14:paraId="74E992DF">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p w14:paraId="26DD65D9">
    <w:pPr>
      <w:ind w:right="360" w:firstLine="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BC58160">
    <w:pPr>
      <w:ind w:right="360" w:firstLine="360"/>
      <w:jc w:val="cente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1" type="#_x0000_t202" style="width:2in;height:2in;margin-top:0;margin-left:0;mso-height-relative:page;mso-position-horizontal:center;mso-position-horizontal-relative:margin;mso-width-relative:page;mso-wrap-style:none;position:absolute;z-index:251665408" coordsize="21600,21600" filled="f" stroked="f">
              <o:lock v:ext="edit" aspectratio="f"/>
              <v:textbox style="mso-fit-shape-to-text:t" inset="0,0,0,0">
                <w:txbxContent>
                  <w:p w14:paraId="25CCB316">
                    <w:pPr>
                      <w:pStyle w:val="Footer"/>
                    </w:pPr>
                    <w:r>
                      <w:fldChar w:fldCharType="begin"/>
                    </w:r>
                    <w:r>
                      <w:instrText xml:space="preserve"> PAGE  \* MERGEFORMAT </w:instrText>
                    </w:r>
                    <w:r>
                      <w:fldChar w:fldCharType="separate"/>
                    </w:r>
                    <w:r>
                      <w:t>46</w:t>
                    </w:r>
                    <w:r>
                      <w:fldChar w:fldCharType="end"/>
                    </w:r>
                  </w:p>
                </w:txbxContent>
              </v:textbox>
              <w10:wrap anchorx="margin"/>
            </v:shape>
          </w:pict>
        </mc:Fallback>
      </mc:AlternateContent>
    </w:r>
  </w:p>
  <w:p w14:paraId="342FE0D9"/>
  <w:p w14:paraId="0BD9B4D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460E590">
    <w:pPr>
      <w:pStyle w:val="BodyText"/>
      <w:spacing w:line="14" w:lineRule="auto"/>
      <w:rPr>
        <w:sz w:val="2"/>
      </w:rPr>
    </w:pPr>
    <w:r>
      <w:rPr>
        <w:sz w:val="2"/>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2" type="#_x0000_t202" style="width:2in;height:2in;margin-top:0;margin-left:0;mso-height-relative:page;mso-position-horizontal:center;mso-position-horizontal-relative:margin;mso-width-relative:page;mso-wrap-style:none;position:absolute;z-index:251667456" coordsize="21600,21600" filled="f" stroked="f">
              <o:lock v:ext="edit" aspectratio="f"/>
              <v:textbox style="mso-fit-shape-to-text:t" inset="0,0,0,0">
                <w:txbxContent>
                  <w:p w14:paraId="2D8023B4">
                    <w:pPr>
                      <w:pStyle w:val="Footer"/>
                    </w:pPr>
                    <w:r>
                      <w:fldChar w:fldCharType="begin"/>
                    </w:r>
                    <w:r>
                      <w:instrText xml:space="preserve"> PAGE  \* MERGEFORMAT </w:instrText>
                    </w:r>
                    <w:r>
                      <w:fldChar w:fldCharType="separate"/>
                    </w:r>
                    <w:r>
                      <w:t>47</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AE1865E">
    <w:pPr>
      <w:rPr>
        <w:sz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3" type="#_x0000_t202" style="width:2in;height:2in;margin-top:0;margin-left:0;mso-height-relative:page;mso-position-horizontal:center;mso-position-horizontal-relative:margin;mso-width-relative:page;mso-wrap-style:none;position:absolute;z-index:251661312" coordsize="21600,21600" filled="f" stroked="f">
              <o:lock v:ext="edit" aspectratio="f"/>
              <v:textbox style="mso-fit-shape-to-text:t" inset="0,0,0,0">
                <w:txbxContent>
                  <w:p w14:paraId="30F38487">
                    <w:pPr>
                      <w:pStyle w:val="Footer"/>
                    </w:pPr>
                    <w:r>
                      <w:fldChar w:fldCharType="begin"/>
                    </w:r>
                    <w:r>
                      <w:instrText xml:space="preserve"> PAGE  \* MERGEFORMAT </w:instrText>
                    </w:r>
                    <w:r>
                      <w:fldChar w:fldCharType="separate"/>
                    </w:r>
                    <w:r>
                      <w:t>50</w:t>
                    </w:r>
                    <w:r>
                      <w:fldChar w:fldCharType="end"/>
                    </w:r>
                  </w:p>
                </w:txbxContent>
              </v:textbox>
              <w10:wrap anchorx="margin"/>
            </v:shape>
          </w:pict>
        </mc:Fallback>
      </mc:AlternateContent>
    </w:r>
  </w:p>
  <w:p w14:paraId="7E95915F">
    <w:pPr>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9F31D5D">
    <w:pPr>
      <w:pStyle w:val="Foo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4" type="#_x0000_t202" style="width:2in;height:2in;margin-top:0;margin-left:0;mso-height-relative:page;mso-position-horizontal:center;mso-position-horizontal-relative:margin;mso-width-relative:page;mso-wrap-style:none;position:absolute;z-index:251669504" coordsize="21600,21600" filled="f" stroked="f">
              <o:lock v:ext="edit" aspectratio="f"/>
              <v:textbox style="mso-fit-shape-to-text:t" inset="0,0,0,0">
                <w:txbxContent>
                  <w:p w14:paraId="12BD518D">
                    <w:pPr>
                      <w:pStyle w:val="Footer"/>
                    </w:pPr>
                    <w:r>
                      <w:fldChar w:fldCharType="begin"/>
                    </w:r>
                    <w:r>
                      <w:instrText xml:space="preserve"> PAGE  \* MERGEFORMAT </w:instrText>
                    </w:r>
                    <w:r>
                      <w:fldChar w:fldCharType="separate"/>
                    </w:r>
                    <w:r>
                      <w:t>11</w:t>
                    </w:r>
                    <w: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4616F8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CD0B451">
    <w:pPr>
      <w:pStyle w:val="Foo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5" type="#_x0000_t202" style="width:2in;height:2in;margin-top:0;margin-left:0;mso-height-relative:page;mso-position-horizontal:center;mso-position-horizontal-relative:margin;mso-width-relative:page;mso-wrap-style:none;position:absolute;z-index:251671552" coordsize="21600,21600" filled="f" stroked="f">
              <o:lock v:ext="edit" aspectratio="f"/>
              <v:textbox style="mso-fit-shape-to-text:t" inset="0,0,0,0">
                <w:txbxContent>
                  <w:p w14:paraId="15961441">
                    <w:pPr>
                      <w:pStyle w:val="Footer"/>
                    </w:pPr>
                    <w:r>
                      <w:fldChar w:fldCharType="begin"/>
                    </w:r>
                    <w:r>
                      <w:instrText xml:space="preserve"> PAGE  \* MERGEFORMAT </w:instrText>
                    </w:r>
                    <w:r>
                      <w:fldChar w:fldCharType="separate"/>
                    </w:r>
                    <w:r>
                      <w:t>13</w:t>
                    </w:r>
                    <w:r>
                      <w:fldChar w:fldCharType="end"/>
                    </w:r>
                  </w:p>
                </w:txbxContent>
              </v:textbox>
              <w10:wrap anchorx="margin"/>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57E67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CF07DED8"/>
    <w:multiLevelType w:val="singleLevel"/>
    <w:tmpl w:val="CF07DED8"/>
    <w:lvl w:ilvl="0">
      <w:start w:val="1"/>
      <w:numFmt w:val="bullet"/>
      <w:pStyle w:val="ListBullet5"/>
      <w:lvlText w:val=""/>
      <w:lvlJc w:val="left"/>
      <w:pPr>
        <w:tabs>
          <w:tab w:val="left" w:pos="2040"/>
        </w:tabs>
        <w:ind w:left="2040" w:hanging="360"/>
      </w:pPr>
      <w:rPr>
        <w:rFonts w:ascii="Wingdings" w:hAnsi="Wingdings" w:hint="default"/>
      </w:rPr>
    </w:lvl>
  </w:abstractNum>
  <w:abstractNum w:abstractNumId="1">
    <w:nsid w:val="F8C7210A"/>
    <w:multiLevelType w:val="singleLevel"/>
    <w:tmpl w:val="F8C7210A"/>
    <w:lvl w:ilvl="0">
      <w:start w:val="1"/>
      <w:numFmt w:val="decimal"/>
      <w:suff w:val="nothing"/>
      <w:lvlText w:val="（%1）"/>
      <w:lvlJc w:val="left"/>
    </w:lvl>
  </w:abstractNum>
  <w:abstractNum w:abstractNumId="2">
    <w:nsid w:val="0B170611"/>
    <w:multiLevelType w:val="singleLevel"/>
    <w:tmpl w:val="0B170611"/>
    <w:lvl w:ilvl="0">
      <w:start w:val="2"/>
      <w:numFmt w:val="decimal"/>
      <w:suff w:val="nothing"/>
      <w:lvlText w:val="（%1）"/>
      <w:lvlJc w:val="left"/>
    </w:lvl>
  </w:abstractNum>
  <w:abstractNum w:abstractNumId="3">
    <w:nsid w:val="2408BC26"/>
    <w:multiLevelType w:val="singleLevel"/>
    <w:tmpl w:val="2408BC26"/>
    <w:lvl w:ilvl="0">
      <w:start w:val="5"/>
      <w:numFmt w:val="decimal"/>
      <w:lvlText w:val="%1."/>
      <w:lvlJc w:val="left"/>
      <w:pPr>
        <w:tabs>
          <w:tab w:val="left" w:pos="312"/>
        </w:tabs>
      </w:pPr>
    </w:lvl>
  </w:abstractNum>
  <w:abstractNum w:abstractNumId="4">
    <w:nsid w:val="33EF1FC1"/>
    <w:multiLevelType w:val="multilevel"/>
    <w:tmpl w:val="33EF1FC1"/>
    <w:lvl w:ilvl="0">
      <w:start w:val="1"/>
      <w:numFmt w:val="decimal"/>
      <w:pStyle w:val="lh-1--"/>
      <w:lvlText w:val="%1"/>
      <w:lvlJc w:val="left"/>
      <w:pPr>
        <w:ind w:left="0" w:firstLine="0"/>
      </w:pPr>
      <w:rPr>
        <w:rFonts w:hint="eastAsia"/>
      </w:rPr>
    </w:lvl>
    <w:lvl w:ilvl="1">
      <w:start w:val="1"/>
      <w:numFmt w:val="decimal"/>
      <w:pStyle w:val="lh-2---"/>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nsid w:val="36970A70"/>
    <w:multiLevelType w:val="multilevel"/>
    <w:tmpl w:val="36970A70"/>
    <w:lvl w:ilvl="0">
      <w:start w:val="1"/>
      <w:numFmt w:val="decimal"/>
      <w:pStyle w:val="lh---"/>
      <w:lvlText w:val="表%1 "/>
      <w:lvlJc w:val="left"/>
      <w:pPr>
        <w:ind w:left="4105" w:hanging="420"/>
      </w:pPr>
      <w:rPr>
        <w:rFonts w:ascii="Times New Roman" w:hAnsi="Times New Roman" w:cs="Times New Roman" w:hint="default"/>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38FCA65B"/>
    <w:multiLevelType w:val="singleLevel"/>
    <w:tmpl w:val="38FCA65B"/>
    <w:lvl w:ilvl="0">
      <w:start w:val="2"/>
      <w:numFmt w:val="decimal"/>
      <w:suff w:val="nothing"/>
      <w:lvlText w:val="%1、"/>
      <w:lvlJc w:val="left"/>
    </w:lvl>
  </w:abstractNum>
  <w:abstractNum w:abstractNumId="7">
    <w:nsid w:val="44652B04"/>
    <w:multiLevelType w:val="singleLevel"/>
    <w:tmpl w:val="44652B04"/>
    <w:lvl w:ilvl="0">
      <w:start w:val="8"/>
      <w:numFmt w:val="decimal"/>
      <w:suff w:val="nothing"/>
      <w:lvlText w:val="%1、"/>
      <w:lvlJc w:val="left"/>
    </w:lvl>
  </w:abstractNum>
  <w:abstractNum w:abstractNumId="8">
    <w:nsid w:val="4C94D8FF"/>
    <w:multiLevelType w:val="singleLevel"/>
    <w:tmpl w:val="4C94D8FF"/>
    <w:lvl w:ilvl="0">
      <w:start w:val="4"/>
      <w:numFmt w:val="decimal"/>
      <w:suff w:val="nothing"/>
      <w:lvlText w:val="%1、"/>
      <w:lvlJc w:val="left"/>
    </w:lvl>
  </w:abstractNum>
  <w:abstractNum w:abstractNumId="9">
    <w:nsid w:val="553DB68B"/>
    <w:multiLevelType w:val="singleLevel"/>
    <w:tmpl w:val="553DB68B"/>
    <w:lvl w:ilvl="0">
      <w:start w:val="1"/>
      <w:numFmt w:val="decimal"/>
      <w:suff w:val="nothing"/>
      <w:lvlText w:val="（%1）"/>
      <w:lvlJc w:val="left"/>
    </w:lvl>
  </w:abstractNum>
  <w:abstractNum w:abstractNumId="10">
    <w:nsid w:val="7E382C35"/>
    <w:multiLevelType w:val="singleLevel"/>
    <w:tmpl w:val="7E382C35"/>
    <w:lvl w:ilvl="0">
      <w:start w:val="4"/>
      <w:numFmt w:val="decimal"/>
      <w:suff w:val="nothing"/>
      <w:lvlText w:val="（%1）"/>
      <w:lvlJc w:val="left"/>
      <w:pPr>
        <w:ind w:left="-60"/>
      </w:pPr>
    </w:lvl>
  </w:abstractNum>
  <w:num w:numId="1">
    <w:abstractNumId w:val="0"/>
  </w:num>
  <w:num w:numId="2">
    <w:abstractNumId w:val="4"/>
  </w:num>
  <w:num w:numId="3">
    <w:abstractNumId w:val="5"/>
  </w:num>
  <w:num w:numId="4">
    <w:abstractNumId w:val="7"/>
  </w:num>
  <w:num w:numId="5">
    <w:abstractNumId w:val="6"/>
  </w:num>
  <w:num w:numId="6">
    <w:abstractNumId w:val="2"/>
  </w:num>
  <w:num w:numId="7">
    <w:abstractNumId w:val="9"/>
  </w:num>
  <w:num w:numId="8">
    <w:abstractNumId w:val="8"/>
  </w:num>
  <w:num w:numId="9">
    <w:abstractNumId w:val="1"/>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2DD4911"/>
    <w:rsid w:val="042C2C6A"/>
    <w:rsid w:val="07A27995"/>
    <w:rsid w:val="0C156CA3"/>
    <w:rsid w:val="0E2B10A9"/>
    <w:rsid w:val="1B3C4445"/>
    <w:rsid w:val="1CBB1594"/>
    <w:rsid w:val="1DD317B8"/>
    <w:rsid w:val="1E4962CE"/>
    <w:rsid w:val="1EE6252C"/>
    <w:rsid w:val="2229408A"/>
    <w:rsid w:val="23E57044"/>
    <w:rsid w:val="29741388"/>
    <w:rsid w:val="2ADE6A73"/>
    <w:rsid w:val="2BDF7453"/>
    <w:rsid w:val="2C064C1E"/>
    <w:rsid w:val="328B2288"/>
    <w:rsid w:val="351B5B10"/>
    <w:rsid w:val="363F68E7"/>
    <w:rsid w:val="36F75539"/>
    <w:rsid w:val="396B620A"/>
    <w:rsid w:val="397574D6"/>
    <w:rsid w:val="3B5F2CC0"/>
    <w:rsid w:val="3B8D75E1"/>
    <w:rsid w:val="3C4964C2"/>
    <w:rsid w:val="3D5D42F7"/>
    <w:rsid w:val="3D7E4F21"/>
    <w:rsid w:val="3F136655"/>
    <w:rsid w:val="40886CF7"/>
    <w:rsid w:val="416E7E42"/>
    <w:rsid w:val="42414BCC"/>
    <w:rsid w:val="457D2A73"/>
    <w:rsid w:val="459364ED"/>
    <w:rsid w:val="472144F6"/>
    <w:rsid w:val="473E02B7"/>
    <w:rsid w:val="4792415F"/>
    <w:rsid w:val="48CC544E"/>
    <w:rsid w:val="4BC901AD"/>
    <w:rsid w:val="4CC6646E"/>
    <w:rsid w:val="4D535CBC"/>
    <w:rsid w:val="4E7D2F52"/>
    <w:rsid w:val="4FBA4253"/>
    <w:rsid w:val="4FDE2637"/>
    <w:rsid w:val="54B733FE"/>
    <w:rsid w:val="556F1F83"/>
    <w:rsid w:val="57D826E3"/>
    <w:rsid w:val="5AA723A1"/>
    <w:rsid w:val="5B9A6563"/>
    <w:rsid w:val="5F8050D0"/>
    <w:rsid w:val="5F96102C"/>
    <w:rsid w:val="60922DEF"/>
    <w:rsid w:val="60C90AB7"/>
    <w:rsid w:val="6445431B"/>
    <w:rsid w:val="67563A14"/>
    <w:rsid w:val="69392234"/>
    <w:rsid w:val="6CA37A18"/>
    <w:rsid w:val="6F1F06C4"/>
    <w:rsid w:val="6F910A02"/>
    <w:rsid w:val="6FA84E0E"/>
    <w:rsid w:val="703F6C4A"/>
    <w:rsid w:val="708143F0"/>
    <w:rsid w:val="71BC60A2"/>
    <w:rsid w:val="75E07B51"/>
    <w:rsid w:val="76414BBF"/>
    <w:rsid w:val="780A179C"/>
    <w:rsid w:val="78642098"/>
    <w:rsid w:val="788D2A5A"/>
    <w:rsid w:val="7AC21E58"/>
    <w:rsid w:val="7C767F23"/>
    <w:rsid w:val="7F1C1F84"/>
    <w:rsid w:val="7FF60C65"/>
  </w:rsids>
  <w:docVars>
    <w:docVar w:name="commondata" w:val="eyJoZGlkIjoiMGZlMmUyOTAyZTUxMDM2MzM0Zjk3NThjNWViMjdmN2Q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qFormat="1"/>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qFormat="1"/>
    <w:lsdException w:name="footnote text" w:semiHidden="0" w:uiPriority="0" w:unhideWhenUsed="0"/>
    <w:lsdException w:name="annotation text" w:semiHidden="0" w:uiPriority="0" w:unhideWhenUsed="0" w:qFormat="1"/>
    <w:lsdException w:name="header" w:semiHidden="0" w:uiPriority="0" w:unhideWhenUsed="0" w:qFormat="1"/>
    <w:lsdException w:name="footer" w:semiHidden="0" w:uiPriority="0" w:unhideWhenUsed="0" w:qFormat="1"/>
    <w:lsdException w:name="index heading" w:semiHidden="0" w:uiPriority="0" w:unhideWhenUsed="0"/>
    <w:lsdException w:name="caption" w:semiHidden="0" w:uiPriority="0" w:unhideWhenUsed="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qFormat="1"/>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uiPriority="0" w:unhideWhenUsed="0" w:qFormat="1"/>
    <w:lsdException w:name="List" w:semiHidden="0" w:unhideWhenUsed="0" w:qFormat="1"/>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qFormat="1"/>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qFormat="1"/>
    <w:lsdException w:name="Body Text Indent" w:semiHidden="0" w:uiPriority="0" w:unhideWhenUsed="0" w:qFormat="1"/>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qFormat="1"/>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qFormat="1"/>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qFormat="1"/>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next w:val="Default"/>
    <w:autoRedefine/>
    <w:qFormat/>
    <w:pPr>
      <w:widowControl w:val="0"/>
      <w:jc w:val="both"/>
    </w:pPr>
    <w:rPr>
      <w:rFonts w:ascii="Times New Roman" w:eastAsia="宋体" w:hAnsi="Times New Roman" w:cs="Times New Roman"/>
      <w:kern w:val="2"/>
      <w:sz w:val="21"/>
      <w:szCs w:val="24"/>
      <w:lang w:val="en-US" w:eastAsia="zh-CN" w:bidi="ar-SA"/>
    </w:rPr>
  </w:style>
  <w:style w:type="paragraph" w:styleId="Heading1">
    <w:name w:val="heading 1"/>
    <w:basedOn w:val="Normal"/>
    <w:next w:val="Normal"/>
    <w:qFormat/>
    <w:pPr>
      <w:spacing w:before="0" w:beforeAutospacing="1" w:after="0" w:afterAutospacing="1"/>
      <w:jc w:val="left"/>
      <w:outlineLvl w:val="0"/>
    </w:pPr>
    <w:rPr>
      <w:rFonts w:ascii="宋体" w:eastAsia="宋体" w:hAnsi="宋体" w:cs="宋体" w:hint="eastAsia"/>
      <w:b/>
      <w:bCs/>
      <w:kern w:val="44"/>
      <w:sz w:val="48"/>
      <w:szCs w:val="48"/>
      <w:lang w:val="en-US" w:eastAsia="zh-CN" w:bidi="ar"/>
    </w:rPr>
  </w:style>
  <w:style w:type="paragraph" w:styleId="Heading4">
    <w:name w:val="heading 4"/>
    <w:basedOn w:val="Normal"/>
    <w:next w:val="Normal"/>
    <w:autoRedefine/>
    <w:qFormat/>
    <w:pPr>
      <w:keepNext/>
      <w:keepLines/>
      <w:spacing w:before="280" w:after="290" w:line="376" w:lineRule="auto"/>
      <w:outlineLvl w:val="3"/>
    </w:pPr>
    <w:rPr>
      <w:rFonts w:ascii="Arial" w:eastAsia="黑体" w:hAnsi="Arial"/>
      <w:b/>
      <w:bCs/>
      <w:sz w:val="28"/>
      <w:szCs w:val="28"/>
    </w:rPr>
  </w:style>
  <w:style w:type="paragraph" w:styleId="Heading7">
    <w:name w:val="heading 7"/>
    <w:basedOn w:val="Normal"/>
    <w:next w:val="Normal"/>
    <w:link w:val="7Char"/>
    <w:autoRedefine/>
    <w:semiHidden/>
    <w:unhideWhenUsed/>
    <w:qFormat/>
    <w:pPr>
      <w:keepNext/>
      <w:keepLines/>
      <w:spacing w:before="120" w:beforeLines="0" w:beforeAutospacing="0" w:afterLines="0" w:afterAutospacing="0" w:line="240" w:lineRule="auto"/>
      <w:outlineLvl w:val="6"/>
    </w:pPr>
    <w:rPr>
      <w:rFonts w:ascii="Times New Roman" w:eastAsia="宋体" w:hAnsi="Times New Roman" w:cs="宋体"/>
      <w:b/>
      <w:sz w:val="24"/>
      <w:szCs w:val="22"/>
      <w:lang w:val="zh-CN" w:bidi="zh-CN"/>
    </w:rPr>
  </w:style>
  <w:style w:type="paragraph" w:styleId="Heading9">
    <w:name w:val="heading 9"/>
    <w:basedOn w:val="Normal"/>
    <w:next w:val="Normal"/>
    <w:autoRedefine/>
    <w:semiHidden/>
    <w:unhideWhenUsed/>
    <w:qFormat/>
    <w:pPr>
      <w:keepNext/>
      <w:keepLines/>
      <w:spacing w:before="240" w:beforeLines="0" w:beforeAutospacing="0" w:after="64" w:afterLines="0" w:afterAutospacing="0" w:line="317" w:lineRule="auto"/>
      <w:outlineLvl w:val="8"/>
    </w:pPr>
    <w:rPr>
      <w:rFonts w:ascii="Arial" w:eastAsia="黑体" w:hAnsi="Arial"/>
      <w:sz w:val="21"/>
    </w:rPr>
  </w:style>
  <w:style w:type="character" w:default="1" w:styleId="DefaultParagraphFont">
    <w:name w:val="Default Paragraph Font"/>
    <w:autoRedefine/>
    <w:semiHidden/>
    <w:qFormat/>
  </w:style>
  <w:style w:type="table" w:default="1" w:styleId="TableNormal">
    <w:name w:val="Normal Table"/>
    <w:autoRedefine/>
    <w:semiHidden/>
    <w:qFormat/>
    <w:tblPr>
      <w:tblCellMar>
        <w:top w:w="0" w:type="dxa"/>
        <w:left w:w="108" w:type="dxa"/>
        <w:bottom w:w="0" w:type="dxa"/>
        <w:right w:w="108" w:type="dxa"/>
      </w:tblCellMar>
    </w:tblPr>
  </w:style>
  <w:style w:type="paragraph" w:customStyle="1" w:styleId="Default">
    <w:name w:val="Default"/>
    <w:autoRedefine/>
    <w:qFormat/>
    <w:pPr>
      <w:widowControl w:val="0"/>
      <w:autoSpaceDE w:val="0"/>
      <w:autoSpaceDN w:val="0"/>
      <w:adjustRightInd w:val="0"/>
    </w:pPr>
    <w:rPr>
      <w:rFonts w:ascii="宋体" w:eastAsia="宋体" w:hAnsi="Times New Roman" w:cs="宋体"/>
      <w:color w:val="000000"/>
      <w:sz w:val="24"/>
      <w:szCs w:val="24"/>
      <w:lang w:val="en-US" w:eastAsia="zh-CN" w:bidi="ar-SA"/>
    </w:rPr>
  </w:style>
  <w:style w:type="paragraph" w:styleId="NormalIndent">
    <w:name w:val="Normal Indent"/>
    <w:basedOn w:val="Normal"/>
    <w:next w:val="Heading4"/>
    <w:autoRedefine/>
    <w:qFormat/>
    <w:pPr>
      <w:ind w:firstLine="420" w:firstLineChars="200"/>
    </w:pPr>
  </w:style>
  <w:style w:type="paragraph" w:styleId="Caption">
    <w:name w:val="caption"/>
    <w:basedOn w:val="Normal"/>
    <w:next w:val="Normal"/>
    <w:autoRedefine/>
    <w:qFormat/>
    <w:rPr>
      <w:rFonts w:ascii="Arial" w:eastAsia="黑体" w:hAnsi="Arial"/>
      <w:sz w:val="20"/>
    </w:rPr>
  </w:style>
  <w:style w:type="paragraph" w:styleId="TOAHeading">
    <w:name w:val="toa heading"/>
    <w:basedOn w:val="Normal"/>
    <w:next w:val="Normal"/>
    <w:autoRedefine/>
    <w:semiHidden/>
    <w:qFormat/>
    <w:pPr>
      <w:spacing w:before="120"/>
    </w:pPr>
    <w:rPr>
      <w:rFonts w:ascii="Arial" w:hAnsi="宋体" w:cs="宋体"/>
    </w:rPr>
  </w:style>
  <w:style w:type="paragraph" w:styleId="CommentText">
    <w:name w:val="annotation text"/>
    <w:basedOn w:val="Normal"/>
    <w:qFormat/>
    <w:pPr>
      <w:jc w:val="left"/>
    </w:pPr>
    <w:rPr>
      <w:kern w:val="0"/>
      <w:sz w:val="24"/>
      <w:szCs w:val="20"/>
    </w:rPr>
  </w:style>
  <w:style w:type="paragraph" w:styleId="BodyText">
    <w:name w:val="Body Text"/>
    <w:basedOn w:val="Normal"/>
    <w:next w:val="ListBullet5"/>
    <w:autoRedefine/>
    <w:qFormat/>
    <w:pPr>
      <w:widowControl/>
      <w:snapToGrid w:val="0"/>
      <w:spacing w:before="60" w:after="160" w:line="259" w:lineRule="auto"/>
      <w:ind w:right="113"/>
    </w:pPr>
    <w:rPr>
      <w:kern w:val="0"/>
      <w:sz w:val="18"/>
      <w:szCs w:val="20"/>
    </w:rPr>
  </w:style>
  <w:style w:type="paragraph" w:styleId="ListBullet5">
    <w:name w:val="List Bullet 5"/>
    <w:basedOn w:val="Normal"/>
    <w:qFormat/>
    <w:pPr>
      <w:numPr>
        <w:ilvl w:val="0"/>
        <w:numId w:val="1"/>
      </w:numPr>
    </w:pPr>
  </w:style>
  <w:style w:type="paragraph" w:styleId="BodyTextIndent">
    <w:name w:val="Body Text Indent"/>
    <w:basedOn w:val="Normal"/>
    <w:next w:val="BodyTextIndent2"/>
    <w:autoRedefine/>
    <w:qFormat/>
    <w:pPr>
      <w:spacing w:after="120" w:afterLines="0" w:afterAutospacing="0"/>
      <w:ind w:left="420" w:leftChars="200"/>
    </w:pPr>
  </w:style>
  <w:style w:type="paragraph" w:styleId="BodyTextIndent2">
    <w:name w:val="Body Text Indent 2"/>
    <w:basedOn w:val="Normal"/>
    <w:next w:val="TOAHeading"/>
    <w:autoRedefine/>
    <w:qFormat/>
    <w:pPr>
      <w:spacing w:line="500" w:lineRule="exact"/>
      <w:ind w:firstLine="454"/>
    </w:pPr>
    <w:rPr>
      <w:bCs/>
      <w:sz w:val="24"/>
    </w:rPr>
  </w:style>
  <w:style w:type="paragraph" w:styleId="Footer">
    <w:name w:val="footer"/>
    <w:basedOn w:val="Normal"/>
    <w:autoRedefine/>
    <w:qFormat/>
    <w:pPr>
      <w:tabs>
        <w:tab w:val="center" w:pos="4153"/>
        <w:tab w:val="right" w:pos="8306"/>
      </w:tabs>
      <w:snapToGrid w:val="0"/>
      <w:jc w:val="left"/>
    </w:pPr>
    <w:rPr>
      <w:sz w:val="18"/>
      <w:szCs w:val="18"/>
    </w:rPr>
  </w:style>
  <w:style w:type="paragraph" w:styleId="Header">
    <w:name w:val="header"/>
    <w:basedOn w:val="Normal"/>
    <w:autoRedefine/>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paragraph" w:styleId="List">
    <w:name w:val="List"/>
    <w:basedOn w:val="Normal"/>
    <w:autoRedefine/>
    <w:uiPriority w:val="99"/>
    <w:qFormat/>
    <w:pPr>
      <w:ind w:left="200" w:hanging="200" w:hangingChars="200"/>
    </w:pPr>
    <w:rPr>
      <w:rFonts w:ascii="Calibri" w:hAnsi="Calibri" w:cs="Calibri"/>
    </w:rPr>
  </w:style>
  <w:style w:type="paragraph" w:styleId="TOC2">
    <w:name w:val="toc 2"/>
    <w:basedOn w:val="Normal"/>
    <w:next w:val="Normal"/>
    <w:autoRedefine/>
    <w:qFormat/>
    <w:pPr>
      <w:ind w:left="420" w:leftChars="200"/>
    </w:pPr>
  </w:style>
  <w:style w:type="paragraph" w:styleId="NormalWeb">
    <w:name w:val="Normal (Web)"/>
    <w:basedOn w:val="Normal"/>
    <w:autoRedefine/>
    <w:qFormat/>
    <w:pPr>
      <w:widowControl/>
      <w:spacing w:before="100" w:beforeAutospacing="1" w:after="100" w:afterAutospacing="1"/>
      <w:jc w:val="left"/>
    </w:pPr>
    <w:rPr>
      <w:rFonts w:ascii="宋体" w:hAnsi="宋体"/>
      <w:kern w:val="0"/>
      <w:sz w:val="24"/>
      <w:szCs w:val="20"/>
    </w:rPr>
  </w:style>
  <w:style w:type="paragraph" w:styleId="BodyTextFirstIndent2">
    <w:name w:val="Body Text First Indent 2"/>
    <w:basedOn w:val="BodyTextIndent"/>
    <w:next w:val="Normal"/>
    <w:autoRedefine/>
    <w:qFormat/>
    <w:pPr>
      <w:ind w:firstLine="420" w:firstLineChars="200"/>
    </w:pPr>
  </w:style>
  <w:style w:type="table" w:styleId="TableGrid">
    <w:name w:val="Table Grid"/>
    <w:basedOn w:val="TableNormal"/>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qFormat/>
    <w:rPr>
      <w:sz w:val="21"/>
    </w:rPr>
  </w:style>
  <w:style w:type="paragraph" w:customStyle="1" w:styleId="a">
    <w:name w:val="表格文字"/>
    <w:basedOn w:val="Normal"/>
    <w:autoRedefine/>
    <w:qFormat/>
    <w:pPr>
      <w:spacing w:line="360" w:lineRule="auto"/>
      <w:ind w:left="0" w:right="0" w:firstLine="0" w:leftChars="0" w:rightChars="0" w:firstLineChars="0"/>
      <w:jc w:val="center"/>
    </w:pPr>
    <w:rPr>
      <w:rFonts w:ascii="宋体" w:eastAsia="宋体" w:hAnsi="宋体" w:cs="宋体"/>
      <w:sz w:val="21"/>
      <w:szCs w:val="22"/>
      <w:lang w:val="zh-CN" w:bidi="zh-CN"/>
    </w:rPr>
  </w:style>
  <w:style w:type="paragraph" w:customStyle="1" w:styleId="a0">
    <w:name w:val="表头"/>
    <w:basedOn w:val="Normal"/>
    <w:link w:val="a1"/>
    <w:autoRedefine/>
    <w:qFormat/>
    <w:pPr>
      <w:adjustRightInd w:val="0"/>
      <w:snapToGrid w:val="0"/>
      <w:spacing w:line="360" w:lineRule="auto"/>
      <w:ind w:firstLine="480" w:firstLineChars="200"/>
      <w:jc w:val="center"/>
    </w:pPr>
    <w:rPr>
      <w:rFonts w:ascii="Times New Roman" w:eastAsia="宋体" w:hAnsi="Times New Roman"/>
      <w:b/>
      <w:sz w:val="21"/>
      <w:szCs w:val="22"/>
    </w:rPr>
  </w:style>
  <w:style w:type="character" w:customStyle="1" w:styleId="7Char">
    <w:name w:val="标题 7 Char"/>
    <w:link w:val="Heading7"/>
    <w:autoRedefine/>
    <w:qFormat/>
    <w:rPr>
      <w:rFonts w:ascii="Times New Roman" w:eastAsia="宋体" w:hAnsi="Times New Roman" w:cs="宋体"/>
      <w:b/>
      <w:sz w:val="24"/>
      <w:szCs w:val="22"/>
      <w:lang w:val="zh-CN" w:bidi="zh-CN"/>
    </w:rPr>
  </w:style>
  <w:style w:type="character" w:customStyle="1" w:styleId="a1">
    <w:name w:val="表头 字符"/>
    <w:link w:val="a0"/>
    <w:autoRedefine/>
    <w:qFormat/>
    <w:rPr>
      <w:rFonts w:ascii="Times New Roman" w:eastAsia="宋体" w:hAnsi="Times New Roman"/>
      <w:b/>
      <w:kern w:val="2"/>
      <w:sz w:val="21"/>
      <w:szCs w:val="22"/>
    </w:rPr>
  </w:style>
  <w:style w:type="paragraph" w:customStyle="1" w:styleId="00005">
    <w:name w:val="00005报告正文"/>
    <w:basedOn w:val="Normal"/>
    <w:link w:val="00005Char1"/>
    <w:autoRedefine/>
    <w:qFormat/>
    <w:pPr>
      <w:adjustRightInd w:val="0"/>
      <w:snapToGrid w:val="0"/>
      <w:spacing w:line="360" w:lineRule="auto"/>
      <w:ind w:firstLine="200" w:firstLineChars="200"/>
      <w:jc w:val="both"/>
    </w:pPr>
    <w:rPr>
      <w:rFonts w:ascii="Times New Roman" w:eastAsia="宋体" w:hAnsi="Times New Roman"/>
      <w:sz w:val="24"/>
      <w:szCs w:val="24"/>
    </w:rPr>
  </w:style>
  <w:style w:type="character" w:customStyle="1" w:styleId="00005Char">
    <w:name w:val="00005报告正文 Char"/>
    <w:link w:val="00005"/>
    <w:autoRedefine/>
    <w:qFormat/>
    <w:rPr>
      <w:rFonts w:ascii="Times New Roman" w:eastAsia="宋体" w:hAnsi="Times New Roman"/>
      <w:sz w:val="24"/>
      <w:szCs w:val="24"/>
    </w:rPr>
  </w:style>
  <w:style w:type="paragraph" w:customStyle="1" w:styleId="0000">
    <w:name w:val="0000正文"/>
    <w:basedOn w:val="Normal"/>
    <w:link w:val="0000Char1"/>
    <w:autoRedefine/>
    <w:qFormat/>
    <w:pPr>
      <w:ind w:firstLine="200" w:firstLineChars="200"/>
      <w:jc w:val="both"/>
    </w:pPr>
    <w:rPr>
      <w:rFonts w:ascii="Times New Roman" w:eastAsia="宋体" w:hAnsi="Times New Roman"/>
      <w:sz w:val="24"/>
      <w:szCs w:val="24"/>
    </w:rPr>
  </w:style>
  <w:style w:type="character" w:customStyle="1" w:styleId="0000Char">
    <w:name w:val="0000正文 Char"/>
    <w:link w:val="0000"/>
    <w:autoRedefine/>
    <w:qFormat/>
    <w:rPr>
      <w:rFonts w:ascii="Times New Roman" w:eastAsia="宋体" w:hAnsi="Times New Roman"/>
      <w:sz w:val="24"/>
      <w:szCs w:val="24"/>
    </w:rPr>
  </w:style>
  <w:style w:type="paragraph" w:customStyle="1" w:styleId="0715">
    <w:name w:val="07报告正文1.5行距"/>
    <w:basedOn w:val="Normal"/>
    <w:link w:val="0715Char"/>
    <w:autoRedefine/>
    <w:qFormat/>
    <w:pPr>
      <w:spacing w:before="120" w:after="120" w:line="360" w:lineRule="auto"/>
      <w:ind w:firstLine="200" w:firstLineChars="200"/>
    </w:pPr>
    <w:rPr>
      <w:rFonts w:ascii="Times New Roman" w:eastAsia="宋体" w:hAnsi="Times New Roman"/>
      <w:sz w:val="24"/>
      <w:szCs w:val="24"/>
    </w:rPr>
  </w:style>
  <w:style w:type="paragraph" w:customStyle="1" w:styleId="a2">
    <w:name w:val="环评表头"/>
    <w:basedOn w:val="NormalIndent"/>
    <w:link w:val="Char"/>
    <w:autoRedefine/>
    <w:qFormat/>
    <w:pPr>
      <w:adjustRightInd w:val="0"/>
      <w:spacing w:before="50" w:beforeLines="50" w:line="240" w:lineRule="auto"/>
      <w:ind w:firstLine="0" w:firstLineChars="0"/>
      <w:jc w:val="center"/>
      <w:textAlignment w:val="baseline"/>
    </w:pPr>
    <w:rPr>
      <w:rFonts w:ascii="Times New Roman" w:eastAsia="宋体" w:hAnsi="Times New Roman"/>
      <w:b/>
      <w:szCs w:val="21"/>
    </w:rPr>
  </w:style>
  <w:style w:type="character" w:customStyle="1" w:styleId="Char">
    <w:name w:val="环评表头 Char"/>
    <w:link w:val="a2"/>
    <w:autoRedefine/>
    <w:qFormat/>
    <w:rPr>
      <w:rFonts w:ascii="Times New Roman" w:eastAsia="宋体" w:hAnsi="Times New Roman"/>
      <w:b/>
      <w:szCs w:val="21"/>
    </w:rPr>
  </w:style>
  <w:style w:type="paragraph" w:customStyle="1" w:styleId="1123">
    <w:name w:val="样式1123"/>
    <w:basedOn w:val="Normal"/>
    <w:autoRedefine/>
    <w:qFormat/>
    <w:pPr>
      <w:widowControl/>
      <w:snapToGrid w:val="0"/>
      <w:spacing w:line="324" w:lineRule="auto"/>
      <w:ind w:firstLine="420" w:firstLineChars="200"/>
    </w:pPr>
    <w:rPr>
      <w:rFonts w:ascii="Times New Roman" w:eastAsia="宋体" w:hAnsi="Times New Roman" w:cs="Times New Roman"/>
      <w:kern w:val="0"/>
      <w:szCs w:val="21"/>
    </w:rPr>
  </w:style>
  <w:style w:type="character" w:customStyle="1" w:styleId="0715Char">
    <w:name w:val="07报告正文1.5行距 Char"/>
    <w:link w:val="0715"/>
    <w:autoRedefine/>
    <w:qFormat/>
    <w:rPr>
      <w:rFonts w:ascii="Times New Roman" w:eastAsia="宋体" w:hAnsi="Times New Roman"/>
      <w:kern w:val="2"/>
      <w:sz w:val="24"/>
      <w:szCs w:val="24"/>
      <w:lang w:val="en-US" w:eastAsia="zh-CN" w:bidi="ar-SA"/>
    </w:rPr>
  </w:style>
  <w:style w:type="paragraph" w:customStyle="1" w:styleId="R-">
    <w:name w:val="R-表格文字"/>
    <w:basedOn w:val="TableText"/>
    <w:next w:val="Normal"/>
    <w:autoRedefine/>
    <w:uiPriority w:val="99"/>
    <w:qFormat/>
    <w:pPr>
      <w:spacing w:line="240" w:lineRule="auto"/>
      <w:ind w:firstLine="0"/>
      <w:jc w:val="center"/>
    </w:pPr>
    <w:rPr>
      <w:rFonts w:ascii="Times New Roman" w:eastAsia="宋体" w:hAnsi="Times New Roman" w:cs="Times New Roman"/>
      <w:color w:val="000000"/>
      <w:sz w:val="21"/>
      <w:szCs w:val="24"/>
    </w:rPr>
  </w:style>
  <w:style w:type="paragraph" w:customStyle="1" w:styleId="TableText">
    <w:name w:val="Table Text"/>
    <w:basedOn w:val="Normal"/>
    <w:autoRedefine/>
    <w:semiHidden/>
    <w:qFormat/>
    <w:rPr>
      <w:rFonts w:ascii="宋体" w:eastAsia="宋体" w:hAnsi="宋体" w:cs="宋体"/>
      <w:sz w:val="24"/>
      <w:szCs w:val="24"/>
      <w:lang w:val="en-US" w:eastAsia="en-US" w:bidi="ar-SA"/>
    </w:rPr>
  </w:style>
  <w:style w:type="paragraph" w:customStyle="1" w:styleId="153222">
    <w:name w:val="样式 样式 样式 四号 左侧:  1.53 厘米 + 首行缩进:  2 字符 + 居中 左侧:  2 字符 首行缩进:  2..."/>
    <w:basedOn w:val="1532"/>
    <w:autoRedefine/>
    <w:qFormat/>
    <w:pPr>
      <w:ind w:firstLine="0" w:firstLineChars="0"/>
      <w:jc w:val="center"/>
    </w:pPr>
  </w:style>
  <w:style w:type="paragraph" w:customStyle="1" w:styleId="1532">
    <w:name w:val="样式 样式 四号 左侧:  1.53 厘米 + 首行缩进:  2 字符"/>
    <w:basedOn w:val="153"/>
    <w:autoRedefine/>
    <w:qFormat/>
    <w:pPr>
      <w:ind w:left="200" w:leftChars="200"/>
    </w:pPr>
    <w:rPr>
      <w:szCs w:val="20"/>
    </w:rPr>
  </w:style>
  <w:style w:type="paragraph" w:customStyle="1" w:styleId="153">
    <w:name w:val="样式 四号 左侧:  1.53 厘米"/>
    <w:basedOn w:val="Normal"/>
    <w:autoRedefine/>
    <w:qFormat/>
    <w:pPr>
      <w:adjustRightInd w:val="0"/>
    </w:pPr>
    <w:rPr>
      <w:w w:val="90"/>
      <w:sz w:val="28"/>
      <w:szCs w:val="28"/>
    </w:rPr>
  </w:style>
  <w:style w:type="paragraph" w:customStyle="1" w:styleId="lh--">
    <w:name w:val="lh-正文-报告表"/>
    <w:basedOn w:val="Normal"/>
    <w:autoRedefine/>
    <w:qFormat/>
    <w:pPr>
      <w:spacing w:line="360" w:lineRule="auto"/>
      <w:ind w:firstLine="480" w:firstLineChars="200"/>
    </w:pPr>
    <w:rPr>
      <w:kern w:val="0"/>
      <w:sz w:val="24"/>
      <w:szCs w:val="21"/>
    </w:rPr>
  </w:style>
  <w:style w:type="paragraph" w:customStyle="1" w:styleId="a3">
    <w:name w:val="书表格内"/>
    <w:basedOn w:val="Normal"/>
    <w:autoRedefine/>
    <w:qFormat/>
    <w:pPr>
      <w:adjustRightInd w:val="0"/>
      <w:snapToGrid w:val="0"/>
      <w:spacing w:line="0" w:lineRule="atLeast"/>
      <w:jc w:val="center"/>
    </w:pPr>
    <w:rPr>
      <w:rFonts w:ascii="Times New Roman"/>
      <w:sz w:val="21"/>
      <w:szCs w:val="21"/>
    </w:rPr>
  </w:style>
  <w:style w:type="table" w:customStyle="1" w:styleId="TableNormal0">
    <w:name w:val="Table Normal_0"/>
    <w:autoRedefine/>
    <w:semiHidden/>
    <w:unhideWhenUsed/>
    <w:qFormat/>
    <w:tblPr>
      <w:tblCellMar>
        <w:top w:w="0" w:type="dxa"/>
        <w:left w:w="0" w:type="dxa"/>
        <w:bottom w:w="0" w:type="dxa"/>
        <w:right w:w="0" w:type="dxa"/>
      </w:tblCellMar>
    </w:tblPr>
  </w:style>
  <w:style w:type="paragraph" w:customStyle="1" w:styleId="lh-1--">
    <w:name w:val="lh-1级标题--报告表"/>
    <w:next w:val="Normal"/>
    <w:autoRedefine/>
    <w:qFormat/>
    <w:pPr>
      <w:keepNext/>
      <w:pageBreakBefore/>
      <w:numPr>
        <w:ilvl w:val="0"/>
        <w:numId w:val="2"/>
      </w:numPr>
      <w:spacing w:line="360" w:lineRule="auto"/>
      <w:outlineLvl w:val="0"/>
    </w:pPr>
    <w:rPr>
      <w:rFonts w:ascii="Times New Roman" w:eastAsia="黑体" w:hAnsi="Times New Roman" w:cs="Times New Roman"/>
      <w:bCs/>
      <w:snapToGrid w:val="0"/>
      <w:sz w:val="24"/>
      <w:szCs w:val="44"/>
      <w:lang w:val="en-US" w:eastAsia="zh-CN" w:bidi="ar-SA"/>
    </w:rPr>
  </w:style>
  <w:style w:type="paragraph" w:customStyle="1" w:styleId="lh-2---">
    <w:name w:val="lh-2级标题---报告表"/>
    <w:next w:val="Normal"/>
    <w:autoRedefine/>
    <w:qFormat/>
    <w:pPr>
      <w:keepNext/>
      <w:numPr>
        <w:ilvl w:val="1"/>
        <w:numId w:val="2"/>
      </w:numPr>
      <w:spacing w:line="360" w:lineRule="auto"/>
      <w:outlineLvl w:val="1"/>
    </w:pPr>
    <w:rPr>
      <w:rFonts w:ascii="Times New Roman" w:eastAsia="黑体" w:hAnsi="Times New Roman" w:cs="Times New Roman"/>
      <w:bCs/>
      <w:sz w:val="24"/>
      <w:szCs w:val="32"/>
      <w:lang w:val="en-US" w:eastAsia="zh-CN" w:bidi="ar-SA"/>
    </w:rPr>
  </w:style>
  <w:style w:type="paragraph" w:customStyle="1" w:styleId="033">
    <w:name w:val="03节标题3级"/>
    <w:basedOn w:val="Normal"/>
    <w:next w:val="0715"/>
    <w:autoRedefine/>
    <w:qFormat/>
    <w:pPr>
      <w:spacing w:line="360" w:lineRule="auto"/>
      <w:ind w:firstLine="200" w:firstLineChars="200"/>
      <w:jc w:val="left"/>
      <w:outlineLvl w:val="2"/>
    </w:pPr>
    <w:rPr>
      <w:b/>
      <w:sz w:val="24"/>
      <w:szCs w:val="30"/>
    </w:rPr>
  </w:style>
  <w:style w:type="paragraph" w:customStyle="1" w:styleId="00000-">
    <w:name w:val="00000-标注"/>
    <w:basedOn w:val="09"/>
    <w:autoRedefine/>
    <w:qFormat/>
    <w:pPr>
      <w:spacing w:line="240" w:lineRule="auto"/>
    </w:pPr>
  </w:style>
  <w:style w:type="paragraph" w:customStyle="1" w:styleId="09">
    <w:name w:val="09图表标题五号"/>
    <w:basedOn w:val="Normal"/>
    <w:next w:val="0715"/>
    <w:autoRedefine/>
    <w:qFormat/>
    <w:pPr>
      <w:spacing w:line="360" w:lineRule="auto"/>
      <w:jc w:val="center"/>
      <w:outlineLvl w:val="6"/>
    </w:pPr>
    <w:rPr>
      <w:b/>
      <w:szCs w:val="21"/>
    </w:rPr>
  </w:style>
  <w:style w:type="paragraph" w:customStyle="1" w:styleId="00">
    <w:name w:val="00表格文字单行距"/>
    <w:autoRedefine/>
    <w:qFormat/>
    <w:pPr>
      <w:jc w:val="center"/>
    </w:pPr>
    <w:rPr>
      <w:rFonts w:ascii="Times New Roman" w:eastAsia="宋体" w:hAnsi="Times New Roman" w:cs="Times New Roman"/>
      <w:kern w:val="2"/>
      <w:sz w:val="21"/>
      <w:szCs w:val="24"/>
      <w:lang w:val="en-US" w:eastAsia="zh-CN" w:bidi="ar-SA"/>
    </w:rPr>
  </w:style>
  <w:style w:type="paragraph" w:customStyle="1" w:styleId="a4">
    <w:name w:val="表内字体"/>
    <w:basedOn w:val="Normal"/>
    <w:autoRedefine/>
    <w:qFormat/>
    <w:pPr>
      <w:jc w:val="center"/>
    </w:pPr>
  </w:style>
  <w:style w:type="paragraph" w:customStyle="1" w:styleId="a5">
    <w:name w:val="图表标题"/>
    <w:basedOn w:val="Normal"/>
    <w:next w:val="Normal"/>
    <w:autoRedefine/>
    <w:qFormat/>
    <w:pPr>
      <w:ind w:firstLine="0" w:firstLineChars="0"/>
      <w:jc w:val="center"/>
      <w:outlineLvl w:val="4"/>
    </w:pPr>
    <w:rPr>
      <w:rFonts w:cs="Times New Roman"/>
      <w:b/>
    </w:rPr>
  </w:style>
  <w:style w:type="paragraph" w:customStyle="1" w:styleId="a6">
    <w:name w:val="小罗文本"/>
    <w:basedOn w:val="Normal"/>
    <w:autoRedefine/>
    <w:uiPriority w:val="99"/>
    <w:qFormat/>
    <w:pPr>
      <w:spacing w:line="500" w:lineRule="exact"/>
      <w:ind w:firstLine="200" w:firstLineChars="200"/>
    </w:pPr>
    <w:rPr>
      <w:rFonts w:ascii="宋体" w:cs="宋体"/>
      <w:sz w:val="24"/>
      <w:szCs w:val="24"/>
    </w:rPr>
  </w:style>
  <w:style w:type="paragraph" w:customStyle="1" w:styleId="a7">
    <w:name w:val="我表格"/>
    <w:basedOn w:val="a8"/>
    <w:autoRedefine/>
    <w:qFormat/>
  </w:style>
  <w:style w:type="paragraph" w:customStyle="1" w:styleId="a8">
    <w:name w:val="表格"/>
    <w:basedOn w:val="Normal"/>
    <w:next w:val="Normal"/>
    <w:autoRedefine/>
    <w:qFormat/>
    <w:pPr>
      <w:adjustRightInd w:val="0"/>
      <w:snapToGrid w:val="0"/>
      <w:spacing w:beforeLines="10" w:afterLines="10" w:line="259" w:lineRule="auto"/>
      <w:jc w:val="center"/>
    </w:pPr>
    <w:rPr>
      <w:rFonts w:ascii="宋体"/>
      <w:kern w:val="0"/>
      <w:szCs w:val="20"/>
    </w:rPr>
  </w:style>
  <w:style w:type="paragraph" w:customStyle="1" w:styleId="lh---">
    <w:name w:val="lh-表题--报告表"/>
    <w:basedOn w:val="Normal"/>
    <w:autoRedefine/>
    <w:qFormat/>
    <w:pPr>
      <w:keepNext/>
      <w:widowControl/>
      <w:numPr>
        <w:ilvl w:val="0"/>
        <w:numId w:val="3"/>
      </w:numPr>
      <w:spacing w:before="156" w:beforeLines="50"/>
      <w:ind w:left="0" w:firstLine="0"/>
      <w:jc w:val="center"/>
    </w:pPr>
    <w:rPr>
      <w:snapToGrid w:val="0"/>
      <w:kern w:val="0"/>
      <w:sz w:val="24"/>
      <w:szCs w:val="21"/>
    </w:rPr>
  </w:style>
  <w:style w:type="paragraph" w:customStyle="1" w:styleId="a9">
    <w:name w:val="图表"/>
    <w:basedOn w:val="List"/>
    <w:autoRedefine/>
    <w:uiPriority w:val="99"/>
    <w:qFormat/>
    <w:pPr>
      <w:spacing w:line="360" w:lineRule="auto"/>
      <w:ind w:left="0" w:firstLine="0" w:firstLineChars="0"/>
      <w:jc w:val="center"/>
    </w:pPr>
    <w:rPr>
      <w:rFonts w:ascii="Times New Roman" w:hAnsi="Times New Roman" w:cs="Times New Roman"/>
      <w:b/>
      <w:bCs/>
      <w:sz w:val="24"/>
      <w:szCs w:val="24"/>
    </w:rPr>
  </w:style>
  <w:style w:type="paragraph" w:customStyle="1" w:styleId="000">
    <w:name w:val="00表格题注"/>
    <w:autoRedefine/>
    <w:qFormat/>
    <w:pPr>
      <w:adjustRightInd w:val="0"/>
      <w:snapToGrid w:val="0"/>
      <w:jc w:val="center"/>
    </w:pPr>
    <w:rPr>
      <w:rFonts w:ascii="Times New Roman" w:eastAsia="宋体" w:hAnsi="Times New Roman" w:cs="Times New Roman"/>
      <w:b/>
      <w:kern w:val="2"/>
      <w:sz w:val="21"/>
      <w:szCs w:val="24"/>
      <w:lang w:val="en-US" w:eastAsia="zh-CN" w:bidi="ar-SA"/>
    </w:rPr>
  </w:style>
  <w:style w:type="character" w:customStyle="1" w:styleId="0000Char1">
    <w:name w:val="0000正文 Char1"/>
    <w:link w:val="0000"/>
    <w:autoRedefine/>
    <w:qFormat/>
    <w:rPr>
      <w:sz w:val="24"/>
      <w:szCs w:val="24"/>
    </w:rPr>
  </w:style>
  <w:style w:type="character" w:customStyle="1" w:styleId="00005Char1">
    <w:name w:val="00005报告正文 Char1"/>
    <w:link w:val="00005"/>
    <w:autoRedefine/>
    <w:qFormat/>
    <w:rPr>
      <w:sz w:val="24"/>
      <w:szCs w:val="24"/>
    </w:rPr>
  </w:style>
  <w:style w:type="paragraph" w:customStyle="1" w:styleId="a10">
    <w:name w:val="表内"/>
    <w:next w:val="Normal"/>
    <w:autoRedefine/>
    <w:qFormat/>
    <w:pPr>
      <w:adjustRightInd w:val="0"/>
      <w:snapToGrid w:val="0"/>
      <w:jc w:val="center"/>
      <w:textAlignment w:val="center"/>
    </w:pPr>
    <w:rPr>
      <w:rFonts w:ascii="Times New Roman" w:eastAsia="宋体" w:hAnsi="Times New Roman" w:cs="Times New Roman"/>
      <w:kern w:val="2"/>
      <w:sz w:val="21"/>
      <w:szCs w:val="21"/>
      <w:lang w:val="en-US" w:eastAsia="zh-CN" w:bidi="ar-SA"/>
    </w:rPr>
  </w:style>
  <w:style w:type="paragraph" w:customStyle="1" w:styleId="a11">
    <w:name w:val="表中文字"/>
    <w:basedOn w:val="Normal"/>
    <w:autoRedefine/>
    <w:qFormat/>
    <w:pPr>
      <w:adjustRightInd w:val="0"/>
      <w:snapToGrid w:val="0"/>
      <w:spacing w:line="240" w:lineRule="atLeast"/>
      <w:ind w:firstLine="0" w:firstLineChars="0"/>
      <w:jc w:val="center"/>
    </w:pPr>
    <w:rPr>
      <w:rFonts w:eastAsia="宋体"/>
      <w:kern w:val="0"/>
      <w:sz w:val="21"/>
      <w:szCs w:val="24"/>
      <w:lang w:val="zh-CN"/>
    </w:rPr>
  </w:style>
  <w:style w:type="character" w:customStyle="1" w:styleId="font31">
    <w:name w:val="font31"/>
    <w:basedOn w:val="DefaultParagraphFont"/>
    <w:autoRedefine/>
    <w:qFormat/>
    <w:rPr>
      <w:rFonts w:ascii="宋体" w:eastAsia="宋体" w:hAnsi="宋体" w:cs="宋体"/>
      <w:color w:val="000000"/>
      <w:sz w:val="38"/>
      <w:szCs w:val="38"/>
      <w:u w:val="none"/>
    </w:rPr>
  </w:style>
  <w:style w:type="paragraph" w:customStyle="1" w:styleId="1">
    <w:name w:val="表头样式1"/>
    <w:basedOn w:val="Normal"/>
    <w:autoRedefine/>
    <w:qFormat/>
    <w:pPr>
      <w:tabs>
        <w:tab w:val="center" w:pos="4505"/>
      </w:tabs>
      <w:jc w:val="center"/>
    </w:pPr>
    <w:rPr>
      <w:b/>
      <w:szCs w:val="22"/>
    </w:rPr>
  </w:style>
  <w:style w:type="table" w:customStyle="1" w:styleId="2">
    <w:name w:val="网格型2"/>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2">
    <w:name w:val="表格格式"/>
    <w:basedOn w:val="Normal"/>
    <w:next w:val="Normal"/>
    <w:autoRedefine/>
    <w:qFormat/>
    <w:pPr>
      <w:pBdr>
        <w:top w:val="none" w:sz="0" w:space="1" w:color="auto"/>
        <w:left w:val="none" w:sz="0" w:space="4" w:color="auto"/>
        <w:bottom w:val="none" w:sz="0" w:space="1" w:color="auto"/>
        <w:right w:val="none" w:sz="0" w:space="4" w:color="auto"/>
      </w:pBdr>
      <w:adjustRightInd w:val="0"/>
      <w:snapToGrid w:val="0"/>
      <w:jc w:val="center"/>
    </w:pPr>
    <w:rPr>
      <w:snapToGrid w:val="0"/>
      <w:szCs w:val="21"/>
    </w:rPr>
  </w:style>
  <w:style w:type="paragraph" w:customStyle="1" w:styleId="a13">
    <w:name w:val="环评正文"/>
    <w:basedOn w:val="Normal"/>
    <w:autoRedefine/>
    <w:qFormat/>
    <w:pPr>
      <w:spacing w:line="360" w:lineRule="auto"/>
      <w:ind w:firstLine="200" w:firstLineChars="200"/>
    </w:pPr>
    <w:rPr>
      <w:sz w:val="24"/>
    </w:rPr>
  </w:style>
  <w:style w:type="paragraph" w:customStyle="1" w:styleId="a14">
    <w:name w:val="表格内容"/>
    <w:basedOn w:val="Normal"/>
    <w:autoRedefine/>
    <w:qFormat/>
    <w:pPr>
      <w:jc w:val="center"/>
    </w:pPr>
    <w:rPr>
      <w:bCs/>
      <w:szCs w:val="21"/>
    </w:rPr>
  </w:style>
  <w:style w:type="paragraph" w:customStyle="1" w:styleId="lh--0">
    <w:name w:val="lh-表格文字-报告表"/>
    <w:autoRedefine/>
    <w:qFormat/>
    <w:pPr>
      <w:jc w:val="center"/>
    </w:pPr>
    <w:rPr>
      <w:rFonts w:ascii="Times New Roman" w:eastAsia="宋体" w:hAnsi="Times New Roman" w:cs="Times New Roman"/>
      <w:snapToGrid w:val="0"/>
      <w:sz w:val="21"/>
      <w:szCs w:val="24"/>
      <w:lang w:val="en-US" w:eastAsia="zh-CN" w:bidi="ar-SA"/>
    </w:rPr>
  </w:style>
  <w:style w:type="paragraph" w:customStyle="1" w:styleId="a15">
    <w:name w:val="中文报告书样式"/>
    <w:basedOn w:val="Normal"/>
    <w:autoRedefine/>
    <w:qFormat/>
    <w:pPr>
      <w:adjustRightInd w:val="0"/>
      <w:spacing w:line="420" w:lineRule="atLeast"/>
      <w:textAlignment w:val="baseline"/>
    </w:pPr>
    <w:rPr>
      <w:kern w:val="24"/>
      <w:sz w:val="24"/>
      <w:szCs w:val="20"/>
    </w:rPr>
  </w:style>
  <w:style w:type="paragraph" w:customStyle="1" w:styleId="a16">
    <w:name w:val="我表格标题"/>
    <w:basedOn w:val="Normal"/>
    <w:autoRedefine/>
    <w:qFormat/>
    <w:pPr>
      <w:jc w:val="center"/>
    </w:pPr>
    <w:rPr>
      <w:b/>
      <w:color w:val="000000"/>
      <w:kern w:val="0"/>
    </w:rPr>
  </w:style>
  <w:style w:type="paragraph" w:customStyle="1" w:styleId="a17">
    <w:name w:val="报告书表格"/>
    <w:basedOn w:val="Normal"/>
    <w:autoRedefine/>
    <w:qFormat/>
    <w:pPr>
      <w:adjustRightInd w:val="0"/>
      <w:spacing w:line="240" w:lineRule="atLeast"/>
      <w:jc w:val="center"/>
      <w:textAlignment w:val="baseline"/>
    </w:pPr>
    <w:rPr>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emf" /><Relationship Id="rId13" Type="http://schemas.openxmlformats.org/officeDocument/2006/relationships/oleObject" Target="embeddings/oleObject1.vsd"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wmf" /><Relationship Id="rId17" Type="http://schemas.openxmlformats.org/officeDocument/2006/relationships/oleObject" Target="embeddings/oleObject2.bin" /><Relationship Id="rId18" Type="http://schemas.openxmlformats.org/officeDocument/2006/relationships/footer" Target="footer4.xml" /><Relationship Id="rId19" Type="http://schemas.openxmlformats.org/officeDocument/2006/relationships/footer" Target="footer5.xml" /><Relationship Id="rId2" Type="http://schemas.openxmlformats.org/officeDocument/2006/relationships/webSettings" Target="webSettings.xml" /><Relationship Id="rId20" Type="http://schemas.openxmlformats.org/officeDocument/2006/relationships/footer" Target="footer6.xml" /><Relationship Id="rId21" Type="http://schemas.openxmlformats.org/officeDocument/2006/relationships/footer" Target="footer7.xml" /><Relationship Id="rId22" Type="http://schemas.openxmlformats.org/officeDocument/2006/relationships/footer" Target="footer8.xml" /><Relationship Id="rId23" Type="http://schemas.openxmlformats.org/officeDocument/2006/relationships/image" Target="media/image9.jpeg" /><Relationship Id="rId24" Type="http://schemas.openxmlformats.org/officeDocument/2006/relationships/footer" Target="footer9.xml" /><Relationship Id="rId25" Type="http://schemas.openxmlformats.org/officeDocument/2006/relationships/image" Target="media/image10.png" /><Relationship Id="rId26" Type="http://schemas.openxmlformats.org/officeDocument/2006/relationships/image" Target="media/image11.png" /><Relationship Id="rId27" Type="http://schemas.openxmlformats.org/officeDocument/2006/relationships/image" Target="media/image12.png" /><Relationship Id="rId28" Type="http://schemas.openxmlformats.org/officeDocument/2006/relationships/image" Target="media/image13.png" /><Relationship Id="rId29" Type="http://schemas.openxmlformats.org/officeDocument/2006/relationships/footer" Target="footer10.xml" /><Relationship Id="rId3" Type="http://schemas.openxmlformats.org/officeDocument/2006/relationships/fontTable" Target="fontTable.xml" /><Relationship Id="rId30" Type="http://schemas.openxmlformats.org/officeDocument/2006/relationships/hyperlink" Target="http://baike.sogou.com/lemma/ShowInnerLink.htm?lemmaId=661012" TargetMode="External" /><Relationship Id="rId31" Type="http://schemas.openxmlformats.org/officeDocument/2006/relationships/hyperlink" Target="http://baike.sogou.com/lemma/ShowInnerLink.htm?lemmaId=397364" TargetMode="External" /><Relationship Id="rId32" Type="http://schemas.openxmlformats.org/officeDocument/2006/relationships/hyperlink" Target="http://baike.sogou.com/lemma/ShowInnerLink.htm?lemmaId=170639" TargetMode="External" /><Relationship Id="rId33" Type="http://schemas.openxmlformats.org/officeDocument/2006/relationships/hyperlink" Target="http://baike.sogou.com/lemma/ShowInnerLink.htm?lemmaId=305526" TargetMode="External" /><Relationship Id="rId34" Type="http://schemas.openxmlformats.org/officeDocument/2006/relationships/hyperlink" Target="http://baike.sogou.com/lemma/ShowInnerLink.htm?lemmaId=73845393" TargetMode="External" /><Relationship Id="rId35" Type="http://schemas.openxmlformats.org/officeDocument/2006/relationships/image" Target="media/image14.jpeg" /><Relationship Id="rId36" Type="http://schemas.openxmlformats.org/officeDocument/2006/relationships/image" Target="media/image15.png" /><Relationship Id="rId37" Type="http://schemas.openxmlformats.org/officeDocument/2006/relationships/image" Target="media/image16.wmf" /><Relationship Id="rId38" Type="http://schemas.openxmlformats.org/officeDocument/2006/relationships/oleObject" Target="embeddings/oleObject3.bin" /><Relationship Id="rId39" Type="http://schemas.openxmlformats.org/officeDocument/2006/relationships/image" Target="media/image17.png" /><Relationship Id="rId4" Type="http://schemas.openxmlformats.org/officeDocument/2006/relationships/customXml" Target="../customXml/item1.xml" /><Relationship Id="rId40" Type="http://schemas.openxmlformats.org/officeDocument/2006/relationships/footer" Target="footer11.xml" /><Relationship Id="rId41" Type="http://schemas.openxmlformats.org/officeDocument/2006/relationships/header" Target="header1.xml" /><Relationship Id="rId42" Type="http://schemas.openxmlformats.org/officeDocument/2006/relationships/footer" Target="footer12.xml" /><Relationship Id="rId43" Type="http://schemas.openxmlformats.org/officeDocument/2006/relationships/theme" Target="theme/theme1.xml" /><Relationship Id="rId44" Type="http://schemas.openxmlformats.org/officeDocument/2006/relationships/numbering" Target="numbering.xml" /><Relationship Id="rId45" Type="http://schemas.openxmlformats.org/officeDocument/2006/relationships/styles" Target="styles.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footer" Target="footer3.xml" /></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89</Pages>
  <Words>47489</Words>
  <Characters>53245</Characters>
  <Application>Microsoft Office Word</Application>
  <DocSecurity>0</DocSecurity>
  <Lines>0</Lines>
  <Paragraphs>0</Paragraphs>
  <ScaleCrop>false</ScaleCrop>
  <Company/>
  <LinksUpToDate>false</LinksUpToDate>
  <CharactersWithSpaces>53848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彭，</cp:lastModifiedBy>
  <cp:revision>0</cp:revision>
  <dcterms:created xsi:type="dcterms:W3CDTF">2020-03-08T01:46:00Z</dcterms:created>
  <dcterms:modified xsi:type="dcterms:W3CDTF">2024-07-22T08:11:51Z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3A5BED3611A342C8A34E3730EB392C23_13</vt:lpwstr>
  </property>
  <property fmtid="{D5CDD505-2E9C-101B-9397-08002B2CF9AE}" pid="3" name="KSOProductBuildVer">
    <vt:lpwstr>2052-12.1.0.17147</vt:lpwstr>
  </property>
</Properties>
</file>