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ascii="方正小标宋_GBK" w:hAnsi="方正小标宋_GBK" w:eastAsia="方正小标宋_GBK" w:cs="方正小标宋_GBK"/>
          <w:color w:val="000000"/>
          <w:sz w:val="44"/>
        </w:rPr>
      </w:pPr>
      <w:bookmarkStart w:id="0" w:name="_Toc_4_4_0000000021"/>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承德市生态环境局双滦区分局</w:t>
      </w:r>
    </w:p>
    <w:p>
      <w:pPr>
        <w:jc w:val="center"/>
        <w:outlineLvl w:val="0"/>
        <w:rPr>
          <w:rFonts w:hint="eastAsia"/>
          <w:lang w:eastAsia="zh-CN"/>
        </w:rPr>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jc w:val="center"/>
        <w:outlineLvl w:val="3"/>
      </w:pPr>
    </w:p>
    <w:p>
      <w:pPr>
        <w:jc w:val="center"/>
        <w:outlineLvl w:val="3"/>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承德市生态环境局双滦区分局收支预算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571004承德市生态环境局双滦区分局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项目</w:t>
            </w:r>
          </w:p>
        </w:tc>
        <w:tc>
          <w:tcPr>
            <w:tcW w:w="2126" w:type="dxa"/>
            <w:vAlign w:val="center"/>
          </w:tcPr>
          <w:p>
            <w:pPr>
              <w:pStyle w:val="14"/>
            </w:pPr>
            <w:r>
              <w:t>预算数</w:t>
            </w:r>
          </w:p>
        </w:tc>
        <w:tc>
          <w:tcPr>
            <w:tcW w:w="4535" w:type="dxa"/>
            <w:vAlign w:val="center"/>
          </w:tcPr>
          <w:p>
            <w:pPr>
              <w:pStyle w:val="14"/>
            </w:pPr>
            <w:r>
              <w:t>项目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99.66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79.73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三十一、往来性支出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99.66</w:t>
            </w:r>
          </w:p>
        </w:tc>
        <w:tc>
          <w:tcPr>
            <w:tcW w:w="4535" w:type="dxa"/>
            <w:vAlign w:val="center"/>
          </w:tcPr>
          <w:p>
            <w:pPr>
              <w:pStyle w:val="18"/>
            </w:pPr>
            <w:r>
              <w:t>本年支出合计</w:t>
            </w:r>
          </w:p>
        </w:tc>
        <w:tc>
          <w:tcPr>
            <w:tcW w:w="2126" w:type="dxa"/>
            <w:vAlign w:val="center"/>
          </w:tcPr>
          <w:p>
            <w:pPr>
              <w:pStyle w:val="19"/>
            </w:pPr>
            <w:r>
              <w:t>99.66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99.66</w:t>
            </w:r>
          </w:p>
        </w:tc>
        <w:tc>
          <w:tcPr>
            <w:tcW w:w="4535" w:type="dxa"/>
            <w:vAlign w:val="center"/>
          </w:tcPr>
          <w:p>
            <w:pPr>
              <w:pStyle w:val="18"/>
            </w:pPr>
            <w:r>
              <w:t>支出总计</w:t>
            </w:r>
          </w:p>
        </w:tc>
        <w:tc>
          <w:tcPr>
            <w:tcW w:w="2126" w:type="dxa"/>
            <w:vAlign w:val="center"/>
          </w:tcPr>
          <w:p>
            <w:pPr>
              <w:pStyle w:val="19"/>
            </w:pPr>
            <w:r>
              <w:t>99.66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571004承德市生态环境局双滦区分局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财政拨款收入</w:t>
            </w:r>
          </w:p>
        </w:tc>
        <w:tc>
          <w:tcPr>
            <w:tcW w:w="1134" w:type="dxa"/>
            <w:vAlign w:val="center"/>
          </w:tcPr>
          <w:p>
            <w:pPr>
              <w:pStyle w:val="14"/>
            </w:pPr>
            <w:r>
              <w:t>财政专户收入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99.66</w:t>
            </w:r>
          </w:p>
        </w:tc>
        <w:tc>
          <w:tcPr>
            <w:tcW w:w="1134" w:type="dxa"/>
            <w:vAlign w:val="center"/>
          </w:tcPr>
          <w:p>
            <w:pPr>
              <w:pStyle w:val="19"/>
            </w:pPr>
            <w:r>
              <w:t>99.66</w:t>
            </w:r>
          </w:p>
        </w:tc>
        <w:tc>
          <w:tcPr>
            <w:tcW w:w="1134" w:type="dxa"/>
            <w:vAlign w:val="center"/>
          </w:tcPr>
          <w:p>
            <w:pPr>
              <w:pStyle w:val="19"/>
            </w:pPr>
            <w:r>
              <w:t>99.66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8.89</w:t>
            </w:r>
          </w:p>
        </w:tc>
        <w:tc>
          <w:tcPr>
            <w:tcW w:w="1134" w:type="dxa"/>
            <w:vAlign w:val="center"/>
          </w:tcPr>
          <w:p>
            <w:pPr>
              <w:pStyle w:val="15"/>
            </w:pPr>
            <w:r>
              <w:t>8.89</w:t>
            </w:r>
          </w:p>
        </w:tc>
        <w:tc>
          <w:tcPr>
            <w:tcW w:w="1134" w:type="dxa"/>
            <w:vAlign w:val="center"/>
          </w:tcPr>
          <w:p>
            <w:pPr>
              <w:pStyle w:val="15"/>
            </w:pPr>
            <w:r>
              <w:t>8.89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8.89</w:t>
            </w:r>
          </w:p>
        </w:tc>
        <w:tc>
          <w:tcPr>
            <w:tcW w:w="1134" w:type="dxa"/>
            <w:vAlign w:val="center"/>
          </w:tcPr>
          <w:p>
            <w:pPr>
              <w:pStyle w:val="15"/>
            </w:pPr>
            <w:r>
              <w:t>8.89</w:t>
            </w:r>
          </w:p>
        </w:tc>
        <w:tc>
          <w:tcPr>
            <w:tcW w:w="1134" w:type="dxa"/>
            <w:vAlign w:val="center"/>
          </w:tcPr>
          <w:p>
            <w:pPr>
              <w:pStyle w:val="15"/>
            </w:pPr>
            <w:r>
              <w:t>8.89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8.89</w:t>
            </w:r>
          </w:p>
        </w:tc>
        <w:tc>
          <w:tcPr>
            <w:tcW w:w="1134" w:type="dxa"/>
            <w:vAlign w:val="center"/>
          </w:tcPr>
          <w:p>
            <w:pPr>
              <w:pStyle w:val="15"/>
            </w:pPr>
            <w:r>
              <w:t>8.89</w:t>
            </w:r>
          </w:p>
        </w:tc>
        <w:tc>
          <w:tcPr>
            <w:tcW w:w="1134" w:type="dxa"/>
            <w:vAlign w:val="center"/>
          </w:tcPr>
          <w:p>
            <w:pPr>
              <w:pStyle w:val="15"/>
            </w:pPr>
            <w:r>
              <w:t>8.89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3.86</w:t>
            </w:r>
          </w:p>
        </w:tc>
        <w:tc>
          <w:tcPr>
            <w:tcW w:w="1134" w:type="dxa"/>
            <w:vAlign w:val="center"/>
          </w:tcPr>
          <w:p>
            <w:pPr>
              <w:pStyle w:val="15"/>
            </w:pPr>
            <w:r>
              <w:t>3.86</w:t>
            </w:r>
          </w:p>
        </w:tc>
        <w:tc>
          <w:tcPr>
            <w:tcW w:w="1134" w:type="dxa"/>
            <w:vAlign w:val="center"/>
          </w:tcPr>
          <w:p>
            <w:pPr>
              <w:pStyle w:val="15"/>
            </w:pPr>
            <w:r>
              <w:t>3.86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3.86</w:t>
            </w:r>
          </w:p>
        </w:tc>
        <w:tc>
          <w:tcPr>
            <w:tcW w:w="1134" w:type="dxa"/>
            <w:vAlign w:val="center"/>
          </w:tcPr>
          <w:p>
            <w:pPr>
              <w:pStyle w:val="15"/>
            </w:pPr>
            <w:r>
              <w:t>3.86</w:t>
            </w:r>
          </w:p>
        </w:tc>
        <w:tc>
          <w:tcPr>
            <w:tcW w:w="1134" w:type="dxa"/>
            <w:vAlign w:val="center"/>
          </w:tcPr>
          <w:p>
            <w:pPr>
              <w:pStyle w:val="15"/>
            </w:pPr>
            <w:r>
              <w:t>3.86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3.38</w:t>
            </w:r>
          </w:p>
        </w:tc>
        <w:tc>
          <w:tcPr>
            <w:tcW w:w="1134" w:type="dxa"/>
            <w:vAlign w:val="center"/>
          </w:tcPr>
          <w:p>
            <w:pPr>
              <w:pStyle w:val="15"/>
            </w:pPr>
            <w:r>
              <w:t>3.38</w:t>
            </w:r>
          </w:p>
        </w:tc>
        <w:tc>
          <w:tcPr>
            <w:tcW w:w="1134" w:type="dxa"/>
            <w:vAlign w:val="center"/>
          </w:tcPr>
          <w:p>
            <w:pPr>
              <w:pStyle w:val="15"/>
            </w:pPr>
            <w:r>
              <w:t>3.38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0.48</w:t>
            </w:r>
          </w:p>
        </w:tc>
        <w:tc>
          <w:tcPr>
            <w:tcW w:w="1134" w:type="dxa"/>
            <w:vAlign w:val="center"/>
          </w:tcPr>
          <w:p>
            <w:pPr>
              <w:pStyle w:val="15"/>
            </w:pPr>
            <w:r>
              <w:t>0.48</w:t>
            </w:r>
          </w:p>
        </w:tc>
        <w:tc>
          <w:tcPr>
            <w:tcW w:w="1134" w:type="dxa"/>
            <w:vAlign w:val="center"/>
          </w:tcPr>
          <w:p>
            <w:pPr>
              <w:pStyle w:val="15"/>
            </w:pPr>
            <w:r>
              <w:t>0.48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79.73</w:t>
            </w:r>
          </w:p>
        </w:tc>
        <w:tc>
          <w:tcPr>
            <w:tcW w:w="1134" w:type="dxa"/>
            <w:vAlign w:val="center"/>
          </w:tcPr>
          <w:p>
            <w:pPr>
              <w:pStyle w:val="15"/>
            </w:pPr>
            <w:r>
              <w:t>79.73</w:t>
            </w:r>
          </w:p>
        </w:tc>
        <w:tc>
          <w:tcPr>
            <w:tcW w:w="1134" w:type="dxa"/>
            <w:vAlign w:val="center"/>
          </w:tcPr>
          <w:p>
            <w:pPr>
              <w:pStyle w:val="15"/>
            </w:pPr>
            <w:r>
              <w:t>79.73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21101</w:t>
            </w:r>
          </w:p>
        </w:tc>
        <w:tc>
          <w:tcPr>
            <w:tcW w:w="1559" w:type="dxa"/>
            <w:vAlign w:val="center"/>
          </w:tcPr>
          <w:p>
            <w:pPr>
              <w:pStyle w:val="16"/>
            </w:pPr>
            <w:r>
              <w:t>环境保护管理事务</w:t>
            </w:r>
          </w:p>
        </w:tc>
        <w:tc>
          <w:tcPr>
            <w:tcW w:w="1134" w:type="dxa"/>
            <w:vAlign w:val="center"/>
          </w:tcPr>
          <w:p>
            <w:pPr>
              <w:pStyle w:val="15"/>
            </w:pPr>
            <w:r>
              <w:t>79.73</w:t>
            </w:r>
          </w:p>
        </w:tc>
        <w:tc>
          <w:tcPr>
            <w:tcW w:w="1134" w:type="dxa"/>
            <w:vAlign w:val="center"/>
          </w:tcPr>
          <w:p>
            <w:pPr>
              <w:pStyle w:val="15"/>
            </w:pPr>
            <w:r>
              <w:t>79.73</w:t>
            </w:r>
          </w:p>
        </w:tc>
        <w:tc>
          <w:tcPr>
            <w:tcW w:w="1134" w:type="dxa"/>
            <w:vAlign w:val="center"/>
          </w:tcPr>
          <w:p>
            <w:pPr>
              <w:pStyle w:val="15"/>
            </w:pPr>
            <w:r>
              <w:t>79.73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2110101</w:t>
            </w:r>
          </w:p>
        </w:tc>
        <w:tc>
          <w:tcPr>
            <w:tcW w:w="1559" w:type="dxa"/>
            <w:vAlign w:val="center"/>
          </w:tcPr>
          <w:p>
            <w:pPr>
              <w:pStyle w:val="16"/>
            </w:pPr>
            <w:r>
              <w:t>行政运行</w:t>
            </w:r>
          </w:p>
        </w:tc>
        <w:tc>
          <w:tcPr>
            <w:tcW w:w="1134" w:type="dxa"/>
            <w:vAlign w:val="center"/>
          </w:tcPr>
          <w:p>
            <w:pPr>
              <w:pStyle w:val="15"/>
            </w:pPr>
            <w:r>
              <w:t>79.73</w:t>
            </w:r>
          </w:p>
        </w:tc>
        <w:tc>
          <w:tcPr>
            <w:tcW w:w="1134" w:type="dxa"/>
            <w:vAlign w:val="center"/>
          </w:tcPr>
          <w:p>
            <w:pPr>
              <w:pStyle w:val="15"/>
            </w:pPr>
            <w:r>
              <w:t>79.73</w:t>
            </w:r>
          </w:p>
        </w:tc>
        <w:tc>
          <w:tcPr>
            <w:tcW w:w="1134" w:type="dxa"/>
            <w:vAlign w:val="center"/>
          </w:tcPr>
          <w:p>
            <w:pPr>
              <w:pStyle w:val="15"/>
            </w:pPr>
            <w:r>
              <w:t>79.73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7.18</w:t>
            </w:r>
          </w:p>
        </w:tc>
        <w:tc>
          <w:tcPr>
            <w:tcW w:w="1134" w:type="dxa"/>
            <w:vAlign w:val="center"/>
          </w:tcPr>
          <w:p>
            <w:pPr>
              <w:pStyle w:val="15"/>
            </w:pPr>
            <w:r>
              <w:t>7.18</w:t>
            </w:r>
          </w:p>
        </w:tc>
        <w:tc>
          <w:tcPr>
            <w:tcW w:w="1134" w:type="dxa"/>
            <w:vAlign w:val="center"/>
          </w:tcPr>
          <w:p>
            <w:pPr>
              <w:pStyle w:val="15"/>
            </w:pPr>
            <w:r>
              <w:t>7.18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7.18</w:t>
            </w:r>
          </w:p>
        </w:tc>
        <w:tc>
          <w:tcPr>
            <w:tcW w:w="1134" w:type="dxa"/>
            <w:vAlign w:val="center"/>
          </w:tcPr>
          <w:p>
            <w:pPr>
              <w:pStyle w:val="15"/>
            </w:pPr>
            <w:r>
              <w:t>7.18</w:t>
            </w:r>
          </w:p>
        </w:tc>
        <w:tc>
          <w:tcPr>
            <w:tcW w:w="1134" w:type="dxa"/>
            <w:vAlign w:val="center"/>
          </w:tcPr>
          <w:p>
            <w:pPr>
              <w:pStyle w:val="15"/>
            </w:pPr>
            <w:r>
              <w:t>7.18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7.18</w:t>
            </w:r>
          </w:p>
        </w:tc>
        <w:tc>
          <w:tcPr>
            <w:tcW w:w="1134" w:type="dxa"/>
            <w:vAlign w:val="center"/>
          </w:tcPr>
          <w:p>
            <w:pPr>
              <w:pStyle w:val="15"/>
            </w:pPr>
            <w:r>
              <w:t>7.18</w:t>
            </w:r>
          </w:p>
        </w:tc>
        <w:tc>
          <w:tcPr>
            <w:tcW w:w="1134" w:type="dxa"/>
            <w:vAlign w:val="center"/>
          </w:tcPr>
          <w:p>
            <w:pPr>
              <w:pStyle w:val="15"/>
            </w:pPr>
            <w:r>
              <w:t>7.18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571004承德市生态环境局双滦区分局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99.66</w:t>
            </w:r>
          </w:p>
        </w:tc>
        <w:tc>
          <w:tcPr>
            <w:tcW w:w="1361" w:type="dxa"/>
            <w:vAlign w:val="center"/>
          </w:tcPr>
          <w:p>
            <w:pPr>
              <w:pStyle w:val="19"/>
            </w:pPr>
            <w:r>
              <w:t>99.66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8.89</w:t>
            </w:r>
          </w:p>
        </w:tc>
        <w:tc>
          <w:tcPr>
            <w:tcW w:w="1361" w:type="dxa"/>
            <w:vAlign w:val="center"/>
          </w:tcPr>
          <w:p>
            <w:pPr>
              <w:pStyle w:val="15"/>
            </w:pPr>
            <w:r>
              <w:t>8.89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8.89</w:t>
            </w:r>
          </w:p>
        </w:tc>
        <w:tc>
          <w:tcPr>
            <w:tcW w:w="1361" w:type="dxa"/>
            <w:vAlign w:val="center"/>
          </w:tcPr>
          <w:p>
            <w:pPr>
              <w:pStyle w:val="15"/>
            </w:pPr>
            <w:r>
              <w:t>8.89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8.89</w:t>
            </w:r>
          </w:p>
        </w:tc>
        <w:tc>
          <w:tcPr>
            <w:tcW w:w="1361" w:type="dxa"/>
            <w:vAlign w:val="center"/>
          </w:tcPr>
          <w:p>
            <w:pPr>
              <w:pStyle w:val="15"/>
            </w:pPr>
            <w:r>
              <w:t>8.89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3.86</w:t>
            </w:r>
          </w:p>
        </w:tc>
        <w:tc>
          <w:tcPr>
            <w:tcW w:w="1361" w:type="dxa"/>
            <w:vAlign w:val="center"/>
          </w:tcPr>
          <w:p>
            <w:pPr>
              <w:pStyle w:val="15"/>
            </w:pPr>
            <w:r>
              <w:t>3.86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3.86</w:t>
            </w:r>
          </w:p>
        </w:tc>
        <w:tc>
          <w:tcPr>
            <w:tcW w:w="1361" w:type="dxa"/>
            <w:vAlign w:val="center"/>
          </w:tcPr>
          <w:p>
            <w:pPr>
              <w:pStyle w:val="15"/>
            </w:pPr>
            <w:r>
              <w:t>3.86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3.38</w:t>
            </w:r>
          </w:p>
        </w:tc>
        <w:tc>
          <w:tcPr>
            <w:tcW w:w="1361" w:type="dxa"/>
            <w:vAlign w:val="center"/>
          </w:tcPr>
          <w:p>
            <w:pPr>
              <w:pStyle w:val="15"/>
            </w:pPr>
            <w:r>
              <w:t>3.38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0.48</w:t>
            </w:r>
          </w:p>
        </w:tc>
        <w:tc>
          <w:tcPr>
            <w:tcW w:w="1361" w:type="dxa"/>
            <w:vAlign w:val="center"/>
          </w:tcPr>
          <w:p>
            <w:pPr>
              <w:pStyle w:val="15"/>
            </w:pPr>
            <w:r>
              <w:t>0.48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79.73</w:t>
            </w:r>
          </w:p>
        </w:tc>
        <w:tc>
          <w:tcPr>
            <w:tcW w:w="1361" w:type="dxa"/>
            <w:vAlign w:val="center"/>
          </w:tcPr>
          <w:p>
            <w:pPr>
              <w:pStyle w:val="15"/>
            </w:pPr>
            <w:r>
              <w:t>79.73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21101</w:t>
            </w:r>
          </w:p>
        </w:tc>
        <w:tc>
          <w:tcPr>
            <w:tcW w:w="4535" w:type="dxa"/>
            <w:vAlign w:val="center"/>
          </w:tcPr>
          <w:p>
            <w:pPr>
              <w:pStyle w:val="16"/>
            </w:pPr>
            <w:r>
              <w:t>环境保护管理事务</w:t>
            </w:r>
          </w:p>
        </w:tc>
        <w:tc>
          <w:tcPr>
            <w:tcW w:w="1361" w:type="dxa"/>
            <w:vAlign w:val="center"/>
          </w:tcPr>
          <w:p>
            <w:pPr>
              <w:pStyle w:val="15"/>
            </w:pPr>
            <w:r>
              <w:t>79.73</w:t>
            </w:r>
          </w:p>
        </w:tc>
        <w:tc>
          <w:tcPr>
            <w:tcW w:w="1361" w:type="dxa"/>
            <w:vAlign w:val="center"/>
          </w:tcPr>
          <w:p>
            <w:pPr>
              <w:pStyle w:val="15"/>
            </w:pPr>
            <w:r>
              <w:t>79.73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2110101</w:t>
            </w:r>
          </w:p>
        </w:tc>
        <w:tc>
          <w:tcPr>
            <w:tcW w:w="4535" w:type="dxa"/>
            <w:vAlign w:val="center"/>
          </w:tcPr>
          <w:p>
            <w:pPr>
              <w:pStyle w:val="16"/>
            </w:pPr>
            <w:r>
              <w:t>行政运行</w:t>
            </w:r>
          </w:p>
        </w:tc>
        <w:tc>
          <w:tcPr>
            <w:tcW w:w="1361" w:type="dxa"/>
            <w:vAlign w:val="center"/>
          </w:tcPr>
          <w:p>
            <w:pPr>
              <w:pStyle w:val="15"/>
            </w:pPr>
            <w:r>
              <w:t>79.73</w:t>
            </w:r>
          </w:p>
        </w:tc>
        <w:tc>
          <w:tcPr>
            <w:tcW w:w="1361" w:type="dxa"/>
            <w:vAlign w:val="center"/>
          </w:tcPr>
          <w:p>
            <w:pPr>
              <w:pStyle w:val="15"/>
            </w:pPr>
            <w:r>
              <w:t>79.73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7.18</w:t>
            </w:r>
          </w:p>
        </w:tc>
        <w:tc>
          <w:tcPr>
            <w:tcW w:w="1361" w:type="dxa"/>
            <w:vAlign w:val="center"/>
          </w:tcPr>
          <w:p>
            <w:pPr>
              <w:pStyle w:val="15"/>
            </w:pPr>
            <w:r>
              <w:t>7.18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7.18</w:t>
            </w:r>
          </w:p>
        </w:tc>
        <w:tc>
          <w:tcPr>
            <w:tcW w:w="1361" w:type="dxa"/>
            <w:vAlign w:val="center"/>
          </w:tcPr>
          <w:p>
            <w:pPr>
              <w:pStyle w:val="15"/>
            </w:pPr>
            <w:r>
              <w:t>7.18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7.18</w:t>
            </w:r>
          </w:p>
        </w:tc>
        <w:tc>
          <w:tcPr>
            <w:tcW w:w="1361" w:type="dxa"/>
            <w:vAlign w:val="center"/>
          </w:tcPr>
          <w:p>
            <w:pPr>
              <w:pStyle w:val="15"/>
            </w:pPr>
            <w:r>
              <w:t>7.18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571004承德市生态环境局双滦区分局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项目</w:t>
            </w:r>
          </w:p>
        </w:tc>
        <w:tc>
          <w:tcPr>
            <w:tcW w:w="1474" w:type="dxa"/>
            <w:vAlign w:val="center"/>
          </w:tcPr>
          <w:p>
            <w:pPr>
              <w:pStyle w:val="14"/>
            </w:pPr>
            <w:r>
              <w:t>金额</w:t>
            </w:r>
          </w:p>
        </w:tc>
        <w:tc>
          <w:tcPr>
            <w:tcW w:w="3402" w:type="dxa"/>
            <w:vAlign w:val="center"/>
          </w:tcPr>
          <w:p>
            <w:pPr>
              <w:pStyle w:val="14"/>
            </w:pPr>
            <w:r>
              <w:t>项目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99.66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8.89</w:t>
            </w:r>
          </w:p>
        </w:tc>
        <w:tc>
          <w:tcPr>
            <w:tcW w:w="1474" w:type="dxa"/>
            <w:vAlign w:val="center"/>
          </w:tcPr>
          <w:p>
            <w:pPr>
              <w:pStyle w:val="15"/>
            </w:pPr>
            <w:r>
              <w:t>8.89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3.86</w:t>
            </w:r>
          </w:p>
        </w:tc>
        <w:tc>
          <w:tcPr>
            <w:tcW w:w="1474" w:type="dxa"/>
            <w:vAlign w:val="center"/>
          </w:tcPr>
          <w:p>
            <w:pPr>
              <w:pStyle w:val="15"/>
            </w:pPr>
            <w:r>
              <w:t>3.86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79.73</w:t>
            </w:r>
          </w:p>
        </w:tc>
        <w:tc>
          <w:tcPr>
            <w:tcW w:w="1474" w:type="dxa"/>
            <w:vAlign w:val="center"/>
          </w:tcPr>
          <w:p>
            <w:pPr>
              <w:pStyle w:val="15"/>
            </w:pPr>
            <w:r>
              <w:t>79.73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7.18</w:t>
            </w:r>
          </w:p>
        </w:tc>
        <w:tc>
          <w:tcPr>
            <w:tcW w:w="1474" w:type="dxa"/>
            <w:vAlign w:val="center"/>
          </w:tcPr>
          <w:p>
            <w:pPr>
              <w:pStyle w:val="15"/>
            </w:pPr>
            <w:r>
              <w:t>7.18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三十一、往来性支出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99.66</w:t>
            </w:r>
          </w:p>
        </w:tc>
        <w:tc>
          <w:tcPr>
            <w:tcW w:w="3402" w:type="dxa"/>
            <w:vAlign w:val="center"/>
          </w:tcPr>
          <w:p>
            <w:pPr>
              <w:pStyle w:val="18"/>
            </w:pPr>
            <w:r>
              <w:t>本年支出合计</w:t>
            </w:r>
          </w:p>
        </w:tc>
        <w:tc>
          <w:tcPr>
            <w:tcW w:w="1474" w:type="dxa"/>
            <w:vAlign w:val="center"/>
          </w:tcPr>
          <w:p>
            <w:pPr>
              <w:pStyle w:val="19"/>
            </w:pPr>
            <w:r>
              <w:t>99.66</w:t>
            </w:r>
          </w:p>
        </w:tc>
        <w:tc>
          <w:tcPr>
            <w:tcW w:w="1474" w:type="dxa"/>
            <w:vAlign w:val="center"/>
          </w:tcPr>
          <w:p>
            <w:pPr>
              <w:pStyle w:val="19"/>
            </w:pPr>
            <w:r>
              <w:t>99.66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99.66</w:t>
            </w:r>
          </w:p>
        </w:tc>
        <w:tc>
          <w:tcPr>
            <w:tcW w:w="3402" w:type="dxa"/>
            <w:vAlign w:val="center"/>
          </w:tcPr>
          <w:p>
            <w:pPr>
              <w:pStyle w:val="18"/>
            </w:pPr>
            <w:r>
              <w:t>支出总计</w:t>
            </w:r>
          </w:p>
        </w:tc>
        <w:tc>
          <w:tcPr>
            <w:tcW w:w="1474" w:type="dxa"/>
            <w:vAlign w:val="center"/>
          </w:tcPr>
          <w:p>
            <w:pPr>
              <w:pStyle w:val="19"/>
            </w:pPr>
            <w:r>
              <w:t>99.66</w:t>
            </w:r>
          </w:p>
        </w:tc>
        <w:tc>
          <w:tcPr>
            <w:tcW w:w="1474" w:type="dxa"/>
            <w:vAlign w:val="center"/>
          </w:tcPr>
          <w:p>
            <w:pPr>
              <w:pStyle w:val="19"/>
            </w:pPr>
            <w:r>
              <w:t>99.66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571004承德市生态环境局双滦区分局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99.66</w:t>
            </w:r>
          </w:p>
        </w:tc>
        <w:tc>
          <w:tcPr>
            <w:tcW w:w="2551" w:type="dxa"/>
            <w:vAlign w:val="center"/>
          </w:tcPr>
          <w:p>
            <w:pPr>
              <w:pStyle w:val="19"/>
            </w:pPr>
            <w:r>
              <w:t>99.66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8.89</w:t>
            </w:r>
          </w:p>
        </w:tc>
        <w:tc>
          <w:tcPr>
            <w:tcW w:w="2551" w:type="dxa"/>
            <w:vAlign w:val="center"/>
          </w:tcPr>
          <w:p>
            <w:pPr>
              <w:pStyle w:val="15"/>
            </w:pPr>
            <w:r>
              <w:t>8.89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8.89</w:t>
            </w:r>
          </w:p>
        </w:tc>
        <w:tc>
          <w:tcPr>
            <w:tcW w:w="2551" w:type="dxa"/>
            <w:vAlign w:val="center"/>
          </w:tcPr>
          <w:p>
            <w:pPr>
              <w:pStyle w:val="15"/>
            </w:pPr>
            <w:r>
              <w:t>8.89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8.89</w:t>
            </w:r>
          </w:p>
        </w:tc>
        <w:tc>
          <w:tcPr>
            <w:tcW w:w="2551" w:type="dxa"/>
            <w:vAlign w:val="center"/>
          </w:tcPr>
          <w:p>
            <w:pPr>
              <w:pStyle w:val="15"/>
            </w:pPr>
            <w:r>
              <w:t>8.89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3.86</w:t>
            </w:r>
          </w:p>
        </w:tc>
        <w:tc>
          <w:tcPr>
            <w:tcW w:w="2551" w:type="dxa"/>
            <w:vAlign w:val="center"/>
          </w:tcPr>
          <w:p>
            <w:pPr>
              <w:pStyle w:val="15"/>
            </w:pPr>
            <w:r>
              <w:t>3.86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3.86</w:t>
            </w:r>
          </w:p>
        </w:tc>
        <w:tc>
          <w:tcPr>
            <w:tcW w:w="2551" w:type="dxa"/>
            <w:vAlign w:val="center"/>
          </w:tcPr>
          <w:p>
            <w:pPr>
              <w:pStyle w:val="15"/>
            </w:pPr>
            <w:r>
              <w:t>3.86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3.38</w:t>
            </w:r>
          </w:p>
        </w:tc>
        <w:tc>
          <w:tcPr>
            <w:tcW w:w="2551" w:type="dxa"/>
            <w:vAlign w:val="center"/>
          </w:tcPr>
          <w:p>
            <w:pPr>
              <w:pStyle w:val="15"/>
            </w:pPr>
            <w:r>
              <w:t>3.38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0.48</w:t>
            </w:r>
          </w:p>
        </w:tc>
        <w:tc>
          <w:tcPr>
            <w:tcW w:w="2551" w:type="dxa"/>
            <w:vAlign w:val="center"/>
          </w:tcPr>
          <w:p>
            <w:pPr>
              <w:pStyle w:val="15"/>
            </w:pPr>
            <w:r>
              <w:t>0.48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79.73</w:t>
            </w:r>
          </w:p>
        </w:tc>
        <w:tc>
          <w:tcPr>
            <w:tcW w:w="2551" w:type="dxa"/>
            <w:vAlign w:val="center"/>
          </w:tcPr>
          <w:p>
            <w:pPr>
              <w:pStyle w:val="15"/>
            </w:pPr>
            <w:r>
              <w:t>79.73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21101</w:t>
            </w:r>
          </w:p>
        </w:tc>
        <w:tc>
          <w:tcPr>
            <w:tcW w:w="4535" w:type="dxa"/>
            <w:vAlign w:val="center"/>
          </w:tcPr>
          <w:p>
            <w:pPr>
              <w:pStyle w:val="16"/>
            </w:pPr>
            <w:r>
              <w:t>环境保护管理事务</w:t>
            </w:r>
          </w:p>
        </w:tc>
        <w:tc>
          <w:tcPr>
            <w:tcW w:w="2551" w:type="dxa"/>
            <w:vAlign w:val="center"/>
          </w:tcPr>
          <w:p>
            <w:pPr>
              <w:pStyle w:val="15"/>
            </w:pPr>
            <w:r>
              <w:t>79.73</w:t>
            </w:r>
          </w:p>
        </w:tc>
        <w:tc>
          <w:tcPr>
            <w:tcW w:w="2551" w:type="dxa"/>
            <w:vAlign w:val="center"/>
          </w:tcPr>
          <w:p>
            <w:pPr>
              <w:pStyle w:val="15"/>
            </w:pPr>
            <w:r>
              <w:t>79.73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2110101</w:t>
            </w:r>
          </w:p>
        </w:tc>
        <w:tc>
          <w:tcPr>
            <w:tcW w:w="4535" w:type="dxa"/>
            <w:vAlign w:val="center"/>
          </w:tcPr>
          <w:p>
            <w:pPr>
              <w:pStyle w:val="16"/>
            </w:pPr>
            <w:r>
              <w:t>行政运行</w:t>
            </w:r>
          </w:p>
        </w:tc>
        <w:tc>
          <w:tcPr>
            <w:tcW w:w="2551" w:type="dxa"/>
            <w:vAlign w:val="center"/>
          </w:tcPr>
          <w:p>
            <w:pPr>
              <w:pStyle w:val="15"/>
            </w:pPr>
            <w:r>
              <w:t>79.73</w:t>
            </w:r>
          </w:p>
        </w:tc>
        <w:tc>
          <w:tcPr>
            <w:tcW w:w="2551" w:type="dxa"/>
            <w:vAlign w:val="center"/>
          </w:tcPr>
          <w:p>
            <w:pPr>
              <w:pStyle w:val="15"/>
            </w:pPr>
            <w:r>
              <w:t>79.73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7.18</w:t>
            </w:r>
          </w:p>
        </w:tc>
        <w:tc>
          <w:tcPr>
            <w:tcW w:w="2551" w:type="dxa"/>
            <w:vAlign w:val="center"/>
          </w:tcPr>
          <w:p>
            <w:pPr>
              <w:pStyle w:val="15"/>
            </w:pPr>
            <w:r>
              <w:t>7.18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7.18</w:t>
            </w:r>
          </w:p>
        </w:tc>
        <w:tc>
          <w:tcPr>
            <w:tcW w:w="2551" w:type="dxa"/>
            <w:vAlign w:val="center"/>
          </w:tcPr>
          <w:p>
            <w:pPr>
              <w:pStyle w:val="15"/>
            </w:pPr>
            <w:r>
              <w:t>7.18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7.18</w:t>
            </w:r>
          </w:p>
        </w:tc>
        <w:tc>
          <w:tcPr>
            <w:tcW w:w="2551" w:type="dxa"/>
            <w:vAlign w:val="center"/>
          </w:tcPr>
          <w:p>
            <w:pPr>
              <w:pStyle w:val="15"/>
            </w:pPr>
            <w:r>
              <w:t>7.18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571004承德市生态环境局双滦区分局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99.66</w:t>
            </w:r>
          </w:p>
        </w:tc>
        <w:tc>
          <w:tcPr>
            <w:tcW w:w="2551" w:type="dxa"/>
            <w:vAlign w:val="center"/>
          </w:tcPr>
          <w:p>
            <w:pPr>
              <w:pStyle w:val="19"/>
            </w:pPr>
            <w:r>
              <w:t>87.21</w:t>
            </w:r>
          </w:p>
        </w:tc>
        <w:tc>
          <w:tcPr>
            <w:tcW w:w="2551" w:type="dxa"/>
            <w:vAlign w:val="center"/>
          </w:tcPr>
          <w:p>
            <w:pPr>
              <w:pStyle w:val="19"/>
            </w:pPr>
            <w:r>
              <w:t>12.45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87.17</w:t>
            </w:r>
          </w:p>
        </w:tc>
        <w:tc>
          <w:tcPr>
            <w:tcW w:w="2551" w:type="dxa"/>
            <w:vAlign w:val="center"/>
          </w:tcPr>
          <w:p>
            <w:pPr>
              <w:pStyle w:val="15"/>
            </w:pPr>
            <w:r>
              <w:t>87.17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26.94</w:t>
            </w:r>
          </w:p>
        </w:tc>
        <w:tc>
          <w:tcPr>
            <w:tcW w:w="2551" w:type="dxa"/>
            <w:vAlign w:val="center"/>
          </w:tcPr>
          <w:p>
            <w:pPr>
              <w:pStyle w:val="15"/>
            </w:pPr>
            <w:r>
              <w:t>26.94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25.59</w:t>
            </w:r>
          </w:p>
        </w:tc>
        <w:tc>
          <w:tcPr>
            <w:tcW w:w="2551" w:type="dxa"/>
            <w:vAlign w:val="center"/>
          </w:tcPr>
          <w:p>
            <w:pPr>
              <w:pStyle w:val="15"/>
            </w:pPr>
            <w:r>
              <w:t>25.59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14.42</w:t>
            </w:r>
          </w:p>
        </w:tc>
        <w:tc>
          <w:tcPr>
            <w:tcW w:w="2551" w:type="dxa"/>
            <w:vAlign w:val="center"/>
          </w:tcPr>
          <w:p>
            <w:pPr>
              <w:pStyle w:val="15"/>
            </w:pPr>
            <w:r>
              <w:t>14.42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8.89</w:t>
            </w:r>
          </w:p>
        </w:tc>
        <w:tc>
          <w:tcPr>
            <w:tcW w:w="2551" w:type="dxa"/>
            <w:vAlign w:val="center"/>
          </w:tcPr>
          <w:p>
            <w:pPr>
              <w:pStyle w:val="15"/>
            </w:pPr>
            <w:r>
              <w:t>8.89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3.23</w:t>
            </w:r>
          </w:p>
        </w:tc>
        <w:tc>
          <w:tcPr>
            <w:tcW w:w="2551" w:type="dxa"/>
            <w:vAlign w:val="center"/>
          </w:tcPr>
          <w:p>
            <w:pPr>
              <w:pStyle w:val="15"/>
            </w:pPr>
            <w:r>
              <w:t>3.23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0.48</w:t>
            </w:r>
          </w:p>
        </w:tc>
        <w:tc>
          <w:tcPr>
            <w:tcW w:w="2551" w:type="dxa"/>
            <w:vAlign w:val="center"/>
          </w:tcPr>
          <w:p>
            <w:pPr>
              <w:pStyle w:val="15"/>
            </w:pPr>
            <w:r>
              <w:t>0.48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0.44</w:t>
            </w:r>
          </w:p>
        </w:tc>
        <w:tc>
          <w:tcPr>
            <w:tcW w:w="2551" w:type="dxa"/>
            <w:vAlign w:val="center"/>
          </w:tcPr>
          <w:p>
            <w:pPr>
              <w:pStyle w:val="15"/>
            </w:pPr>
            <w:r>
              <w:t>0.44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7.18</w:t>
            </w:r>
          </w:p>
        </w:tc>
        <w:tc>
          <w:tcPr>
            <w:tcW w:w="2551" w:type="dxa"/>
            <w:vAlign w:val="center"/>
          </w:tcPr>
          <w:p>
            <w:pPr>
              <w:pStyle w:val="15"/>
            </w:pPr>
            <w:r>
              <w:t>7.18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12.45</w:t>
            </w:r>
          </w:p>
        </w:tc>
        <w:tc>
          <w:tcPr>
            <w:tcW w:w="2551" w:type="dxa"/>
            <w:vAlign w:val="center"/>
          </w:tcPr>
          <w:p>
            <w:pPr>
              <w:pStyle w:val="15"/>
            </w:pPr>
          </w:p>
        </w:tc>
        <w:tc>
          <w:tcPr>
            <w:tcW w:w="2551" w:type="dxa"/>
            <w:vAlign w:val="center"/>
          </w:tcPr>
          <w:p>
            <w:pPr>
              <w:pStyle w:val="15"/>
            </w:pPr>
            <w:r>
              <w:t>12.45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1.80</w:t>
            </w:r>
          </w:p>
        </w:tc>
        <w:tc>
          <w:tcPr>
            <w:tcW w:w="2551" w:type="dxa"/>
            <w:vAlign w:val="center"/>
          </w:tcPr>
          <w:p>
            <w:pPr>
              <w:pStyle w:val="15"/>
            </w:pPr>
          </w:p>
        </w:tc>
        <w:tc>
          <w:tcPr>
            <w:tcW w:w="2551"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3.40</w:t>
            </w:r>
          </w:p>
        </w:tc>
        <w:tc>
          <w:tcPr>
            <w:tcW w:w="2551" w:type="dxa"/>
            <w:vAlign w:val="center"/>
          </w:tcPr>
          <w:p>
            <w:pPr>
              <w:pStyle w:val="15"/>
            </w:pPr>
          </w:p>
        </w:tc>
        <w:tc>
          <w:tcPr>
            <w:tcW w:w="2551" w:type="dxa"/>
            <w:vAlign w:val="center"/>
          </w:tcPr>
          <w:p>
            <w:pPr>
              <w:pStyle w:val="15"/>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0.52</w:t>
            </w:r>
          </w:p>
        </w:tc>
        <w:tc>
          <w:tcPr>
            <w:tcW w:w="2551" w:type="dxa"/>
            <w:vAlign w:val="center"/>
          </w:tcPr>
          <w:p>
            <w:pPr>
              <w:pStyle w:val="15"/>
            </w:pPr>
          </w:p>
        </w:tc>
        <w:tc>
          <w:tcPr>
            <w:tcW w:w="2551" w:type="dxa"/>
            <w:vAlign w:val="center"/>
          </w:tcPr>
          <w:p>
            <w:pPr>
              <w:pStyle w:val="15"/>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0.11</w:t>
            </w:r>
          </w:p>
        </w:tc>
        <w:tc>
          <w:tcPr>
            <w:tcW w:w="2551" w:type="dxa"/>
            <w:vAlign w:val="center"/>
          </w:tcPr>
          <w:p>
            <w:pPr>
              <w:pStyle w:val="15"/>
            </w:pPr>
          </w:p>
        </w:tc>
        <w:tc>
          <w:tcPr>
            <w:tcW w:w="2551" w:type="dxa"/>
            <w:vAlign w:val="center"/>
          </w:tcPr>
          <w:p>
            <w:pPr>
              <w:pStyle w:val="15"/>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0.57</w:t>
            </w:r>
          </w:p>
        </w:tc>
        <w:tc>
          <w:tcPr>
            <w:tcW w:w="2551" w:type="dxa"/>
            <w:vAlign w:val="center"/>
          </w:tcPr>
          <w:p>
            <w:pPr>
              <w:pStyle w:val="15"/>
            </w:pPr>
          </w:p>
        </w:tc>
        <w:tc>
          <w:tcPr>
            <w:tcW w:w="2551" w:type="dxa"/>
            <w:vAlign w:val="center"/>
          </w:tcPr>
          <w:p>
            <w:pPr>
              <w:pStyle w:val="15"/>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0.63</w:t>
            </w:r>
          </w:p>
        </w:tc>
        <w:tc>
          <w:tcPr>
            <w:tcW w:w="2551" w:type="dxa"/>
            <w:vAlign w:val="center"/>
          </w:tcPr>
          <w:p>
            <w:pPr>
              <w:pStyle w:val="15"/>
            </w:pPr>
          </w:p>
        </w:tc>
        <w:tc>
          <w:tcPr>
            <w:tcW w:w="2551" w:type="dxa"/>
            <w:vAlign w:val="center"/>
          </w:tcPr>
          <w:p>
            <w:pPr>
              <w:pStyle w:val="15"/>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1.40</w:t>
            </w:r>
          </w:p>
        </w:tc>
        <w:tc>
          <w:tcPr>
            <w:tcW w:w="2551" w:type="dxa"/>
            <w:vAlign w:val="center"/>
          </w:tcPr>
          <w:p>
            <w:pPr>
              <w:pStyle w:val="15"/>
            </w:pPr>
          </w:p>
        </w:tc>
        <w:tc>
          <w:tcPr>
            <w:tcW w:w="2551" w:type="dxa"/>
            <w:vAlign w:val="center"/>
          </w:tcPr>
          <w:p>
            <w:pPr>
              <w:pStyle w:val="15"/>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3.84</w:t>
            </w:r>
          </w:p>
        </w:tc>
        <w:tc>
          <w:tcPr>
            <w:tcW w:w="2551" w:type="dxa"/>
            <w:vAlign w:val="center"/>
          </w:tcPr>
          <w:p>
            <w:pPr>
              <w:pStyle w:val="15"/>
            </w:pPr>
          </w:p>
        </w:tc>
        <w:tc>
          <w:tcPr>
            <w:tcW w:w="2551" w:type="dxa"/>
            <w:vAlign w:val="center"/>
          </w:tcPr>
          <w:p>
            <w:pPr>
              <w:pStyle w:val="15"/>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0.18</w:t>
            </w:r>
          </w:p>
        </w:tc>
        <w:tc>
          <w:tcPr>
            <w:tcW w:w="2551" w:type="dxa"/>
            <w:vAlign w:val="center"/>
          </w:tcPr>
          <w:p>
            <w:pPr>
              <w:pStyle w:val="15"/>
            </w:pPr>
          </w:p>
        </w:tc>
        <w:tc>
          <w:tcPr>
            <w:tcW w:w="2551" w:type="dxa"/>
            <w:vAlign w:val="center"/>
          </w:tcPr>
          <w:p>
            <w:pPr>
              <w:pStyle w:val="15"/>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0.04</w:t>
            </w:r>
          </w:p>
        </w:tc>
        <w:tc>
          <w:tcPr>
            <w:tcW w:w="2551" w:type="dxa"/>
            <w:vAlign w:val="center"/>
          </w:tcPr>
          <w:p>
            <w:pPr>
              <w:pStyle w:val="15"/>
            </w:pPr>
            <w:r>
              <w:t>0.04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0.04</w:t>
            </w:r>
          </w:p>
        </w:tc>
        <w:tc>
          <w:tcPr>
            <w:tcW w:w="2551" w:type="dxa"/>
            <w:vAlign w:val="center"/>
          </w:tcPr>
          <w:p>
            <w:pPr>
              <w:pStyle w:val="15"/>
            </w:pPr>
            <w:r>
              <w:t>0.04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571004承德市生态环境局双滦区分局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571004承德市生态环境局双滦区分局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571004承德市生态环境局双滦区分局</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项目</w:t>
            </w:r>
          </w:p>
        </w:tc>
        <w:tc>
          <w:tcPr>
            <w:tcW w:w="9524" w:type="dxa"/>
            <w:gridSpan w:val="4"/>
            <w:vAlign w:val="center"/>
          </w:tcPr>
          <w:p>
            <w:pPr>
              <w:pStyle w:val="14"/>
            </w:pPr>
            <w: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一般公共预算财政拨款</w:t>
            </w:r>
          </w:p>
        </w:tc>
        <w:tc>
          <w:tcPr>
            <w:tcW w:w="2381" w:type="dxa"/>
            <w:vAlign w:val="center"/>
          </w:tcPr>
          <w:p>
            <w:pPr>
              <w:pStyle w:val="14"/>
            </w:pPr>
            <w:r>
              <w:t>政府性基金预算拨款</w:t>
            </w:r>
          </w:p>
        </w:tc>
        <w:tc>
          <w:tcPr>
            <w:tcW w:w="2381"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1.51</w:t>
            </w:r>
          </w:p>
        </w:tc>
        <w:tc>
          <w:tcPr>
            <w:tcW w:w="2381" w:type="dxa"/>
            <w:vAlign w:val="center"/>
          </w:tcPr>
          <w:p>
            <w:pPr>
              <w:pStyle w:val="19"/>
            </w:pPr>
            <w:r>
              <w:t>1.51</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1.51</w:t>
            </w:r>
          </w:p>
        </w:tc>
        <w:tc>
          <w:tcPr>
            <w:tcW w:w="2381" w:type="dxa"/>
            <w:vAlign w:val="center"/>
          </w:tcPr>
          <w:p>
            <w:pPr>
              <w:pStyle w:val="15"/>
            </w:pPr>
            <w:r>
              <w:t>1.51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1.40</w:t>
            </w:r>
          </w:p>
        </w:tc>
        <w:tc>
          <w:tcPr>
            <w:tcW w:w="2381" w:type="dxa"/>
            <w:vAlign w:val="center"/>
          </w:tcPr>
          <w:p>
            <w:pPr>
              <w:pStyle w:val="15"/>
            </w:pPr>
            <w:r>
              <w:t>1.40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公务用车运行维护费</w:t>
            </w:r>
          </w:p>
        </w:tc>
        <w:tc>
          <w:tcPr>
            <w:tcW w:w="2381" w:type="dxa"/>
            <w:vAlign w:val="center"/>
          </w:tcPr>
          <w:p>
            <w:pPr>
              <w:pStyle w:val="15"/>
            </w:pPr>
            <w:r>
              <w:t>1.40</w:t>
            </w:r>
          </w:p>
        </w:tc>
        <w:tc>
          <w:tcPr>
            <w:tcW w:w="2381" w:type="dxa"/>
            <w:vAlign w:val="center"/>
          </w:tcPr>
          <w:p>
            <w:pPr>
              <w:pStyle w:val="15"/>
            </w:pPr>
            <w:r>
              <w:t>1.40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0.11</w:t>
            </w:r>
          </w:p>
        </w:tc>
        <w:tc>
          <w:tcPr>
            <w:tcW w:w="2381" w:type="dxa"/>
            <w:vAlign w:val="center"/>
          </w:tcPr>
          <w:p>
            <w:pPr>
              <w:pStyle w:val="15"/>
            </w:pPr>
            <w:r>
              <w:t>0.11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rPr>
          <w:sz w:val="48"/>
          <w:szCs w:val="48"/>
        </w:rPr>
      </w:pPr>
      <w:r>
        <w:rPr>
          <w:rFonts w:ascii="方正小标宋_GBK" w:hAnsi="方正小标宋_GBK" w:eastAsia="方正小标宋_GBK" w:cs="方正小标宋_GBK"/>
          <w:color w:val="000000"/>
          <w:sz w:val="48"/>
          <w:szCs w:val="48"/>
        </w:rPr>
        <w:t>承德市生态环境局双滦区分局2023年单位预算信息公开情况说明</w:t>
      </w:r>
    </w:p>
    <w:p>
      <w:pPr>
        <w:spacing w:line="500" w:lineRule="exact"/>
        <w:ind w:firstLine="560"/>
        <w:rPr>
          <w:rFonts w:hint="eastAsia" w:ascii="方正小标宋_GBK" w:hAnsi="方正小标宋_GBK" w:eastAsia="方正小标宋_GBK" w:cs="方正小标宋_GBK"/>
          <w:b w:val="0"/>
          <w:bCs w:val="0"/>
          <w:sz w:val="28"/>
          <w:szCs w:val="28"/>
        </w:rPr>
      </w:pPr>
      <w:r>
        <w:rPr>
          <w:rFonts w:hint="eastAsia" w:ascii="方正小标宋_GBK" w:hAnsi="方正小标宋_GBK" w:eastAsia="方正小标宋_GBK" w:cs="方正小标宋_GBK"/>
          <w:b w:val="0"/>
          <w:bCs w:val="0"/>
          <w:color w:val="000000"/>
          <w:sz w:val="28"/>
          <w:szCs w:val="28"/>
        </w:rPr>
        <w:t>按照《中华人民共和国预算法》、《地方预决算公开操作规程》和《关于进一步推进预算公开工作的实施意见》规定，现将承德市生态环境局双滦区分局2023年单位预算公开如下：</w:t>
      </w:r>
    </w:p>
    <w:p>
      <w:pPr>
        <w:spacing w:before="10" w:after="10"/>
        <w:ind w:firstLine="640"/>
        <w:outlineLvl w:val="5"/>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color w:val="000000"/>
          <w:sz w:val="28"/>
          <w:szCs w:val="28"/>
        </w:rPr>
        <w:t>一、单位职责及机构设置情况</w:t>
      </w:r>
    </w:p>
    <w:p>
      <w:pPr>
        <w:ind w:firstLine="64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b/>
          <w:color w:val="000000"/>
          <w:sz w:val="32"/>
          <w:szCs w:val="32"/>
        </w:rPr>
        <w:t>单位职责：</w:t>
      </w:r>
      <w:r>
        <w:rPr>
          <w:rFonts w:hint="eastAsia" w:ascii="方正小标宋_GBK" w:hAnsi="方正小标宋_GBK" w:eastAsia="方正小标宋_GBK" w:cs="方正小标宋_GBK"/>
          <w:color w:val="000000"/>
          <w:sz w:val="28"/>
          <w:szCs w:val="28"/>
        </w:rPr>
        <w:t>受市生态环境局委托，统一管理辖区内的生态环境保护工作，组织拟定和监督实施污染防治规划和生态保护规划。负责辖区内总量控制、污染防治、自然生态保护、农业农村、辐射安全、环保专项资金、信息统计、环境监测、宣传教育等监督管理和生态环境保护目标责任制考核工作。按权限负责辖区内的行政许可证工作；协调解决辖区内有关环境污染及信访问题。</w:t>
      </w:r>
    </w:p>
    <w:p>
      <w:pPr>
        <w:pStyle w:val="29"/>
        <w:rPr>
          <w:rFonts w:hint="eastAsia" w:ascii="方正小标宋_GBK" w:hAnsi="方正小标宋_GBK" w:eastAsia="方正小标宋_GBK" w:cs="方正小标宋_GBK"/>
          <w:sz w:val="32"/>
          <w:szCs w:val="32"/>
        </w:rPr>
      </w:pPr>
    </w:p>
    <w:p>
      <w:pPr>
        <w:ind w:firstLine="640"/>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b/>
          <w:color w:val="000000"/>
          <w:sz w:val="32"/>
          <w:szCs w:val="32"/>
        </w:rPr>
        <w:t>机构设置：</w:t>
      </w:r>
    </w:p>
    <w:p>
      <w:pPr>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color w:val="000000"/>
          <w:sz w:val="28"/>
          <w:szCs w:val="28"/>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单位名称</w:t>
            </w:r>
          </w:p>
        </w:tc>
        <w:tc>
          <w:tcPr>
            <w:tcW w:w="1843" w:type="dxa"/>
            <w:vAlign w:val="center"/>
          </w:tcPr>
          <w:p>
            <w:pPr>
              <w:pStyle w:val="14"/>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单位性质</w:t>
            </w:r>
          </w:p>
        </w:tc>
        <w:tc>
          <w:tcPr>
            <w:tcW w:w="2126" w:type="dxa"/>
            <w:vAlign w:val="center"/>
          </w:tcPr>
          <w:p>
            <w:pPr>
              <w:pStyle w:val="14"/>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单位规格</w:t>
            </w:r>
          </w:p>
        </w:tc>
        <w:tc>
          <w:tcPr>
            <w:tcW w:w="3827" w:type="dxa"/>
            <w:vAlign w:val="center"/>
          </w:tcPr>
          <w:p>
            <w:pPr>
              <w:pStyle w:val="14"/>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承德市生态环境局双滦区分局</w:t>
            </w:r>
          </w:p>
        </w:tc>
        <w:tc>
          <w:tcPr>
            <w:tcW w:w="1843" w:type="dxa"/>
            <w:vAlign w:val="center"/>
          </w:tcPr>
          <w:p>
            <w:pPr>
              <w:pStyle w:val="17"/>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事业</w:t>
            </w:r>
          </w:p>
        </w:tc>
        <w:tc>
          <w:tcPr>
            <w:tcW w:w="2126" w:type="dxa"/>
            <w:vAlign w:val="center"/>
          </w:tcPr>
          <w:p>
            <w:pPr>
              <w:pStyle w:val="17"/>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正科级</w:t>
            </w:r>
          </w:p>
        </w:tc>
        <w:tc>
          <w:tcPr>
            <w:tcW w:w="3827" w:type="dxa"/>
            <w:vAlign w:val="center"/>
          </w:tcPr>
          <w:p>
            <w:pPr>
              <w:pStyle w:val="17"/>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财政性资金基本保证</w:t>
            </w:r>
          </w:p>
        </w:tc>
      </w:tr>
    </w:tbl>
    <w:p>
      <w:pPr>
        <w:spacing w:before="10" w:after="10"/>
        <w:ind w:firstLine="640"/>
        <w:outlineLvl w:val="5"/>
        <w:rPr>
          <w:rFonts w:hint="eastAsia" w:ascii="方正小标宋_GBK" w:hAnsi="方正小标宋_GBK" w:eastAsia="方正小标宋_GBK" w:cs="方正小标宋_GBK"/>
          <w:color w:val="000000"/>
          <w:sz w:val="28"/>
          <w:szCs w:val="28"/>
        </w:rPr>
      </w:pPr>
    </w:p>
    <w:p>
      <w:pPr>
        <w:spacing w:before="10" w:after="10"/>
        <w:ind w:firstLine="640"/>
        <w:outlineLvl w:val="5"/>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color w:val="000000"/>
          <w:sz w:val="32"/>
          <w:szCs w:val="32"/>
        </w:rPr>
        <w:t>二、单位预算安排的总体情况</w:t>
      </w:r>
    </w:p>
    <w:p>
      <w:pPr>
        <w:spacing w:line="500" w:lineRule="exact"/>
        <w:ind w:firstLine="932" w:firstLineChars="333"/>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color w:val="000000"/>
          <w:sz w:val="28"/>
          <w:szCs w:val="28"/>
        </w:rPr>
        <w:t>按照预算管理有关规定，目前我省单位预算的编制实行综合预算管理，即全部收入和支出都反映在预算中。</w:t>
      </w:r>
    </w:p>
    <w:p>
      <w:pPr>
        <w:ind w:firstLine="750" w:firstLineChars="250"/>
        <w:rPr>
          <w:rFonts w:hint="eastAsia" w:ascii="方正小标宋_GBK" w:hAnsi="方正小标宋_GBK" w:eastAsia="方正小标宋_GBK" w:cs="方正小标宋_GBK"/>
          <w:color w:val="000000"/>
          <w:sz w:val="30"/>
          <w:szCs w:val="30"/>
          <w:lang w:eastAsia="zh-CN"/>
        </w:rPr>
      </w:pPr>
      <w:r>
        <w:rPr>
          <w:rFonts w:hint="eastAsia" w:ascii="方正小标宋_GBK" w:hAnsi="方正小标宋_GBK" w:eastAsia="方正小标宋_GBK" w:cs="方正小标宋_GBK"/>
          <w:color w:val="000000"/>
          <w:sz w:val="30"/>
          <w:szCs w:val="30"/>
          <w:lang w:eastAsia="zh-CN"/>
        </w:rPr>
        <w:t>（一）收入说明</w:t>
      </w:r>
    </w:p>
    <w:p>
      <w:pPr>
        <w:ind w:firstLine="840" w:firstLineChars="300"/>
        <w:rPr>
          <w:rFonts w:hint="eastAsia" w:ascii="方正小标宋_GBK" w:hAnsi="方正小标宋_GBK" w:eastAsia="方正小标宋_GBK" w:cs="方正小标宋_GBK"/>
          <w:color w:val="000000"/>
          <w:sz w:val="28"/>
          <w:szCs w:val="28"/>
          <w:lang w:eastAsia="zh-CN"/>
        </w:rPr>
      </w:pPr>
      <w:r>
        <w:rPr>
          <w:rFonts w:hint="eastAsia" w:ascii="方正小标宋_GBK" w:hAnsi="方正小标宋_GBK" w:eastAsia="方正小标宋_GBK" w:cs="方正小标宋_GBK"/>
          <w:color w:val="000000"/>
          <w:sz w:val="28"/>
          <w:szCs w:val="28"/>
          <w:lang w:eastAsia="zh-CN"/>
        </w:rPr>
        <w:t>反映本单位当年全部收入。2023年预算收入99.66万元，其中：一般公共预算收入99.66万元，基金预算收入0万元，其他来源收入0万元。</w:t>
      </w:r>
    </w:p>
    <w:p>
      <w:pPr>
        <w:ind w:firstLine="600" w:firstLineChars="200"/>
        <w:rPr>
          <w:rFonts w:hint="eastAsia" w:ascii="方正小标宋_GBK" w:hAnsi="方正小标宋_GBK" w:eastAsia="方正小标宋_GBK" w:cs="方正小标宋_GBK"/>
          <w:color w:val="000000"/>
          <w:sz w:val="30"/>
          <w:szCs w:val="30"/>
          <w:lang w:eastAsia="zh-CN"/>
        </w:rPr>
      </w:pPr>
      <w:r>
        <w:rPr>
          <w:rFonts w:hint="eastAsia" w:ascii="方正小标宋_GBK" w:hAnsi="方正小标宋_GBK" w:eastAsia="方正小标宋_GBK" w:cs="方正小标宋_GBK"/>
          <w:color w:val="000000"/>
          <w:sz w:val="30"/>
          <w:szCs w:val="30"/>
          <w:lang w:eastAsia="zh-CN"/>
        </w:rPr>
        <w:t>（二）支出说明</w:t>
      </w:r>
    </w:p>
    <w:p>
      <w:pPr>
        <w:ind w:left="331" w:leftChars="138" w:firstLine="560" w:firstLineChars="200"/>
        <w:rPr>
          <w:rFonts w:hint="eastAsia" w:ascii="方正小标宋_GBK" w:hAnsi="方正小标宋_GBK" w:eastAsia="方正小标宋_GBK" w:cs="方正小标宋_GBK"/>
          <w:color w:val="000000"/>
          <w:sz w:val="28"/>
          <w:szCs w:val="28"/>
          <w:lang w:eastAsia="zh-CN"/>
        </w:rPr>
      </w:pPr>
      <w:r>
        <w:rPr>
          <w:rFonts w:hint="eastAsia" w:ascii="方正小标宋_GBK" w:hAnsi="方正小标宋_GBK" w:eastAsia="方正小标宋_GBK" w:cs="方正小标宋_GBK"/>
          <w:color w:val="000000"/>
          <w:sz w:val="28"/>
          <w:szCs w:val="28"/>
          <w:lang w:eastAsia="zh-CN"/>
        </w:rPr>
        <w:t>收支预算总表支出栏、基本支出表、项目支出表按经济分类和支出功能分类科目编制，反映承德市生态环境局双滦区分局2023年度单位预算中支出预算的总体情况。2023年支出预算99.66万元，其中基本支出99.66万元，包括人员经费87.21万元和日常公用经费12.45万元；项目支出0万元，其中本级支出99.66万元，对下补助0万元，主要为本级支出；其他支出0万元。</w:t>
      </w:r>
    </w:p>
    <w:p>
      <w:pPr>
        <w:ind w:firstLine="600" w:firstLineChars="200"/>
        <w:rPr>
          <w:rFonts w:hint="eastAsia" w:ascii="方正小标宋_GBK" w:hAnsi="方正小标宋_GBK" w:eastAsia="方正小标宋_GBK" w:cs="方正小标宋_GBK"/>
          <w:color w:val="000000"/>
          <w:sz w:val="30"/>
          <w:szCs w:val="30"/>
          <w:lang w:eastAsia="zh-CN"/>
        </w:rPr>
      </w:pPr>
    </w:p>
    <w:p>
      <w:pPr>
        <w:ind w:firstLine="600" w:firstLineChars="200"/>
        <w:rPr>
          <w:rFonts w:hint="eastAsia" w:ascii="方正小标宋_GBK" w:hAnsi="方正小标宋_GBK" w:eastAsia="方正小标宋_GBK" w:cs="方正小标宋_GBK"/>
          <w:color w:val="000000"/>
          <w:sz w:val="30"/>
          <w:szCs w:val="30"/>
          <w:lang w:eastAsia="zh-CN"/>
        </w:rPr>
      </w:pPr>
    </w:p>
    <w:p>
      <w:pPr>
        <w:ind w:firstLine="600" w:firstLineChars="200"/>
        <w:rPr>
          <w:rFonts w:hint="eastAsia" w:ascii="方正小标宋_GBK" w:hAnsi="方正小标宋_GBK" w:eastAsia="方正小标宋_GBK" w:cs="方正小标宋_GBK"/>
          <w:color w:val="000000"/>
          <w:sz w:val="30"/>
          <w:szCs w:val="30"/>
          <w:lang w:eastAsia="zh-CN"/>
        </w:rPr>
      </w:pPr>
      <w:r>
        <w:rPr>
          <w:rFonts w:hint="eastAsia" w:ascii="方正小标宋_GBK" w:hAnsi="方正小标宋_GBK" w:eastAsia="方正小标宋_GBK" w:cs="方正小标宋_GBK"/>
          <w:color w:val="000000"/>
          <w:sz w:val="30"/>
          <w:szCs w:val="30"/>
          <w:lang w:eastAsia="zh-CN"/>
        </w:rPr>
        <w:t>（三）比上年增减情况</w:t>
      </w:r>
    </w:p>
    <w:p>
      <w:pPr>
        <w:ind w:left="331" w:leftChars="138" w:firstLine="420" w:firstLineChars="150"/>
        <w:rPr>
          <w:rFonts w:hint="eastAsia" w:ascii="方正小标宋_GBK" w:hAnsi="方正小标宋_GBK" w:eastAsia="方正小标宋_GBK" w:cs="方正小标宋_GBK"/>
          <w:color w:val="000000"/>
          <w:sz w:val="28"/>
          <w:szCs w:val="28"/>
          <w:lang w:eastAsia="zh-CN"/>
        </w:rPr>
      </w:pPr>
      <w:r>
        <w:rPr>
          <w:rFonts w:hint="eastAsia" w:ascii="方正小标宋_GBK" w:hAnsi="方正小标宋_GBK" w:eastAsia="方正小标宋_GBK" w:cs="方正小标宋_GBK"/>
          <w:color w:val="000000"/>
          <w:sz w:val="28"/>
          <w:szCs w:val="28"/>
          <w:lang w:eastAsia="zh-CN"/>
        </w:rPr>
        <w:t>2023年预算收支安排99.66万元，较2022年预算减少26.46万元，其中：基本支出减少26.46万元，主要为减少人员经费的支出；项目支出较2022年持平，主要是2022年和2023年均无项目支出。</w:t>
      </w:r>
    </w:p>
    <w:p>
      <w:pPr>
        <w:pStyle w:val="30"/>
        <w:rPr>
          <w:rFonts w:hint="eastAsia" w:ascii="方正小标宋_GBK" w:hAnsi="方正小标宋_GBK" w:eastAsia="方正小标宋_GBK" w:cs="方正小标宋_GBK"/>
          <w:sz w:val="28"/>
          <w:szCs w:val="28"/>
        </w:rPr>
      </w:pPr>
    </w:p>
    <w:p>
      <w:pPr>
        <w:spacing w:before="10" w:after="10"/>
        <w:ind w:firstLine="640"/>
        <w:outlineLvl w:val="5"/>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color w:val="000000"/>
          <w:sz w:val="32"/>
          <w:szCs w:val="32"/>
        </w:rPr>
        <w:t>三、机关运行经费安排情况</w:t>
      </w:r>
    </w:p>
    <w:p>
      <w:pPr>
        <w:pStyle w:val="31"/>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color w:val="000000"/>
          <w:sz w:val="28"/>
          <w:szCs w:val="28"/>
        </w:rPr>
        <w:t>2023年，我单位机关运行经费共计安排12.45万元，主要用于办公费1.8万元、邮电费3.4万元、差旅费0.52万元、公务接待费0.11万元、工会经费0.57万元、福利费0.63万元、公务用车运行维护费1.4万元、其他交通费用3.84万元、其他商品和服务支出0.18万元。</w:t>
      </w:r>
    </w:p>
    <w:p>
      <w:pPr>
        <w:spacing w:before="10" w:after="10"/>
        <w:ind w:firstLine="640"/>
        <w:outlineLvl w:val="5"/>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color w:val="000000"/>
          <w:sz w:val="32"/>
          <w:szCs w:val="32"/>
        </w:rPr>
        <w:t>四、财政拨款“三公”经费预算情况及增减变化原因</w:t>
      </w:r>
    </w:p>
    <w:p>
      <w:pPr>
        <w:ind w:firstLine="560" w:firstLineChars="200"/>
        <w:rPr>
          <w:rFonts w:hint="eastAsia" w:ascii="方正小标宋_GBK" w:hAnsi="方正小标宋_GBK" w:eastAsia="方正小标宋_GBK" w:cs="方正小标宋_GBK"/>
          <w:color w:val="000000"/>
          <w:sz w:val="28"/>
          <w:szCs w:val="28"/>
          <w:lang w:eastAsia="zh-CN"/>
        </w:rPr>
      </w:pPr>
      <w:r>
        <w:rPr>
          <w:rFonts w:hint="eastAsia" w:ascii="方正小标宋_GBK" w:hAnsi="方正小标宋_GBK" w:eastAsia="方正小标宋_GBK" w:cs="方正小标宋_GBK"/>
          <w:color w:val="000000"/>
          <w:sz w:val="28"/>
          <w:szCs w:val="28"/>
          <w:lang w:eastAsia="zh-CN"/>
        </w:rPr>
        <w:t>2023年“三公”经费公共预算财政拨款预算1.51万元，比上年减少0.02万元，同比下降1.31%。我单位经费变动主要原因分是人员减少。</w:t>
      </w:r>
    </w:p>
    <w:p>
      <w:pPr>
        <w:ind w:firstLine="560" w:firstLineChars="200"/>
        <w:rPr>
          <w:rFonts w:hint="eastAsia" w:ascii="方正小标宋_GBK" w:hAnsi="方正小标宋_GBK" w:eastAsia="方正小标宋_GBK" w:cs="方正小标宋_GBK"/>
          <w:color w:val="000000"/>
          <w:sz w:val="28"/>
          <w:szCs w:val="28"/>
          <w:lang w:eastAsia="zh-CN"/>
        </w:rPr>
      </w:pPr>
      <w:r>
        <w:rPr>
          <w:rFonts w:hint="eastAsia" w:ascii="方正小标宋_GBK" w:hAnsi="方正小标宋_GBK" w:eastAsia="方正小标宋_GBK" w:cs="方正小标宋_GBK"/>
          <w:color w:val="000000"/>
          <w:sz w:val="28"/>
          <w:szCs w:val="28"/>
          <w:lang w:eastAsia="zh-CN"/>
        </w:rPr>
        <w:t>具体支出情况如下：</w:t>
      </w:r>
    </w:p>
    <w:p>
      <w:pPr>
        <w:ind w:firstLine="560" w:firstLineChars="200"/>
        <w:rPr>
          <w:rFonts w:hint="eastAsia" w:ascii="方正小标宋_GBK" w:hAnsi="方正小标宋_GBK" w:eastAsia="方正小标宋_GBK" w:cs="方正小标宋_GBK"/>
          <w:color w:val="000000"/>
          <w:sz w:val="28"/>
          <w:szCs w:val="28"/>
          <w:lang w:eastAsia="zh-CN"/>
        </w:rPr>
      </w:pPr>
      <w:r>
        <w:rPr>
          <w:rFonts w:hint="eastAsia" w:ascii="方正小标宋_GBK" w:hAnsi="方正小标宋_GBK" w:eastAsia="方正小标宋_GBK" w:cs="方正小标宋_GBK"/>
          <w:color w:val="000000"/>
          <w:sz w:val="28"/>
          <w:szCs w:val="28"/>
          <w:lang w:eastAsia="zh-CN"/>
        </w:rPr>
        <w:t>（一）因公出国（境）费0万元，同比无增减变化。</w:t>
      </w:r>
    </w:p>
    <w:p>
      <w:pPr>
        <w:ind w:firstLine="560" w:firstLineChars="200"/>
        <w:rPr>
          <w:rFonts w:hint="eastAsia" w:ascii="方正小标宋_GBK" w:hAnsi="方正小标宋_GBK" w:eastAsia="方正小标宋_GBK" w:cs="方正小标宋_GBK"/>
          <w:color w:val="000000"/>
          <w:sz w:val="28"/>
          <w:szCs w:val="28"/>
          <w:lang w:eastAsia="zh-CN"/>
        </w:rPr>
      </w:pPr>
      <w:r>
        <w:rPr>
          <w:rFonts w:hint="eastAsia" w:ascii="方正小标宋_GBK" w:hAnsi="方正小标宋_GBK" w:eastAsia="方正小标宋_GBK" w:cs="方正小标宋_GBK"/>
          <w:color w:val="000000"/>
          <w:sz w:val="28"/>
          <w:szCs w:val="28"/>
          <w:lang w:eastAsia="zh-CN"/>
        </w:rPr>
        <w:t>（二）公务用车购置及运行维护费1.4万元，同比无增减变化。</w:t>
      </w:r>
    </w:p>
    <w:p>
      <w:pPr>
        <w:ind w:firstLine="560" w:firstLineChars="200"/>
        <w:rPr>
          <w:rFonts w:hint="default" w:ascii="方正小标宋_GBK" w:hAnsi="方正小标宋_GBK" w:eastAsia="方正小标宋_GBK" w:cs="方正小标宋_GBK"/>
          <w:color w:val="000000"/>
          <w:sz w:val="28"/>
          <w:szCs w:val="28"/>
          <w:lang w:val="en-US" w:eastAsia="zh-CN"/>
        </w:rPr>
      </w:pPr>
      <w:r>
        <w:rPr>
          <w:rFonts w:hint="eastAsia" w:ascii="方正小标宋_GBK" w:hAnsi="方正小标宋_GBK" w:eastAsia="方正小标宋_GBK" w:cs="方正小标宋_GBK"/>
          <w:color w:val="000000"/>
          <w:sz w:val="28"/>
          <w:szCs w:val="28"/>
          <w:lang w:eastAsia="zh-CN"/>
        </w:rPr>
        <w:t>（1）公务用车购置0万元，同比无增减变化。</w:t>
      </w:r>
      <w:r>
        <w:rPr>
          <w:rFonts w:hint="eastAsia" w:ascii="方正小标宋_GBK" w:hAnsi="方正小标宋_GBK" w:eastAsia="方正小标宋_GBK" w:cs="方正小标宋_GBK"/>
          <w:color w:val="000000"/>
          <w:sz w:val="28"/>
          <w:szCs w:val="28"/>
          <w:lang w:val="en-US" w:eastAsia="zh-CN"/>
        </w:rPr>
        <w:t xml:space="preserve"> </w:t>
      </w:r>
    </w:p>
    <w:p>
      <w:pPr>
        <w:ind w:firstLine="560" w:firstLineChars="200"/>
        <w:rPr>
          <w:rFonts w:hint="eastAsia" w:ascii="方正小标宋_GBK" w:hAnsi="方正小标宋_GBK" w:eastAsia="方正小标宋_GBK" w:cs="方正小标宋_GBK"/>
          <w:color w:val="000000"/>
          <w:sz w:val="28"/>
          <w:szCs w:val="28"/>
          <w:lang w:eastAsia="zh-CN"/>
        </w:rPr>
      </w:pPr>
      <w:r>
        <w:rPr>
          <w:rFonts w:hint="eastAsia" w:ascii="方正小标宋_GBK" w:hAnsi="方正小标宋_GBK" w:eastAsia="方正小标宋_GBK" w:cs="方正小标宋_GBK"/>
          <w:color w:val="000000"/>
          <w:sz w:val="28"/>
          <w:szCs w:val="28"/>
          <w:lang w:eastAsia="zh-CN"/>
        </w:rPr>
        <w:t>（2）公务用车运行维护费1.4万元，同比无增减变化。</w:t>
      </w:r>
    </w:p>
    <w:p>
      <w:pPr>
        <w:ind w:firstLine="560" w:firstLineChars="200"/>
        <w:rPr>
          <w:rFonts w:hint="eastAsia" w:ascii="方正小标宋_GBK" w:hAnsi="方正小标宋_GBK" w:eastAsia="方正小标宋_GBK" w:cs="方正小标宋_GBK"/>
          <w:color w:val="000000"/>
          <w:sz w:val="28"/>
          <w:szCs w:val="28"/>
          <w:lang w:eastAsia="zh-CN"/>
        </w:rPr>
      </w:pPr>
      <w:r>
        <w:rPr>
          <w:rFonts w:hint="eastAsia" w:ascii="方正小标宋_GBK" w:hAnsi="方正小标宋_GBK" w:eastAsia="方正小标宋_GBK" w:cs="方正小标宋_GBK"/>
          <w:color w:val="000000"/>
          <w:sz w:val="28"/>
          <w:szCs w:val="28"/>
          <w:lang w:eastAsia="zh-CN"/>
        </w:rPr>
        <w:t>（三）公务接待费0.11万元，同比减少0.02万元，同比下降15.38%。主要原因是人员减少。</w:t>
      </w:r>
    </w:p>
    <w:p>
      <w:pPr>
        <w:pStyle w:val="32"/>
        <w:rPr>
          <w:rFonts w:hint="eastAsia" w:ascii="方正小标宋_GBK" w:hAnsi="方正小标宋_GBK" w:eastAsia="方正小标宋_GBK" w:cs="方正小标宋_GBK"/>
          <w:sz w:val="32"/>
          <w:szCs w:val="32"/>
        </w:rPr>
      </w:pPr>
    </w:p>
    <w:p>
      <w:pPr>
        <w:numPr>
          <w:ilvl w:val="0"/>
          <w:numId w:val="1"/>
        </w:numPr>
        <w:spacing w:before="10" w:after="10"/>
        <w:ind w:firstLine="640"/>
        <w:outlineLvl w:val="5"/>
        <w:rPr>
          <w:rFonts w:hint="eastAsia" w:ascii="方正小标宋_GBK" w:hAnsi="方正小标宋_GBK" w:eastAsia="方正小标宋_GBK" w:cs="方正小标宋_GBK"/>
          <w:color w:val="000000"/>
          <w:sz w:val="32"/>
          <w:szCs w:val="32"/>
          <w:lang w:eastAsia="zh-CN"/>
        </w:rPr>
      </w:pPr>
      <w:r>
        <w:rPr>
          <w:rFonts w:hint="eastAsia" w:ascii="方正小标宋_GBK" w:hAnsi="方正小标宋_GBK" w:eastAsia="方正小标宋_GBK" w:cs="方正小标宋_GBK"/>
          <w:color w:val="000000"/>
          <w:sz w:val="32"/>
          <w:szCs w:val="32"/>
        </w:rPr>
        <w:t>预算绩效信息</w:t>
      </w:r>
      <w:r>
        <w:rPr>
          <w:rFonts w:hint="eastAsia" w:ascii="方正小标宋_GBK" w:hAnsi="方正小标宋_GBK" w:eastAsia="方正小标宋_GBK" w:cs="方正小标宋_GBK"/>
          <w:color w:val="000000"/>
          <w:sz w:val="32"/>
          <w:szCs w:val="32"/>
          <w:lang w:eastAsia="zh-CN"/>
        </w:rPr>
        <w:t>：</w:t>
      </w:r>
    </w:p>
    <w:tbl>
      <w:tblPr>
        <w:tblStyle w:val="8"/>
        <w:tblW w:w="149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9"/>
        <w:gridCol w:w="1345"/>
        <w:gridCol w:w="1928"/>
        <w:gridCol w:w="2518"/>
        <w:gridCol w:w="786"/>
        <w:gridCol w:w="696"/>
        <w:gridCol w:w="1697"/>
        <w:gridCol w:w="2160"/>
        <w:gridCol w:w="2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13914"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用于保障机关正常运转</w:t>
            </w:r>
            <w:r>
              <w:rPr>
                <w:rFonts w:ascii="Calibri" w:hAnsi="Calibri" w:eastAsia="宋体" w:cs="Calibri"/>
                <w:i w:val="0"/>
                <w:iCs w:val="0"/>
                <w:color w:val="000000"/>
                <w:kern w:val="0"/>
                <w:sz w:val="20"/>
                <w:szCs w:val="20"/>
                <w:u w:val="none"/>
                <w:lang w:val="en-US" w:eastAsia="zh-CN" w:bidi="ar"/>
              </w:rPr>
              <w:t>,</w:t>
            </w:r>
            <w:r>
              <w:rPr>
                <w:rStyle w:val="35"/>
                <w:sz w:val="20"/>
                <w:szCs w:val="20"/>
                <w:lang w:val="en-US" w:eastAsia="zh-CN" w:bidi="ar"/>
              </w:rPr>
              <w:t>服务于机关全年目标任务</w:t>
            </w:r>
            <w:r>
              <w:rPr>
                <w:rFonts w:ascii="Calibri" w:hAnsi="Calibri" w:eastAsia="宋体" w:cs="Calibri"/>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w:t>
            </w:r>
          </w:p>
        </w:tc>
        <w:tc>
          <w:tcPr>
            <w:tcW w:w="1256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合理安排财政资金支出计划,遵循单位财务规章制度.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w:t>
            </w:r>
            <w:r>
              <w:rPr>
                <w:rFonts w:ascii="Calibri" w:hAnsi="Calibri" w:eastAsia="宋体" w:cs="Calibri"/>
                <w:i w:val="0"/>
                <w:iCs w:val="0"/>
                <w:color w:val="000000"/>
                <w:kern w:val="0"/>
                <w:sz w:val="20"/>
                <w:szCs w:val="20"/>
                <w:u w:val="none"/>
                <w:lang w:val="en-US" w:eastAsia="zh-CN" w:bidi="ar"/>
              </w:rPr>
              <w:t>2</w:t>
            </w:r>
          </w:p>
        </w:tc>
        <w:tc>
          <w:tcPr>
            <w:tcW w:w="1256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在预算内安排进度支出,保障机关正常运转,服务机关全年目标任务.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1256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3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92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5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绩效指标描述（指标内容）</w:t>
            </w:r>
          </w:p>
        </w:tc>
        <w:tc>
          <w:tcPr>
            <w:tcW w:w="317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指标确定依据</w:t>
            </w:r>
          </w:p>
        </w:tc>
        <w:tc>
          <w:tcPr>
            <w:tcW w:w="27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3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2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5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符号</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值</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单位（文字描述）</w:t>
            </w: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7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工作日保障单位运转情况</w:t>
            </w:r>
          </w:p>
        </w:tc>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反映工作日保障单位运转情况</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调查结果</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经费支出准确率</w:t>
            </w:r>
          </w:p>
        </w:tc>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反映经费支出的准确情况</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98</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按时间进度要求</w:t>
            </w:r>
          </w:p>
        </w:tc>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月度时序</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文字描述</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支出进度要求</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各项经费成本</w:t>
            </w:r>
          </w:p>
        </w:tc>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考察各项经费成本情况</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文字描述</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top"/>
          </w:tcPr>
          <w:p>
            <w:pPr>
              <w:rPr>
                <w:rFonts w:hint="default" w:ascii="Calibri" w:hAnsi="Calibri" w:eastAsia="宋体" w:cs="Calibri"/>
                <w:i w:val="0"/>
                <w:iCs w:val="0"/>
                <w:color w:val="000000"/>
                <w:sz w:val="20"/>
                <w:szCs w:val="20"/>
                <w:u w:val="none"/>
              </w:rPr>
            </w:pPr>
          </w:p>
        </w:tc>
        <w:tc>
          <w:tcPr>
            <w:tcW w:w="16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小于等于核定数</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效益指标</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三公经费控制情况</w:t>
            </w:r>
          </w:p>
        </w:tc>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考察三公经费控制情况</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文字描述</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小于前三年平均值</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前三年决算</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前三年决算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正常办公条件保障</w:t>
            </w:r>
          </w:p>
        </w:tc>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反映正常办公条件保障情况</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文字描述</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维护机关正常办公秩序</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办公条件调查</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办公条件调查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使用节能减排产品的节能情况</w:t>
            </w:r>
          </w:p>
        </w:tc>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反映使用产品的节能减排情况</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文字描述</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持续使用</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产品持续使用情况调查表</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产品持续使用情况调查表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满意率</w:t>
            </w:r>
          </w:p>
        </w:tc>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机关工作人员满意度</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98</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工作人员反映调查结果</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工作人员反映调查结果</w:t>
            </w:r>
          </w:p>
        </w:tc>
      </w:tr>
    </w:tbl>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tbl>
      <w:tblPr>
        <w:tblStyle w:val="8"/>
        <w:tblW w:w="147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0"/>
        <w:gridCol w:w="1290"/>
        <w:gridCol w:w="1652"/>
        <w:gridCol w:w="2178"/>
        <w:gridCol w:w="929"/>
        <w:gridCol w:w="1089"/>
        <w:gridCol w:w="1571"/>
        <w:gridCol w:w="1858"/>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1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13602" w:type="dxa"/>
            <w:gridSpan w:val="8"/>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用于保障供养人员工资</w:t>
            </w:r>
            <w:r>
              <w:rPr>
                <w:rStyle w:val="36"/>
                <w:rFonts w:eastAsia="宋体"/>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津贴</w:t>
            </w:r>
            <w:r>
              <w:rPr>
                <w:rStyle w:val="36"/>
                <w:rFonts w:eastAsia="宋体"/>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奖金等足额发放</w:t>
            </w:r>
            <w:r>
              <w:rPr>
                <w:rStyle w:val="36"/>
                <w:rFonts w:eastAsia="宋体"/>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18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29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w:t>
            </w:r>
          </w:p>
        </w:tc>
        <w:tc>
          <w:tcPr>
            <w:tcW w:w="12312" w:type="dxa"/>
            <w:gridSpan w:val="7"/>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年度人员经费及时足额发放,保障财政供养人员正常工作和生活需要.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12312" w:type="dxa"/>
            <w:gridSpan w:val="7"/>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12312" w:type="dxa"/>
            <w:gridSpan w:val="7"/>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18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29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652"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178"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绩效指标描述（指标内容）</w:t>
            </w:r>
          </w:p>
        </w:tc>
        <w:tc>
          <w:tcPr>
            <w:tcW w:w="3589" w:type="dxa"/>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858"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指标确定依据</w:t>
            </w:r>
          </w:p>
        </w:tc>
        <w:tc>
          <w:tcPr>
            <w:tcW w:w="3035"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652"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178"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9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符号</w:t>
            </w:r>
          </w:p>
        </w:tc>
        <w:tc>
          <w:tcPr>
            <w:tcW w:w="108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值</w:t>
            </w:r>
          </w:p>
        </w:tc>
        <w:tc>
          <w:tcPr>
            <w:tcW w:w="157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单位（文字描述）</w:t>
            </w:r>
          </w:p>
        </w:tc>
        <w:tc>
          <w:tcPr>
            <w:tcW w:w="1858"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035"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18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12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5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出勤率</w:t>
            </w:r>
          </w:p>
        </w:tc>
        <w:tc>
          <w:tcPr>
            <w:tcW w:w="217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考核在编在岗人员出勤情况</w:t>
            </w:r>
          </w:p>
        </w:tc>
        <w:tc>
          <w:tcPr>
            <w:tcW w:w="929" w:type="dxa"/>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1089"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98</w:t>
            </w:r>
          </w:p>
        </w:tc>
        <w:tc>
          <w:tcPr>
            <w:tcW w:w="1571" w:type="dxa"/>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1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单位出勤表</w:t>
            </w:r>
          </w:p>
        </w:tc>
        <w:tc>
          <w:tcPr>
            <w:tcW w:w="303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单位出勤表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5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工资发放准确率</w:t>
            </w:r>
          </w:p>
        </w:tc>
        <w:tc>
          <w:tcPr>
            <w:tcW w:w="217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反映工资发放的准确情况</w:t>
            </w:r>
          </w:p>
        </w:tc>
        <w:tc>
          <w:tcPr>
            <w:tcW w:w="929" w:type="dxa"/>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1089"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100</w:t>
            </w:r>
          </w:p>
        </w:tc>
        <w:tc>
          <w:tcPr>
            <w:tcW w:w="1571" w:type="dxa"/>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1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工资表</w:t>
            </w:r>
          </w:p>
        </w:tc>
        <w:tc>
          <w:tcPr>
            <w:tcW w:w="303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5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按月足额拨付时间</w:t>
            </w:r>
          </w:p>
        </w:tc>
        <w:tc>
          <w:tcPr>
            <w:tcW w:w="217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每月足额拨付资金</w:t>
            </w:r>
          </w:p>
        </w:tc>
        <w:tc>
          <w:tcPr>
            <w:tcW w:w="9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文字描述</w:t>
            </w:r>
          </w:p>
        </w:tc>
        <w:tc>
          <w:tcPr>
            <w:tcW w:w="1089" w:type="dxa"/>
            <w:shd w:val="clear" w:color="auto" w:fill="auto"/>
            <w:vAlign w:val="center"/>
          </w:tcPr>
          <w:p>
            <w:pPr>
              <w:jc w:val="right"/>
              <w:rPr>
                <w:rFonts w:hint="default" w:ascii="Calibri" w:hAnsi="Calibri" w:eastAsia="宋体" w:cs="Calibri"/>
                <w:i w:val="0"/>
                <w:iCs w:val="0"/>
                <w:color w:val="000000"/>
                <w:sz w:val="20"/>
                <w:szCs w:val="20"/>
                <w:u w:val="none"/>
              </w:rPr>
            </w:pPr>
          </w:p>
        </w:tc>
        <w:tc>
          <w:tcPr>
            <w:tcW w:w="157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w:t>
            </w:r>
            <w:r>
              <w:rPr>
                <w:rStyle w:val="36"/>
                <w:rFonts w:eastAsia="宋体"/>
                <w:sz w:val="20"/>
                <w:szCs w:val="20"/>
                <w:lang w:val="en-US" w:eastAsia="zh-CN" w:bidi="ar"/>
              </w:rPr>
              <w:t>8</w:t>
            </w:r>
            <w:r>
              <w:rPr>
                <w:rFonts w:hint="eastAsia" w:ascii="宋体" w:hAnsi="宋体" w:eastAsia="宋体" w:cs="宋体"/>
                <w:i w:val="0"/>
                <w:iCs w:val="0"/>
                <w:color w:val="000000"/>
                <w:kern w:val="0"/>
                <w:sz w:val="20"/>
                <w:szCs w:val="20"/>
                <w:u w:val="none"/>
                <w:lang w:val="en-US" w:eastAsia="zh-CN" w:bidi="ar"/>
              </w:rPr>
              <w:t>号前</w:t>
            </w:r>
          </w:p>
        </w:tc>
        <w:tc>
          <w:tcPr>
            <w:tcW w:w="1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工资表</w:t>
            </w:r>
          </w:p>
        </w:tc>
        <w:tc>
          <w:tcPr>
            <w:tcW w:w="303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52"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个人核定工资数</w:t>
            </w:r>
          </w:p>
        </w:tc>
        <w:tc>
          <w:tcPr>
            <w:tcW w:w="2178"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个人核对工资数额</w:t>
            </w:r>
          </w:p>
        </w:tc>
        <w:tc>
          <w:tcPr>
            <w:tcW w:w="929"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文字描述</w:t>
            </w:r>
          </w:p>
        </w:tc>
        <w:tc>
          <w:tcPr>
            <w:tcW w:w="1089" w:type="dxa"/>
            <w:shd w:val="clear" w:color="auto" w:fill="auto"/>
            <w:vAlign w:val="top"/>
          </w:tcPr>
          <w:p>
            <w:pPr>
              <w:rPr>
                <w:rFonts w:hint="default" w:ascii="Calibri" w:hAnsi="Calibri" w:eastAsia="宋体" w:cs="Calibri"/>
                <w:i w:val="0"/>
                <w:iCs w:val="0"/>
                <w:color w:val="000000"/>
                <w:sz w:val="20"/>
                <w:szCs w:val="20"/>
                <w:u w:val="none"/>
              </w:rPr>
            </w:pPr>
          </w:p>
        </w:tc>
        <w:tc>
          <w:tcPr>
            <w:tcW w:w="157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工资标准</w:t>
            </w:r>
          </w:p>
        </w:tc>
        <w:tc>
          <w:tcPr>
            <w:tcW w:w="1858"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工资表</w:t>
            </w:r>
          </w:p>
        </w:tc>
        <w:tc>
          <w:tcPr>
            <w:tcW w:w="3035"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18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效益指标</w:t>
            </w:r>
          </w:p>
        </w:tc>
        <w:tc>
          <w:tcPr>
            <w:tcW w:w="12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65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机关工作人员尽职尽责情况</w:t>
            </w:r>
          </w:p>
        </w:tc>
        <w:tc>
          <w:tcPr>
            <w:tcW w:w="217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考察机关工作人员尽职尽责情况</w:t>
            </w:r>
          </w:p>
        </w:tc>
        <w:tc>
          <w:tcPr>
            <w:tcW w:w="929" w:type="dxa"/>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1089"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100</w:t>
            </w:r>
          </w:p>
        </w:tc>
        <w:tc>
          <w:tcPr>
            <w:tcW w:w="1571" w:type="dxa"/>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1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工资人员年度考核表</w:t>
            </w:r>
          </w:p>
        </w:tc>
        <w:tc>
          <w:tcPr>
            <w:tcW w:w="303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工资人员年度考核表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65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按三包政策工资逐月及时发放</w:t>
            </w:r>
          </w:p>
        </w:tc>
        <w:tc>
          <w:tcPr>
            <w:tcW w:w="2178" w:type="dxa"/>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反映</w:t>
            </w:r>
            <w:r>
              <w:rPr>
                <w:rStyle w:val="36"/>
                <w:rFonts w:eastAsia="宋体"/>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三包</w:t>
            </w:r>
            <w:r>
              <w:rPr>
                <w:rStyle w:val="36"/>
                <w:rFonts w:eastAsia="宋体"/>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政策</w:t>
            </w:r>
            <w:r>
              <w:rPr>
                <w:rStyle w:val="36"/>
                <w:rFonts w:eastAsia="宋体"/>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工资逐月及时发放</w:t>
            </w:r>
          </w:p>
        </w:tc>
        <w:tc>
          <w:tcPr>
            <w:tcW w:w="9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文字描述</w:t>
            </w:r>
          </w:p>
        </w:tc>
        <w:tc>
          <w:tcPr>
            <w:tcW w:w="1089" w:type="dxa"/>
            <w:shd w:val="clear" w:color="auto" w:fill="auto"/>
            <w:vAlign w:val="center"/>
          </w:tcPr>
          <w:p>
            <w:pPr>
              <w:jc w:val="right"/>
              <w:rPr>
                <w:rFonts w:hint="default" w:ascii="Calibri" w:hAnsi="Calibri" w:eastAsia="宋体" w:cs="Calibri"/>
                <w:i w:val="0"/>
                <w:iCs w:val="0"/>
                <w:color w:val="000000"/>
                <w:sz w:val="20"/>
                <w:szCs w:val="20"/>
                <w:u w:val="none"/>
              </w:rPr>
            </w:pPr>
          </w:p>
        </w:tc>
        <w:tc>
          <w:tcPr>
            <w:tcW w:w="157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每月发放工资</w:t>
            </w:r>
          </w:p>
        </w:tc>
        <w:tc>
          <w:tcPr>
            <w:tcW w:w="1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工资表</w:t>
            </w:r>
          </w:p>
        </w:tc>
        <w:tc>
          <w:tcPr>
            <w:tcW w:w="303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1652"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2178"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929"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1089" w:type="dxa"/>
            <w:shd w:val="clear" w:color="auto" w:fill="auto"/>
            <w:vAlign w:val="center"/>
          </w:tcPr>
          <w:p>
            <w:pPr>
              <w:jc w:val="right"/>
              <w:rPr>
                <w:rFonts w:hint="default" w:ascii="Calibri" w:hAnsi="Calibri" w:eastAsia="宋体" w:cs="Calibri"/>
                <w:i w:val="0"/>
                <w:iCs w:val="0"/>
                <w:color w:val="000000"/>
                <w:sz w:val="20"/>
                <w:szCs w:val="20"/>
                <w:u w:val="none"/>
              </w:rPr>
            </w:pPr>
          </w:p>
        </w:tc>
        <w:tc>
          <w:tcPr>
            <w:tcW w:w="1571"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1858"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3035" w:type="dxa"/>
            <w:shd w:val="clear" w:color="auto" w:fill="auto"/>
            <w:vAlign w:val="center"/>
          </w:tcPr>
          <w:p>
            <w:pPr>
              <w:jc w:val="left"/>
              <w:rPr>
                <w:rFonts w:hint="default" w:ascii="Calibri" w:hAnsi="Calibri" w:eastAsia="宋体" w:cs="Calibri"/>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18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29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65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单位供养人员满意度</w:t>
            </w:r>
          </w:p>
        </w:tc>
        <w:tc>
          <w:tcPr>
            <w:tcW w:w="217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反映单位财政供养人员的满意度</w:t>
            </w:r>
          </w:p>
        </w:tc>
        <w:tc>
          <w:tcPr>
            <w:tcW w:w="929" w:type="dxa"/>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1089" w:type="dxa"/>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98</w:t>
            </w:r>
          </w:p>
        </w:tc>
        <w:tc>
          <w:tcPr>
            <w:tcW w:w="1571" w:type="dxa"/>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1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供养人员反应调查</w:t>
            </w:r>
          </w:p>
        </w:tc>
        <w:tc>
          <w:tcPr>
            <w:tcW w:w="303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供养人员反应调查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1652"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2178"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929"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1089" w:type="dxa"/>
            <w:shd w:val="clear" w:color="auto" w:fill="auto"/>
            <w:vAlign w:val="center"/>
          </w:tcPr>
          <w:p>
            <w:pPr>
              <w:jc w:val="right"/>
              <w:rPr>
                <w:rFonts w:hint="default" w:ascii="Calibri" w:hAnsi="Calibri" w:eastAsia="宋体" w:cs="Calibri"/>
                <w:i w:val="0"/>
                <w:iCs w:val="0"/>
                <w:color w:val="000000"/>
                <w:sz w:val="20"/>
                <w:szCs w:val="20"/>
                <w:u w:val="none"/>
              </w:rPr>
            </w:pPr>
          </w:p>
        </w:tc>
        <w:tc>
          <w:tcPr>
            <w:tcW w:w="1571"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1858" w:type="dxa"/>
            <w:shd w:val="clear" w:color="auto" w:fill="auto"/>
            <w:vAlign w:val="center"/>
          </w:tcPr>
          <w:p>
            <w:pPr>
              <w:jc w:val="left"/>
              <w:rPr>
                <w:rFonts w:hint="default" w:ascii="Calibri" w:hAnsi="Calibri" w:eastAsia="宋体" w:cs="Calibri"/>
                <w:i w:val="0"/>
                <w:iCs w:val="0"/>
                <w:color w:val="000000"/>
                <w:sz w:val="20"/>
                <w:szCs w:val="20"/>
                <w:u w:val="none"/>
              </w:rPr>
            </w:pPr>
          </w:p>
        </w:tc>
        <w:tc>
          <w:tcPr>
            <w:tcW w:w="3035" w:type="dxa"/>
            <w:shd w:val="clear" w:color="auto" w:fill="auto"/>
            <w:vAlign w:val="center"/>
          </w:tcPr>
          <w:p>
            <w:pPr>
              <w:jc w:val="left"/>
              <w:rPr>
                <w:rFonts w:hint="default" w:ascii="Calibri" w:hAnsi="Calibri" w:eastAsia="宋体" w:cs="Calibri"/>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0" w:type="dxa"/>
            <w:vMerge w:val="continue"/>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90" w:type="dxa"/>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1652" w:type="dxa"/>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2178" w:type="dxa"/>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929" w:type="dxa"/>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1089" w:type="dxa"/>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571" w:type="dxa"/>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1858" w:type="dxa"/>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3035" w:type="dxa"/>
            <w:shd w:val="clear" w:color="auto" w:fill="auto"/>
            <w:noWrap/>
            <w:vAlign w:val="center"/>
          </w:tcPr>
          <w:p>
            <w:pPr>
              <w:jc w:val="left"/>
              <w:rPr>
                <w:rFonts w:hint="default" w:ascii="Calibri" w:hAnsi="Calibri" w:eastAsia="宋体" w:cs="Calibri"/>
                <w:i w:val="0"/>
                <w:iCs w:val="0"/>
                <w:color w:val="000000"/>
                <w:sz w:val="20"/>
                <w:szCs w:val="20"/>
                <w:u w:val="none"/>
              </w:rPr>
            </w:pPr>
          </w:p>
        </w:tc>
      </w:tr>
    </w:tbl>
    <w:p>
      <w:pPr>
        <w:numPr>
          <w:numId w:val="0"/>
        </w:numPr>
        <w:spacing w:before="10" w:after="10"/>
        <w:outlineLvl w:val="5"/>
        <w:rPr>
          <w:rFonts w:hint="eastAsia" w:ascii="方正小标宋_GBK" w:hAnsi="方正小标宋_GBK" w:eastAsia="方正小标宋_GBK" w:cs="方正小标宋_GBK"/>
          <w:color w:val="000000"/>
          <w:sz w:val="32"/>
          <w:szCs w:val="32"/>
          <w:lang w:eastAsia="zh-CN"/>
        </w:rPr>
      </w:pPr>
    </w:p>
    <w:p>
      <w:pPr>
        <w:numPr>
          <w:numId w:val="0"/>
        </w:numPr>
        <w:spacing w:before="10" w:after="10"/>
        <w:ind w:firstLine="640" w:firstLineChars="200"/>
        <w:outlineLvl w:val="5"/>
        <w:rPr>
          <w:rFonts w:hint="eastAsia" w:ascii="方正小标宋_GBK" w:hAnsi="方正小标宋_GBK" w:eastAsia="方正小标宋_GBK" w:cs="方正小标宋_GBK"/>
          <w:color w:val="000000"/>
          <w:sz w:val="32"/>
        </w:rPr>
      </w:pPr>
    </w:p>
    <w:p>
      <w:pPr>
        <w:numPr>
          <w:numId w:val="0"/>
        </w:numPr>
        <w:spacing w:before="10" w:after="10"/>
        <w:ind w:firstLine="640" w:firstLineChars="200"/>
        <w:outlineLvl w:val="5"/>
        <w:rPr>
          <w:rFonts w:hint="eastAsia" w:ascii="方正小标宋_GBK" w:hAnsi="方正小标宋_GBK" w:eastAsia="方正小标宋_GBK" w:cs="方正小标宋_GBK"/>
          <w:color w:val="000000"/>
          <w:sz w:val="32"/>
        </w:rPr>
      </w:pPr>
    </w:p>
    <w:p>
      <w:pPr>
        <w:numPr>
          <w:numId w:val="0"/>
        </w:numPr>
        <w:spacing w:before="10" w:after="10"/>
        <w:ind w:firstLine="640" w:firstLineChars="200"/>
        <w:outlineLvl w:val="5"/>
        <w:rPr>
          <w:rFonts w:hint="eastAsia" w:ascii="方正小标宋_GBK" w:hAnsi="方正小标宋_GBK" w:eastAsia="方正小标宋_GBK" w:cs="方正小标宋_GBK"/>
          <w:color w:val="000000"/>
          <w:sz w:val="32"/>
        </w:rPr>
      </w:pPr>
    </w:p>
    <w:p>
      <w:pPr>
        <w:numPr>
          <w:numId w:val="0"/>
        </w:numPr>
        <w:spacing w:before="10" w:after="10"/>
        <w:ind w:firstLine="640" w:firstLineChars="200"/>
        <w:outlineLvl w:val="5"/>
        <w:rPr>
          <w:rFonts w:hint="eastAsia" w:ascii="方正小标宋_GBK" w:hAnsi="方正小标宋_GBK" w:eastAsia="方正小标宋_GBK" w:cs="方正小标宋_GBK"/>
          <w:color w:val="000000"/>
          <w:sz w:val="32"/>
        </w:rPr>
      </w:pPr>
    </w:p>
    <w:p>
      <w:pPr>
        <w:numPr>
          <w:numId w:val="0"/>
        </w:numPr>
        <w:spacing w:before="10" w:after="10"/>
        <w:ind w:firstLine="640" w:firstLineChars="200"/>
        <w:outlineLvl w:val="5"/>
        <w:rPr>
          <w:rFonts w:hint="eastAsia" w:ascii="方正小标宋_GBK" w:hAnsi="方正小标宋_GBK" w:eastAsia="方正小标宋_GBK" w:cs="方正小标宋_GBK"/>
          <w:color w:val="000000"/>
          <w:sz w:val="32"/>
        </w:rPr>
      </w:pPr>
    </w:p>
    <w:p>
      <w:pPr>
        <w:numPr>
          <w:numId w:val="0"/>
        </w:numPr>
        <w:spacing w:before="10" w:after="10"/>
        <w:ind w:firstLine="640" w:firstLineChars="200"/>
        <w:outlineLvl w:val="5"/>
        <w:rPr>
          <w:rFonts w:hint="eastAsia" w:ascii="方正小标宋_GBK" w:hAnsi="方正小标宋_GBK" w:eastAsia="方正小标宋_GBK" w:cs="方正小标宋_GBK"/>
          <w:color w:val="000000"/>
          <w:sz w:val="32"/>
        </w:rPr>
      </w:pPr>
    </w:p>
    <w:p>
      <w:pPr>
        <w:numPr>
          <w:numId w:val="0"/>
        </w:numPr>
        <w:spacing w:before="10" w:after="10"/>
        <w:ind w:firstLine="640" w:firstLineChars="200"/>
        <w:outlineLvl w:val="5"/>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sz w:val="32"/>
        </w:rPr>
        <w:t>六、政府采购预算情况</w:t>
      </w:r>
    </w:p>
    <w:p>
      <w:pPr>
        <w:spacing w:line="500" w:lineRule="exact"/>
        <w:ind w:firstLine="560"/>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8"/>
        </w:rPr>
        <w:t>2023年，承德市生态环境局双滦区分局安排政府采购预算0.00万元。具体内容见下表。</w:t>
      </w:r>
    </w:p>
    <w:p>
      <w:pPr>
        <w:jc w:val="center"/>
        <w:rPr>
          <w:rFonts w:hint="eastAsia" w:ascii="方正小标宋_GBK" w:hAnsi="方正小标宋_GBK" w:eastAsia="方正小标宋_GBK" w:cs="方正小标宋_GBK"/>
          <w:color w:val="000000"/>
          <w:sz w:val="36"/>
        </w:rPr>
      </w:pPr>
    </w:p>
    <w:p>
      <w:pPr>
        <w:ind w:firstLine="6120" w:firstLineChars="1700"/>
        <w:jc w:val="both"/>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483"/>
        <w:gridCol w:w="425"/>
        <w:gridCol w:w="1276"/>
        <w:gridCol w:w="567"/>
        <w:gridCol w:w="850"/>
        <w:gridCol w:w="709"/>
        <w:gridCol w:w="992"/>
        <w:gridCol w:w="992"/>
        <w:gridCol w:w="567"/>
        <w:gridCol w:w="368"/>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117" w:type="dxa"/>
            <w:gridSpan w:val="7"/>
            <w:tcBorders>
              <w:top w:val="single" w:color="FFFFFF" w:sz="6" w:space="0"/>
              <w:left w:val="single" w:color="FFFFFF" w:sz="6" w:space="0"/>
              <w:right w:val="single" w:color="FFFFFF" w:sz="6" w:space="0"/>
            </w:tcBorders>
            <w:vAlign w:val="center"/>
          </w:tcPr>
          <w:p>
            <w:pPr>
              <w:pStyle w:val="13"/>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571004承德市生态环境局双滦区分局</w:t>
            </w:r>
          </w:p>
        </w:tc>
        <w:tc>
          <w:tcPr>
            <w:tcW w:w="8901" w:type="dxa"/>
            <w:gridSpan w:val="11"/>
            <w:tcBorders>
              <w:top w:val="single" w:color="FFFFFF" w:sz="6" w:space="0"/>
              <w:left w:val="single" w:color="FFFFFF" w:sz="6" w:space="0"/>
              <w:right w:val="single" w:color="FFFFFF" w:sz="6" w:space="0"/>
            </w:tcBorders>
            <w:vAlign w:val="center"/>
          </w:tcPr>
          <w:p>
            <w:pPr>
              <w:pStyle w:val="28"/>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政府采购项目来源</w:t>
            </w:r>
          </w:p>
        </w:tc>
        <w:tc>
          <w:tcPr>
            <w:tcW w:w="1134" w:type="dxa"/>
            <w:vMerge w:val="restart"/>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采购物品名称</w:t>
            </w:r>
          </w:p>
        </w:tc>
        <w:tc>
          <w:tcPr>
            <w:tcW w:w="1134" w:type="dxa"/>
            <w:vMerge w:val="restart"/>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政府采购目录序号</w:t>
            </w:r>
          </w:p>
        </w:tc>
        <w:tc>
          <w:tcPr>
            <w:tcW w:w="483" w:type="dxa"/>
            <w:vMerge w:val="restart"/>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计量单位</w:t>
            </w:r>
          </w:p>
        </w:tc>
        <w:tc>
          <w:tcPr>
            <w:tcW w:w="425" w:type="dxa"/>
            <w:vMerge w:val="restart"/>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数量</w:t>
            </w:r>
          </w:p>
        </w:tc>
        <w:tc>
          <w:tcPr>
            <w:tcW w:w="1276" w:type="dxa"/>
            <w:vMerge w:val="restart"/>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单价</w:t>
            </w:r>
          </w:p>
        </w:tc>
        <w:tc>
          <w:tcPr>
            <w:tcW w:w="7937" w:type="dxa"/>
            <w:gridSpan w:val="10"/>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政府采购金额（当年部门预算安排资金）</w:t>
            </w:r>
          </w:p>
        </w:tc>
        <w:tc>
          <w:tcPr>
            <w:tcW w:w="964" w:type="dxa"/>
            <w:vMerge w:val="restart"/>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2023年预留中小微企业份额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项目名称</w:t>
            </w:r>
          </w:p>
        </w:tc>
        <w:tc>
          <w:tcPr>
            <w:tcW w:w="964" w:type="dxa"/>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预算资金</w:t>
            </w:r>
          </w:p>
        </w:tc>
        <w:tc>
          <w:tcPr>
            <w:tcW w:w="1134" w:type="dxa"/>
            <w:vMerge w:val="continue"/>
          </w:tcPr>
          <w:p>
            <w:pPr>
              <w:rPr>
                <w:rFonts w:hint="eastAsia" w:ascii="方正小标宋_GBK" w:hAnsi="方正小标宋_GBK" w:eastAsia="方正小标宋_GBK" w:cs="方正小标宋_GBK"/>
              </w:rPr>
            </w:pPr>
          </w:p>
        </w:tc>
        <w:tc>
          <w:tcPr>
            <w:tcW w:w="1134" w:type="dxa"/>
            <w:vMerge w:val="continue"/>
          </w:tcPr>
          <w:p>
            <w:pPr>
              <w:rPr>
                <w:rFonts w:hint="eastAsia" w:ascii="方正小标宋_GBK" w:hAnsi="方正小标宋_GBK" w:eastAsia="方正小标宋_GBK" w:cs="方正小标宋_GBK"/>
              </w:rPr>
            </w:pPr>
          </w:p>
        </w:tc>
        <w:tc>
          <w:tcPr>
            <w:tcW w:w="483" w:type="dxa"/>
            <w:vMerge w:val="continue"/>
          </w:tcPr>
          <w:p>
            <w:pPr>
              <w:rPr>
                <w:rFonts w:hint="eastAsia" w:ascii="方正小标宋_GBK" w:hAnsi="方正小标宋_GBK" w:eastAsia="方正小标宋_GBK" w:cs="方正小标宋_GBK"/>
              </w:rPr>
            </w:pPr>
          </w:p>
        </w:tc>
        <w:tc>
          <w:tcPr>
            <w:tcW w:w="425" w:type="dxa"/>
            <w:vMerge w:val="continue"/>
          </w:tcPr>
          <w:p>
            <w:pPr>
              <w:rPr>
                <w:rFonts w:hint="eastAsia" w:ascii="方正小标宋_GBK" w:hAnsi="方正小标宋_GBK" w:eastAsia="方正小标宋_GBK" w:cs="方正小标宋_GBK"/>
              </w:rPr>
            </w:pPr>
          </w:p>
        </w:tc>
        <w:tc>
          <w:tcPr>
            <w:tcW w:w="1276" w:type="dxa"/>
            <w:vMerge w:val="continue"/>
          </w:tcPr>
          <w:p>
            <w:pPr>
              <w:rPr>
                <w:rFonts w:hint="eastAsia" w:ascii="方正小标宋_GBK" w:hAnsi="方正小标宋_GBK" w:eastAsia="方正小标宋_GBK" w:cs="方正小标宋_GBK"/>
              </w:rPr>
            </w:pPr>
          </w:p>
        </w:tc>
        <w:tc>
          <w:tcPr>
            <w:tcW w:w="567" w:type="dxa"/>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合计</w:t>
            </w:r>
          </w:p>
        </w:tc>
        <w:tc>
          <w:tcPr>
            <w:tcW w:w="850" w:type="dxa"/>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一般公共预算拨款</w:t>
            </w:r>
          </w:p>
        </w:tc>
        <w:tc>
          <w:tcPr>
            <w:tcW w:w="709" w:type="dxa"/>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基金预算拨款</w:t>
            </w:r>
          </w:p>
        </w:tc>
        <w:tc>
          <w:tcPr>
            <w:tcW w:w="992" w:type="dxa"/>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国有资本经营预算拨款</w:t>
            </w:r>
          </w:p>
        </w:tc>
        <w:tc>
          <w:tcPr>
            <w:tcW w:w="992" w:type="dxa"/>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财政专户核拨</w:t>
            </w:r>
          </w:p>
        </w:tc>
        <w:tc>
          <w:tcPr>
            <w:tcW w:w="567" w:type="dxa"/>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单位资金</w:t>
            </w:r>
          </w:p>
        </w:tc>
        <w:tc>
          <w:tcPr>
            <w:tcW w:w="2296" w:type="dxa"/>
            <w:gridSpan w:val="3"/>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财政拨款结转</w:t>
            </w:r>
          </w:p>
        </w:tc>
        <w:tc>
          <w:tcPr>
            <w:tcW w:w="964" w:type="dxa"/>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非财政拨款结转结余</w:t>
            </w:r>
          </w:p>
        </w:tc>
        <w:tc>
          <w:tcPr>
            <w:tcW w:w="964" w:type="dxa"/>
            <w:vMerge w:val="continue"/>
          </w:tcPr>
          <w:p>
            <w:pPr>
              <w:rPr>
                <w:rFonts w:hint="eastAsia" w:ascii="方正小标宋_GBK" w:hAnsi="方正小标宋_GBK" w:eastAsia="方正小标宋_GBK" w:cs="方正小标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ascii="方正小标宋_GBK" w:hAnsi="方正小标宋_GBK" w:eastAsia="方正小标宋_GBK" w:cs="方正小标宋_GBK"/>
              </w:rPr>
            </w:pPr>
          </w:p>
        </w:tc>
        <w:tc>
          <w:tcPr>
            <w:tcW w:w="964" w:type="dxa"/>
            <w:vAlign w:val="center"/>
          </w:tcPr>
          <w:p>
            <w:pPr>
              <w:pStyle w:val="15"/>
              <w:rPr>
                <w:rFonts w:hint="eastAsia" w:ascii="方正小标宋_GBK" w:hAnsi="方正小标宋_GBK" w:eastAsia="方正小标宋_GBK" w:cs="方正小标宋_GBK"/>
              </w:rPr>
            </w:pPr>
          </w:p>
        </w:tc>
        <w:tc>
          <w:tcPr>
            <w:tcW w:w="1134" w:type="dxa"/>
            <w:vAlign w:val="center"/>
          </w:tcPr>
          <w:p>
            <w:pPr>
              <w:pStyle w:val="16"/>
              <w:rPr>
                <w:rFonts w:hint="eastAsia" w:ascii="方正小标宋_GBK" w:hAnsi="方正小标宋_GBK" w:eastAsia="方正小标宋_GBK" w:cs="方正小标宋_GBK"/>
              </w:rPr>
            </w:pPr>
          </w:p>
        </w:tc>
        <w:tc>
          <w:tcPr>
            <w:tcW w:w="1134" w:type="dxa"/>
            <w:vAlign w:val="center"/>
          </w:tcPr>
          <w:p>
            <w:pPr>
              <w:pStyle w:val="16"/>
              <w:rPr>
                <w:rFonts w:hint="eastAsia" w:ascii="方正小标宋_GBK" w:hAnsi="方正小标宋_GBK" w:eastAsia="方正小标宋_GBK" w:cs="方正小标宋_GBK"/>
              </w:rPr>
            </w:pPr>
          </w:p>
        </w:tc>
        <w:tc>
          <w:tcPr>
            <w:tcW w:w="483" w:type="dxa"/>
            <w:vAlign w:val="center"/>
          </w:tcPr>
          <w:p>
            <w:pPr>
              <w:pStyle w:val="17"/>
              <w:rPr>
                <w:rFonts w:hint="eastAsia" w:ascii="方正小标宋_GBK" w:hAnsi="方正小标宋_GBK" w:eastAsia="方正小标宋_GBK" w:cs="方正小标宋_GBK"/>
              </w:rPr>
            </w:pPr>
          </w:p>
        </w:tc>
        <w:tc>
          <w:tcPr>
            <w:tcW w:w="425" w:type="dxa"/>
            <w:vAlign w:val="center"/>
          </w:tcPr>
          <w:p>
            <w:pPr>
              <w:pStyle w:val="15"/>
              <w:rPr>
                <w:rFonts w:hint="eastAsia" w:ascii="方正小标宋_GBK" w:hAnsi="方正小标宋_GBK" w:eastAsia="方正小标宋_GBK" w:cs="方正小标宋_GBK"/>
              </w:rPr>
            </w:pPr>
          </w:p>
        </w:tc>
        <w:tc>
          <w:tcPr>
            <w:tcW w:w="1276" w:type="dxa"/>
            <w:vAlign w:val="center"/>
          </w:tcPr>
          <w:p>
            <w:pPr>
              <w:pStyle w:val="15"/>
              <w:rPr>
                <w:rFonts w:hint="eastAsia" w:ascii="方正小标宋_GBK" w:hAnsi="方正小标宋_GBK" w:eastAsia="方正小标宋_GBK" w:cs="方正小标宋_GBK"/>
              </w:rPr>
            </w:pPr>
          </w:p>
        </w:tc>
        <w:tc>
          <w:tcPr>
            <w:tcW w:w="567" w:type="dxa"/>
            <w:vAlign w:val="center"/>
          </w:tcPr>
          <w:p>
            <w:pPr>
              <w:pStyle w:val="15"/>
              <w:rPr>
                <w:rFonts w:hint="eastAsia" w:ascii="方正小标宋_GBK" w:hAnsi="方正小标宋_GBK" w:eastAsia="方正小标宋_GBK" w:cs="方正小标宋_GBK"/>
              </w:rPr>
            </w:pPr>
          </w:p>
        </w:tc>
        <w:tc>
          <w:tcPr>
            <w:tcW w:w="850" w:type="dxa"/>
            <w:vAlign w:val="center"/>
          </w:tcPr>
          <w:p>
            <w:pPr>
              <w:pStyle w:val="15"/>
              <w:rPr>
                <w:rFonts w:hint="eastAsia" w:ascii="方正小标宋_GBK" w:hAnsi="方正小标宋_GBK" w:eastAsia="方正小标宋_GBK" w:cs="方正小标宋_GBK"/>
              </w:rPr>
            </w:pPr>
          </w:p>
        </w:tc>
        <w:tc>
          <w:tcPr>
            <w:tcW w:w="709" w:type="dxa"/>
            <w:vAlign w:val="center"/>
          </w:tcPr>
          <w:p>
            <w:pPr>
              <w:pStyle w:val="15"/>
              <w:rPr>
                <w:rFonts w:hint="eastAsia" w:ascii="方正小标宋_GBK" w:hAnsi="方正小标宋_GBK" w:eastAsia="方正小标宋_GBK" w:cs="方正小标宋_GBK"/>
              </w:rPr>
            </w:pPr>
          </w:p>
        </w:tc>
        <w:tc>
          <w:tcPr>
            <w:tcW w:w="992" w:type="dxa"/>
            <w:vAlign w:val="center"/>
          </w:tcPr>
          <w:p>
            <w:pPr>
              <w:pStyle w:val="15"/>
              <w:rPr>
                <w:rFonts w:hint="eastAsia" w:ascii="方正小标宋_GBK" w:hAnsi="方正小标宋_GBK" w:eastAsia="方正小标宋_GBK" w:cs="方正小标宋_GBK"/>
              </w:rPr>
            </w:pPr>
          </w:p>
        </w:tc>
        <w:tc>
          <w:tcPr>
            <w:tcW w:w="1927" w:type="dxa"/>
            <w:gridSpan w:val="3"/>
            <w:vAlign w:val="center"/>
          </w:tcPr>
          <w:p>
            <w:pPr>
              <w:pStyle w:val="15"/>
              <w:rPr>
                <w:rFonts w:hint="eastAsia" w:ascii="方正小标宋_GBK" w:hAnsi="方正小标宋_GBK" w:eastAsia="方正小标宋_GBK" w:cs="方正小标宋_GBK"/>
              </w:rPr>
            </w:pPr>
          </w:p>
        </w:tc>
        <w:tc>
          <w:tcPr>
            <w:tcW w:w="964" w:type="dxa"/>
            <w:vAlign w:val="center"/>
          </w:tcPr>
          <w:p>
            <w:pPr>
              <w:pStyle w:val="15"/>
              <w:rPr>
                <w:rFonts w:hint="eastAsia" w:ascii="方正小标宋_GBK" w:hAnsi="方正小标宋_GBK" w:eastAsia="方正小标宋_GBK" w:cs="方正小标宋_GBK"/>
              </w:rPr>
            </w:pPr>
          </w:p>
        </w:tc>
        <w:tc>
          <w:tcPr>
            <w:tcW w:w="964" w:type="dxa"/>
            <w:vAlign w:val="center"/>
          </w:tcPr>
          <w:p>
            <w:pPr>
              <w:pStyle w:val="15"/>
              <w:rPr>
                <w:rFonts w:hint="eastAsia" w:ascii="方正小标宋_GBK" w:hAnsi="方正小标宋_GBK" w:eastAsia="方正小标宋_GBK" w:cs="方正小标宋_GBK"/>
              </w:rPr>
            </w:pPr>
          </w:p>
        </w:tc>
        <w:tc>
          <w:tcPr>
            <w:tcW w:w="964" w:type="dxa"/>
            <w:vAlign w:val="center"/>
          </w:tcPr>
          <w:p>
            <w:pPr>
              <w:pStyle w:val="15"/>
              <w:rPr>
                <w:rFonts w:hint="eastAsia" w:ascii="方正小标宋_GBK" w:hAnsi="方正小标宋_GBK" w:eastAsia="方正小标宋_GBK" w:cs="方正小标宋_GBK"/>
              </w:rPr>
            </w:pPr>
          </w:p>
        </w:tc>
        <w:tc>
          <w:tcPr>
            <w:tcW w:w="964" w:type="dxa"/>
            <w:vAlign w:val="center"/>
          </w:tcPr>
          <w:p>
            <w:pPr>
              <w:pStyle w:val="15"/>
              <w:rPr>
                <w:rFonts w:hint="eastAsia" w:ascii="方正小标宋_GBK" w:hAnsi="方正小标宋_GBK" w:eastAsia="方正小标宋_GBK" w:cs="方正小标宋_GBK"/>
              </w:rPr>
            </w:pPr>
          </w:p>
        </w:tc>
      </w:tr>
    </w:tbl>
    <w:p>
      <w:pPr>
        <w:spacing w:line="500" w:lineRule="exact"/>
        <w:ind w:firstLine="420"/>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sz w:val="21"/>
        </w:rPr>
        <w:t>注：同一采购目录序号的物品，其单价会因配置规格不同而变动，均符合资产配置标准。涉密采购事项按照相关规定执行。</w:t>
      </w:r>
    </w:p>
    <w:p>
      <w:pPr>
        <w:ind w:firstLine="420"/>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sz w:val="21"/>
        </w:rPr>
        <w:t>注：无政府采购预算，空表列示。</w:t>
      </w:r>
    </w:p>
    <w:p>
      <w:pPr>
        <w:ind w:firstLine="640"/>
        <w:rPr>
          <w:rFonts w:hint="eastAsia" w:ascii="方正小标宋_GBK" w:hAnsi="方正小标宋_GBK" w:eastAsia="方正小标宋_GBK" w:cs="方正小标宋_GBK"/>
        </w:rPr>
      </w:pPr>
    </w:p>
    <w:p>
      <w:pPr>
        <w:spacing w:before="10" w:after="10"/>
        <w:ind w:firstLine="640"/>
        <w:outlineLvl w:val="5"/>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color w:val="000000"/>
          <w:sz w:val="32"/>
          <w:szCs w:val="32"/>
        </w:rPr>
        <w:t>七、国有资产信息</w:t>
      </w:r>
    </w:p>
    <w:p>
      <w:pPr>
        <w:spacing w:line="500" w:lineRule="exact"/>
        <w:ind w:firstLine="56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color w:val="000000"/>
          <w:sz w:val="28"/>
          <w:szCs w:val="28"/>
        </w:rPr>
        <w:t>承德市生态环境局双滦区分局上年末固定资产金额为</w:t>
      </w:r>
      <w:r>
        <w:rPr>
          <w:rFonts w:hint="eastAsia" w:ascii="方正仿宋_GBK" w:hAnsi="方正仿宋_GBK" w:eastAsia="方正仿宋_GBK" w:cs="方正仿宋_GBK"/>
          <w:b/>
          <w:bCs/>
          <w:color w:val="000000"/>
          <w:sz w:val="28"/>
          <w:szCs w:val="28"/>
          <w:lang w:eastAsia="zh-CN"/>
        </w:rPr>
        <w:t>70.8537</w:t>
      </w:r>
      <w:r>
        <w:rPr>
          <w:rFonts w:hint="eastAsia" w:ascii="方正仿宋_GBK" w:hAnsi="方正仿宋_GBK" w:eastAsia="方正仿宋_GBK" w:cs="方正仿宋_GBK"/>
          <w:b/>
          <w:bCs/>
          <w:color w:val="000000"/>
          <w:sz w:val="28"/>
          <w:szCs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10"/>
        <w:gridCol w:w="1134"/>
        <w:gridCol w:w="76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210" w:type="dxa"/>
            <w:tcBorders>
              <w:top w:val="single" w:color="FFFFFF" w:sz="6" w:space="0"/>
              <w:left w:val="single" w:color="FFFFFF" w:sz="6" w:space="0"/>
              <w:right w:val="single" w:color="FFFFFF" w:sz="6" w:space="0"/>
            </w:tcBorders>
            <w:vAlign w:val="center"/>
          </w:tcPr>
          <w:p>
            <w:pPr>
              <w:pStyle w:val="13"/>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5</w:t>
            </w:r>
            <w:r>
              <w:rPr>
                <w:rFonts w:hint="eastAsia" w:ascii="方正小标宋_GBK" w:hAnsi="方正小标宋_GBK" w:eastAsia="方正小标宋_GBK" w:cs="方正小标宋_GBK"/>
                <w:lang w:val="en-US" w:eastAsia="zh-CN"/>
              </w:rPr>
              <w:t>71004</w:t>
            </w:r>
            <w:r>
              <w:rPr>
                <w:rFonts w:hint="eastAsia" w:ascii="方正小标宋_GBK" w:hAnsi="方正小标宋_GBK" w:eastAsia="方正小标宋_GBK" w:cs="方正小标宋_GBK"/>
              </w:rPr>
              <w:t>承德市生态环境局双</w:t>
            </w:r>
            <w:r>
              <w:rPr>
                <w:rFonts w:hint="eastAsia" w:ascii="方正小标宋_GBK" w:hAnsi="方正小标宋_GBK" w:eastAsia="方正小标宋_GBK" w:cs="方正小标宋_GBK"/>
                <w:lang w:eastAsia="zh-CN"/>
              </w:rPr>
              <w:t>滦</w:t>
            </w:r>
            <w:r>
              <w:rPr>
                <w:rFonts w:hint="eastAsia" w:ascii="方正小标宋_GBK" w:hAnsi="方正小标宋_GBK" w:eastAsia="方正小标宋_GBK" w:cs="方正小标宋_GBK"/>
              </w:rPr>
              <w:t>区分局</w:t>
            </w:r>
          </w:p>
        </w:tc>
        <w:tc>
          <w:tcPr>
            <w:tcW w:w="8830" w:type="dxa"/>
            <w:gridSpan w:val="2"/>
            <w:tcBorders>
              <w:top w:val="single" w:color="FFFFFF" w:sz="6" w:space="0"/>
              <w:left w:val="single" w:color="FFFFFF" w:sz="6" w:space="0"/>
              <w:right w:val="single" w:color="FFFFFF" w:sz="6" w:space="0"/>
            </w:tcBorders>
            <w:vAlign w:val="center"/>
          </w:tcPr>
          <w:p>
            <w:pPr>
              <w:pStyle w:val="11"/>
              <w:ind w:right="480" w:firstLine="4920" w:firstLineChars="2050"/>
              <w:jc w:val="left"/>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210" w:type="dxa"/>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项目</w:t>
            </w:r>
          </w:p>
        </w:tc>
        <w:tc>
          <w:tcPr>
            <w:tcW w:w="1134" w:type="dxa"/>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数量</w:t>
            </w:r>
          </w:p>
        </w:tc>
        <w:tc>
          <w:tcPr>
            <w:tcW w:w="7696" w:type="dxa"/>
            <w:vAlign w:val="center"/>
          </w:tcPr>
          <w:p>
            <w:pPr>
              <w:pStyle w:val="14"/>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10" w:type="dxa"/>
            <w:vAlign w:val="center"/>
          </w:tcPr>
          <w:p>
            <w:pPr>
              <w:pStyle w:val="16"/>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资产总额</w:t>
            </w:r>
          </w:p>
        </w:tc>
        <w:tc>
          <w:tcPr>
            <w:tcW w:w="1134" w:type="dxa"/>
            <w:vAlign w:val="center"/>
          </w:tcPr>
          <w:p>
            <w:pPr>
              <w:pStyle w:val="17"/>
              <w:rPr>
                <w:rFonts w:hint="eastAsia" w:ascii="方正小标宋_GBK" w:hAnsi="方正小标宋_GBK" w:eastAsia="方正小标宋_GBK" w:cs="方正小标宋_GBK"/>
              </w:rPr>
            </w:pPr>
          </w:p>
        </w:tc>
        <w:tc>
          <w:tcPr>
            <w:tcW w:w="7696" w:type="dxa"/>
            <w:vAlign w:val="center"/>
          </w:tcPr>
          <w:p>
            <w:pPr>
              <w:pStyle w:val="15"/>
              <w:ind w:right="420"/>
              <w:jc w:val="right"/>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70.8537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10" w:type="dxa"/>
            <w:vAlign w:val="center"/>
          </w:tcPr>
          <w:p>
            <w:pPr>
              <w:pStyle w:val="16"/>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1、房屋（平方米）</w:t>
            </w:r>
          </w:p>
        </w:tc>
        <w:tc>
          <w:tcPr>
            <w:tcW w:w="1134" w:type="dxa"/>
            <w:vAlign w:val="center"/>
          </w:tcPr>
          <w:p>
            <w:pPr>
              <w:pStyle w:val="17"/>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0</w:t>
            </w:r>
          </w:p>
        </w:tc>
        <w:tc>
          <w:tcPr>
            <w:tcW w:w="7696" w:type="dxa"/>
            <w:vAlign w:val="center"/>
          </w:tcPr>
          <w:p>
            <w:pPr>
              <w:pStyle w:val="15"/>
              <w:ind w:right="420"/>
              <w:jc w:val="right"/>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10" w:type="dxa"/>
            <w:vAlign w:val="center"/>
          </w:tcPr>
          <w:p>
            <w:pPr>
              <w:pStyle w:val="16"/>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　　其中：办公用房（平方米）</w:t>
            </w:r>
          </w:p>
        </w:tc>
        <w:tc>
          <w:tcPr>
            <w:tcW w:w="1134" w:type="dxa"/>
            <w:vAlign w:val="center"/>
          </w:tcPr>
          <w:p>
            <w:pPr>
              <w:pStyle w:val="17"/>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0</w:t>
            </w:r>
          </w:p>
        </w:tc>
        <w:tc>
          <w:tcPr>
            <w:tcW w:w="7696" w:type="dxa"/>
            <w:vAlign w:val="center"/>
          </w:tcPr>
          <w:p>
            <w:pPr>
              <w:pStyle w:val="15"/>
              <w:ind w:right="420"/>
              <w:jc w:val="right"/>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10" w:type="dxa"/>
            <w:vAlign w:val="center"/>
          </w:tcPr>
          <w:p>
            <w:pPr>
              <w:pStyle w:val="16"/>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2、车辆（台、辆）</w:t>
            </w:r>
          </w:p>
        </w:tc>
        <w:tc>
          <w:tcPr>
            <w:tcW w:w="1134" w:type="dxa"/>
            <w:vAlign w:val="center"/>
          </w:tcPr>
          <w:p>
            <w:pPr>
              <w:pStyle w:val="1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2</w:t>
            </w:r>
          </w:p>
        </w:tc>
        <w:tc>
          <w:tcPr>
            <w:tcW w:w="7696" w:type="dxa"/>
            <w:vAlign w:val="center"/>
          </w:tcPr>
          <w:p>
            <w:pPr>
              <w:pStyle w:val="15"/>
              <w:ind w:right="420"/>
              <w:jc w:val="right"/>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33.4007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10" w:type="dxa"/>
            <w:vAlign w:val="center"/>
          </w:tcPr>
          <w:p>
            <w:pPr>
              <w:pStyle w:val="16"/>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3、单价在20万元以上的设备</w:t>
            </w:r>
          </w:p>
        </w:tc>
        <w:tc>
          <w:tcPr>
            <w:tcW w:w="1134" w:type="dxa"/>
            <w:vAlign w:val="center"/>
          </w:tcPr>
          <w:p>
            <w:pPr>
              <w:pStyle w:val="17"/>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0</w:t>
            </w:r>
          </w:p>
        </w:tc>
        <w:tc>
          <w:tcPr>
            <w:tcW w:w="7696" w:type="dxa"/>
            <w:vAlign w:val="center"/>
          </w:tcPr>
          <w:p>
            <w:pPr>
              <w:pStyle w:val="15"/>
              <w:ind w:right="420"/>
              <w:jc w:val="right"/>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10" w:type="dxa"/>
            <w:vAlign w:val="center"/>
          </w:tcPr>
          <w:p>
            <w:pPr>
              <w:pStyle w:val="16"/>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4.其他固定资产</w:t>
            </w:r>
          </w:p>
        </w:tc>
        <w:tc>
          <w:tcPr>
            <w:tcW w:w="1134" w:type="dxa"/>
            <w:vAlign w:val="center"/>
          </w:tcPr>
          <w:p>
            <w:pPr>
              <w:pStyle w:val="17"/>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192</w:t>
            </w:r>
          </w:p>
        </w:tc>
        <w:tc>
          <w:tcPr>
            <w:tcW w:w="7696" w:type="dxa"/>
            <w:vAlign w:val="center"/>
          </w:tcPr>
          <w:p>
            <w:pPr>
              <w:pStyle w:val="15"/>
              <w:ind w:right="420"/>
              <w:jc w:val="right"/>
              <w:rPr>
                <w:rFonts w:hint="eastAsia" w:ascii="方正小标宋_GBK" w:hAnsi="方正小标宋_GBK" w:eastAsia="方正小标宋_GBK" w:cs="方正小标宋_GBK"/>
              </w:rPr>
            </w:pPr>
            <w:bookmarkStart w:id="1" w:name="_GoBack"/>
            <w:bookmarkEnd w:id="1"/>
            <w:r>
              <w:rPr>
                <w:rFonts w:hint="eastAsia" w:ascii="方正小标宋_GBK" w:hAnsi="方正小标宋_GBK" w:eastAsia="方正小标宋_GBK" w:cs="方正小标宋_GBK"/>
                <w:lang w:eastAsia="zh-CN"/>
              </w:rPr>
              <w:t>37.453</w:t>
            </w:r>
          </w:p>
        </w:tc>
      </w:tr>
    </w:tbl>
    <w:p>
      <w:pPr>
        <w:ind w:firstLine="640"/>
      </w:pPr>
    </w:p>
    <w:p>
      <w:pPr>
        <w:ind w:firstLine="640"/>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color w:val="000000"/>
          <w:sz w:val="32"/>
          <w:szCs w:val="32"/>
        </w:rPr>
        <w:t>八、名词解释</w:t>
      </w:r>
    </w:p>
    <w:p>
      <w:pPr>
        <w:spacing w:line="500" w:lineRule="exact"/>
        <w:ind w:firstLine="560"/>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sz w:val="28"/>
        </w:rPr>
        <w:t>1、</w:t>
      </w:r>
      <w:r>
        <w:rPr>
          <w:rFonts w:hint="eastAsia" w:ascii="方正小标宋_GBK" w:hAnsi="方正小标宋_GBK" w:eastAsia="方正小标宋_GBK" w:cs="方正小标宋_GBK"/>
          <w:b/>
          <w:color w:val="000000"/>
          <w:sz w:val="28"/>
        </w:rPr>
        <w:t>一般公共预算拨款收入：</w:t>
      </w:r>
      <w:r>
        <w:rPr>
          <w:rFonts w:hint="eastAsia" w:ascii="方正小标宋_GBK" w:hAnsi="方正小标宋_GBK" w:eastAsia="方正小标宋_GBK" w:cs="方正小标宋_GBK"/>
          <w:color w:val="000000"/>
          <w:sz w:val="28"/>
        </w:rPr>
        <w:t>指</w:t>
      </w:r>
      <w:r>
        <w:rPr>
          <w:rFonts w:hint="eastAsia" w:ascii="方正小标宋_GBK" w:hAnsi="方正小标宋_GBK" w:eastAsia="方正小标宋_GBK" w:cs="方正小标宋_GBK"/>
          <w:color w:val="000000"/>
          <w:sz w:val="28"/>
          <w:lang w:eastAsia="zh-CN"/>
        </w:rPr>
        <w:t>市</w:t>
      </w:r>
      <w:r>
        <w:rPr>
          <w:rFonts w:hint="eastAsia" w:ascii="方正小标宋_GBK" w:hAnsi="方正小标宋_GBK" w:eastAsia="方正小标宋_GBK" w:cs="方正小标宋_GBK"/>
          <w:color w:val="000000"/>
          <w:sz w:val="28"/>
        </w:rPr>
        <w:t>级财政当年拨付的资金。</w:t>
      </w:r>
    </w:p>
    <w:p>
      <w:pPr>
        <w:spacing w:line="500" w:lineRule="exact"/>
        <w:ind w:firstLine="560"/>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sz w:val="28"/>
        </w:rPr>
        <w:t>2、</w:t>
      </w:r>
      <w:r>
        <w:rPr>
          <w:rFonts w:hint="eastAsia" w:ascii="方正小标宋_GBK" w:hAnsi="方正小标宋_GBK" w:eastAsia="方正小标宋_GBK" w:cs="方正小标宋_GBK"/>
          <w:b/>
          <w:color w:val="000000"/>
          <w:sz w:val="28"/>
        </w:rPr>
        <w:t>事业收入：</w:t>
      </w:r>
      <w:r>
        <w:rPr>
          <w:rFonts w:hint="eastAsia" w:ascii="方正小标宋_GBK" w:hAnsi="方正小标宋_GBK" w:eastAsia="方正小标宋_GBK" w:cs="方正小标宋_GBK"/>
          <w:color w:val="000000"/>
          <w:sz w:val="28"/>
        </w:rPr>
        <w:t>指事业单位开展专业业务活动及辅助活动所取得的收入。</w:t>
      </w:r>
    </w:p>
    <w:p>
      <w:pPr>
        <w:spacing w:line="500" w:lineRule="exact"/>
        <w:ind w:firstLine="560"/>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sz w:val="28"/>
        </w:rPr>
        <w:t>3、</w:t>
      </w:r>
      <w:r>
        <w:rPr>
          <w:rFonts w:hint="eastAsia" w:ascii="方正小标宋_GBK" w:hAnsi="方正小标宋_GBK" w:eastAsia="方正小标宋_GBK" w:cs="方正小标宋_GBK"/>
          <w:b/>
          <w:color w:val="000000"/>
          <w:sz w:val="28"/>
        </w:rPr>
        <w:t>其他收入：</w:t>
      </w:r>
      <w:r>
        <w:rPr>
          <w:rFonts w:hint="eastAsia" w:ascii="方正小标宋_GBK" w:hAnsi="方正小标宋_GBK" w:eastAsia="方正小标宋_GBK" w:cs="方正小标宋_GBK"/>
          <w:color w:val="000000"/>
          <w:sz w:val="28"/>
        </w:rPr>
        <w:t>指除“一般公共预算拨款收入”、“事业收入”等以外的收入。主要是按规定动用的租房收入、存款利息收入等。</w:t>
      </w:r>
    </w:p>
    <w:p>
      <w:pPr>
        <w:spacing w:line="500" w:lineRule="exact"/>
        <w:ind w:firstLine="560"/>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sz w:val="28"/>
        </w:rPr>
        <w:t>4、</w:t>
      </w:r>
      <w:r>
        <w:rPr>
          <w:rFonts w:hint="eastAsia" w:ascii="方正小标宋_GBK" w:hAnsi="方正小标宋_GBK" w:eastAsia="方正小标宋_GBK" w:cs="方正小标宋_GBK"/>
          <w:b/>
          <w:color w:val="000000"/>
          <w:sz w:val="28"/>
        </w:rPr>
        <w:t>基本支出：</w:t>
      </w:r>
      <w:r>
        <w:rPr>
          <w:rFonts w:hint="eastAsia" w:ascii="方正小标宋_GBK" w:hAnsi="方正小标宋_GBK" w:eastAsia="方正小标宋_GBK" w:cs="方正小标宋_GBK"/>
          <w:color w:val="000000"/>
          <w:sz w:val="28"/>
        </w:rPr>
        <w:t>指为保障机构正常运转、完成日常工作任务而发生的人员支出和公用支出。</w:t>
      </w:r>
    </w:p>
    <w:p>
      <w:pPr>
        <w:spacing w:line="500" w:lineRule="exact"/>
        <w:ind w:firstLine="560"/>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sz w:val="28"/>
        </w:rPr>
        <w:t>5、</w:t>
      </w:r>
      <w:r>
        <w:rPr>
          <w:rFonts w:hint="eastAsia" w:ascii="方正小标宋_GBK" w:hAnsi="方正小标宋_GBK" w:eastAsia="方正小标宋_GBK" w:cs="方正小标宋_GBK"/>
          <w:b/>
          <w:color w:val="000000"/>
          <w:sz w:val="28"/>
        </w:rPr>
        <w:t>项目支出：</w:t>
      </w:r>
      <w:r>
        <w:rPr>
          <w:rFonts w:hint="eastAsia" w:ascii="方正小标宋_GBK" w:hAnsi="方正小标宋_GBK" w:eastAsia="方正小标宋_GBK" w:cs="方正小标宋_GBK"/>
          <w:color w:val="000000"/>
          <w:sz w:val="28"/>
        </w:rPr>
        <w:t>指在基本支出之外为完成特定行政任务和事业发展目标所发生的支出。</w:t>
      </w:r>
    </w:p>
    <w:p>
      <w:pPr>
        <w:spacing w:line="500" w:lineRule="exact"/>
        <w:ind w:firstLine="560"/>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sz w:val="28"/>
        </w:rPr>
        <w:t>6、</w:t>
      </w:r>
      <w:r>
        <w:rPr>
          <w:rFonts w:hint="eastAsia" w:ascii="方正小标宋_GBK" w:hAnsi="方正小标宋_GBK" w:eastAsia="方正小标宋_GBK" w:cs="方正小标宋_GBK"/>
          <w:b/>
          <w:color w:val="000000"/>
          <w:sz w:val="28"/>
        </w:rPr>
        <w:t>上缴上级支出：</w:t>
      </w:r>
      <w:r>
        <w:rPr>
          <w:rFonts w:hint="eastAsia" w:ascii="方正小标宋_GBK" w:hAnsi="方正小标宋_GBK" w:eastAsia="方正小标宋_GBK" w:cs="方正小标宋_GBK"/>
          <w:color w:val="000000"/>
          <w:sz w:val="28"/>
        </w:rPr>
        <w:t>指下级单位上缴上级的支出。</w:t>
      </w:r>
    </w:p>
    <w:p>
      <w:pPr>
        <w:spacing w:line="500" w:lineRule="exact"/>
        <w:ind w:firstLine="560"/>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sz w:val="28"/>
        </w:rPr>
        <w:t>7、</w:t>
      </w:r>
      <w:r>
        <w:rPr>
          <w:rFonts w:hint="eastAsia" w:ascii="方正小标宋_GBK" w:hAnsi="方正小标宋_GBK" w:eastAsia="方正小标宋_GBK" w:cs="方正小标宋_GBK"/>
          <w:b/>
          <w:color w:val="000000"/>
          <w:sz w:val="28"/>
        </w:rPr>
        <w:t>“三公”经费：</w:t>
      </w:r>
      <w:r>
        <w:rPr>
          <w:rFonts w:hint="eastAsia" w:ascii="方正小标宋_GBK" w:hAnsi="方正小标宋_GBK" w:eastAsia="方正小标宋_GBK" w:cs="方正小标宋_GBK"/>
          <w:color w:val="000000"/>
          <w:sz w:val="28"/>
        </w:rPr>
        <w:t>纳入</w:t>
      </w:r>
      <w:r>
        <w:rPr>
          <w:rFonts w:hint="eastAsia" w:ascii="方正小标宋_GBK" w:hAnsi="方正小标宋_GBK" w:eastAsia="方正小标宋_GBK" w:cs="方正小标宋_GBK"/>
          <w:color w:val="000000"/>
          <w:sz w:val="28"/>
          <w:lang w:eastAsia="zh-CN"/>
        </w:rPr>
        <w:t>市</w:t>
      </w:r>
      <w:r>
        <w:rPr>
          <w:rFonts w:hint="eastAsia" w:ascii="方正小标宋_GBK" w:hAnsi="方正小标宋_GBK" w:eastAsia="方正小标宋_GBK" w:cs="方正小标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sz w:val="28"/>
        </w:rPr>
        <w:t>8、</w:t>
      </w:r>
      <w:r>
        <w:rPr>
          <w:rFonts w:hint="eastAsia" w:ascii="方正小标宋_GBK" w:hAnsi="方正小标宋_GBK" w:eastAsia="方正小标宋_GBK" w:cs="方正小标宋_GBK"/>
          <w:b/>
          <w:color w:val="000000"/>
          <w:sz w:val="28"/>
        </w:rPr>
        <w:t>机关运行费：</w:t>
      </w:r>
      <w:r>
        <w:rPr>
          <w:rFonts w:hint="eastAsia" w:ascii="方正小标宋_GBK" w:hAnsi="方正小标宋_GBK" w:eastAsia="方正小标宋_GBK" w:cs="方正小标宋_GBK"/>
          <w:color w:val="000000"/>
          <w:sz w:val="28"/>
        </w:rPr>
        <w:t>是指各</w:t>
      </w:r>
      <w:r>
        <w:rPr>
          <w:rFonts w:hint="eastAsia" w:ascii="方正小标宋_GBK" w:hAnsi="方正小标宋_GBK" w:eastAsia="方正小标宋_GBK" w:cs="方正小标宋_GBK"/>
          <w:color w:val="000000"/>
          <w:sz w:val="28"/>
          <w:lang w:eastAsia="zh-CN"/>
        </w:rPr>
        <w:t>单位</w:t>
      </w:r>
      <w:r>
        <w:rPr>
          <w:rFonts w:hint="eastAsia" w:ascii="方正小标宋_GBK" w:hAnsi="方正小标宋_GBK" w:eastAsia="方正小标宋_GBK" w:cs="方正小标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sz w:val="28"/>
        </w:rPr>
        <w:t>9、</w:t>
      </w:r>
      <w:r>
        <w:rPr>
          <w:rFonts w:hint="eastAsia" w:ascii="方正小标宋_GBK" w:hAnsi="方正小标宋_GBK" w:eastAsia="方正小标宋_GBK" w:cs="方正小标宋_GBK"/>
          <w:b/>
          <w:color w:val="000000"/>
          <w:sz w:val="28"/>
        </w:rPr>
        <w:t>上年结转：</w:t>
      </w:r>
      <w:r>
        <w:rPr>
          <w:rFonts w:hint="eastAsia" w:ascii="方正小标宋_GBK" w:hAnsi="方正小标宋_GBK" w:eastAsia="方正小标宋_GBK" w:cs="方正小标宋_GBK"/>
          <w:color w:val="000000"/>
          <w:sz w:val="28"/>
        </w:rPr>
        <w:t>指以前年度尚未完成、结转到本年仍按原规定用途继续使用的资金。</w:t>
      </w:r>
    </w:p>
    <w:p>
      <w:pPr>
        <w:spacing w:line="500" w:lineRule="exact"/>
        <w:ind w:firstLine="560"/>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sz w:val="28"/>
        </w:rPr>
        <w:t>10、</w:t>
      </w:r>
      <w:r>
        <w:rPr>
          <w:rFonts w:hint="eastAsia" w:ascii="方正小标宋_GBK" w:hAnsi="方正小标宋_GBK" w:eastAsia="方正小标宋_GBK" w:cs="方正小标宋_GBK"/>
          <w:b/>
          <w:color w:val="000000"/>
          <w:sz w:val="28"/>
        </w:rPr>
        <w:t>事业单位经营支出：</w:t>
      </w:r>
      <w:r>
        <w:rPr>
          <w:rFonts w:hint="eastAsia" w:ascii="方正小标宋_GBK" w:hAnsi="方正小标宋_GBK" w:eastAsia="方正小标宋_GBK" w:cs="方正小标宋_GBK"/>
          <w:color w:val="000000"/>
          <w:sz w:val="28"/>
        </w:rPr>
        <w:t>指事业单位在专业业务活动及其辅助活动之外开展非独立核算经营活动发生的支出。</w:t>
      </w:r>
    </w:p>
    <w:p>
      <w:pPr>
        <w:spacing w:before="10" w:after="10"/>
        <w:ind w:firstLine="640"/>
        <w:outlineLvl w:val="5"/>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sz w:val="32"/>
        </w:rPr>
        <w:t>九、其他需要说明的事项</w:t>
      </w:r>
    </w:p>
    <w:p>
      <w:pPr>
        <w:spacing w:line="500" w:lineRule="exact"/>
        <w:ind w:firstLine="560"/>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color w:val="000000"/>
          <w:sz w:val="28"/>
        </w:rPr>
        <w:t>我单位无其他需要说明的事项</w:t>
      </w:r>
      <w:r>
        <w:rPr>
          <w:rFonts w:hint="eastAsia" w:ascii="方正小标宋_GBK" w:hAnsi="方正小标宋_GBK" w:eastAsia="方正小标宋_GBK" w:cs="方正小标宋_GBK"/>
          <w:color w:val="000000"/>
          <w:sz w:val="28"/>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47BF37-ECEF-4A51-9767-E3A36F65DE6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BF66B43-AF7A-49C8-8B30-CCC901E7C3E5}"/>
  </w:font>
  <w:font w:name="方正小标宋_GBK">
    <w:altName w:val="方正小标宋_GBK"/>
    <w:panose1 w:val="00000000000000000000"/>
    <w:charset w:val="86"/>
    <w:family w:val="script"/>
    <w:pitch w:val="default"/>
    <w:sig w:usb0="00000000" w:usb1="00000000" w:usb2="00000010" w:usb3="00000000" w:csb0="00040000" w:csb1="00000000"/>
    <w:embedRegular r:id="rId3" w:fontKey="{34C83ADF-3419-4C1C-B34A-7C275A5CEF2D}"/>
  </w:font>
  <w:font w:name="方正书宋_GBK">
    <w:altName w:val="宋体"/>
    <w:panose1 w:val="00000000000000000000"/>
    <w:charset w:val="86"/>
    <w:family w:val="script"/>
    <w:pitch w:val="default"/>
    <w:sig w:usb0="00000000" w:usb1="00000000" w:usb2="00000010" w:usb3="00000000" w:csb0="00040000" w:csb1="00000000"/>
    <w:embedRegular r:id="rId4" w:fontKey="{07FF2568-5598-453D-BDF7-7F7A3ED70A19}"/>
  </w:font>
  <w:font w:name="方正仿宋_GBK">
    <w:altName w:val="方正仿宋_GBK"/>
    <w:panose1 w:val="00000000000000000000"/>
    <w:charset w:val="86"/>
    <w:family w:val="script"/>
    <w:pitch w:val="default"/>
    <w:sig w:usb0="00000000" w:usb1="00000000" w:usb2="00000010" w:usb3="00000000" w:csb0="00040000" w:csb1="00000000"/>
    <w:embedRegular r:id="rId5" w:fontKey="{B64E0EBB-376B-4581-AEFA-8E88A3E30497}"/>
  </w:font>
  <w:font w:name="方正楷体_GBK">
    <w:panose1 w:val="02000000000000000000"/>
    <w:charset w:val="86"/>
    <w:family w:val="auto"/>
    <w:pitch w:val="default"/>
    <w:sig w:usb0="800002BF" w:usb1="38CF7CFA" w:usb2="00000016"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简体">
    <w:altName w:val="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6941"/>
    <w:multiLevelType w:val="singleLevel"/>
    <w:tmpl w:val="2010694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Zjk4NGQ0NzA1OWUzNGUwZGY2YTFjMjQ1Y2ZiMDIifQ=="/>
  </w:docVars>
  <w:rsids>
    <w:rsidRoot w:val="00FB16CF"/>
    <w:rsid w:val="0012603D"/>
    <w:rsid w:val="0089197C"/>
    <w:rsid w:val="00E010E7"/>
    <w:rsid w:val="00EB4527"/>
    <w:rsid w:val="00FB16CF"/>
    <w:rsid w:val="043D6C25"/>
    <w:rsid w:val="4EAC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semiHidden/>
    <w:qFormat/>
    <w:uiPriority w:val="99"/>
    <w:rPr>
      <w:rFonts w:ascii="Times New Roman" w:hAnsi="Times New Roman" w:eastAsia="Times New Roman" w:cs="Times New Roman"/>
      <w:kern w:val="0"/>
      <w:sz w:val="18"/>
      <w:szCs w:val="18"/>
      <w:lang w:eastAsia="uk-UA"/>
    </w:rPr>
  </w:style>
  <w:style w:type="character" w:customStyle="1" w:styleId="34">
    <w:name w:val="页脚 Char"/>
    <w:basedOn w:val="10"/>
    <w:link w:val="3"/>
    <w:semiHidden/>
    <w:qFormat/>
    <w:uiPriority w:val="99"/>
    <w:rPr>
      <w:rFonts w:ascii="Times New Roman" w:hAnsi="Times New Roman" w:eastAsia="Times New Roman" w:cs="Times New Roman"/>
      <w:kern w:val="0"/>
      <w:sz w:val="18"/>
      <w:szCs w:val="18"/>
      <w:lang w:eastAsia="uk-UA"/>
    </w:rPr>
  </w:style>
  <w:style w:type="character" w:customStyle="1" w:styleId="35">
    <w:name w:val="font51"/>
    <w:basedOn w:val="10"/>
    <w:qFormat/>
    <w:uiPriority w:val="0"/>
    <w:rPr>
      <w:rFonts w:hint="eastAsia" w:ascii="宋体" w:hAnsi="宋体" w:eastAsia="宋体" w:cs="宋体"/>
      <w:color w:val="000000"/>
      <w:sz w:val="16"/>
      <w:szCs w:val="16"/>
      <w:u w:val="none"/>
    </w:rPr>
  </w:style>
  <w:style w:type="character" w:customStyle="1" w:styleId="36">
    <w:name w:val="font41"/>
    <w:basedOn w:val="10"/>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5641</Words>
  <Characters>6825</Characters>
  <Lines>53</Lines>
  <Paragraphs>14</Paragraphs>
  <TotalTime>9</TotalTime>
  <ScaleCrop>false</ScaleCrop>
  <LinksUpToDate>false</LinksUpToDate>
  <CharactersWithSpaces>6855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2023-03-09T07:09:00Z</dcterms:created>
  <dc:creator>PC</dc:creator>
  <cp:lastModifiedBy>王希</cp:lastModifiedBy>
  <dcterms:modified xsi:type="dcterms:W3CDTF">2023-03-10T03:26:08Z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14047BFC5E2A4824BED32ED6DC83C54C</vt:lpwstr>
  </property>
</Properties>
</file>